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charts/chart4.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4.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71C"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42DE6"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275E43" w:rsidRDefault="00275E43" w:rsidP="004924DC">
                            <w:r>
                              <w:t>Z</w:t>
                            </w:r>
                            <w:r w:rsidRPr="006C5577">
                              <w:t xml:space="preserve">pracoval: </w:t>
                            </w:r>
                            <w:r>
                              <w:t>o</w:t>
                            </w:r>
                            <w:r w:rsidRPr="006C5577">
                              <w:t>dbor</w:t>
                            </w:r>
                            <w:r>
                              <w:t xml:space="preserve"> Kancelář předsedy</w:t>
                            </w:r>
                          </w:p>
                          <w:p w14:paraId="6CC24131" w14:textId="77777777" w:rsidR="00275E43" w:rsidRPr="006C5577" w:rsidRDefault="00275E43"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275E43" w:rsidRPr="006C5577" w:rsidRDefault="00275E43"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D6&#10;evZ/1gEAAJEDAAAOAAAAAAAAAAAAAAAAAC4CAABkcnMvZTJvRG9jLnhtbFBLAQItABQABgAIAAAA&#10;IQBU965p4gAAAA4BAAAPAAAAAAAAAAAAAAAAADAEAABkcnMvZG93bnJldi54bWxQSwUGAAAAAAQA&#10;BADzAAAAPwUAAAAA&#10;" filled="f" stroked="f">
                <v:textbox inset="0,0,0,0">
                  <w:txbxContent>
                    <w:p w14:paraId="71628CD8" w14:textId="77777777" w:rsidR="00275E43" w:rsidRDefault="00275E43" w:rsidP="004924DC">
                      <w:r>
                        <w:t>Z</w:t>
                      </w:r>
                      <w:r w:rsidRPr="006C5577">
                        <w:t xml:space="preserve">pracoval: </w:t>
                      </w:r>
                      <w:r>
                        <w:t>o</w:t>
                      </w:r>
                      <w:r w:rsidRPr="006C5577">
                        <w:t>dbor</w:t>
                      </w:r>
                      <w:r>
                        <w:t xml:space="preserve"> Kancelář předsedy</w:t>
                      </w:r>
                    </w:p>
                    <w:p w14:paraId="6CC24131" w14:textId="77777777" w:rsidR="00275E43" w:rsidRPr="006C5577" w:rsidRDefault="00275E43"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275E43" w:rsidRPr="006C5577" w:rsidRDefault="00275E43"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32168C0B" w:rsidR="00275E43" w:rsidRPr="004924DC" w:rsidRDefault="00275E43" w:rsidP="004924DC">
                            <w:pPr>
                              <w:pStyle w:val="TLIdentifikace-sted"/>
                            </w:pPr>
                            <w:r>
                              <w:t>Souhrnná data o České republice</w:t>
                            </w:r>
                          </w:p>
                          <w:p w14:paraId="02C46271" w14:textId="71574515" w:rsidR="00275E43" w:rsidRPr="004924DC" w:rsidRDefault="00275E43" w:rsidP="004924DC">
                            <w:pPr>
                              <w:pStyle w:val="TLIdentifikace-sted"/>
                            </w:pPr>
                            <w:r>
                              <w:t>Praha, 16. 12. 2022</w:t>
                            </w:r>
                          </w:p>
                          <w:p w14:paraId="43012AD8" w14:textId="4B43F444" w:rsidR="00275E43" w:rsidRPr="00B23E6E" w:rsidRDefault="00275E43" w:rsidP="004924DC">
                            <w:pPr>
                              <w:pStyle w:val="TLIdentifikace-sted"/>
                            </w:pPr>
                            <w:r w:rsidRPr="00B23E6E">
                              <w:t>Kód publikace: 320193-2</w:t>
                            </w:r>
                            <w:r>
                              <w:t>2</w:t>
                            </w:r>
                          </w:p>
                          <w:p w14:paraId="1ED5773E" w14:textId="6E806023" w:rsidR="00275E43" w:rsidRPr="00474646" w:rsidRDefault="00B42902" w:rsidP="004924DC">
                            <w:pPr>
                              <w:pStyle w:val="TLIdentifikace-sted"/>
                              <w:rPr>
                                <w:rFonts w:cs="Arial"/>
                              </w:rPr>
                            </w:pPr>
                            <w:r w:rsidRPr="00B42902">
                              <w:rPr>
                                <w:rFonts w:cs="Arial"/>
                              </w:rPr>
                              <w:t xml:space="preserve">Č. j.: </w:t>
                            </w:r>
                            <w:r w:rsidRPr="00B42902">
                              <w:rPr>
                                <w:rFonts w:eastAsia="Calibri" w:cs="Arial"/>
                                <w:lang w:eastAsia="en-US"/>
                              </w:rPr>
                              <w:t>CSU-018127/2022-01</w:t>
                            </w:r>
                          </w:p>
                          <w:p w14:paraId="7E4C36AC" w14:textId="5A95F8A3" w:rsidR="00275E43" w:rsidRPr="004924DC" w:rsidRDefault="00275E43" w:rsidP="004924DC">
                            <w:pPr>
                              <w:pStyle w:val="TLIdentifikace-sted"/>
                            </w:pPr>
                            <w:r w:rsidRPr="004924DC">
                              <w:t>Pořadové číslo v</w:t>
                            </w:r>
                            <w:r>
                              <w:t> </w:t>
                            </w:r>
                            <w:r w:rsidRPr="004924DC">
                              <w:t xml:space="preserve">roce: </w:t>
                            </w:r>
                            <w:r>
                              <w:t>3</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" filled="f" stroked="f">
                <v:textbox style="mso-fit-shape-to-text:t" inset="0,0,0,0">
                  <w:txbxContent>
                    <w:p w14:paraId="6B3C48DE" w14:textId="32168C0B" w:rsidR="00275E43" w:rsidRPr="004924DC" w:rsidRDefault="00275E43" w:rsidP="004924DC">
                      <w:pPr>
                        <w:pStyle w:val="TLIdentifikace-sted"/>
                      </w:pPr>
                      <w:r>
                        <w:t>Souhrnná data o České republice</w:t>
                      </w:r>
                    </w:p>
                    <w:p w14:paraId="02C46271" w14:textId="71574515" w:rsidR="00275E43" w:rsidRPr="004924DC" w:rsidRDefault="00275E43" w:rsidP="004924DC">
                      <w:pPr>
                        <w:pStyle w:val="TLIdentifikace-sted"/>
                      </w:pPr>
                      <w:r>
                        <w:t>Praha, 16. 12. 2022</w:t>
                      </w:r>
                    </w:p>
                    <w:p w14:paraId="43012AD8" w14:textId="4B43F444" w:rsidR="00275E43" w:rsidRPr="00B23E6E" w:rsidRDefault="00275E43" w:rsidP="004924DC">
                      <w:pPr>
                        <w:pStyle w:val="TLIdentifikace-sted"/>
                      </w:pPr>
                      <w:r w:rsidRPr="00B23E6E">
                        <w:t>Kód publikace: 320193-2</w:t>
                      </w:r>
                      <w:r>
                        <w:t>2</w:t>
                      </w:r>
                    </w:p>
                    <w:p w14:paraId="1ED5773E" w14:textId="6E806023" w:rsidR="00275E43" w:rsidRPr="00474646" w:rsidRDefault="00B42902" w:rsidP="004924DC">
                      <w:pPr>
                        <w:pStyle w:val="TLIdentifikace-sted"/>
                        <w:rPr>
                          <w:rFonts w:cs="Arial"/>
                        </w:rPr>
                      </w:pPr>
                      <w:r w:rsidRPr="00B42902">
                        <w:rPr>
                          <w:rFonts w:cs="Arial"/>
                        </w:rPr>
                        <w:t xml:space="preserve">Č. j.: </w:t>
                      </w:r>
                      <w:r w:rsidRPr="00B42902">
                        <w:rPr>
                          <w:rFonts w:eastAsia="Calibri" w:cs="Arial"/>
                          <w:lang w:eastAsia="en-US"/>
                        </w:rPr>
                        <w:t>CSU-018127/2022-01</w:t>
                      </w:r>
                    </w:p>
                    <w:p w14:paraId="7E4C36AC" w14:textId="5A95F8A3" w:rsidR="00275E43" w:rsidRPr="004924DC" w:rsidRDefault="00275E43" w:rsidP="004924DC">
                      <w:pPr>
                        <w:pStyle w:val="TLIdentifikace-sted"/>
                      </w:pPr>
                      <w:r w:rsidRPr="004924DC">
                        <w:t>Pořadové číslo v</w:t>
                      </w:r>
                      <w:r>
                        <w:t> </w:t>
                      </w:r>
                      <w:r w:rsidRPr="004924DC">
                        <w:t xml:space="preserve">roce: </w:t>
                      </w:r>
                      <w:r>
                        <w:t>3</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275E43" w:rsidRPr="000E6FBD" w:rsidRDefault="00275E43" w:rsidP="000E6FBD">
                            <w:pPr>
                              <w:pStyle w:val="Nzev"/>
                            </w:pPr>
                            <w:r>
                              <w:t>Vývoj ekonomiky české republiky</w:t>
                            </w:r>
                          </w:p>
                          <w:p w14:paraId="6EF7822F" w14:textId="77777777" w:rsidR="00275E43" w:rsidRPr="0012192F" w:rsidRDefault="00275E43" w:rsidP="0012192F">
                            <w:pPr>
                              <w:pStyle w:val="Podnadpis"/>
                            </w:pPr>
                          </w:p>
                          <w:p w14:paraId="284A2D4D" w14:textId="51A3F206" w:rsidR="00275E43" w:rsidRPr="0012192F" w:rsidRDefault="00275E43" w:rsidP="00720310">
                            <w:pPr>
                              <w:pStyle w:val="Podnadpis"/>
                            </w:pPr>
                            <w:r>
                              <w:t>1. až 3. čtvrtletí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" filled="f" stroked="f">
                <v:textbox style="mso-fit-shape-to-text:t" inset="0,0,0,0">
                  <w:txbxContent>
                    <w:p w14:paraId="723B7B56" w14:textId="77777777" w:rsidR="00275E43" w:rsidRPr="000E6FBD" w:rsidRDefault="00275E43" w:rsidP="000E6FBD">
                      <w:pPr>
                        <w:pStyle w:val="Nzev"/>
                      </w:pPr>
                      <w:r>
                        <w:t>Vývoj ekonomiky české republiky</w:t>
                      </w:r>
                    </w:p>
                    <w:p w14:paraId="6EF7822F" w14:textId="77777777" w:rsidR="00275E43" w:rsidRPr="0012192F" w:rsidRDefault="00275E43" w:rsidP="0012192F">
                      <w:pPr>
                        <w:pStyle w:val="Podnadpis"/>
                      </w:pPr>
                    </w:p>
                    <w:p w14:paraId="284A2D4D" w14:textId="51A3F206" w:rsidR="00275E43" w:rsidRPr="0012192F" w:rsidRDefault="00275E43" w:rsidP="00720310">
                      <w:pPr>
                        <w:pStyle w:val="Podnadpis"/>
                      </w:pPr>
                      <w:r>
                        <w:t>1. až 3. čtvrtletí 2022</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0A473B89" w:rsidR="00275E43" w:rsidRPr="004924DC" w:rsidRDefault="00275E43" w:rsidP="004924DC">
                            <w:r w:rsidRPr="004924DC">
                              <w:t xml:space="preserve">© Český statistický úřad, </w:t>
                            </w:r>
                            <w:r>
                              <w:t>Praha</w:t>
                            </w:r>
                            <w:r w:rsidRPr="004924DC">
                              <w:t xml:space="preserve">, </w:t>
                            </w:r>
                            <w:r>
                              <w:t>2022</w:t>
                            </w:r>
                          </w:p>
                          <w:p w14:paraId="622736FE" w14:textId="77777777" w:rsidR="00275E43" w:rsidRPr="005251DD" w:rsidRDefault="00275E43" w:rsidP="00665BA4"/>
                          <w:p w14:paraId="157588CA" w14:textId="77777777" w:rsidR="00275E43" w:rsidRPr="005251DD" w:rsidRDefault="00275E43" w:rsidP="00FC684B"/>
                          <w:p w14:paraId="590D710B" w14:textId="77777777" w:rsidR="00275E43" w:rsidRDefault="00275E43"/>
                          <w:p w14:paraId="73B68DA8" w14:textId="77777777" w:rsidR="00275E43" w:rsidRPr="00097407" w:rsidRDefault="00275E43"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275E43" w:rsidRPr="005251DD" w:rsidRDefault="00275E43" w:rsidP="00665BA4"/>
                          <w:p w14:paraId="74D3ABC4" w14:textId="77777777" w:rsidR="00275E43" w:rsidRPr="005251DD" w:rsidRDefault="00275E43"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" filled="f" stroked="f">
                <v:textbox inset="0,0,0,0">
                  <w:txbxContent>
                    <w:p w14:paraId="0841DF7B" w14:textId="0A473B89" w:rsidR="00275E43" w:rsidRPr="004924DC" w:rsidRDefault="00275E43" w:rsidP="004924DC">
                      <w:r w:rsidRPr="004924DC">
                        <w:t xml:space="preserve">© Český statistický úřad, </w:t>
                      </w:r>
                      <w:r>
                        <w:t>Praha</w:t>
                      </w:r>
                      <w:r w:rsidRPr="004924DC">
                        <w:t xml:space="preserve">, </w:t>
                      </w:r>
                      <w:r>
                        <w:t>2022</w:t>
                      </w:r>
                    </w:p>
                    <w:p w14:paraId="622736FE" w14:textId="77777777" w:rsidR="00275E43" w:rsidRPr="005251DD" w:rsidRDefault="00275E43" w:rsidP="00665BA4"/>
                    <w:p w14:paraId="157588CA" w14:textId="77777777" w:rsidR="00275E43" w:rsidRPr="005251DD" w:rsidRDefault="00275E43" w:rsidP="00FC684B"/>
                    <w:p w14:paraId="590D710B" w14:textId="77777777" w:rsidR="00275E43" w:rsidRDefault="00275E43"/>
                    <w:p w14:paraId="73B68DA8" w14:textId="77777777" w:rsidR="00275E43" w:rsidRPr="00097407" w:rsidRDefault="00275E43"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275E43" w:rsidRPr="005251DD" w:rsidRDefault="00275E43" w:rsidP="00665BA4"/>
                    <w:p w14:paraId="74D3ABC4" w14:textId="77777777" w:rsidR="00275E43" w:rsidRPr="005251DD" w:rsidRDefault="00275E43"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275E43" w:rsidRPr="006F5416" w:rsidRDefault="00275E43" w:rsidP="006F5416">
                            <w:pPr>
                              <w:pStyle w:val="TLKontaktyerven"/>
                            </w:pPr>
                            <w:r w:rsidRPr="006F5416">
                              <w:t>KONTAKTY V ÚSTŘEDÍ</w:t>
                            </w:r>
                          </w:p>
                          <w:p w14:paraId="3BEEAF5F" w14:textId="77777777" w:rsidR="00275E43" w:rsidRPr="007D40DF" w:rsidRDefault="00275E43"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275E43" w:rsidRPr="00D235B7" w:rsidRDefault="00275E43"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275E43" w:rsidRPr="00D235B7" w:rsidRDefault="00275E43"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275E43" w:rsidRPr="00D235B7" w:rsidRDefault="00275E43"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275E43" w:rsidRPr="00D235B7" w:rsidRDefault="00275E43"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275E43" w:rsidRPr="004A61C5" w:rsidRDefault="00275E43" w:rsidP="00825C4D">
                            <w:pPr>
                              <w:pStyle w:val="TLKontakty"/>
                              <w:spacing w:after="80" w:line="240" w:lineRule="auto"/>
                              <w:contextualSpacing w:val="0"/>
                              <w:rPr>
                                <w:color w:val="auto"/>
                              </w:rPr>
                            </w:pPr>
                          </w:p>
                          <w:p w14:paraId="29C57B67" w14:textId="77777777" w:rsidR="00275E43" w:rsidRPr="00D66223" w:rsidRDefault="00275E43" w:rsidP="00D66223">
                            <w:pPr>
                              <w:pStyle w:val="TLKontaktyerven"/>
                            </w:pPr>
                            <w:r w:rsidRPr="00D66223">
                              <w:t>INFORMAČNÍ SLUŽBY V REGIONECH</w:t>
                            </w:r>
                          </w:p>
                          <w:p w14:paraId="181BE30E" w14:textId="77777777" w:rsidR="00275E43" w:rsidRPr="00992CF3" w:rsidRDefault="00275E43"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275E43" w:rsidRPr="00992CF3" w:rsidRDefault="00275E43"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275E43" w:rsidRPr="004A61C5" w:rsidRDefault="00275E43" w:rsidP="00825C4D">
                            <w:pPr>
                              <w:pStyle w:val="TLKontakty"/>
                              <w:spacing w:after="80" w:line="240" w:lineRule="auto"/>
                              <w:rPr>
                                <w:color w:val="auto"/>
                              </w:rPr>
                            </w:pPr>
                          </w:p>
                          <w:p w14:paraId="39B5FB82" w14:textId="77777777" w:rsidR="00275E43" w:rsidRPr="00992CF3" w:rsidRDefault="00275E43"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275E43" w:rsidRPr="00992CF3" w:rsidRDefault="00275E43"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275E43" w:rsidRPr="004A61C5" w:rsidRDefault="00275E43" w:rsidP="00825C4D">
                            <w:pPr>
                              <w:pStyle w:val="TLKontakty"/>
                              <w:spacing w:after="80" w:line="240" w:lineRule="auto"/>
                              <w:rPr>
                                <w:color w:val="auto"/>
                              </w:rPr>
                            </w:pPr>
                          </w:p>
                          <w:p w14:paraId="5AF27889" w14:textId="77777777" w:rsidR="00275E43" w:rsidRPr="00992CF3" w:rsidRDefault="00275E43"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275E43" w:rsidRPr="00992CF3" w:rsidRDefault="00275E43"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275E43" w:rsidRPr="004A61C5" w:rsidRDefault="00275E43" w:rsidP="00825C4D">
                            <w:pPr>
                              <w:pStyle w:val="TLKontakty"/>
                              <w:spacing w:after="80" w:line="240" w:lineRule="auto"/>
                              <w:rPr>
                                <w:color w:val="auto"/>
                              </w:rPr>
                            </w:pPr>
                          </w:p>
                          <w:p w14:paraId="0065AFA0" w14:textId="77777777" w:rsidR="00275E43" w:rsidRPr="00BC731E" w:rsidRDefault="00275E43"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275E43" w:rsidRPr="004A61C5" w:rsidRDefault="00275E43" w:rsidP="00825C4D">
                            <w:pPr>
                              <w:pStyle w:val="TLKontakty"/>
                              <w:spacing w:after="80" w:line="240" w:lineRule="auto"/>
                              <w:rPr>
                                <w:color w:val="auto"/>
                              </w:rPr>
                            </w:pPr>
                          </w:p>
                          <w:p w14:paraId="345F7961" w14:textId="77777777" w:rsidR="00275E43" w:rsidRPr="004A61C5" w:rsidRDefault="00275E43"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275E43" w:rsidRPr="004A61C5" w:rsidRDefault="00275E43" w:rsidP="00825C4D">
                            <w:pPr>
                              <w:pStyle w:val="TLKontakty"/>
                              <w:spacing w:after="80" w:line="240" w:lineRule="auto"/>
                              <w:rPr>
                                <w:color w:val="auto"/>
                              </w:rPr>
                            </w:pPr>
                          </w:p>
                          <w:p w14:paraId="766F2288" w14:textId="77777777" w:rsidR="00275E43" w:rsidRPr="004A61C5" w:rsidRDefault="00275E43"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275E43" w:rsidRPr="004A61C5" w:rsidRDefault="00275E43" w:rsidP="00825C4D">
                            <w:pPr>
                              <w:pStyle w:val="TLKontakty"/>
                              <w:spacing w:after="80" w:line="240" w:lineRule="auto"/>
                              <w:rPr>
                                <w:color w:val="auto"/>
                              </w:rPr>
                            </w:pPr>
                          </w:p>
                          <w:p w14:paraId="0D4652E6" w14:textId="77777777" w:rsidR="00275E43" w:rsidRPr="004A61C5" w:rsidRDefault="00275E43"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275E43" w:rsidRPr="004A61C5" w:rsidRDefault="00275E43" w:rsidP="00825C4D">
                            <w:pPr>
                              <w:pStyle w:val="TLKontakty"/>
                              <w:spacing w:after="80" w:line="240" w:lineRule="auto"/>
                              <w:rPr>
                                <w:b w:val="0"/>
                                <w:color w:val="auto"/>
                              </w:rPr>
                            </w:pPr>
                          </w:p>
                          <w:p w14:paraId="231AC323" w14:textId="77777777" w:rsidR="00275E43" w:rsidRPr="004A61C5" w:rsidRDefault="00275E43"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275E43" w:rsidRPr="004A61C5" w:rsidRDefault="00275E43" w:rsidP="00825C4D">
                            <w:pPr>
                              <w:pStyle w:val="TLKontakty"/>
                              <w:spacing w:after="80" w:line="240" w:lineRule="auto"/>
                              <w:rPr>
                                <w:color w:val="auto"/>
                              </w:rPr>
                            </w:pPr>
                          </w:p>
                          <w:p w14:paraId="64319B27" w14:textId="77777777" w:rsidR="00275E43" w:rsidRPr="004A61C5" w:rsidRDefault="00275E43"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275E43" w:rsidRPr="004A61C5" w:rsidRDefault="00275E43" w:rsidP="00825C4D">
                            <w:pPr>
                              <w:pStyle w:val="TLKontakty"/>
                              <w:spacing w:after="80" w:line="240" w:lineRule="auto"/>
                              <w:rPr>
                                <w:b w:val="0"/>
                                <w:color w:val="auto"/>
                              </w:rPr>
                            </w:pPr>
                          </w:p>
                          <w:p w14:paraId="4068B566" w14:textId="77777777" w:rsidR="00275E43" w:rsidRPr="004A61C5" w:rsidRDefault="00275E43"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275E43" w:rsidRDefault="00275E43" w:rsidP="00825C4D">
                            <w:pPr>
                              <w:pStyle w:val="TLKontakty"/>
                              <w:spacing w:after="80" w:line="240" w:lineRule="auto"/>
                            </w:pPr>
                          </w:p>
                          <w:p w14:paraId="63ACC352" w14:textId="77777777" w:rsidR="00275E43" w:rsidRPr="00BC731E" w:rsidRDefault="00275E43"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275E43" w:rsidRPr="004A61C5" w:rsidRDefault="00275E43"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275E43" w:rsidRPr="004A61C5" w:rsidRDefault="00275E43" w:rsidP="00825C4D">
                            <w:pPr>
                              <w:pStyle w:val="TLKontakty"/>
                              <w:spacing w:after="80" w:line="240" w:lineRule="auto"/>
                              <w:rPr>
                                <w:b w:val="0"/>
                                <w:color w:val="auto"/>
                              </w:rPr>
                            </w:pPr>
                          </w:p>
                          <w:p w14:paraId="71AC5E72" w14:textId="77777777" w:rsidR="00275E43" w:rsidRPr="005E7C78" w:rsidRDefault="00275E43"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275E43" w:rsidRPr="005E7C78" w:rsidRDefault="00275E43"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275E43" w:rsidRPr="005E7C78" w:rsidRDefault="00275E43" w:rsidP="00825C4D">
                            <w:pPr>
                              <w:pStyle w:val="TLKontakty"/>
                              <w:spacing w:after="80" w:line="240" w:lineRule="auto"/>
                              <w:rPr>
                                <w:b w:val="0"/>
                                <w:color w:val="auto"/>
                              </w:rPr>
                            </w:pPr>
                          </w:p>
                          <w:p w14:paraId="00E77B80" w14:textId="77777777" w:rsidR="00275E43" w:rsidRPr="005E7C78" w:rsidRDefault="00275E43"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275E43" w:rsidRDefault="00275E43"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275E43" w:rsidRPr="005E7C78" w:rsidRDefault="00275E43" w:rsidP="00095135">
                            <w:pPr>
                              <w:pStyle w:val="TLKontakty"/>
                              <w:spacing w:after="80" w:line="240" w:lineRule="auto"/>
                              <w:rPr>
                                <w:b w:val="0"/>
                                <w:color w:val="auto"/>
                              </w:rPr>
                            </w:pPr>
                          </w:p>
                          <w:p w14:paraId="0275618D" w14:textId="77777777" w:rsidR="00275E43" w:rsidRPr="005E7C78" w:rsidRDefault="00275E43"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275E43" w:rsidRPr="00095135" w:rsidRDefault="00275E43"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" filled="f" stroked="f">
                <v:textbox style="mso-fit-shape-to-text:t" inset="0,0,0,0">
                  <w:txbxContent>
                    <w:p w14:paraId="57F70E5B" w14:textId="77777777" w:rsidR="00275E43" w:rsidRPr="006F5416" w:rsidRDefault="00275E43" w:rsidP="006F5416">
                      <w:pPr>
                        <w:pStyle w:val="TLKontaktyerven"/>
                      </w:pPr>
                      <w:r w:rsidRPr="006F5416">
                        <w:t>KONTAKTY V ÚSTŘEDÍ</w:t>
                      </w:r>
                    </w:p>
                    <w:p w14:paraId="3BEEAF5F" w14:textId="77777777" w:rsidR="00275E43" w:rsidRPr="007D40DF" w:rsidRDefault="00275E43"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275E43" w:rsidRPr="00D235B7" w:rsidRDefault="00275E43"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275E43" w:rsidRPr="00D235B7" w:rsidRDefault="00275E43"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275E43" w:rsidRPr="00D235B7" w:rsidRDefault="00275E43"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275E43" w:rsidRPr="00D235B7" w:rsidRDefault="00275E43"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275E43" w:rsidRPr="004A61C5" w:rsidRDefault="00275E43" w:rsidP="00825C4D">
                      <w:pPr>
                        <w:pStyle w:val="TLKontakty"/>
                        <w:spacing w:after="80" w:line="240" w:lineRule="auto"/>
                        <w:contextualSpacing w:val="0"/>
                        <w:rPr>
                          <w:color w:val="auto"/>
                        </w:rPr>
                      </w:pPr>
                    </w:p>
                    <w:p w14:paraId="29C57B67" w14:textId="77777777" w:rsidR="00275E43" w:rsidRPr="00D66223" w:rsidRDefault="00275E43" w:rsidP="00D66223">
                      <w:pPr>
                        <w:pStyle w:val="TLKontaktyerven"/>
                      </w:pPr>
                      <w:r w:rsidRPr="00D66223">
                        <w:t>INFORMAČNÍ SLUŽBY V REGIONECH</w:t>
                      </w:r>
                    </w:p>
                    <w:p w14:paraId="181BE30E" w14:textId="77777777" w:rsidR="00275E43" w:rsidRPr="00992CF3" w:rsidRDefault="00275E43"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275E43" w:rsidRPr="00992CF3" w:rsidRDefault="00275E43"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275E43" w:rsidRPr="004A61C5" w:rsidRDefault="00275E43" w:rsidP="00825C4D">
                      <w:pPr>
                        <w:pStyle w:val="TLKontakty"/>
                        <w:spacing w:after="80" w:line="240" w:lineRule="auto"/>
                        <w:rPr>
                          <w:color w:val="auto"/>
                        </w:rPr>
                      </w:pPr>
                    </w:p>
                    <w:p w14:paraId="39B5FB82" w14:textId="77777777" w:rsidR="00275E43" w:rsidRPr="00992CF3" w:rsidRDefault="00275E43"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275E43" w:rsidRPr="00992CF3" w:rsidRDefault="00275E43"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275E43" w:rsidRPr="004A61C5" w:rsidRDefault="00275E43" w:rsidP="00825C4D">
                      <w:pPr>
                        <w:pStyle w:val="TLKontakty"/>
                        <w:spacing w:after="80" w:line="240" w:lineRule="auto"/>
                        <w:rPr>
                          <w:color w:val="auto"/>
                        </w:rPr>
                      </w:pPr>
                    </w:p>
                    <w:p w14:paraId="5AF27889" w14:textId="77777777" w:rsidR="00275E43" w:rsidRPr="00992CF3" w:rsidRDefault="00275E43"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275E43" w:rsidRPr="00992CF3" w:rsidRDefault="00275E43"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275E43" w:rsidRPr="004A61C5" w:rsidRDefault="00275E43" w:rsidP="00825C4D">
                      <w:pPr>
                        <w:pStyle w:val="TLKontakty"/>
                        <w:spacing w:after="80" w:line="240" w:lineRule="auto"/>
                        <w:rPr>
                          <w:color w:val="auto"/>
                        </w:rPr>
                      </w:pPr>
                    </w:p>
                    <w:p w14:paraId="0065AFA0" w14:textId="77777777" w:rsidR="00275E43" w:rsidRPr="00BC731E" w:rsidRDefault="00275E43"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275E43" w:rsidRPr="004A61C5" w:rsidRDefault="00275E43" w:rsidP="00825C4D">
                      <w:pPr>
                        <w:pStyle w:val="TLKontakty"/>
                        <w:spacing w:after="80" w:line="240" w:lineRule="auto"/>
                        <w:rPr>
                          <w:color w:val="auto"/>
                        </w:rPr>
                      </w:pPr>
                    </w:p>
                    <w:p w14:paraId="345F7961" w14:textId="77777777" w:rsidR="00275E43" w:rsidRPr="004A61C5" w:rsidRDefault="00275E43"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275E43" w:rsidRPr="004A61C5" w:rsidRDefault="00275E43" w:rsidP="00825C4D">
                      <w:pPr>
                        <w:pStyle w:val="TLKontakty"/>
                        <w:spacing w:after="80" w:line="240" w:lineRule="auto"/>
                        <w:rPr>
                          <w:color w:val="auto"/>
                        </w:rPr>
                      </w:pPr>
                    </w:p>
                    <w:p w14:paraId="766F2288" w14:textId="77777777" w:rsidR="00275E43" w:rsidRPr="004A61C5" w:rsidRDefault="00275E43"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275E43" w:rsidRPr="004A61C5" w:rsidRDefault="00275E43" w:rsidP="00825C4D">
                      <w:pPr>
                        <w:pStyle w:val="TLKontakty"/>
                        <w:spacing w:after="80" w:line="240" w:lineRule="auto"/>
                        <w:rPr>
                          <w:color w:val="auto"/>
                        </w:rPr>
                      </w:pPr>
                    </w:p>
                    <w:p w14:paraId="0D4652E6" w14:textId="77777777" w:rsidR="00275E43" w:rsidRPr="004A61C5" w:rsidRDefault="00275E43"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275E43" w:rsidRPr="004A61C5" w:rsidRDefault="00275E43" w:rsidP="00825C4D">
                      <w:pPr>
                        <w:pStyle w:val="TLKontakty"/>
                        <w:spacing w:after="80" w:line="240" w:lineRule="auto"/>
                        <w:rPr>
                          <w:b w:val="0"/>
                          <w:color w:val="auto"/>
                        </w:rPr>
                      </w:pPr>
                    </w:p>
                    <w:p w14:paraId="231AC323" w14:textId="77777777" w:rsidR="00275E43" w:rsidRPr="004A61C5" w:rsidRDefault="00275E43"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275E43" w:rsidRPr="004A61C5" w:rsidRDefault="00275E43" w:rsidP="00825C4D">
                      <w:pPr>
                        <w:pStyle w:val="TLKontakty"/>
                        <w:spacing w:after="80" w:line="240" w:lineRule="auto"/>
                        <w:rPr>
                          <w:color w:val="auto"/>
                        </w:rPr>
                      </w:pPr>
                    </w:p>
                    <w:p w14:paraId="64319B27" w14:textId="77777777" w:rsidR="00275E43" w:rsidRPr="004A61C5" w:rsidRDefault="00275E43"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275E43" w:rsidRPr="004A61C5" w:rsidRDefault="00275E43" w:rsidP="00825C4D">
                      <w:pPr>
                        <w:pStyle w:val="TLKontakty"/>
                        <w:spacing w:after="80" w:line="240" w:lineRule="auto"/>
                        <w:rPr>
                          <w:b w:val="0"/>
                          <w:color w:val="auto"/>
                        </w:rPr>
                      </w:pPr>
                    </w:p>
                    <w:p w14:paraId="4068B566" w14:textId="77777777" w:rsidR="00275E43" w:rsidRPr="004A61C5" w:rsidRDefault="00275E43"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275E43" w:rsidRPr="004A61C5" w:rsidRDefault="00275E43"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275E43" w:rsidRDefault="00275E43" w:rsidP="00825C4D">
                      <w:pPr>
                        <w:pStyle w:val="TLKontakty"/>
                        <w:spacing w:after="80" w:line="240" w:lineRule="auto"/>
                      </w:pPr>
                    </w:p>
                    <w:p w14:paraId="63ACC352" w14:textId="77777777" w:rsidR="00275E43" w:rsidRPr="00BC731E" w:rsidRDefault="00275E43"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275E43" w:rsidRPr="004A61C5" w:rsidRDefault="00275E43"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275E43" w:rsidRPr="004A61C5" w:rsidRDefault="00275E43" w:rsidP="00825C4D">
                      <w:pPr>
                        <w:pStyle w:val="TLKontakty"/>
                        <w:spacing w:after="80" w:line="240" w:lineRule="auto"/>
                        <w:rPr>
                          <w:b w:val="0"/>
                          <w:color w:val="auto"/>
                        </w:rPr>
                      </w:pPr>
                    </w:p>
                    <w:p w14:paraId="71AC5E72" w14:textId="77777777" w:rsidR="00275E43" w:rsidRPr="005E7C78" w:rsidRDefault="00275E43"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275E43" w:rsidRPr="005E7C78" w:rsidRDefault="00275E43"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275E43" w:rsidRPr="005E7C78" w:rsidRDefault="00275E43" w:rsidP="00825C4D">
                      <w:pPr>
                        <w:pStyle w:val="TLKontakty"/>
                        <w:spacing w:after="80" w:line="240" w:lineRule="auto"/>
                        <w:rPr>
                          <w:b w:val="0"/>
                          <w:color w:val="auto"/>
                        </w:rPr>
                      </w:pPr>
                    </w:p>
                    <w:p w14:paraId="00E77B80" w14:textId="77777777" w:rsidR="00275E43" w:rsidRPr="005E7C78" w:rsidRDefault="00275E43"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275E43" w:rsidRDefault="00275E43"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275E43" w:rsidRPr="005E7C78" w:rsidRDefault="00275E43" w:rsidP="00095135">
                      <w:pPr>
                        <w:pStyle w:val="TLKontakty"/>
                        <w:spacing w:after="80" w:line="240" w:lineRule="auto"/>
                        <w:rPr>
                          <w:b w:val="0"/>
                          <w:color w:val="auto"/>
                        </w:rPr>
                      </w:pPr>
                    </w:p>
                    <w:p w14:paraId="0275618D" w14:textId="77777777" w:rsidR="00275E43" w:rsidRPr="005E7C78" w:rsidRDefault="00275E43"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275E43" w:rsidRPr="00095135" w:rsidRDefault="00275E43"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0CA49055" w:rsidR="00275E43" w:rsidRPr="00321924" w:rsidRDefault="00275E43" w:rsidP="00A16E1D">
                            <w:pPr>
                              <w:jc w:val="left"/>
                            </w:pPr>
                            <w:r w:rsidRPr="00321924">
                              <w:br/>
                              <w:t xml:space="preserve">© Český statistický úřad, </w:t>
                            </w:r>
                            <w:r>
                              <w:t>Praha, 2022</w:t>
                            </w:r>
                          </w:p>
                          <w:p w14:paraId="314CB98A" w14:textId="77777777" w:rsidR="00275E43" w:rsidRDefault="00275E43"/>
                          <w:p w14:paraId="6776AB5D" w14:textId="77777777" w:rsidR="00275E43" w:rsidRPr="00841D9F" w:rsidRDefault="00275E43" w:rsidP="000A3A2C">
                            <w:r w:rsidRPr="00841D9F">
                              <w:rPr>
                                <w:szCs w:val="26"/>
                              </w:rPr>
                              <w:t>ISBN XX-XXXX-XXX-</w:t>
                            </w:r>
                            <w:proofErr w:type="gramStart"/>
                            <w:r w:rsidRPr="00841D9F">
                              <w:rPr>
                                <w:szCs w:val="26"/>
                              </w:rPr>
                              <w:t>X</w:t>
                            </w:r>
                            <w:r>
                              <w:rPr>
                                <w:szCs w:val="26"/>
                              </w:rPr>
                              <w:t> </w:t>
                            </w:r>
                            <w:r w:rsidRPr="00841D9F">
                              <w:rPr>
                                <w:szCs w:val="26"/>
                              </w:rPr>
                              <w:t xml:space="preserve"> </w:t>
                            </w:r>
                            <w:r w:rsidRPr="00841D9F">
                              <w:t>(</w:t>
                            </w:r>
                            <w:proofErr w:type="gramEnd"/>
                            <w:r w:rsidRPr="00841D9F">
                              <w:t>pouze u</w:t>
                            </w:r>
                            <w:r>
                              <w:t> </w:t>
                            </w:r>
                            <w:r w:rsidRPr="00841D9F">
                              <w:t>nepravidelných a</w:t>
                            </w:r>
                            <w:r>
                              <w:t> </w:t>
                            </w:r>
                            <w:r w:rsidRPr="00841D9F">
                              <w:t>ročních publikací)</w:t>
                            </w:r>
                          </w:p>
                          <w:p w14:paraId="4E98EC85" w14:textId="77777777" w:rsidR="00275E43" w:rsidRPr="00AF2852" w:rsidRDefault="00275E43"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OJ0R4LYAQAAmAMAAA4AAAAAAAAAAAAAAAAALgIAAGRycy9lMm9Eb2MueG1sUEsBAi0AFAAGAAgA&#10;AAAhANXbivriAAAADgEAAA8AAAAAAAAAAAAAAAAAMgQAAGRycy9kb3ducmV2LnhtbFBLBQYAAAAA&#10;BAAEAPMAAABBBQAAAAA=&#10;" filled="f" stroked="f">
                <v:textbox inset="0,0,0,0">
                  <w:txbxContent>
                    <w:p w14:paraId="45ED07B0" w14:textId="0CA49055" w:rsidR="00275E43" w:rsidRPr="00321924" w:rsidRDefault="00275E43" w:rsidP="00A16E1D">
                      <w:pPr>
                        <w:jc w:val="left"/>
                      </w:pPr>
                      <w:r w:rsidRPr="00321924">
                        <w:br/>
                        <w:t xml:space="preserve">© Český statistický úřad, </w:t>
                      </w:r>
                      <w:r>
                        <w:t>Praha, 2022</w:t>
                      </w:r>
                    </w:p>
                    <w:p w14:paraId="314CB98A" w14:textId="77777777" w:rsidR="00275E43" w:rsidRDefault="00275E43"/>
                    <w:p w14:paraId="6776AB5D" w14:textId="77777777" w:rsidR="00275E43" w:rsidRPr="00841D9F" w:rsidRDefault="00275E43" w:rsidP="000A3A2C">
                      <w:r w:rsidRPr="00841D9F">
                        <w:rPr>
                          <w:szCs w:val="26"/>
                        </w:rPr>
                        <w:t>ISBN XX-XXXX-XXX-</w:t>
                      </w:r>
                      <w:proofErr w:type="gramStart"/>
                      <w:r w:rsidRPr="00841D9F">
                        <w:rPr>
                          <w:szCs w:val="26"/>
                        </w:rPr>
                        <w:t>X</w:t>
                      </w:r>
                      <w:r>
                        <w:rPr>
                          <w:szCs w:val="26"/>
                        </w:rPr>
                        <w:t> </w:t>
                      </w:r>
                      <w:r w:rsidRPr="00841D9F">
                        <w:rPr>
                          <w:szCs w:val="26"/>
                        </w:rPr>
                        <w:t xml:space="preserve"> </w:t>
                      </w:r>
                      <w:r w:rsidRPr="00841D9F">
                        <w:t>(</w:t>
                      </w:r>
                      <w:proofErr w:type="gramEnd"/>
                      <w:r w:rsidRPr="00841D9F">
                        <w:t>pouze u</w:t>
                      </w:r>
                      <w:r>
                        <w:t> </w:t>
                      </w:r>
                      <w:r w:rsidRPr="00841D9F">
                        <w:t>nepravidelných a</w:t>
                      </w:r>
                      <w:r>
                        <w:t> </w:t>
                      </w:r>
                      <w:r w:rsidRPr="00841D9F">
                        <w:t>ročních publikací)</w:t>
                      </w:r>
                    </w:p>
                    <w:p w14:paraId="4E98EC85" w14:textId="77777777" w:rsidR="00275E43" w:rsidRPr="00AF2852" w:rsidRDefault="00275E43"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275E43" w:rsidRPr="009A1902" w:rsidRDefault="00275E43"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" filled="f" stroked="f">
                <v:textbox style="mso-fit-shape-to-text:t" inset="0,0,0,0">
                  <w:txbxContent>
                    <w:p w14:paraId="054ED4D1" w14:textId="77777777" w:rsidR="00275E43" w:rsidRPr="009A1902" w:rsidRDefault="00275E43"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58C3E69A" w14:textId="15F0EE3C" w:rsidR="00897155"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121993817" w:history="1">
            <w:r w:rsidR="00897155" w:rsidRPr="0016396B">
              <w:rPr>
                <w:rStyle w:val="Hypertextovodkaz"/>
                <w:noProof/>
              </w:rPr>
              <w:t>1. Shrnutí</w:t>
            </w:r>
            <w:r w:rsidR="00897155">
              <w:rPr>
                <w:noProof/>
                <w:webHidden/>
              </w:rPr>
              <w:tab/>
            </w:r>
            <w:r w:rsidR="00897155">
              <w:rPr>
                <w:noProof/>
                <w:webHidden/>
              </w:rPr>
              <w:fldChar w:fldCharType="begin"/>
            </w:r>
            <w:r w:rsidR="00897155">
              <w:rPr>
                <w:noProof/>
                <w:webHidden/>
              </w:rPr>
              <w:instrText xml:space="preserve"> PAGEREF _Toc121993817 \h </w:instrText>
            </w:r>
            <w:r w:rsidR="00897155">
              <w:rPr>
                <w:noProof/>
                <w:webHidden/>
              </w:rPr>
            </w:r>
            <w:r w:rsidR="00897155">
              <w:rPr>
                <w:noProof/>
                <w:webHidden/>
              </w:rPr>
              <w:fldChar w:fldCharType="separate"/>
            </w:r>
            <w:r w:rsidR="00897155">
              <w:rPr>
                <w:noProof/>
                <w:webHidden/>
              </w:rPr>
              <w:t>4</w:t>
            </w:r>
            <w:r w:rsidR="00897155">
              <w:rPr>
                <w:noProof/>
                <w:webHidden/>
              </w:rPr>
              <w:fldChar w:fldCharType="end"/>
            </w:r>
          </w:hyperlink>
        </w:p>
        <w:p w14:paraId="6E727783" w14:textId="12068079" w:rsidR="00897155" w:rsidRDefault="00897155">
          <w:pPr>
            <w:pStyle w:val="Obsah1"/>
            <w:rPr>
              <w:rFonts w:asciiTheme="minorHAnsi" w:eastAsiaTheme="minorEastAsia" w:hAnsiTheme="minorHAnsi" w:cstheme="minorBidi"/>
              <w:noProof/>
              <w:sz w:val="22"/>
              <w:szCs w:val="22"/>
            </w:rPr>
          </w:pPr>
          <w:hyperlink w:anchor="_Toc121993818" w:history="1">
            <w:r w:rsidRPr="0016396B">
              <w:rPr>
                <w:rStyle w:val="Hypertextovodkaz"/>
                <w:noProof/>
              </w:rPr>
              <w:t>2. Souhrnná výkonnost</w:t>
            </w:r>
            <w:r>
              <w:rPr>
                <w:noProof/>
                <w:webHidden/>
              </w:rPr>
              <w:tab/>
            </w:r>
            <w:r>
              <w:rPr>
                <w:noProof/>
                <w:webHidden/>
              </w:rPr>
              <w:fldChar w:fldCharType="begin"/>
            </w:r>
            <w:r>
              <w:rPr>
                <w:noProof/>
                <w:webHidden/>
              </w:rPr>
              <w:instrText xml:space="preserve"> PAGEREF _Toc121993818 \h </w:instrText>
            </w:r>
            <w:r>
              <w:rPr>
                <w:noProof/>
                <w:webHidden/>
              </w:rPr>
            </w:r>
            <w:r>
              <w:rPr>
                <w:noProof/>
                <w:webHidden/>
              </w:rPr>
              <w:fldChar w:fldCharType="separate"/>
            </w:r>
            <w:r>
              <w:rPr>
                <w:noProof/>
                <w:webHidden/>
              </w:rPr>
              <w:t>6</w:t>
            </w:r>
            <w:r>
              <w:rPr>
                <w:noProof/>
                <w:webHidden/>
              </w:rPr>
              <w:fldChar w:fldCharType="end"/>
            </w:r>
          </w:hyperlink>
        </w:p>
        <w:p w14:paraId="385FC710" w14:textId="6459151D" w:rsidR="00897155" w:rsidRDefault="00897155">
          <w:pPr>
            <w:pStyle w:val="Obsah1"/>
            <w:rPr>
              <w:rFonts w:asciiTheme="minorHAnsi" w:eastAsiaTheme="minorEastAsia" w:hAnsiTheme="minorHAnsi" w:cstheme="minorBidi"/>
              <w:noProof/>
              <w:sz w:val="22"/>
              <w:szCs w:val="22"/>
            </w:rPr>
          </w:pPr>
          <w:hyperlink w:anchor="_Toc121993819" w:history="1">
            <w:r w:rsidRPr="0016396B">
              <w:rPr>
                <w:rStyle w:val="Hypertextovodkaz"/>
                <w:noProof/>
              </w:rPr>
              <w:t>3. Výkonnost odvětví</w:t>
            </w:r>
            <w:r>
              <w:rPr>
                <w:noProof/>
                <w:webHidden/>
              </w:rPr>
              <w:tab/>
            </w:r>
            <w:r>
              <w:rPr>
                <w:noProof/>
                <w:webHidden/>
              </w:rPr>
              <w:fldChar w:fldCharType="begin"/>
            </w:r>
            <w:r>
              <w:rPr>
                <w:noProof/>
                <w:webHidden/>
              </w:rPr>
              <w:instrText xml:space="preserve"> PAGEREF _Toc121993819 \h </w:instrText>
            </w:r>
            <w:r>
              <w:rPr>
                <w:noProof/>
                <w:webHidden/>
              </w:rPr>
            </w:r>
            <w:r>
              <w:rPr>
                <w:noProof/>
                <w:webHidden/>
              </w:rPr>
              <w:fldChar w:fldCharType="separate"/>
            </w:r>
            <w:r>
              <w:rPr>
                <w:noProof/>
                <w:webHidden/>
              </w:rPr>
              <w:t>10</w:t>
            </w:r>
            <w:r>
              <w:rPr>
                <w:noProof/>
                <w:webHidden/>
              </w:rPr>
              <w:fldChar w:fldCharType="end"/>
            </w:r>
          </w:hyperlink>
        </w:p>
        <w:p w14:paraId="4D648EFF" w14:textId="65830F62" w:rsidR="00897155" w:rsidRDefault="00897155">
          <w:pPr>
            <w:pStyle w:val="Obsah1"/>
            <w:rPr>
              <w:rFonts w:asciiTheme="minorHAnsi" w:eastAsiaTheme="minorEastAsia" w:hAnsiTheme="minorHAnsi" w:cstheme="minorBidi"/>
              <w:noProof/>
              <w:sz w:val="22"/>
              <w:szCs w:val="22"/>
            </w:rPr>
          </w:pPr>
          <w:hyperlink w:anchor="_Toc121993820" w:history="1">
            <w:r w:rsidRPr="0016396B">
              <w:rPr>
                <w:rStyle w:val="Hypertextovodkaz"/>
                <w:noProof/>
              </w:rPr>
              <w:t>4. Vnější vztahy</w:t>
            </w:r>
            <w:r>
              <w:rPr>
                <w:noProof/>
                <w:webHidden/>
              </w:rPr>
              <w:tab/>
            </w:r>
            <w:r>
              <w:rPr>
                <w:noProof/>
                <w:webHidden/>
              </w:rPr>
              <w:fldChar w:fldCharType="begin"/>
            </w:r>
            <w:r>
              <w:rPr>
                <w:noProof/>
                <w:webHidden/>
              </w:rPr>
              <w:instrText xml:space="preserve"> PAGEREF _Toc121993820 \h </w:instrText>
            </w:r>
            <w:r>
              <w:rPr>
                <w:noProof/>
                <w:webHidden/>
              </w:rPr>
            </w:r>
            <w:r>
              <w:rPr>
                <w:noProof/>
                <w:webHidden/>
              </w:rPr>
              <w:fldChar w:fldCharType="separate"/>
            </w:r>
            <w:r>
              <w:rPr>
                <w:noProof/>
                <w:webHidden/>
              </w:rPr>
              <w:t>19</w:t>
            </w:r>
            <w:r>
              <w:rPr>
                <w:noProof/>
                <w:webHidden/>
              </w:rPr>
              <w:fldChar w:fldCharType="end"/>
            </w:r>
          </w:hyperlink>
        </w:p>
        <w:p w14:paraId="25CEB2D7" w14:textId="044EDE45" w:rsidR="00897155" w:rsidRDefault="00897155">
          <w:pPr>
            <w:pStyle w:val="Obsah1"/>
            <w:rPr>
              <w:rFonts w:asciiTheme="minorHAnsi" w:eastAsiaTheme="minorEastAsia" w:hAnsiTheme="minorHAnsi" w:cstheme="minorBidi"/>
              <w:noProof/>
              <w:sz w:val="22"/>
              <w:szCs w:val="22"/>
            </w:rPr>
          </w:pPr>
          <w:hyperlink w:anchor="_Toc121993821" w:history="1">
            <w:r w:rsidRPr="0016396B">
              <w:rPr>
                <w:rStyle w:val="Hypertextovodkaz"/>
                <w:noProof/>
              </w:rPr>
              <w:t>5. Ceny</w:t>
            </w:r>
            <w:r>
              <w:rPr>
                <w:noProof/>
                <w:webHidden/>
              </w:rPr>
              <w:tab/>
            </w:r>
            <w:r>
              <w:rPr>
                <w:noProof/>
                <w:webHidden/>
              </w:rPr>
              <w:fldChar w:fldCharType="begin"/>
            </w:r>
            <w:r>
              <w:rPr>
                <w:noProof/>
                <w:webHidden/>
              </w:rPr>
              <w:instrText xml:space="preserve"> PAGEREF _Toc121993821 \h </w:instrText>
            </w:r>
            <w:r>
              <w:rPr>
                <w:noProof/>
                <w:webHidden/>
              </w:rPr>
            </w:r>
            <w:r>
              <w:rPr>
                <w:noProof/>
                <w:webHidden/>
              </w:rPr>
              <w:fldChar w:fldCharType="separate"/>
            </w:r>
            <w:r>
              <w:rPr>
                <w:noProof/>
                <w:webHidden/>
              </w:rPr>
              <w:t>22</w:t>
            </w:r>
            <w:r>
              <w:rPr>
                <w:noProof/>
                <w:webHidden/>
              </w:rPr>
              <w:fldChar w:fldCharType="end"/>
            </w:r>
          </w:hyperlink>
        </w:p>
        <w:p w14:paraId="05AFB2A8" w14:textId="5F0671B0" w:rsidR="00897155" w:rsidRDefault="00897155">
          <w:pPr>
            <w:pStyle w:val="Obsah1"/>
            <w:rPr>
              <w:rFonts w:asciiTheme="minorHAnsi" w:eastAsiaTheme="minorEastAsia" w:hAnsiTheme="minorHAnsi" w:cstheme="minorBidi"/>
              <w:noProof/>
              <w:sz w:val="22"/>
              <w:szCs w:val="22"/>
            </w:rPr>
          </w:pPr>
          <w:hyperlink w:anchor="_Toc121993822" w:history="1">
            <w:r w:rsidRPr="0016396B">
              <w:rPr>
                <w:rStyle w:val="Hypertextovodkaz"/>
                <w:noProof/>
              </w:rPr>
              <w:t>6. Trh práce</w:t>
            </w:r>
            <w:r>
              <w:rPr>
                <w:noProof/>
                <w:webHidden/>
              </w:rPr>
              <w:tab/>
            </w:r>
            <w:r>
              <w:rPr>
                <w:noProof/>
                <w:webHidden/>
              </w:rPr>
              <w:fldChar w:fldCharType="begin"/>
            </w:r>
            <w:r>
              <w:rPr>
                <w:noProof/>
                <w:webHidden/>
              </w:rPr>
              <w:instrText xml:space="preserve"> PAGEREF _Toc121993822 \h </w:instrText>
            </w:r>
            <w:r>
              <w:rPr>
                <w:noProof/>
                <w:webHidden/>
              </w:rPr>
            </w:r>
            <w:r>
              <w:rPr>
                <w:noProof/>
                <w:webHidden/>
              </w:rPr>
              <w:fldChar w:fldCharType="separate"/>
            </w:r>
            <w:r>
              <w:rPr>
                <w:noProof/>
                <w:webHidden/>
              </w:rPr>
              <w:t>28</w:t>
            </w:r>
            <w:r>
              <w:rPr>
                <w:noProof/>
                <w:webHidden/>
              </w:rPr>
              <w:fldChar w:fldCharType="end"/>
            </w:r>
          </w:hyperlink>
        </w:p>
        <w:p w14:paraId="4065949F" w14:textId="4EE17072" w:rsidR="00897155" w:rsidRDefault="00897155">
          <w:pPr>
            <w:pStyle w:val="Obsah1"/>
            <w:rPr>
              <w:rFonts w:asciiTheme="minorHAnsi" w:eastAsiaTheme="minorEastAsia" w:hAnsiTheme="minorHAnsi" w:cstheme="minorBidi"/>
              <w:noProof/>
              <w:sz w:val="22"/>
              <w:szCs w:val="22"/>
            </w:rPr>
          </w:pPr>
          <w:hyperlink w:anchor="_Toc121993823" w:history="1">
            <w:r w:rsidRPr="0016396B">
              <w:rPr>
                <w:rStyle w:val="Hypertextovodkaz"/>
                <w:noProof/>
              </w:rPr>
              <w:t>7. Měnové podmínky</w:t>
            </w:r>
            <w:r>
              <w:rPr>
                <w:noProof/>
                <w:webHidden/>
              </w:rPr>
              <w:tab/>
            </w:r>
            <w:r>
              <w:rPr>
                <w:noProof/>
                <w:webHidden/>
              </w:rPr>
              <w:fldChar w:fldCharType="begin"/>
            </w:r>
            <w:r>
              <w:rPr>
                <w:noProof/>
                <w:webHidden/>
              </w:rPr>
              <w:instrText xml:space="preserve"> PAGEREF _Toc121993823 \h </w:instrText>
            </w:r>
            <w:r>
              <w:rPr>
                <w:noProof/>
                <w:webHidden/>
              </w:rPr>
            </w:r>
            <w:r>
              <w:rPr>
                <w:noProof/>
                <w:webHidden/>
              </w:rPr>
              <w:fldChar w:fldCharType="separate"/>
            </w:r>
            <w:r>
              <w:rPr>
                <w:noProof/>
                <w:webHidden/>
              </w:rPr>
              <w:t>33</w:t>
            </w:r>
            <w:r>
              <w:rPr>
                <w:noProof/>
                <w:webHidden/>
              </w:rPr>
              <w:fldChar w:fldCharType="end"/>
            </w:r>
          </w:hyperlink>
        </w:p>
        <w:p w14:paraId="14037D71" w14:textId="5D1C884F" w:rsidR="00897155" w:rsidRDefault="00897155">
          <w:pPr>
            <w:pStyle w:val="Obsah1"/>
            <w:rPr>
              <w:rFonts w:asciiTheme="minorHAnsi" w:eastAsiaTheme="minorEastAsia" w:hAnsiTheme="minorHAnsi" w:cstheme="minorBidi"/>
              <w:noProof/>
              <w:sz w:val="22"/>
              <w:szCs w:val="22"/>
            </w:rPr>
          </w:pPr>
          <w:hyperlink w:anchor="_Toc121993824" w:history="1">
            <w:r w:rsidRPr="0016396B">
              <w:rPr>
                <w:rStyle w:val="Hypertextovodkaz"/>
                <w:noProof/>
              </w:rPr>
              <w:t>8. Státní rozpočet</w:t>
            </w:r>
            <w:r>
              <w:rPr>
                <w:noProof/>
                <w:webHidden/>
              </w:rPr>
              <w:tab/>
            </w:r>
            <w:r>
              <w:rPr>
                <w:noProof/>
                <w:webHidden/>
              </w:rPr>
              <w:fldChar w:fldCharType="begin"/>
            </w:r>
            <w:r>
              <w:rPr>
                <w:noProof/>
                <w:webHidden/>
              </w:rPr>
              <w:instrText xml:space="preserve"> PAGEREF _Toc121993824 \h </w:instrText>
            </w:r>
            <w:r>
              <w:rPr>
                <w:noProof/>
                <w:webHidden/>
              </w:rPr>
            </w:r>
            <w:r>
              <w:rPr>
                <w:noProof/>
                <w:webHidden/>
              </w:rPr>
              <w:fldChar w:fldCharType="separate"/>
            </w:r>
            <w:r>
              <w:rPr>
                <w:noProof/>
                <w:webHidden/>
              </w:rPr>
              <w:t>35</w:t>
            </w:r>
            <w:r>
              <w:rPr>
                <w:noProof/>
                <w:webHidden/>
              </w:rPr>
              <w:fldChar w:fldCharType="end"/>
            </w:r>
          </w:hyperlink>
        </w:p>
        <w:p w14:paraId="39BB97E5" w14:textId="64F01E2F"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5658862B" w14:textId="309A1208"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57A76" w:rsidRPr="009110F7">
        <w:rPr>
          <w:rFonts w:cs="Arial"/>
          <w:color w:val="000000"/>
        </w:rPr>
        <w:t>pocházejí z</w:t>
      </w:r>
      <w:r w:rsidR="00A35F33">
        <w:rPr>
          <w:rFonts w:cs="Arial"/>
          <w:color w:val="000000"/>
        </w:rPr>
        <w:t>e</w:t>
      </w:r>
      <w:r w:rsidR="00D23A99">
        <w:rPr>
          <w:rFonts w:cs="Arial"/>
          <w:color w:val="000000"/>
        </w:rPr>
        <w:t xml:space="preserve"> </w:t>
      </w:r>
      <w:r w:rsidR="00A35F33">
        <w:rPr>
          <w:rFonts w:cs="Arial"/>
          <w:color w:val="000000"/>
        </w:rPr>
        <w:t>7</w:t>
      </w:r>
      <w:r w:rsidR="00D23A99">
        <w:rPr>
          <w:rFonts w:cs="Arial"/>
          <w:color w:val="000000"/>
        </w:rPr>
        <w:t xml:space="preserve">. </w:t>
      </w:r>
      <w:r w:rsidR="004A7DC0">
        <w:rPr>
          <w:rFonts w:cs="Arial"/>
          <w:color w:val="000000"/>
        </w:rPr>
        <w:t>prosince</w:t>
      </w:r>
      <w:r w:rsidR="00D23A99">
        <w:rPr>
          <w:rFonts w:cs="Arial"/>
          <w:color w:val="000000"/>
        </w:rPr>
        <w:t xml:space="preserve"> 2022</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7CD2B948" w14:textId="77777777" w:rsidR="001777BA" w:rsidRPr="00AF7277" w:rsidRDefault="00087F2B" w:rsidP="001777BA">
      <w:pPr>
        <w:pStyle w:val="Nadpis1"/>
      </w:pPr>
      <w:r w:rsidRPr="002F1D56">
        <w:rPr>
          <w:color w:val="auto"/>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0F767D08" w14:textId="77777777" w:rsidR="00323A8E" w:rsidRDefault="00323A8E" w:rsidP="00323A8E">
      <w:pPr>
        <w:pStyle w:val="Nadpis1"/>
      </w:pPr>
      <w:bookmarkStart w:id="8" w:name="_Toc114134045"/>
      <w:bookmarkStart w:id="9" w:name="_Toc58605374"/>
      <w:bookmarkStart w:id="10" w:name="_Toc66719930"/>
      <w:bookmarkStart w:id="11" w:name="_Toc532558287"/>
      <w:bookmarkStart w:id="12" w:name="_Toc58605375"/>
      <w:bookmarkStart w:id="13" w:name="_Toc82508186"/>
      <w:bookmarkStart w:id="14" w:name="_Toc121993817"/>
      <w:bookmarkEnd w:id="0"/>
      <w:bookmarkEnd w:id="1"/>
      <w:bookmarkEnd w:id="2"/>
      <w:bookmarkEnd w:id="3"/>
      <w:bookmarkEnd w:id="4"/>
      <w:bookmarkEnd w:id="5"/>
      <w:bookmarkEnd w:id="6"/>
      <w:bookmarkEnd w:id="7"/>
      <w:r>
        <w:lastRenderedPageBreak/>
        <w:t>1. Shrnutí</w:t>
      </w:r>
      <w:bookmarkEnd w:id="14"/>
    </w:p>
    <w:p w14:paraId="4FA74557" w14:textId="77777777" w:rsidR="00323A8E" w:rsidRDefault="00323A8E" w:rsidP="00323A8E">
      <w:pPr>
        <w:pStyle w:val="Normalodrka"/>
        <w:numPr>
          <w:ilvl w:val="0"/>
          <w:numId w:val="33"/>
        </w:numPr>
        <w:spacing w:after="120"/>
        <w:ind w:left="357" w:hanging="357"/>
        <w:rPr>
          <w:spacing w:val="-6"/>
        </w:rPr>
      </w:pPr>
      <w:r>
        <w:rPr>
          <w:spacing w:val="-6"/>
        </w:rPr>
        <w:t>Hrubý domácí produkt (HDP) se ve 3. čtvrtletí 2022 meziročně zvýšil o 1,7 %</w:t>
      </w:r>
      <w:r>
        <w:rPr>
          <w:rStyle w:val="Znakapoznpodarou"/>
          <w:spacing w:val="-6"/>
          <w:szCs w:val="20"/>
        </w:rPr>
        <w:footnoteReference w:id="1"/>
      </w:r>
      <w:r>
        <w:rPr>
          <w:spacing w:val="-6"/>
        </w:rPr>
        <w:t>. Za oslabením dynamiky stál hlavně propad domácí spotřeby. Tu oslaboval pokračující reálný propad výdělků domácností a negativní očekávání dalšího ekonomického vývoje, především obavy z růstu cen. Investiční aktivita meziročně rostla, zejména v oblastech spojených s investicemi podniků či vládního sektoru. Meziroční růst HDP podpořil vývoj zahraniční poptávky. Mezičtvrtletně se HDP snížil o 0,2 %. Na tom měla hlavní podíl domácí poptávka, zejména spotřeba, ale nižší byly také výdaje na tvorbu hrubého fixního kapitálu. Zahraniční poptávka se naopak zlepšovala. V rámci EU patřilo Česko mezi země s podprůměrným meziročním přírůstkem HDP a mezi menšinu ekonomik, které mezičtvrtletně oslabily. V EU se hrubý domácí produkt celkově meziročně zvýšil o 2,5 % a mezičtvrtletně o 0,4 %.</w:t>
      </w:r>
    </w:p>
    <w:p w14:paraId="5F1C059A" w14:textId="3211D01E" w:rsidR="00323A8E" w:rsidRDefault="00323A8E" w:rsidP="00323A8E">
      <w:pPr>
        <w:pStyle w:val="Normalodrka"/>
        <w:numPr>
          <w:ilvl w:val="0"/>
          <w:numId w:val="33"/>
        </w:numPr>
        <w:spacing w:after="120"/>
        <w:ind w:left="357" w:hanging="357"/>
        <w:rPr>
          <w:spacing w:val="-6"/>
        </w:rPr>
      </w:pPr>
      <w:r>
        <w:rPr>
          <w:spacing w:val="-6"/>
        </w:rPr>
        <w:t xml:space="preserve">Hrubá přidaná hodnota (HPH) se ve 3. čtvrtletí meziročně zvýšila o 1,4 %. Na zpomalení se projevil útlum domácí poptávky reprezentovaný zvolněním růstu či poklesem HPH u většiny odvětví služeb. </w:t>
      </w:r>
      <w:r>
        <w:t>Meziročně o 1,3 % klesla HPH v uskupení obchod, doprava, ubytování a pohostinství a zmírnil se přírůstek HPH informačních a</w:t>
      </w:r>
      <w:r w:rsidR="00897155">
        <w:t> </w:t>
      </w:r>
      <w:r>
        <w:t>komunikačních činností nebo profesních, vědeckých, technických a administrativních činností. Naopak zpracovatelský průmysl po období slabších výsledků díky oživení ve výrobě motorových vozidel rostl meziročně o solidních 3,2 %. Mezičtvrtletně se HPH snížila o 0,2 %. Propadlo se uskupení obchod, doprava, ubytování a pohostinství a stavebnictví. Oživení ve zpracovatelském průmyslu naopak tyto poklesy vyvažovalo.</w:t>
      </w:r>
    </w:p>
    <w:p w14:paraId="510FCD78" w14:textId="2954B4DF" w:rsidR="00323A8E" w:rsidRDefault="00323A8E" w:rsidP="00323A8E">
      <w:pPr>
        <w:pStyle w:val="Normalodrka"/>
        <w:numPr>
          <w:ilvl w:val="0"/>
          <w:numId w:val="33"/>
        </w:numPr>
        <w:spacing w:after="120"/>
        <w:ind w:left="357" w:hanging="357"/>
        <w:rPr>
          <w:spacing w:val="-6"/>
        </w:rPr>
      </w:pPr>
      <w:r>
        <w:rPr>
          <w:spacing w:val="-6"/>
        </w:rPr>
        <w:t>Vývoz zboží a služeb ve 3. čtvrtletí 2022 reálně meziročně vzrostl o 10,5 %</w:t>
      </w:r>
      <w:r>
        <w:rPr>
          <w:rStyle w:val="Znakapoznpodarou"/>
          <w:spacing w:val="-6"/>
        </w:rPr>
        <w:footnoteReference w:id="2"/>
      </w:r>
      <w:r>
        <w:rPr>
          <w:spacing w:val="-6"/>
        </w:rPr>
        <w:t xml:space="preserve">. Dynamika dovozu dosáhla 6,2 %. Bilance zahraničního obchodu se zbožím a službami </w:t>
      </w:r>
      <w:r w:rsidR="00897155">
        <w:rPr>
          <w:spacing w:val="-6"/>
        </w:rPr>
        <w:t xml:space="preserve">v běžných cenách </w:t>
      </w:r>
      <w:r>
        <w:rPr>
          <w:spacing w:val="-6"/>
        </w:rPr>
        <w:t>dosáhla</w:t>
      </w:r>
      <w:r w:rsidR="00897155">
        <w:rPr>
          <w:spacing w:val="-6"/>
        </w:rPr>
        <w:t xml:space="preserve"> </w:t>
      </w:r>
      <w:r>
        <w:rPr>
          <w:spacing w:val="-6"/>
        </w:rPr>
        <w:t xml:space="preserve">přebytku 9,9 mld. korun. Z toho obchod se zbožím byl v deficitu 28,7 mld. korun a služby zvýšily přebytek na 38,6 mld. Ke zhoršení bilance obchodu se zbožím přispíval zejména obchod </w:t>
      </w:r>
      <w:r>
        <w:rPr>
          <w:spacing w:val="-4"/>
        </w:rPr>
        <w:t>s ropou a zemním plynem a v menší míře pak chemické látky a</w:t>
      </w:r>
      <w:r w:rsidR="00897155">
        <w:rPr>
          <w:spacing w:val="-4"/>
        </w:rPr>
        <w:t> </w:t>
      </w:r>
      <w:r>
        <w:rPr>
          <w:spacing w:val="-4"/>
        </w:rPr>
        <w:t>přípravky nebo elektrická zařízení. Výrazné meziroční zlepšení bilance ve 3. čtvrtletí zaznamenal obchod s motorovými vozidly a elektřinou, plynem, párou a klimatizovaným vzduchem.</w:t>
      </w:r>
    </w:p>
    <w:p w14:paraId="664A5D57" w14:textId="77777777" w:rsidR="00323A8E" w:rsidRDefault="00323A8E" w:rsidP="00323A8E">
      <w:pPr>
        <w:pStyle w:val="Normalodrka"/>
        <w:numPr>
          <w:ilvl w:val="0"/>
          <w:numId w:val="33"/>
        </w:numPr>
        <w:spacing w:after="120"/>
        <w:ind w:left="357" w:hanging="357"/>
        <w:rPr>
          <w:spacing w:val="-6"/>
        </w:rPr>
      </w:pPr>
      <w:r>
        <w:rPr>
          <w:spacing w:val="-6"/>
        </w:rPr>
        <w:t xml:space="preserve">Meziroční růst úhrnné cenové hladiny (podle deflátoru HDP) ve 3. čtvrtletí posílil na 9,8 %. Cenová hladina mezičtvrtletně vzrostla o 4,0 %. Spotřebitelské ceny se meziročně zvýšily o 17,6 %. Největší vliv na růst cen měla nadále trojice váhově nejvýznamnějších oddílů spotřebního koše, tedy bydlení a energie, potraviny </w:t>
      </w:r>
      <w:r>
        <w:rPr>
          <w:spacing w:val="-6"/>
        </w:rPr>
        <w:br/>
        <w:t>a nealkoholické nápoje a doprava. Růst cen potravin přispíval ke zrychlování celkové meziroční dynamiky spotřebitelských cen obzvlášť výrazně. Ceny průmyslových výrobců v ČR se ve 3. čtvrtletí meziročně zvýšily o 25,9 %, což představovalo mírné zpomalení. Mezičtvrtletně byly ceny průmyslových výrobců vyšší o 2,1 %.</w:t>
      </w:r>
    </w:p>
    <w:p w14:paraId="4DEBD042" w14:textId="77777777" w:rsidR="00323A8E" w:rsidRDefault="00323A8E" w:rsidP="00323A8E">
      <w:pPr>
        <w:pStyle w:val="Normalodrka"/>
        <w:numPr>
          <w:ilvl w:val="0"/>
          <w:numId w:val="33"/>
        </w:numPr>
        <w:spacing w:after="120"/>
        <w:ind w:left="357" w:hanging="357"/>
        <w:rPr>
          <w:spacing w:val="-6"/>
        </w:rPr>
      </w:pPr>
      <w:proofErr w:type="spellStart"/>
      <w:r>
        <w:rPr>
          <w:spacing w:val="-6"/>
        </w:rPr>
        <w:t>Měnověpolitické</w:t>
      </w:r>
      <w:proofErr w:type="spellEnd"/>
      <w:r>
        <w:rPr>
          <w:spacing w:val="-6"/>
        </w:rPr>
        <w:t xml:space="preserve"> úrokové sazby ve 3. čtvrtletí setrvaly na stálé úrovni. Dál rostly klientské sazby na termínovaných vkladech a zdražilo úvěrové financování pro domácnosti i podniky. Pokračoval výrazný přeliv prostředků z běžných účtů na termínované vklady.</w:t>
      </w:r>
    </w:p>
    <w:p w14:paraId="6AA16544" w14:textId="77777777" w:rsidR="00323A8E" w:rsidRDefault="00323A8E" w:rsidP="00323A8E">
      <w:pPr>
        <w:pStyle w:val="Normalodrka"/>
        <w:numPr>
          <w:ilvl w:val="0"/>
          <w:numId w:val="33"/>
        </w:numPr>
        <w:spacing w:after="120"/>
        <w:ind w:left="357" w:hanging="357"/>
        <w:rPr>
          <w:spacing w:val="-6"/>
        </w:rPr>
      </w:pPr>
      <w:r>
        <w:rPr>
          <w:spacing w:val="-6"/>
        </w:rPr>
        <w:t>Celková zaměstnanost</w:t>
      </w:r>
      <w:r>
        <w:rPr>
          <w:rStyle w:val="Znakapoznpodarou"/>
          <w:spacing w:val="-6"/>
        </w:rPr>
        <w:footnoteReference w:id="3"/>
      </w:r>
      <w:r>
        <w:rPr>
          <w:spacing w:val="-6"/>
        </w:rPr>
        <w:t xml:space="preserve"> se ve 3. čtvrtletí meziročně zvýšila o 1,8 %. Růst ale zpomalil a mezičtvrtletně zaměstnanost klesla o 0,1 %. Mezičtvrtletně poklesl počet </w:t>
      </w:r>
      <w:proofErr w:type="spellStart"/>
      <w:r>
        <w:rPr>
          <w:spacing w:val="-6"/>
        </w:rPr>
        <w:t>sebezaměstnaných</w:t>
      </w:r>
      <w:proofErr w:type="spellEnd"/>
      <w:r>
        <w:rPr>
          <w:spacing w:val="-6"/>
        </w:rPr>
        <w:t xml:space="preserve">, zatímco počet zaměstnanců víceméně stagnoval. </w:t>
      </w:r>
      <w:r>
        <w:rPr>
          <w:color w:val="1D1B11" w:themeColor="background2" w:themeShade="1A"/>
          <w:spacing w:val="-6"/>
        </w:rPr>
        <w:t xml:space="preserve">Obecná míra nezaměstnanosti činila v letošním říjnu 2,3 % a meziročně mírně klesla. </w:t>
      </w:r>
      <w:r>
        <w:rPr>
          <w:color w:val="0D0D0D" w:themeColor="text1" w:themeTint="F2"/>
          <w:spacing w:val="-6"/>
        </w:rPr>
        <w:t>Průměrná hrubá měsíční nominální mzda ve 3. čtvrtletí meziročně vzrostla o 6,1 % a dosáhla 39 858 korun. Výraznějšímu navýšení bránil hlavně vývoj ve zdravotní a sociální péči, veřejné správě a obraně a ve vzdělávání. Vysoký cenový růst ale způsobil další r</w:t>
      </w:r>
      <w:r>
        <w:rPr>
          <w:spacing w:val="-6"/>
        </w:rPr>
        <w:t xml:space="preserve">eálný propad mezd – meziročně o 9,8 %. Reálné výdělky se snížily napříč všemi odvětvími. </w:t>
      </w:r>
      <w:r>
        <w:rPr>
          <w:color w:val="0D0D0D" w:themeColor="text1" w:themeTint="F2"/>
          <w:spacing w:val="-6"/>
        </w:rPr>
        <w:t>Proti předchozímu čtvrtletí se průměrná mzda po sezónním očištění nominálně zvýšila o 1,8 %.</w:t>
      </w:r>
      <w:r>
        <w:rPr>
          <w:spacing w:val="-6"/>
        </w:rPr>
        <w:t xml:space="preserve"> </w:t>
      </w:r>
    </w:p>
    <w:p w14:paraId="4CB6D41E" w14:textId="77777777" w:rsidR="00323A8E" w:rsidRDefault="00323A8E" w:rsidP="00323A8E">
      <w:pPr>
        <w:pStyle w:val="Normalodrka"/>
        <w:numPr>
          <w:ilvl w:val="0"/>
          <w:numId w:val="33"/>
        </w:numPr>
        <w:spacing w:after="120"/>
        <w:ind w:left="357" w:hanging="357"/>
        <w:rPr>
          <w:spacing w:val="-6"/>
        </w:rPr>
      </w:pPr>
      <w:r>
        <w:rPr>
          <w:spacing w:val="-6"/>
        </w:rPr>
        <w:t xml:space="preserve">Hospodaření státního rozpočtu (SR) v 1. až 3. čtvrtletí 2022 skončilo v deficitu 270,9 mld. korun. Záporné saldo bylo meziročně mírnější o 55 mld. korun. </w:t>
      </w:r>
      <w:bookmarkStart w:id="15" w:name="_Toc98245441"/>
      <w:bookmarkStart w:id="16" w:name="_Toc90395910"/>
      <w:r>
        <w:rPr>
          <w:spacing w:val="-6"/>
        </w:rPr>
        <w:t xml:space="preserve">Přispělo k tomu </w:t>
      </w:r>
      <w:r>
        <w:rPr>
          <w:spacing w:val="-4"/>
        </w:rPr>
        <w:t>příznivější hospodaření v 1. čtvrtletí. Ve zbytku roku převážil negativní vliv akcelerace růstu cen energií i paliv, který se projevil na výdajové straně SR vyššími sociálními transfery a nákladnějším běžným provozem státu či prodražováním plánovaných investic. Příjmy SR rostly, k čemuž přispěl zejména vyšší výběr DPH.</w:t>
      </w:r>
    </w:p>
    <w:p w14:paraId="1CF46AC0" w14:textId="5DF0CFEA" w:rsidR="00323A8E" w:rsidRDefault="00323A8E" w:rsidP="00323A8E">
      <w:pPr>
        <w:pStyle w:val="Normalodrka"/>
        <w:numPr>
          <w:ilvl w:val="0"/>
          <w:numId w:val="0"/>
        </w:numPr>
        <w:rPr>
          <w:b/>
          <w:sz w:val="2"/>
          <w:szCs w:val="2"/>
        </w:rPr>
      </w:pPr>
      <w:r>
        <w:rPr>
          <w:noProof/>
        </w:rPr>
        <w:lastRenderedPageBreak/>
        <w:drawing>
          <wp:inline distT="0" distB="0" distL="0" distR="0" wp14:anchorId="2911159A" wp14:editId="63736B86">
            <wp:extent cx="6066790" cy="9144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790" cy="9144000"/>
                    </a:xfrm>
                    <a:prstGeom prst="rect">
                      <a:avLst/>
                    </a:prstGeom>
                    <a:noFill/>
                    <a:ln>
                      <a:noFill/>
                    </a:ln>
                  </pic:spPr>
                </pic:pic>
              </a:graphicData>
            </a:graphic>
          </wp:inline>
        </w:drawing>
      </w:r>
      <w:bookmarkEnd w:id="15"/>
      <w:bookmarkEnd w:id="16"/>
    </w:p>
    <w:p w14:paraId="792B9BE5" w14:textId="77777777" w:rsidR="00E41131" w:rsidRPr="009110F7" w:rsidRDefault="00E41131" w:rsidP="00E41131">
      <w:pPr>
        <w:pStyle w:val="Nadpis1"/>
      </w:pPr>
      <w:bookmarkStart w:id="17" w:name="_Toc121993818"/>
      <w:r w:rsidRPr="0077605B">
        <w:lastRenderedPageBreak/>
        <w:t>2</w:t>
      </w:r>
      <w:r>
        <w:t>. </w:t>
      </w:r>
      <w:r w:rsidRPr="0077605B">
        <w:t>Souhrnná výkonnost</w:t>
      </w:r>
      <w:bookmarkEnd w:id="8"/>
      <w:bookmarkEnd w:id="17"/>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E41131" w:rsidRPr="009110F7" w14:paraId="136ACAEE" w14:textId="77777777" w:rsidTr="002036E6">
        <w:trPr>
          <w:trHeight w:val="145"/>
        </w:trPr>
        <w:tc>
          <w:tcPr>
            <w:tcW w:w="1806" w:type="dxa"/>
            <w:shd w:val="clear" w:color="auto" w:fill="auto"/>
            <w:tcMar>
              <w:left w:w="0" w:type="dxa"/>
            </w:tcMar>
          </w:tcPr>
          <w:p w14:paraId="19088712" w14:textId="77777777" w:rsidR="00E41131" w:rsidRDefault="00E41131" w:rsidP="002036E6">
            <w:pPr>
              <w:pStyle w:val="Marginlie"/>
            </w:pPr>
            <w:r>
              <w:t>Ochlazení domácí poptávky vedlo k mezičtvrtletnímu poklesu HDP.</w:t>
            </w:r>
          </w:p>
        </w:tc>
        <w:tc>
          <w:tcPr>
            <w:tcW w:w="223" w:type="dxa"/>
            <w:shd w:val="clear" w:color="auto" w:fill="auto"/>
            <w:tcMar>
              <w:left w:w="0" w:type="dxa"/>
            </w:tcMar>
          </w:tcPr>
          <w:p w14:paraId="77328026" w14:textId="77777777" w:rsidR="00E41131" w:rsidRDefault="00E41131" w:rsidP="002036E6">
            <w:pPr>
              <w:pStyle w:val="Textpoznpodarou"/>
              <w:jc w:val="both"/>
              <w:rPr>
                <w:spacing w:val="-4"/>
              </w:rPr>
            </w:pPr>
          </w:p>
        </w:tc>
        <w:tc>
          <w:tcPr>
            <w:tcW w:w="7610" w:type="dxa"/>
            <w:shd w:val="clear" w:color="auto" w:fill="auto"/>
            <w:tcMar>
              <w:left w:w="0" w:type="dxa"/>
            </w:tcMar>
          </w:tcPr>
          <w:p w14:paraId="676B1E00" w14:textId="77777777" w:rsidR="00E41131" w:rsidRPr="00014ED0" w:rsidRDefault="00E41131" w:rsidP="002036E6">
            <w:pPr>
              <w:rPr>
                <w:spacing w:val="-2"/>
              </w:rPr>
            </w:pPr>
            <w:r>
              <w:rPr>
                <w:spacing w:val="-2"/>
              </w:rPr>
              <w:t>Meziroční růst české ekonomiky ve 3. čtvrtletí 2022 výrazně zpomalil a hrubý domácí produkt (HDP) dosáhl přírůstku 1,7 %</w:t>
            </w:r>
            <w:r w:rsidRPr="00014ED0">
              <w:rPr>
                <w:rStyle w:val="Znakapoznpodarou"/>
                <w:rFonts w:cs="Arial"/>
                <w:spacing w:val="-2"/>
              </w:rPr>
              <w:footnoteReference w:id="4"/>
            </w:r>
            <w:r>
              <w:rPr>
                <w:spacing w:val="-2"/>
              </w:rPr>
              <w:t xml:space="preserve">. Zvolnění je výsledkem prudkého ochlazení domácí spotřeby. Zejména domácnosti totiž v prostředí výrazného růstu cenové hladiny a reálného poklesu jejich příjmů omezovaly výdaje. Investice dál meziročně rostly, ale k růstu už tak silně nepřispívala změna zásob, která růst HDP ovlivňovala v předchozím roce a půl. Po čtyřech čtvrtletích negativních příspěvků meziroční růst HDP opět výrazně podpořila zahraniční poptávka. Ve srovnání se 2. čtvrtletím 2022 se HDP snížil o 0,2 %. Jde o první pokles od začátku roku 2021, který ovlivnily protipandemické restrikce služeb a maloobchodu. Na mezičtvrtletním poklesu HDP se podílela zejména domácí poptávka, naopak zahraniční poptávka působila ve směru ekonomického oživení.  </w:t>
            </w:r>
          </w:p>
        </w:tc>
      </w:tr>
      <w:tr w:rsidR="00E41131" w:rsidRPr="009110F7" w14:paraId="510707EA" w14:textId="77777777" w:rsidTr="002036E6">
        <w:trPr>
          <w:trHeight w:val="170"/>
        </w:trPr>
        <w:tc>
          <w:tcPr>
            <w:tcW w:w="1806" w:type="dxa"/>
            <w:vMerge w:val="restart"/>
            <w:shd w:val="clear" w:color="auto" w:fill="auto"/>
            <w:tcMar>
              <w:left w:w="0" w:type="dxa"/>
            </w:tcMar>
          </w:tcPr>
          <w:p w14:paraId="02F7D9A4" w14:textId="77777777" w:rsidR="00E41131" w:rsidRDefault="00E41131" w:rsidP="002036E6">
            <w:pPr>
              <w:pStyle w:val="Marginlie"/>
            </w:pPr>
          </w:p>
        </w:tc>
        <w:tc>
          <w:tcPr>
            <w:tcW w:w="223" w:type="dxa"/>
            <w:vMerge w:val="restart"/>
            <w:shd w:val="clear" w:color="auto" w:fill="auto"/>
            <w:tcMar>
              <w:left w:w="0" w:type="dxa"/>
            </w:tcMar>
          </w:tcPr>
          <w:p w14:paraId="79651F7F" w14:textId="77777777" w:rsidR="00E41131" w:rsidRDefault="00E41131" w:rsidP="002036E6">
            <w:pPr>
              <w:pStyle w:val="Textpoznpodarou"/>
              <w:jc w:val="both"/>
              <w:rPr>
                <w:spacing w:val="-4"/>
              </w:rPr>
            </w:pPr>
          </w:p>
        </w:tc>
        <w:tc>
          <w:tcPr>
            <w:tcW w:w="7610" w:type="dxa"/>
            <w:shd w:val="clear" w:color="auto" w:fill="auto"/>
            <w:tcMar>
              <w:left w:w="0" w:type="dxa"/>
            </w:tcMar>
          </w:tcPr>
          <w:p w14:paraId="377650D0" w14:textId="77777777" w:rsidR="00E41131" w:rsidRPr="00D721B4" w:rsidRDefault="00E41131" w:rsidP="002036E6">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E41131" w:rsidRPr="009110F7" w14:paraId="0001CA5F" w14:textId="77777777" w:rsidTr="00B674C7">
        <w:tblPrEx>
          <w:tblCellMar>
            <w:left w:w="70" w:type="dxa"/>
            <w:right w:w="70" w:type="dxa"/>
          </w:tblCellMar>
        </w:tblPrEx>
        <w:trPr>
          <w:trHeight w:val="170"/>
        </w:trPr>
        <w:tc>
          <w:tcPr>
            <w:tcW w:w="1806" w:type="dxa"/>
            <w:vMerge/>
            <w:shd w:val="clear" w:color="auto" w:fill="auto"/>
          </w:tcPr>
          <w:p w14:paraId="15C7795F" w14:textId="77777777" w:rsidR="00E41131" w:rsidRPr="009110F7" w:rsidRDefault="00E41131" w:rsidP="002036E6">
            <w:pPr>
              <w:pStyle w:val="Marginlie"/>
            </w:pPr>
          </w:p>
        </w:tc>
        <w:tc>
          <w:tcPr>
            <w:tcW w:w="223" w:type="dxa"/>
            <w:vMerge/>
            <w:shd w:val="clear" w:color="auto" w:fill="auto"/>
          </w:tcPr>
          <w:p w14:paraId="2087F16E" w14:textId="77777777" w:rsidR="00E41131" w:rsidRPr="009110F7" w:rsidRDefault="00E41131" w:rsidP="002036E6">
            <w:pPr>
              <w:pStyle w:val="Textpoznpodarou"/>
              <w:jc w:val="both"/>
              <w:rPr>
                <w:spacing w:val="-4"/>
              </w:rPr>
            </w:pPr>
          </w:p>
        </w:tc>
        <w:tc>
          <w:tcPr>
            <w:tcW w:w="7610" w:type="dxa"/>
            <w:shd w:val="clear" w:color="auto" w:fill="auto"/>
          </w:tcPr>
          <w:p w14:paraId="1A45BA1E" w14:textId="58CCD19E" w:rsidR="00E41131" w:rsidRPr="009110F7" w:rsidRDefault="00B674C7" w:rsidP="002036E6">
            <w:pPr>
              <w:spacing w:after="0"/>
            </w:pPr>
            <w:r>
              <w:rPr>
                <w:noProof/>
              </w:rPr>
              <w:drawing>
                <wp:inline distT="0" distB="0" distL="0" distR="0" wp14:anchorId="44927C68" wp14:editId="42BB6BBC">
                  <wp:extent cx="4734425" cy="3375400"/>
                  <wp:effectExtent l="0" t="0" r="0" b="0"/>
                  <wp:docPr id="6" name="Graf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41131" w:rsidRPr="009110F7" w14:paraId="281F56BE" w14:textId="77777777" w:rsidTr="002036E6">
        <w:trPr>
          <w:trHeight w:val="170"/>
        </w:trPr>
        <w:tc>
          <w:tcPr>
            <w:tcW w:w="1806" w:type="dxa"/>
            <w:vMerge/>
            <w:shd w:val="clear" w:color="auto" w:fill="auto"/>
            <w:tcMar>
              <w:left w:w="0" w:type="dxa"/>
            </w:tcMar>
          </w:tcPr>
          <w:p w14:paraId="5FBD5E33" w14:textId="77777777" w:rsidR="00E41131" w:rsidRPr="009110F7" w:rsidRDefault="00E41131" w:rsidP="002036E6">
            <w:pPr>
              <w:pStyle w:val="Marginlie"/>
            </w:pPr>
          </w:p>
        </w:tc>
        <w:tc>
          <w:tcPr>
            <w:tcW w:w="223" w:type="dxa"/>
            <w:vMerge/>
            <w:shd w:val="clear" w:color="auto" w:fill="auto"/>
            <w:tcMar>
              <w:left w:w="0" w:type="dxa"/>
            </w:tcMar>
          </w:tcPr>
          <w:p w14:paraId="7ED3B380" w14:textId="77777777" w:rsidR="00E41131" w:rsidRPr="009110F7" w:rsidRDefault="00E41131" w:rsidP="002036E6">
            <w:pPr>
              <w:pStyle w:val="Textpoznpodarou"/>
              <w:jc w:val="both"/>
              <w:rPr>
                <w:spacing w:val="-4"/>
              </w:rPr>
            </w:pPr>
          </w:p>
        </w:tc>
        <w:tc>
          <w:tcPr>
            <w:tcW w:w="7610" w:type="dxa"/>
            <w:shd w:val="clear" w:color="auto" w:fill="auto"/>
            <w:tcMar>
              <w:left w:w="0" w:type="dxa"/>
            </w:tcMar>
          </w:tcPr>
          <w:p w14:paraId="1A9A2F90" w14:textId="77777777" w:rsidR="00E41131" w:rsidRPr="009110F7" w:rsidRDefault="00E41131" w:rsidP="002036E6">
            <w:pPr>
              <w:spacing w:after="220"/>
              <w:rPr>
                <w:sz w:val="14"/>
                <w:szCs w:val="14"/>
              </w:rPr>
            </w:pPr>
            <w:r>
              <w:rPr>
                <w:sz w:val="14"/>
                <w:szCs w:val="14"/>
              </w:rPr>
              <w:t xml:space="preserve">Zdroj: ČSÚ, </w:t>
            </w:r>
            <w:proofErr w:type="spellStart"/>
            <w:r>
              <w:rPr>
                <w:sz w:val="14"/>
                <w:szCs w:val="14"/>
              </w:rPr>
              <w:t>Eurostat</w:t>
            </w:r>
            <w:proofErr w:type="spellEnd"/>
          </w:p>
        </w:tc>
      </w:tr>
      <w:tr w:rsidR="00E41131" w:rsidRPr="009110F7" w14:paraId="47C745B0" w14:textId="77777777" w:rsidTr="002036E6">
        <w:trPr>
          <w:trHeight w:val="145"/>
        </w:trPr>
        <w:tc>
          <w:tcPr>
            <w:tcW w:w="1806" w:type="dxa"/>
            <w:shd w:val="clear" w:color="auto" w:fill="auto"/>
            <w:tcMar>
              <w:left w:w="0" w:type="dxa"/>
            </w:tcMar>
          </w:tcPr>
          <w:p w14:paraId="554F900A" w14:textId="77777777" w:rsidR="00E41131" w:rsidRDefault="00E41131" w:rsidP="002036E6">
            <w:pPr>
              <w:pStyle w:val="Marginlie"/>
            </w:pPr>
            <w:r>
              <w:t xml:space="preserve">V Evropské unii HDP rostl meziročně </w:t>
            </w:r>
            <w:r>
              <w:br/>
              <w:t>i mezičtvrtletně.</w:t>
            </w:r>
          </w:p>
        </w:tc>
        <w:tc>
          <w:tcPr>
            <w:tcW w:w="223" w:type="dxa"/>
            <w:shd w:val="clear" w:color="auto" w:fill="auto"/>
            <w:tcMar>
              <w:left w:w="0" w:type="dxa"/>
            </w:tcMar>
          </w:tcPr>
          <w:p w14:paraId="6855A161" w14:textId="77777777" w:rsidR="00E41131" w:rsidRDefault="00E41131" w:rsidP="002036E6">
            <w:pPr>
              <w:pStyle w:val="Textpoznpodarou"/>
              <w:jc w:val="both"/>
              <w:rPr>
                <w:spacing w:val="-4"/>
              </w:rPr>
            </w:pPr>
          </w:p>
        </w:tc>
        <w:tc>
          <w:tcPr>
            <w:tcW w:w="7610" w:type="dxa"/>
            <w:shd w:val="clear" w:color="auto" w:fill="auto"/>
            <w:tcMar>
              <w:left w:w="0" w:type="dxa"/>
            </w:tcMar>
          </w:tcPr>
          <w:p w14:paraId="381CE699" w14:textId="688F93FC" w:rsidR="00E41131" w:rsidRDefault="00E41131" w:rsidP="006C7981">
            <w:r>
              <w:t>Hrubý domácí produkt v EU ve 3. čtvrtletí meziročně vzrostl o 2,</w:t>
            </w:r>
            <w:r w:rsidR="006C7981">
              <w:t>5</w:t>
            </w:r>
            <w:r>
              <w:t xml:space="preserve"> %</w:t>
            </w:r>
            <w:r>
              <w:rPr>
                <w:rStyle w:val="Znakapoznpodarou"/>
              </w:rPr>
              <w:footnoteReference w:id="5"/>
            </w:r>
            <w:r>
              <w:t>. Podobně jako v Česku tak růst zpomalil. Česko patřilo také mezi nemnohé výjimky, kde meziročně klesla spotřeba – v naprosté většině ekonomik EU se růst udržel a podobně také dál rostly kapitálové výdaje. Nejsilněji se HDP zvyšoval v</w:t>
            </w:r>
            <w:r w:rsidR="006C7981">
              <w:t xml:space="preserve"> Irsku (10,6 %), </w:t>
            </w:r>
            <w:r>
              <w:t>Chorvatsku (5,5</w:t>
            </w:r>
            <w:r w:rsidR="006C7981">
              <w:t> </w:t>
            </w:r>
            <w:r>
              <w:t>%)</w:t>
            </w:r>
            <w:r w:rsidR="006C7981">
              <w:t xml:space="preserve"> a </w:t>
            </w:r>
            <w:r>
              <w:t>na Kypru (5,4 %). Naopak v Estonsku (−2,3 %) a Lotyšsku (−0,4 %) HDP meziročně klesl. Také mezičtvrtletní dynamika HDP v EU oslabila, evropská ekonomika si ale udržela slabý růst ve výši 0,</w:t>
            </w:r>
            <w:r w:rsidR="006C7981">
              <w:t>4</w:t>
            </w:r>
            <w:r>
              <w:t xml:space="preserve"> %. Většina z jednotlivých ekonomik vykázala pozitivní přírůstek HDP a také růst spotřeby. Naopak přibližně u poloviny ekonomik mezičtvrtletně klesly výdaje na tvorbu hrubého kapitálu. Nejsilněji mezičtvrtletně rostly ekonomiky </w:t>
            </w:r>
            <w:r w:rsidR="006C7981">
              <w:t xml:space="preserve">Irska (2,3 %) a dále </w:t>
            </w:r>
            <w:r>
              <w:t>Kypru a Rumunska (shodně o 1,3 %)</w:t>
            </w:r>
            <w:r w:rsidR="006C7981">
              <w:t>.</w:t>
            </w:r>
            <w:r>
              <w:t xml:space="preserve"> </w:t>
            </w:r>
            <w:r w:rsidR="006C7981">
              <w:t>Osm</w:t>
            </w:r>
            <w:r>
              <w:t xml:space="preserve"> ekonomik mezičtvrtletně oslabilo, z toho nejvýrazněji Estonsko (−1,8 %), Lotyšsko (−1,7 %) a Slovinsko (−1,4 %). </w:t>
            </w:r>
          </w:p>
        </w:tc>
      </w:tr>
      <w:tr w:rsidR="00E41131" w:rsidRPr="009110F7" w14:paraId="00FED463" w14:textId="77777777" w:rsidTr="002036E6">
        <w:trPr>
          <w:trHeight w:val="145"/>
        </w:trPr>
        <w:tc>
          <w:tcPr>
            <w:tcW w:w="1806" w:type="dxa"/>
            <w:shd w:val="clear" w:color="auto" w:fill="auto"/>
            <w:tcMar>
              <w:left w:w="0" w:type="dxa"/>
            </w:tcMar>
          </w:tcPr>
          <w:p w14:paraId="42C93D11" w14:textId="77777777" w:rsidR="00E41131" w:rsidRDefault="00E41131" w:rsidP="002036E6">
            <w:pPr>
              <w:pStyle w:val="Marginlie"/>
            </w:pPr>
            <w:r>
              <w:t>Nadále se hluboce reálně propadaly mzdy a platy.</w:t>
            </w:r>
          </w:p>
        </w:tc>
        <w:tc>
          <w:tcPr>
            <w:tcW w:w="223" w:type="dxa"/>
            <w:shd w:val="clear" w:color="auto" w:fill="auto"/>
            <w:tcMar>
              <w:left w:w="0" w:type="dxa"/>
            </w:tcMar>
          </w:tcPr>
          <w:p w14:paraId="3D387DA2" w14:textId="77777777" w:rsidR="00E41131" w:rsidRDefault="00E41131" w:rsidP="002036E6">
            <w:pPr>
              <w:pStyle w:val="Textpoznpodarou"/>
              <w:jc w:val="both"/>
              <w:rPr>
                <w:spacing w:val="-4"/>
              </w:rPr>
            </w:pPr>
          </w:p>
        </w:tc>
        <w:tc>
          <w:tcPr>
            <w:tcW w:w="7610" w:type="dxa"/>
            <w:shd w:val="clear" w:color="auto" w:fill="auto"/>
            <w:tcMar>
              <w:left w:w="0" w:type="dxa"/>
            </w:tcMar>
          </w:tcPr>
          <w:p w14:paraId="3B387C21" w14:textId="77777777" w:rsidR="00E41131" w:rsidRPr="00014ED0" w:rsidRDefault="00E41131" w:rsidP="002036E6">
            <w:pPr>
              <w:rPr>
                <w:spacing w:val="-2"/>
              </w:rPr>
            </w:pPr>
            <w:r>
              <w:rPr>
                <w:spacing w:val="-2"/>
              </w:rPr>
              <w:t xml:space="preserve">Výše zmíněné ochlazení domácí poptávky, zejména spotřeby, je těsně spjato s vývojem výdělků domácností. Objem vyplacených mezd a platů se ve 3. čtvrtletí meziročně zvýšil </w:t>
            </w:r>
            <w:r>
              <w:rPr>
                <w:spacing w:val="-2"/>
              </w:rPr>
              <w:lastRenderedPageBreak/>
              <w:t>o 7,7 %. To je navzdory mírnému oslabení solidní tempo srovnatelné s úrovní roku 2019. V prostředí mimořádně silného cenového růstu to ale představovalo reálný propad mezd a platů o 9,7 %</w:t>
            </w:r>
            <w:r>
              <w:rPr>
                <w:rStyle w:val="Znakapoznpodarou"/>
                <w:spacing w:val="-2"/>
              </w:rPr>
              <w:footnoteReference w:id="6"/>
            </w:r>
            <w:r>
              <w:rPr>
                <w:spacing w:val="-2"/>
              </w:rPr>
              <w:t>. Celková zaměstnanost se ve 3. čtvrtletí meziročně zvýšila o 1,8 %</w:t>
            </w:r>
            <w:r w:rsidRPr="00014ED0">
              <w:rPr>
                <w:rStyle w:val="Znakapoznpodarou"/>
                <w:spacing w:val="-2"/>
              </w:rPr>
              <w:footnoteReference w:id="7"/>
            </w:r>
            <w:r>
              <w:rPr>
                <w:spacing w:val="-2"/>
              </w:rPr>
              <w:t>. Výrazně nadprůměrné meziroční tempo růstu objemu vyplacených mezd a platů zaznamenaly činnosti v oblasti nemovitostí (19,2 % za současného růstu zaměstnanosti o 3,2 %), informační a komunikační činnosti (12,1 %, zaměstnanost byla vyšší o 3,1 %), uskupení obchod, doprava, ubytování a pohostinství (10,6 %, zaměstnanost o 1,8 %) a stavebnictví (10,4 % při růstu zaměstnanosti o 3,4 %). Ve zpracovatelském průmyslu objem vyplacených mezd a platů meziročně vzrostl o 7,9 %, ale zaměstnanost byla vyšší o 0,7 %, což je nejmírnější posun ze všech sekcí. V profesních, vědeckých, technických a administrativních činnostech mzdy a platy vzrostly o 7,7 % (zaměstnanost o 1,3 %). Pod průměrem celé ekonomiky pak byl přírůstek mezd a platů v peněžnictví a pojišťovnictví (7,1 % při výrazném růstu zaměstnanosti o 3,1 %), ostatních činnostech (6,3 % při růstu zaměstnanosti o 3,1 %) a zemědělství, lesnictví a rybářství (6,2 %, zaměstnanost o 1,1 %). Nejpomaleji se zvyšovaly mzdy a platy v odvětvích s převahou vládního sektoru</w:t>
            </w:r>
            <w:r>
              <w:rPr>
                <w:rStyle w:val="Znakapoznpodarou"/>
                <w:spacing w:val="-2"/>
              </w:rPr>
              <w:footnoteReference w:id="8"/>
            </w:r>
            <w:r>
              <w:rPr>
                <w:spacing w:val="-2"/>
              </w:rPr>
              <w:t xml:space="preserve"> (3,1 %), kde se zaměstnanost zároveň zvýšila o 2,3 %. </w:t>
            </w:r>
          </w:p>
        </w:tc>
      </w:tr>
      <w:tr w:rsidR="00E41131" w:rsidRPr="009110F7" w14:paraId="0E89E805" w14:textId="77777777" w:rsidTr="002036E6">
        <w:trPr>
          <w:trHeight w:val="145"/>
        </w:trPr>
        <w:tc>
          <w:tcPr>
            <w:tcW w:w="1806" w:type="dxa"/>
            <w:shd w:val="clear" w:color="auto" w:fill="auto"/>
            <w:tcMar>
              <w:left w:w="0" w:type="dxa"/>
            </w:tcMar>
          </w:tcPr>
          <w:p w14:paraId="4B2677A3" w14:textId="77777777" w:rsidR="00E41131" w:rsidRDefault="00E41131" w:rsidP="002036E6">
            <w:pPr>
              <w:pStyle w:val="Marginlie"/>
            </w:pPr>
            <w:r>
              <w:lastRenderedPageBreak/>
              <w:t>Mezičtvrtletní přírůstek mezd a platů byl velmi slabý.</w:t>
            </w:r>
          </w:p>
        </w:tc>
        <w:tc>
          <w:tcPr>
            <w:tcW w:w="223" w:type="dxa"/>
            <w:shd w:val="clear" w:color="auto" w:fill="auto"/>
            <w:tcMar>
              <w:left w:w="0" w:type="dxa"/>
            </w:tcMar>
          </w:tcPr>
          <w:p w14:paraId="1DC87F5C" w14:textId="77777777" w:rsidR="00E41131" w:rsidRDefault="00E41131" w:rsidP="002036E6">
            <w:pPr>
              <w:pStyle w:val="Textpoznpodarou"/>
              <w:jc w:val="both"/>
              <w:rPr>
                <w:spacing w:val="-4"/>
              </w:rPr>
            </w:pPr>
          </w:p>
        </w:tc>
        <w:tc>
          <w:tcPr>
            <w:tcW w:w="7610" w:type="dxa"/>
            <w:shd w:val="clear" w:color="auto" w:fill="auto"/>
            <w:tcMar>
              <w:left w:w="0" w:type="dxa"/>
            </w:tcMar>
          </w:tcPr>
          <w:p w14:paraId="2FCAB4E1" w14:textId="77777777" w:rsidR="00E41131" w:rsidRDefault="00E41131" w:rsidP="002036E6">
            <w:pPr>
              <w:rPr>
                <w:spacing w:val="-2"/>
              </w:rPr>
            </w:pPr>
            <w:r>
              <w:rPr>
                <w:spacing w:val="-2"/>
              </w:rPr>
              <w:t>Mezičtvrtletní přírůstek objemu mezd a platů výrazně zpomalil na 0,3 % za současné stagnace zaměstnanosti (−0,1 %). Mzdy a platy reálně mezičtvrtletně klesly o 3,6 %. Hluboký mezičtvrtletní pokles mezd a platů zaznamenaly ostatní činnosti</w:t>
            </w:r>
            <w:r>
              <w:rPr>
                <w:rStyle w:val="Znakapoznpodarou"/>
                <w:spacing w:val="-2"/>
              </w:rPr>
              <w:footnoteReference w:id="9"/>
            </w:r>
            <w:r>
              <w:rPr>
                <w:spacing w:val="-2"/>
              </w:rPr>
              <w:t xml:space="preserve"> (−6,7 %) </w:t>
            </w:r>
            <w:r>
              <w:rPr>
                <w:spacing w:val="-2"/>
              </w:rPr>
              <w:br/>
              <w:t xml:space="preserve">a nižší byly i výdělky v profesních, vědeckých, technických a administrativních činnostech (−0,7 %) a také v odvětvích s převahou vládního sektoru (−0,6 %). Stagnovaly informační a komunikační činnosti a jen mírný byl růst mezd a platů v zemědělství, lesnictví a rybářství (0,4 %), ve váhově významném uskupení obchod, doprava, ubytování a pohostinství (0,7 %) a ve stavebnictví (0,9 %). V činnostech v oblasti nemovitostí mzdy a platy vzrostly o 1,7 %, ve zpracovatelském průmyslu o 1,3 % (u obou ale zároveň došlo k poklesu zaměstnanosti). Výrazný nárůst byl zaznamenán pouze v peněžnictví a pojišťovnictví (při mezičtvrtletním růstu zaměstnanosti o 3,1 %). </w:t>
            </w:r>
          </w:p>
        </w:tc>
      </w:tr>
      <w:tr w:rsidR="00E41131" w:rsidRPr="009110F7" w14:paraId="2D8C12BD" w14:textId="77777777" w:rsidTr="002036E6">
        <w:trPr>
          <w:trHeight w:val="145"/>
        </w:trPr>
        <w:tc>
          <w:tcPr>
            <w:tcW w:w="1806" w:type="dxa"/>
            <w:shd w:val="clear" w:color="auto" w:fill="auto"/>
            <w:tcMar>
              <w:left w:w="0" w:type="dxa"/>
            </w:tcMar>
          </w:tcPr>
          <w:p w14:paraId="5B96B7D8" w14:textId="77777777" w:rsidR="00E41131" w:rsidRDefault="00E41131" w:rsidP="002036E6">
            <w:pPr>
              <w:pStyle w:val="Marginlie"/>
            </w:pPr>
            <w:r>
              <w:t>Domácí spotřeba růst HDP výrazně brzdila.</w:t>
            </w:r>
          </w:p>
        </w:tc>
        <w:tc>
          <w:tcPr>
            <w:tcW w:w="223" w:type="dxa"/>
            <w:shd w:val="clear" w:color="auto" w:fill="auto"/>
            <w:tcMar>
              <w:left w:w="0" w:type="dxa"/>
            </w:tcMar>
          </w:tcPr>
          <w:p w14:paraId="4017C3DE" w14:textId="77777777" w:rsidR="00E41131" w:rsidRDefault="00E41131" w:rsidP="002036E6">
            <w:pPr>
              <w:pStyle w:val="Textpoznpodarou"/>
              <w:jc w:val="both"/>
              <w:rPr>
                <w:spacing w:val="-4"/>
              </w:rPr>
            </w:pPr>
          </w:p>
        </w:tc>
        <w:tc>
          <w:tcPr>
            <w:tcW w:w="7610" w:type="dxa"/>
            <w:shd w:val="clear" w:color="auto" w:fill="auto"/>
            <w:tcMar>
              <w:left w:w="0" w:type="dxa"/>
            </w:tcMar>
          </w:tcPr>
          <w:p w14:paraId="6AC1F2CA" w14:textId="77777777" w:rsidR="00E41131" w:rsidRDefault="00E41131" w:rsidP="002036E6">
            <w:pPr>
              <w:rPr>
                <w:spacing w:val="-2"/>
              </w:rPr>
            </w:pPr>
            <w:r>
              <w:rPr>
                <w:spacing w:val="-2"/>
              </w:rPr>
              <w:t>Domácí spotřeba se ve 3. čtvrtletí meziročně propadla o 4,4 %. To je nejvýraznější pokles od covidového 4. čtvrtletí 2020. Spotřeba působila 3,3 p. b.</w:t>
            </w:r>
            <w:r w:rsidRPr="00014ED0">
              <w:rPr>
                <w:rStyle w:val="Znakapoznpodarou"/>
                <w:spacing w:val="-2"/>
              </w:rPr>
              <w:footnoteReference w:id="10"/>
            </w:r>
            <w:r>
              <w:rPr>
                <w:spacing w:val="-2"/>
              </w:rPr>
              <w:t xml:space="preserve"> ve směru meziročního poklesu HDP. Z naprosté většiny ovlivňovala snížení HDP spotřeba domácností, která byla meziročně nižší o 5,9 %, což byl nejvýraznější propad od 1. kvartálu 2021 ovlivněného omezeními obchodu a služeb spojenými s pandemií. Meziročně klesla i spotřeba vládních institucí (−1,2 %). Mezičtvrtletně se celková spotřeba snížila o 2,4 % a opět na tom měla hlavní zásluhu spotřeba domácností (−3,2 %) a vládní spotřeba klesala mírněji (−0,8 %). Výdaje na konečnou spotřebu domácností podle trvanlivosti</w:t>
            </w:r>
            <w:r>
              <w:rPr>
                <w:rStyle w:val="Znakapoznpodarou"/>
              </w:rPr>
              <w:footnoteReference w:id="11"/>
            </w:r>
            <w:r>
              <w:rPr>
                <w:spacing w:val="-2"/>
              </w:rPr>
              <w:t xml:space="preserve"> ukazují na pokles výdajů u všech druhů zboží. Spotřeba předmětů dlouhodobé i střednědobé spotřeby meziročně klesla shodně o 12,7 %. Výdaje na netrvanlivé statky ale byly nižší o 7,9 %. Šlo o nejvýraznější zaznamenaný propad a pokračování netypicky výrazného útlumu spotřeby v kategorii, která z velké části zahrnuje nezbytné zboží (potraviny, </w:t>
            </w:r>
            <w:proofErr w:type="gramStart"/>
            <w:r>
              <w:rPr>
                <w:spacing w:val="-2"/>
              </w:rPr>
              <w:t>léky,</w:t>
            </w:r>
            <w:proofErr w:type="gramEnd"/>
            <w:r>
              <w:rPr>
                <w:spacing w:val="-2"/>
              </w:rPr>
              <w:t xml:space="preserve"> apod.). Naopak se udržel mírný meziroční růst spotřeby služeb (1,4 %). Mezičtvrtletně se nejvíce propadly výdaje na střednědobé statky (−6,5 %), služby (−6,4 %) a pak netrvanlivé zboží (−2,2 %). Po hlubokém poklesu v předchozím kvartálu se spotřeba dlouhodobých statků ve 3. čtvrtletí mezičtvrtletně snížila o 1,1 %.     </w:t>
            </w:r>
          </w:p>
        </w:tc>
      </w:tr>
      <w:tr w:rsidR="00E41131" w:rsidRPr="009110F7" w14:paraId="0CC89D19" w14:textId="77777777" w:rsidTr="002036E6">
        <w:trPr>
          <w:trHeight w:val="145"/>
        </w:trPr>
        <w:tc>
          <w:tcPr>
            <w:tcW w:w="1806" w:type="dxa"/>
            <w:shd w:val="clear" w:color="auto" w:fill="auto"/>
            <w:tcMar>
              <w:left w:w="0" w:type="dxa"/>
            </w:tcMar>
          </w:tcPr>
          <w:p w14:paraId="71B7B0F4" w14:textId="77777777" w:rsidR="00E41131" w:rsidRDefault="00E41131" w:rsidP="002036E6">
            <w:pPr>
              <w:pStyle w:val="Marginlie"/>
            </w:pPr>
            <w:r>
              <w:t xml:space="preserve">Investiční aktivita byla meziročně vyšší, </w:t>
            </w:r>
            <w:r>
              <w:lastRenderedPageBreak/>
              <w:t>mezičtvrtletně ale mírně klesla.</w:t>
            </w:r>
          </w:p>
        </w:tc>
        <w:tc>
          <w:tcPr>
            <w:tcW w:w="223" w:type="dxa"/>
            <w:shd w:val="clear" w:color="auto" w:fill="auto"/>
            <w:tcMar>
              <w:left w:w="0" w:type="dxa"/>
            </w:tcMar>
          </w:tcPr>
          <w:p w14:paraId="2F0C67BE" w14:textId="77777777" w:rsidR="00E41131" w:rsidRDefault="00E41131" w:rsidP="002036E6">
            <w:pPr>
              <w:pStyle w:val="Textpoznpodarou"/>
              <w:jc w:val="both"/>
              <w:rPr>
                <w:spacing w:val="-4"/>
              </w:rPr>
            </w:pPr>
          </w:p>
        </w:tc>
        <w:tc>
          <w:tcPr>
            <w:tcW w:w="7610" w:type="dxa"/>
            <w:shd w:val="clear" w:color="auto" w:fill="auto"/>
            <w:tcMar>
              <w:left w:w="0" w:type="dxa"/>
            </w:tcMar>
          </w:tcPr>
          <w:p w14:paraId="09F4BB78" w14:textId="77777777" w:rsidR="00E41131" w:rsidRDefault="00E41131" w:rsidP="002036E6">
            <w:pPr>
              <w:rPr>
                <w:spacing w:val="-2"/>
              </w:rPr>
            </w:pPr>
            <w:r>
              <w:t xml:space="preserve">Výdaje na tvorbu hrubého kapitálu se meziročně zvýšily o 5,1 % a k růstu HDP tak přispěly 1,4 p. b. Přitom samotné výdaje na tvorbu hrubého fixního kapitálu (investiční </w:t>
            </w:r>
            <w:r>
              <w:lastRenderedPageBreak/>
              <w:t>aktivita) byly vyšší o 4,6 % a přispěly 1,0 p. b. Po šesti čtvrtletích tak oslabil vliv tvorby zásob, který růst HDP v uplynulém období značně podporoval</w:t>
            </w:r>
            <w:r>
              <w:rPr>
                <w:rStyle w:val="Znakapoznpodarou"/>
              </w:rPr>
              <w:footnoteReference w:id="12"/>
            </w:r>
            <w:r>
              <w:t xml:space="preserve">. Mezičtvrtletně se výdaje na tvorbu hrubého kapitálu po sedmi kvartálech přírůstků snížily o 0,4 %. Mírně klesla i samotná investiční aktivita (−0,3 %). Podle věcného členění investiční aktivity meziroční růst tvorby hrubého fixního kapitálu podpořily výdaje na ostatní budovy a stavby (12,2 %), dopravní prostředky a zařízení (11,5 %), ICT a ostatní stroje a zařízení (5,4 %) a na produkty duševního vlastnictví (3,5 %). Naopak se hluboce propadly výdaje na obydlí (−8,9 %), za kterými z naprosté většiny stojí domácnosti. Ty se výrazně propadly také mezičtvrtletně (−11,4 %) a nižší byly i výdaje na dopravní prostředky a zařízení (−0,4 %). Mezičtvrtletně stagnovaly investice do produktů duševního vlastnictví (0,2 %) a rostly výdaje na ostatní budovy a stavby (4,6 %) a ICT, ostatní stroje a zařízení (2,0 %).       </w:t>
            </w:r>
          </w:p>
        </w:tc>
      </w:tr>
      <w:tr w:rsidR="00E41131" w:rsidRPr="009110F7" w14:paraId="6CCBA998" w14:textId="77777777" w:rsidTr="002036E6">
        <w:trPr>
          <w:trHeight w:val="170"/>
        </w:trPr>
        <w:tc>
          <w:tcPr>
            <w:tcW w:w="1806" w:type="dxa"/>
            <w:vMerge w:val="restart"/>
            <w:shd w:val="clear" w:color="auto" w:fill="auto"/>
            <w:tcMar>
              <w:left w:w="0" w:type="dxa"/>
            </w:tcMar>
          </w:tcPr>
          <w:p w14:paraId="073F8BE5" w14:textId="77777777" w:rsidR="00E41131" w:rsidRDefault="00E41131" w:rsidP="002036E6">
            <w:pPr>
              <w:pStyle w:val="Marginlie"/>
            </w:pPr>
          </w:p>
        </w:tc>
        <w:tc>
          <w:tcPr>
            <w:tcW w:w="223" w:type="dxa"/>
            <w:vMerge w:val="restart"/>
            <w:shd w:val="clear" w:color="auto" w:fill="auto"/>
            <w:tcMar>
              <w:left w:w="0" w:type="dxa"/>
            </w:tcMar>
          </w:tcPr>
          <w:p w14:paraId="2BE6926E" w14:textId="77777777" w:rsidR="00E41131" w:rsidRDefault="00E41131" w:rsidP="002036E6">
            <w:pPr>
              <w:pStyle w:val="Textpoznpodarou"/>
              <w:jc w:val="both"/>
              <w:rPr>
                <w:spacing w:val="-4"/>
              </w:rPr>
            </w:pPr>
          </w:p>
        </w:tc>
        <w:tc>
          <w:tcPr>
            <w:tcW w:w="7610" w:type="dxa"/>
            <w:shd w:val="clear" w:color="auto" w:fill="auto"/>
            <w:tcMar>
              <w:left w:w="0" w:type="dxa"/>
            </w:tcMar>
          </w:tcPr>
          <w:p w14:paraId="478C4F51" w14:textId="77777777" w:rsidR="00E41131" w:rsidRPr="00D721B4" w:rsidRDefault="00E41131" w:rsidP="002036E6">
            <w:pPr>
              <w:spacing w:after="0"/>
              <w:rPr>
                <w:szCs w:val="20"/>
              </w:rPr>
            </w:pPr>
            <w:r w:rsidRPr="00D721B4">
              <w:rPr>
                <w:b/>
                <w:szCs w:val="20"/>
              </w:rPr>
              <w:t>Graf č. 2</w:t>
            </w:r>
            <w:r>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E41131" w:rsidRPr="009110F7" w14:paraId="11661C44" w14:textId="77777777" w:rsidTr="002036E6">
        <w:tblPrEx>
          <w:tblCellMar>
            <w:left w:w="70" w:type="dxa"/>
            <w:right w:w="70" w:type="dxa"/>
          </w:tblCellMar>
        </w:tblPrEx>
        <w:trPr>
          <w:trHeight w:val="170"/>
        </w:trPr>
        <w:tc>
          <w:tcPr>
            <w:tcW w:w="1806" w:type="dxa"/>
            <w:vMerge/>
            <w:shd w:val="clear" w:color="auto" w:fill="auto"/>
          </w:tcPr>
          <w:p w14:paraId="5C361DE2" w14:textId="77777777" w:rsidR="00E41131" w:rsidRDefault="00E41131" w:rsidP="002036E6">
            <w:pPr>
              <w:pStyle w:val="Marginlie"/>
            </w:pPr>
          </w:p>
        </w:tc>
        <w:tc>
          <w:tcPr>
            <w:tcW w:w="223" w:type="dxa"/>
            <w:vMerge/>
            <w:shd w:val="clear" w:color="auto" w:fill="auto"/>
          </w:tcPr>
          <w:p w14:paraId="23255613" w14:textId="77777777" w:rsidR="00E41131" w:rsidRDefault="00E41131" w:rsidP="002036E6">
            <w:pPr>
              <w:pStyle w:val="Textpoznpodarou"/>
              <w:jc w:val="both"/>
              <w:rPr>
                <w:spacing w:val="-4"/>
              </w:rPr>
            </w:pPr>
          </w:p>
        </w:tc>
        <w:tc>
          <w:tcPr>
            <w:tcW w:w="7610" w:type="dxa"/>
            <w:shd w:val="clear" w:color="auto" w:fill="auto"/>
          </w:tcPr>
          <w:p w14:paraId="6A63CAC0" w14:textId="77777777" w:rsidR="00E41131" w:rsidRDefault="00E41131" w:rsidP="002036E6">
            <w:pPr>
              <w:spacing w:after="0"/>
            </w:pPr>
            <w:r>
              <w:rPr>
                <w:noProof/>
              </w:rPr>
              <w:drawing>
                <wp:inline distT="0" distB="0" distL="0" distR="0" wp14:anchorId="7B1CDCAB" wp14:editId="1D4A90AC">
                  <wp:extent cx="4737600" cy="3553200"/>
                  <wp:effectExtent l="0" t="0" r="6350" b="0"/>
                  <wp:docPr id="9" name="Graf 9">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41131" w:rsidRPr="009110F7" w14:paraId="7BCD5C7D" w14:textId="77777777" w:rsidTr="002036E6">
        <w:trPr>
          <w:trHeight w:val="170"/>
        </w:trPr>
        <w:tc>
          <w:tcPr>
            <w:tcW w:w="1806" w:type="dxa"/>
            <w:vMerge/>
            <w:shd w:val="clear" w:color="auto" w:fill="auto"/>
            <w:tcMar>
              <w:left w:w="0" w:type="dxa"/>
            </w:tcMar>
          </w:tcPr>
          <w:p w14:paraId="1557217D" w14:textId="77777777" w:rsidR="00E41131" w:rsidRDefault="00E41131" w:rsidP="002036E6">
            <w:pPr>
              <w:pStyle w:val="Marginlie"/>
            </w:pPr>
          </w:p>
        </w:tc>
        <w:tc>
          <w:tcPr>
            <w:tcW w:w="223" w:type="dxa"/>
            <w:vMerge/>
            <w:shd w:val="clear" w:color="auto" w:fill="auto"/>
            <w:tcMar>
              <w:left w:w="0" w:type="dxa"/>
            </w:tcMar>
          </w:tcPr>
          <w:p w14:paraId="4AAC8882" w14:textId="77777777" w:rsidR="00E41131" w:rsidRDefault="00E41131" w:rsidP="002036E6">
            <w:pPr>
              <w:pStyle w:val="Textpoznpodarou"/>
              <w:jc w:val="both"/>
              <w:rPr>
                <w:spacing w:val="-4"/>
              </w:rPr>
            </w:pPr>
          </w:p>
        </w:tc>
        <w:tc>
          <w:tcPr>
            <w:tcW w:w="7610" w:type="dxa"/>
            <w:shd w:val="clear" w:color="auto" w:fill="auto"/>
            <w:tcMar>
              <w:left w:w="0" w:type="dxa"/>
            </w:tcMar>
          </w:tcPr>
          <w:p w14:paraId="57FDC3BC" w14:textId="77777777" w:rsidR="00E41131" w:rsidRDefault="00E41131" w:rsidP="002036E6">
            <w:pPr>
              <w:spacing w:after="0"/>
              <w:rPr>
                <w:sz w:val="14"/>
                <w:szCs w:val="14"/>
              </w:rPr>
            </w:pPr>
            <w:r>
              <w:rPr>
                <w:sz w:val="14"/>
                <w:szCs w:val="14"/>
              </w:rPr>
              <w:t>Zdroj: ČSÚ</w:t>
            </w:r>
          </w:p>
          <w:p w14:paraId="3D4ADB57" w14:textId="77777777" w:rsidR="00E41131" w:rsidRDefault="00E41131" w:rsidP="002036E6">
            <w:r>
              <w:rPr>
                <w:sz w:val="14"/>
                <w:szCs w:val="14"/>
              </w:rPr>
              <w:t>* po vyloučení dovozu pro konečné užití</w:t>
            </w:r>
          </w:p>
        </w:tc>
      </w:tr>
      <w:tr w:rsidR="00E41131" w:rsidRPr="009110F7" w14:paraId="6B8A868A" w14:textId="77777777" w:rsidTr="002036E6">
        <w:trPr>
          <w:trHeight w:val="145"/>
        </w:trPr>
        <w:tc>
          <w:tcPr>
            <w:tcW w:w="1806" w:type="dxa"/>
            <w:shd w:val="clear" w:color="auto" w:fill="auto"/>
            <w:tcMar>
              <w:left w:w="0" w:type="dxa"/>
            </w:tcMar>
          </w:tcPr>
          <w:p w14:paraId="106216FB" w14:textId="77777777" w:rsidR="00E41131" w:rsidRDefault="00E41131" w:rsidP="002036E6">
            <w:pPr>
              <w:pStyle w:val="Marginlie"/>
            </w:pPr>
            <w:r>
              <w:t>Zahraniční poptávka výrazně přispěla k růstu HDP.</w:t>
            </w:r>
          </w:p>
        </w:tc>
        <w:tc>
          <w:tcPr>
            <w:tcW w:w="223" w:type="dxa"/>
            <w:shd w:val="clear" w:color="auto" w:fill="auto"/>
            <w:tcMar>
              <w:left w:w="0" w:type="dxa"/>
            </w:tcMar>
          </w:tcPr>
          <w:p w14:paraId="1E18607F" w14:textId="77777777" w:rsidR="00E41131" w:rsidRDefault="00E41131" w:rsidP="002036E6">
            <w:pPr>
              <w:pStyle w:val="Textpoznpodarou"/>
              <w:jc w:val="both"/>
              <w:rPr>
                <w:spacing w:val="-4"/>
              </w:rPr>
            </w:pPr>
          </w:p>
        </w:tc>
        <w:tc>
          <w:tcPr>
            <w:tcW w:w="7610" w:type="dxa"/>
            <w:shd w:val="clear" w:color="auto" w:fill="auto"/>
            <w:tcMar>
              <w:left w:w="0" w:type="dxa"/>
            </w:tcMar>
          </w:tcPr>
          <w:p w14:paraId="283A9C4A" w14:textId="77777777" w:rsidR="00E41131" w:rsidRDefault="00E41131" w:rsidP="002036E6">
            <w:r>
              <w:t>K růstu HDP přispívala pozitivně zahraniční poptávka. Její příspěvek k meziročnímu růstu HDP celkem dosáhl 3,6 p. b. Po několika čtvrtletích slabých výsledků, kdy dynamika vývozu zaostávala za dovozem, se situace obrátila. Reálný meziroční přírůstek vývozu zboží a služeb značně posílil na 10,5 %</w:t>
            </w:r>
            <w:r w:rsidRPr="009110F7">
              <w:rPr>
                <w:rStyle w:val="Znakapoznpodarou"/>
              </w:rPr>
              <w:footnoteReference w:id="13"/>
            </w:r>
            <w:r>
              <w:t xml:space="preserve">. Z toho export zboží byl vyšší o 9,5 % a služeb o 15,9 %. Dovoz meziročně vzrostl o 6,2 %. Z toho se import zboží navýšil o 4,1 % a služeb o 20,4 %. Také mezičtvrtletní vývoj byl příznivý. Export zboží a služeb byl oproti 2. kvartálu reálně vyšší o 4,7 % (vývoz zboží o 5,1 % a služeb o 2,4 %). Dovezlo se reálně mezičtvrtletně o 2,7 % více. Z toho import zboží vzrostl o 3,1 %, zatímco služby stagnovaly. Bilance zahraničního obchodu se zbožím a službami dosáhla celkově přebytku 9,9 mld. korun (v běžných cenách) a ten se meziročně propadl o 6,8 mld. Obchod se zbožím setrval v deficitu 28,7 mld. korun </w:t>
            </w:r>
            <w:r>
              <w:lastRenderedPageBreak/>
              <w:t>(meziročně o 16,3 mld. horší výsledek), a naopak přebytek zahraničního obchodu se službami se zvýšil o 9,5 mld. korun na 38,6 mld.</w:t>
            </w:r>
          </w:p>
        </w:tc>
      </w:tr>
      <w:tr w:rsidR="00E41131" w:rsidRPr="009110F7" w14:paraId="2FC07F4B" w14:textId="77777777" w:rsidTr="002036E6">
        <w:trPr>
          <w:trHeight w:val="145"/>
        </w:trPr>
        <w:tc>
          <w:tcPr>
            <w:tcW w:w="1806" w:type="dxa"/>
            <w:shd w:val="clear" w:color="auto" w:fill="auto"/>
            <w:tcMar>
              <w:left w:w="0" w:type="dxa"/>
            </w:tcMar>
          </w:tcPr>
          <w:p w14:paraId="3C585D29" w14:textId="77777777" w:rsidR="00E41131" w:rsidRDefault="00E41131" w:rsidP="002036E6">
            <w:pPr>
              <w:pStyle w:val="Marginlie"/>
            </w:pPr>
            <w:r>
              <w:lastRenderedPageBreak/>
              <w:t>Odvětví služeb pocítila silný pokles domácí poptávky.</w:t>
            </w:r>
          </w:p>
        </w:tc>
        <w:tc>
          <w:tcPr>
            <w:tcW w:w="223" w:type="dxa"/>
            <w:shd w:val="clear" w:color="auto" w:fill="auto"/>
            <w:tcMar>
              <w:left w:w="0" w:type="dxa"/>
            </w:tcMar>
          </w:tcPr>
          <w:p w14:paraId="24FABFA5" w14:textId="77777777" w:rsidR="00E41131" w:rsidRDefault="00E41131" w:rsidP="002036E6">
            <w:pPr>
              <w:pStyle w:val="Textpoznpodarou"/>
              <w:jc w:val="both"/>
              <w:rPr>
                <w:spacing w:val="-4"/>
              </w:rPr>
            </w:pPr>
          </w:p>
        </w:tc>
        <w:tc>
          <w:tcPr>
            <w:tcW w:w="7610" w:type="dxa"/>
            <w:shd w:val="clear" w:color="auto" w:fill="auto"/>
            <w:tcMar>
              <w:left w:w="0" w:type="dxa"/>
            </w:tcMar>
          </w:tcPr>
          <w:p w14:paraId="4296D6F0" w14:textId="77777777" w:rsidR="00E41131" w:rsidRPr="00F93F2C" w:rsidRDefault="00E41131" w:rsidP="002036E6">
            <w:r>
              <w:t xml:space="preserve">Hrubá přidaná hodnota (HPH) se ve 3. čtvrtletí 2022 meziročně zvýšila o 1,4 %. Podobně jako u HDP tak došlo k silnému propadu její dynamiky. Hlavním důvodem je zpomalení růstu či pokles HDP u většiny odvětví služeb, a to těch závislých na poptávce domácností i podniků. Meziročně se snížila HPH v uskupení obchod, doprava, ubytování a pohostinství (−1,3 %), na kterém se asi nejvíce projevil propad spotřeby domácností. Zmírnil se přírůstek HPH u informačních a komunikačních činností (4,6 %), profesních, vědeckých, technických a administrativních činností (2,5 %), ostatních činností (1,5 %) a v peněžnictví a pojišťovnictví (1,0 %). Posílil růst HPH činností v oblasti nemovitostí (1,2 %) a mírně vyšší byl i přírůstek u veřejné správy a obrany, vzdělávání, zdravotní a sociální péče (1,2 %). Naopak zpracovatelský průmysl po období slabších výsledků rostl meziročně o solidních 3,2 %. Meziročně nižší byla ale HPH v zemědělství, lesnictví a rybářství (−2,4 %) i ve stavebnictví (−0,7 %).  </w:t>
            </w:r>
          </w:p>
        </w:tc>
      </w:tr>
      <w:tr w:rsidR="00E41131" w:rsidRPr="009110F7" w14:paraId="328438ED" w14:textId="77777777" w:rsidTr="002036E6">
        <w:trPr>
          <w:trHeight w:val="145"/>
        </w:trPr>
        <w:tc>
          <w:tcPr>
            <w:tcW w:w="1806" w:type="dxa"/>
            <w:shd w:val="clear" w:color="auto" w:fill="auto"/>
            <w:tcMar>
              <w:left w:w="0" w:type="dxa"/>
            </w:tcMar>
          </w:tcPr>
          <w:p w14:paraId="06E02C61" w14:textId="77777777" w:rsidR="00E41131" w:rsidRDefault="00E41131" w:rsidP="002036E6">
            <w:pPr>
              <w:pStyle w:val="Marginlie"/>
            </w:pPr>
            <w:r>
              <w:t>Mezičtvrtletně se dařilo zpracovatelskému průmyslu, naopak služby závislé na poptávce domácností se propadly.</w:t>
            </w:r>
          </w:p>
        </w:tc>
        <w:tc>
          <w:tcPr>
            <w:tcW w:w="223" w:type="dxa"/>
            <w:shd w:val="clear" w:color="auto" w:fill="auto"/>
            <w:tcMar>
              <w:left w:w="0" w:type="dxa"/>
            </w:tcMar>
          </w:tcPr>
          <w:p w14:paraId="61132754" w14:textId="77777777" w:rsidR="00E41131" w:rsidRDefault="00E41131" w:rsidP="002036E6">
            <w:pPr>
              <w:pStyle w:val="Textpoznpodarou"/>
              <w:jc w:val="both"/>
              <w:rPr>
                <w:spacing w:val="-4"/>
              </w:rPr>
            </w:pPr>
          </w:p>
        </w:tc>
        <w:tc>
          <w:tcPr>
            <w:tcW w:w="7610" w:type="dxa"/>
            <w:shd w:val="clear" w:color="auto" w:fill="auto"/>
            <w:tcMar>
              <w:left w:w="0" w:type="dxa"/>
            </w:tcMar>
          </w:tcPr>
          <w:p w14:paraId="36D8B428" w14:textId="77777777" w:rsidR="00E41131" w:rsidRDefault="00E41131" w:rsidP="002036E6">
            <w:r>
              <w:t xml:space="preserve">Mezičtvrtletně se HPH snížila o 0,2 %. Výsledek je odrazem protichůdného vývoje v jednotlivých odvětvích ekonomiky. V uskupení obchod, doprava, ubytování a pohostinství (−4,4 %) ovlivněném propadem spotřeby domácností a podobně také ve stavebnictví (−4,5 %) došlo k výraznému propadu HPH ve srovnání s 2. kvartálem. Oživení ve zpracovatelském průmyslu (1,8 %) naopak tyto poklesy vyvažovalo. Mírně rostla HPH v odvětvích s převahou vládního sektoru (1,3 %), v peněžnictví a pojišťovnictví (0,9 %), ostatních činnostech (0,8 %) a v činnostech v oblasti nemovitostí (0,6 %). Značně zpomalil přírůstek HPH v informačních a komunikačních činnostech (0,3 %) a pokles zaznamenaly profesní, vědecké, technické a administrativní činnosti (−0,6 %) a zemědělství, lesnictví a rybářství (−3,0 %). </w:t>
            </w:r>
          </w:p>
        </w:tc>
      </w:tr>
      <w:tr w:rsidR="00E41131" w:rsidRPr="009110F7" w14:paraId="050D1E49" w14:textId="77777777" w:rsidTr="002036E6">
        <w:trPr>
          <w:trHeight w:val="170"/>
        </w:trPr>
        <w:tc>
          <w:tcPr>
            <w:tcW w:w="1806" w:type="dxa"/>
            <w:vMerge w:val="restart"/>
            <w:shd w:val="clear" w:color="auto" w:fill="auto"/>
            <w:tcMar>
              <w:left w:w="0" w:type="dxa"/>
            </w:tcMar>
          </w:tcPr>
          <w:p w14:paraId="1588A023" w14:textId="77777777" w:rsidR="00E41131" w:rsidRDefault="00E41131" w:rsidP="002036E6">
            <w:pPr>
              <w:pStyle w:val="Marginlie"/>
            </w:pPr>
          </w:p>
        </w:tc>
        <w:tc>
          <w:tcPr>
            <w:tcW w:w="223" w:type="dxa"/>
            <w:vMerge w:val="restart"/>
            <w:shd w:val="clear" w:color="auto" w:fill="auto"/>
            <w:tcMar>
              <w:left w:w="0" w:type="dxa"/>
            </w:tcMar>
          </w:tcPr>
          <w:p w14:paraId="35740F7E" w14:textId="77777777" w:rsidR="00E41131" w:rsidRDefault="00E41131" w:rsidP="002036E6">
            <w:pPr>
              <w:pStyle w:val="Textpoznpodarou"/>
              <w:jc w:val="both"/>
              <w:rPr>
                <w:spacing w:val="-4"/>
              </w:rPr>
            </w:pPr>
          </w:p>
        </w:tc>
        <w:tc>
          <w:tcPr>
            <w:tcW w:w="7610" w:type="dxa"/>
            <w:shd w:val="clear" w:color="auto" w:fill="auto"/>
            <w:tcMar>
              <w:left w:w="0" w:type="dxa"/>
            </w:tcMar>
          </w:tcPr>
          <w:p w14:paraId="40833821" w14:textId="77777777" w:rsidR="00E41131" w:rsidRPr="00D721B4" w:rsidRDefault="00E41131" w:rsidP="002036E6">
            <w:pPr>
              <w:spacing w:after="0"/>
              <w:rPr>
                <w:szCs w:val="20"/>
              </w:rPr>
            </w:pPr>
            <w:r w:rsidRPr="00D721B4">
              <w:rPr>
                <w:b/>
                <w:szCs w:val="20"/>
              </w:rPr>
              <w:t>Graf č. 3</w:t>
            </w:r>
            <w:r>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E41131" w:rsidRPr="009110F7" w14:paraId="637A999E" w14:textId="77777777" w:rsidTr="002036E6">
        <w:tblPrEx>
          <w:tblCellMar>
            <w:left w:w="70" w:type="dxa"/>
            <w:right w:w="70" w:type="dxa"/>
          </w:tblCellMar>
        </w:tblPrEx>
        <w:trPr>
          <w:trHeight w:val="170"/>
        </w:trPr>
        <w:tc>
          <w:tcPr>
            <w:tcW w:w="1806" w:type="dxa"/>
            <w:vMerge/>
            <w:shd w:val="clear" w:color="auto" w:fill="auto"/>
          </w:tcPr>
          <w:p w14:paraId="634F9741" w14:textId="77777777" w:rsidR="00E41131" w:rsidRPr="009110F7" w:rsidRDefault="00E41131" w:rsidP="002036E6">
            <w:pPr>
              <w:pStyle w:val="Marginlie"/>
            </w:pPr>
          </w:p>
        </w:tc>
        <w:tc>
          <w:tcPr>
            <w:tcW w:w="223" w:type="dxa"/>
            <w:vMerge/>
            <w:shd w:val="clear" w:color="auto" w:fill="auto"/>
          </w:tcPr>
          <w:p w14:paraId="7F6A966A" w14:textId="77777777" w:rsidR="00E41131" w:rsidRPr="009110F7" w:rsidRDefault="00E41131" w:rsidP="002036E6">
            <w:pPr>
              <w:pStyle w:val="Textpoznpodarou"/>
              <w:jc w:val="both"/>
              <w:rPr>
                <w:spacing w:val="-4"/>
              </w:rPr>
            </w:pPr>
          </w:p>
        </w:tc>
        <w:tc>
          <w:tcPr>
            <w:tcW w:w="7610" w:type="dxa"/>
            <w:shd w:val="clear" w:color="auto" w:fill="auto"/>
          </w:tcPr>
          <w:p w14:paraId="37195FBD" w14:textId="77777777" w:rsidR="00E41131" w:rsidRPr="009110F7" w:rsidRDefault="00E41131" w:rsidP="002036E6">
            <w:pPr>
              <w:spacing w:after="0"/>
            </w:pPr>
            <w:r>
              <w:rPr>
                <w:noProof/>
              </w:rPr>
              <w:drawing>
                <wp:inline distT="0" distB="0" distL="0" distR="0" wp14:anchorId="509CD666" wp14:editId="2BD9DE93">
                  <wp:extent cx="4737600" cy="3486525"/>
                  <wp:effectExtent l="0" t="0" r="6350" b="0"/>
                  <wp:docPr id="10" name="Graf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41131" w:rsidRPr="009110F7" w14:paraId="54A74E52" w14:textId="77777777" w:rsidTr="002036E6">
        <w:trPr>
          <w:trHeight w:val="170"/>
        </w:trPr>
        <w:tc>
          <w:tcPr>
            <w:tcW w:w="1806" w:type="dxa"/>
            <w:vMerge/>
            <w:shd w:val="clear" w:color="auto" w:fill="auto"/>
            <w:tcMar>
              <w:left w:w="0" w:type="dxa"/>
            </w:tcMar>
          </w:tcPr>
          <w:p w14:paraId="716438EF" w14:textId="77777777" w:rsidR="00E41131" w:rsidRPr="009110F7" w:rsidRDefault="00E41131" w:rsidP="002036E6">
            <w:pPr>
              <w:pStyle w:val="Marginlie"/>
            </w:pPr>
          </w:p>
        </w:tc>
        <w:tc>
          <w:tcPr>
            <w:tcW w:w="223" w:type="dxa"/>
            <w:vMerge/>
            <w:shd w:val="clear" w:color="auto" w:fill="auto"/>
            <w:tcMar>
              <w:left w:w="0" w:type="dxa"/>
            </w:tcMar>
          </w:tcPr>
          <w:p w14:paraId="2CE9104D" w14:textId="77777777" w:rsidR="00E41131" w:rsidRPr="009110F7" w:rsidRDefault="00E41131" w:rsidP="002036E6">
            <w:pPr>
              <w:pStyle w:val="Textpoznpodarou"/>
              <w:jc w:val="both"/>
              <w:rPr>
                <w:spacing w:val="-4"/>
              </w:rPr>
            </w:pPr>
          </w:p>
        </w:tc>
        <w:tc>
          <w:tcPr>
            <w:tcW w:w="7610" w:type="dxa"/>
            <w:shd w:val="clear" w:color="auto" w:fill="auto"/>
            <w:tcMar>
              <w:left w:w="0" w:type="dxa"/>
            </w:tcMar>
          </w:tcPr>
          <w:p w14:paraId="04232DF9" w14:textId="77777777" w:rsidR="00E41131" w:rsidRPr="009110F7" w:rsidRDefault="00E41131" w:rsidP="002036E6">
            <w:pPr>
              <w:rPr>
                <w:sz w:val="14"/>
                <w:szCs w:val="14"/>
              </w:rPr>
            </w:pPr>
            <w:r w:rsidRPr="00A85DE1">
              <w:rPr>
                <w:sz w:val="14"/>
                <w:szCs w:val="14"/>
              </w:rPr>
              <w:t>Zdroj: ČSÚ</w:t>
            </w:r>
          </w:p>
        </w:tc>
      </w:tr>
    </w:tbl>
    <w:p w14:paraId="3EE63372" w14:textId="77777777" w:rsidR="00F052D2" w:rsidRDefault="00F052D2" w:rsidP="00F052D2">
      <w:pPr>
        <w:pStyle w:val="Nadpis11"/>
      </w:pPr>
      <w:bookmarkStart w:id="18" w:name="_Toc114134047"/>
      <w:bookmarkStart w:id="19" w:name="_Toc114134048"/>
      <w:bookmarkStart w:id="20" w:name="_Toc97736119"/>
      <w:bookmarkStart w:id="21" w:name="_Toc74643859"/>
      <w:bookmarkStart w:id="22" w:name="_Toc90395915"/>
      <w:bookmarkStart w:id="23" w:name="_Toc98245446"/>
      <w:bookmarkStart w:id="24" w:name="_Toc74643860"/>
      <w:bookmarkStart w:id="25" w:name="_Toc121993819"/>
      <w:bookmarkEnd w:id="9"/>
      <w:bookmarkEnd w:id="10"/>
      <w:bookmarkEnd w:id="11"/>
      <w:bookmarkEnd w:id="12"/>
      <w:bookmarkEnd w:id="13"/>
      <w:r>
        <w:rPr>
          <w:szCs w:val="32"/>
        </w:rPr>
        <w:lastRenderedPageBreak/>
        <w:t>3</w:t>
      </w:r>
      <w:r>
        <w:t>. Výkonnost odvětví</w:t>
      </w:r>
      <w:bookmarkEnd w:id="25"/>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47"/>
        <w:gridCol w:w="212"/>
        <w:gridCol w:w="7680"/>
      </w:tblGrid>
      <w:tr w:rsidR="00F052D2" w:rsidRPr="003C07E6" w14:paraId="295DB75F" w14:textId="77777777" w:rsidTr="004149F4">
        <w:trPr>
          <w:trHeight w:val="145"/>
        </w:trPr>
        <w:tc>
          <w:tcPr>
            <w:tcW w:w="1747" w:type="dxa"/>
            <w:tcBorders>
              <w:top w:val="nil"/>
              <w:left w:val="nil"/>
              <w:bottom w:val="nil"/>
              <w:right w:val="nil"/>
            </w:tcBorders>
            <w:shd w:val="clear" w:color="auto" w:fill="auto"/>
            <w:tcMar>
              <w:left w:w="0" w:type="dxa"/>
            </w:tcMar>
          </w:tcPr>
          <w:p w14:paraId="205083BE" w14:textId="77777777" w:rsidR="00F052D2" w:rsidRPr="003B6934" w:rsidRDefault="00F052D2" w:rsidP="004149F4">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HPH v</w:t>
            </w:r>
            <w:r w:rsidRPr="003B6934">
              <w:rPr>
                <w:color w:val="0D0D0D" w:themeColor="text1" w:themeTint="F2"/>
                <w:spacing w:val="-4"/>
              </w:rPr>
              <w:t> </w:t>
            </w:r>
            <w:r>
              <w:rPr>
                <w:color w:val="0D0D0D" w:themeColor="text1" w:themeTint="F2"/>
                <w:spacing w:val="-4"/>
              </w:rPr>
              <w:t>ekonomice se ve 3.</w:t>
            </w:r>
            <w:r w:rsidRPr="003B6934">
              <w:rPr>
                <w:color w:val="0D0D0D" w:themeColor="text1" w:themeTint="F2"/>
                <w:spacing w:val="-4"/>
              </w:rPr>
              <w:t> </w:t>
            </w:r>
            <w:r>
              <w:rPr>
                <w:color w:val="0D0D0D" w:themeColor="text1" w:themeTint="F2"/>
                <w:spacing w:val="-4"/>
              </w:rPr>
              <w:t xml:space="preserve">čtvrtletí zastavil. Výkon většiny odvětví ale stále mírně rostl. </w:t>
            </w:r>
          </w:p>
        </w:tc>
        <w:tc>
          <w:tcPr>
            <w:tcW w:w="212" w:type="dxa"/>
            <w:tcBorders>
              <w:top w:val="nil"/>
              <w:left w:val="nil"/>
              <w:bottom w:val="nil"/>
              <w:right w:val="nil"/>
            </w:tcBorders>
            <w:shd w:val="clear" w:color="auto" w:fill="auto"/>
            <w:tcMar>
              <w:left w:w="0" w:type="dxa"/>
            </w:tcMar>
          </w:tcPr>
          <w:p w14:paraId="4BDAD602"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2550D73B" w14:textId="77777777" w:rsidR="00F052D2" w:rsidRPr="009A525C" w:rsidRDefault="00F052D2" w:rsidP="004149F4">
            <w:pPr>
              <w:rPr>
                <w:spacing w:val="-5"/>
              </w:rPr>
            </w:pPr>
            <w:proofErr w:type="spellStart"/>
            <w:r w:rsidRPr="003D1D6D">
              <w:rPr>
                <w:spacing w:val="-5"/>
              </w:rPr>
              <w:t>Mezikvartální</w:t>
            </w:r>
            <w:proofErr w:type="spellEnd"/>
            <w:r w:rsidRPr="003D1D6D">
              <w:rPr>
                <w:spacing w:val="-5"/>
              </w:rPr>
              <w:t xml:space="preserve"> růst hrubé přidané hodnoty (HPH)</w:t>
            </w:r>
            <w:r w:rsidRPr="003D1D6D">
              <w:rPr>
                <w:rStyle w:val="Znakapoznpodarou"/>
                <w:color w:val="0D0D0D" w:themeColor="text1" w:themeTint="F2"/>
                <w:spacing w:val="-5"/>
              </w:rPr>
              <w:footnoteReference w:id="14"/>
            </w:r>
            <w:r w:rsidRPr="003D1D6D">
              <w:rPr>
                <w:spacing w:val="-5"/>
              </w:rPr>
              <w:t>, trvající pět čtvrtletí v řadě, se zastavil. Během 3. čtvrtletí se totiž výkon tuzemské ekonomiky nepatrně snížil (o 0,2 %). Zřetelný pokles HPH ale postihl jen stavebnictví a též váhově významný segment služeb – obchod, doprava, ubytování a pohostinství. To souviselo zejména s prohlubujícím se poklesem spotřeby domácností. Poziti</w:t>
            </w:r>
            <w:r>
              <w:rPr>
                <w:spacing w:val="-5"/>
              </w:rPr>
              <w:t>vně naproti tomu</w:t>
            </w:r>
            <w:r w:rsidRPr="003D1D6D">
              <w:rPr>
                <w:spacing w:val="-5"/>
              </w:rPr>
              <w:t xml:space="preserve"> působil průmysl, jenž zaznamenal nejvyšší </w:t>
            </w:r>
            <w:proofErr w:type="spellStart"/>
            <w:r w:rsidRPr="003D1D6D">
              <w:rPr>
                <w:spacing w:val="-5"/>
              </w:rPr>
              <w:t>mezikvartální</w:t>
            </w:r>
            <w:proofErr w:type="spellEnd"/>
            <w:r>
              <w:rPr>
                <w:spacing w:val="-5"/>
              </w:rPr>
              <w:t xml:space="preserve"> růst</w:t>
            </w:r>
            <w:r w:rsidRPr="003D1D6D">
              <w:rPr>
                <w:spacing w:val="-5"/>
              </w:rPr>
              <w:t xml:space="preserve"> od konce roku 2020. Potíže s dostupností některých výrobních kompone</w:t>
            </w:r>
            <w:r>
              <w:rPr>
                <w:spacing w:val="-5"/>
              </w:rPr>
              <w:t>nt se dočasně zlepšily, pomohla</w:t>
            </w:r>
            <w:r w:rsidRPr="003D1D6D">
              <w:rPr>
                <w:spacing w:val="-5"/>
              </w:rPr>
              <w:t xml:space="preserve"> </w:t>
            </w:r>
            <w:r>
              <w:rPr>
                <w:spacing w:val="-5"/>
              </w:rPr>
              <w:t>patrně také</w:t>
            </w:r>
            <w:r w:rsidRPr="003D1D6D">
              <w:rPr>
                <w:spacing w:val="-5"/>
              </w:rPr>
              <w:t xml:space="preserve"> vyšší poptávka po uhlí. </w:t>
            </w:r>
            <w:r w:rsidRPr="003D1D6D">
              <w:rPr>
                <w:color w:val="0D0D0D" w:themeColor="text1" w:themeTint="F2"/>
                <w:spacing w:val="-5"/>
              </w:rPr>
              <w:t xml:space="preserve">Výkon všech odvětví </w:t>
            </w:r>
            <w:r w:rsidRPr="00025BDC">
              <w:rPr>
                <w:color w:val="0D0D0D" w:themeColor="text1" w:themeTint="F2"/>
                <w:spacing w:val="-6"/>
              </w:rPr>
              <w:t>ekonomiky ale ve 3. čtvrtletí za svým maximem (z konce roku 2019) stále zaostával (o 0,7 %)</w:t>
            </w:r>
            <w:r>
              <w:rPr>
                <w:color w:val="0D0D0D" w:themeColor="text1" w:themeTint="F2"/>
                <w:spacing w:val="-6"/>
              </w:rPr>
              <w:t>.</w:t>
            </w:r>
          </w:p>
        </w:tc>
      </w:tr>
      <w:tr w:rsidR="00F052D2" w:rsidRPr="003C07E6" w14:paraId="0F2ACA38" w14:textId="77777777" w:rsidTr="004149F4">
        <w:trPr>
          <w:trHeight w:val="145"/>
        </w:trPr>
        <w:tc>
          <w:tcPr>
            <w:tcW w:w="1747" w:type="dxa"/>
            <w:tcBorders>
              <w:top w:val="nil"/>
              <w:left w:val="nil"/>
              <w:bottom w:val="nil"/>
              <w:right w:val="nil"/>
            </w:tcBorders>
            <w:shd w:val="clear" w:color="auto" w:fill="auto"/>
            <w:tcMar>
              <w:left w:w="0" w:type="dxa"/>
            </w:tcMar>
          </w:tcPr>
          <w:p w14:paraId="0B506F30" w14:textId="77777777" w:rsidR="00F052D2" w:rsidRDefault="00F052D2" w:rsidP="004149F4">
            <w:pPr>
              <w:pStyle w:val="Marginlie"/>
              <w:rPr>
                <w:color w:val="0D0D0D" w:themeColor="text1" w:themeTint="F2"/>
                <w:spacing w:val="-4"/>
              </w:rPr>
            </w:pPr>
            <w:r>
              <w:rPr>
                <w:color w:val="0D0D0D" w:themeColor="text1" w:themeTint="F2"/>
                <w:spacing w:val="-4"/>
              </w:rPr>
              <w:t>Meziroční růst HPH letos slábl. To bylo patrné zejména ve stavebnictví či v odvětví obchodu, dopravy, ubytování a stravování. Naopak oblast ICT ze stabilní poptávky nadále profitovala.</w:t>
            </w:r>
          </w:p>
          <w:p w14:paraId="27C63657" w14:textId="77777777" w:rsidR="00F052D2" w:rsidRDefault="00F052D2" w:rsidP="004149F4">
            <w:pPr>
              <w:pStyle w:val="Marginlie"/>
              <w:rPr>
                <w:color w:val="0D0D0D" w:themeColor="text1" w:themeTint="F2"/>
                <w:spacing w:val="-4"/>
              </w:rPr>
            </w:pPr>
          </w:p>
          <w:p w14:paraId="7A1F8064" w14:textId="77777777" w:rsidR="00F052D2" w:rsidRDefault="00F052D2" w:rsidP="004149F4">
            <w:pPr>
              <w:pStyle w:val="Marginlie"/>
              <w:rPr>
                <w:color w:val="0D0D0D" w:themeColor="text1" w:themeTint="F2"/>
                <w:spacing w:val="-4"/>
              </w:rPr>
            </w:pPr>
          </w:p>
          <w:p w14:paraId="258D85E6" w14:textId="77777777" w:rsidR="00F052D2" w:rsidRDefault="00F052D2" w:rsidP="004149F4">
            <w:pPr>
              <w:pStyle w:val="Marginlie"/>
              <w:rPr>
                <w:color w:val="0D0D0D" w:themeColor="text1" w:themeTint="F2"/>
                <w:spacing w:val="-4"/>
              </w:rPr>
            </w:pPr>
          </w:p>
          <w:p w14:paraId="41568EEA" w14:textId="77777777" w:rsidR="00F052D2" w:rsidRDefault="00F052D2" w:rsidP="004149F4">
            <w:pPr>
              <w:pStyle w:val="Marginlie"/>
              <w:rPr>
                <w:color w:val="0D0D0D" w:themeColor="text1" w:themeTint="F2"/>
                <w:spacing w:val="-4"/>
              </w:rPr>
            </w:pPr>
          </w:p>
          <w:p w14:paraId="30B56FFD" w14:textId="77777777" w:rsidR="00F052D2" w:rsidRPr="003B6934" w:rsidRDefault="00F052D2" w:rsidP="004149F4">
            <w:pPr>
              <w:pStyle w:val="Marginlie"/>
              <w:rPr>
                <w:color w:val="0D0D0D" w:themeColor="text1" w:themeTint="F2"/>
                <w:spacing w:val="-4"/>
              </w:rPr>
            </w:pPr>
            <w:r>
              <w:rPr>
                <w:color w:val="0D0D0D" w:themeColor="text1" w:themeTint="F2"/>
                <w:spacing w:val="-4"/>
              </w:rPr>
              <w:t>Situace v rostlinné i živočišné výrobě zůstávala relativně stabilizovaná. Horší výsledky primárního sektoru pramenily hlavně z poklesu živelní těžby dřeva.</w:t>
            </w:r>
          </w:p>
        </w:tc>
        <w:tc>
          <w:tcPr>
            <w:tcW w:w="212" w:type="dxa"/>
            <w:tcBorders>
              <w:top w:val="nil"/>
              <w:left w:val="nil"/>
              <w:bottom w:val="nil"/>
              <w:right w:val="nil"/>
            </w:tcBorders>
            <w:shd w:val="clear" w:color="auto" w:fill="auto"/>
            <w:tcMar>
              <w:left w:w="0" w:type="dxa"/>
            </w:tcMar>
          </w:tcPr>
          <w:p w14:paraId="3B96139A"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77ADADB" w14:textId="4540BA76" w:rsidR="00F052D2" w:rsidRDefault="00F052D2" w:rsidP="004149F4">
            <w:pPr>
              <w:spacing w:after="200"/>
              <w:rPr>
                <w:spacing w:val="-5"/>
              </w:rPr>
            </w:pPr>
            <w:r>
              <w:rPr>
                <w:color w:val="0D0D0D" w:themeColor="text1" w:themeTint="F2"/>
                <w:spacing w:val="-4"/>
              </w:rPr>
              <w:t>V meziročním pohledu růst HPH letos slábl (až na 1,4 % ve 3. kvartálu). V úhrnu za tři čtvrtletí dosáhl 2,9 %. Nejvíce rostl výkon v ostatních činnostech služeb</w:t>
            </w:r>
            <w:r>
              <w:rPr>
                <w:rStyle w:val="Znakapoznpodarou"/>
                <w:color w:val="0D0D0D" w:themeColor="text1" w:themeTint="F2"/>
                <w:spacing w:val="-4"/>
              </w:rPr>
              <w:footnoteReference w:id="15"/>
            </w:r>
            <w:r>
              <w:rPr>
                <w:color w:val="0D0D0D" w:themeColor="text1" w:themeTint="F2"/>
                <w:spacing w:val="-4"/>
              </w:rPr>
              <w:t xml:space="preserve"> (9,8 %) </w:t>
            </w:r>
            <w:r>
              <w:rPr>
                <w:color w:val="0D0D0D" w:themeColor="text1" w:themeTint="F2"/>
                <w:spacing w:val="-4"/>
              </w:rPr>
              <w:br/>
              <w:t xml:space="preserve">a v odvětví </w:t>
            </w:r>
            <w:r>
              <w:rPr>
                <w:spacing w:val="-4"/>
              </w:rPr>
              <w:t>o</w:t>
            </w:r>
            <w:r w:rsidRPr="00385BD8">
              <w:rPr>
                <w:spacing w:val="-4"/>
              </w:rPr>
              <w:t>bchod, doprava, ubytování a pohostinstv</w:t>
            </w:r>
            <w:r>
              <w:rPr>
                <w:spacing w:val="-4"/>
              </w:rPr>
              <w:t>í (6,6 %) – v obou případech se ale projevila nízká srovnávací základna z počátku loňského roku, kdy byly tyto služby v důsledku protipandemických restrikcí citelně omezeny. Svižný i stabilní růst výkonu potvrzují informační a</w:t>
            </w:r>
            <w:r w:rsidRPr="008D3CD4">
              <w:rPr>
                <w:color w:val="0D0D0D" w:themeColor="text1" w:themeTint="F2"/>
                <w:spacing w:val="-4"/>
              </w:rPr>
              <w:t> </w:t>
            </w:r>
            <w:r>
              <w:rPr>
                <w:spacing w:val="-4"/>
              </w:rPr>
              <w:t xml:space="preserve">komunikační činnosti či finančnictví, HPH zde letos ve 3. čtvrtletí převýšila úroveň z konce roku 2019 o 15 %, resp. 8 %. V pandemickém období se dařilo </w:t>
            </w:r>
            <w:r>
              <w:rPr>
                <w:spacing w:val="-4"/>
              </w:rPr>
              <w:br/>
              <w:t>i veřejným službám</w:t>
            </w:r>
            <w:r>
              <w:rPr>
                <w:rStyle w:val="Znakapoznpodarou"/>
                <w:spacing w:val="-4"/>
              </w:rPr>
              <w:footnoteReference w:id="16"/>
            </w:r>
            <w:r>
              <w:rPr>
                <w:spacing w:val="-4"/>
              </w:rPr>
              <w:t>, letos za 1. až 3. čtvrtletí zde růst HPH ale zmírnil (na 1,3 %). Obdobný slabý růst si připsal i</w:t>
            </w:r>
            <w:r w:rsidRPr="008D3CD4">
              <w:rPr>
                <w:color w:val="0D0D0D" w:themeColor="text1" w:themeTint="F2"/>
                <w:spacing w:val="-4"/>
              </w:rPr>
              <w:t> </w:t>
            </w:r>
            <w:r>
              <w:rPr>
                <w:spacing w:val="-4"/>
              </w:rPr>
              <w:t>zpracovatelský průmysl a za svým předpandemickým vrcholem stále významně zaostával (ve 3. čtvrtletí o 6,3 %). V z</w:t>
            </w:r>
            <w:r w:rsidRPr="00202D59">
              <w:rPr>
                <w:spacing w:val="-4"/>
              </w:rPr>
              <w:t>emědělství, lesnictví a rybářství</w:t>
            </w:r>
            <w:r>
              <w:rPr>
                <w:spacing w:val="-4"/>
              </w:rPr>
              <w:t xml:space="preserve"> klesla letos HPH druhým rokem v řadě. Za tři čtvrtletí byla meziročně nižší o 2,5 %. Celková letošní úroda obilovin</w:t>
            </w:r>
            <w:r>
              <w:rPr>
                <w:rStyle w:val="Znakapoznpodarou"/>
                <w:spacing w:val="-4"/>
              </w:rPr>
              <w:footnoteReference w:id="17"/>
            </w:r>
            <w:r>
              <w:rPr>
                <w:spacing w:val="-4"/>
              </w:rPr>
              <w:t xml:space="preserve"> však zaostala za nadprůměrnou loňskou sklizní jen o 0,9 %</w:t>
            </w:r>
            <w:r>
              <w:rPr>
                <w:rStyle w:val="Znakapoznpodarou"/>
                <w:spacing w:val="-4"/>
              </w:rPr>
              <w:footnoteReference w:id="18"/>
            </w:r>
            <w:r>
              <w:rPr>
                <w:spacing w:val="-4"/>
              </w:rPr>
              <w:t>. Dařilo se technickým plodinám či ovoci, meziroční pokles úrody ovšem nastal u kukuřice, brambor, cukrovky a většiny druhů zeleniny. K propadu sklizně došlo u chmele</w:t>
            </w:r>
            <w:r>
              <w:rPr>
                <w:rStyle w:val="Znakapoznpodarou"/>
                <w:spacing w:val="-4"/>
              </w:rPr>
              <w:footnoteReference w:id="19"/>
            </w:r>
            <w:r>
              <w:rPr>
                <w:spacing w:val="-4"/>
              </w:rPr>
              <w:t>. Čtyři roky trvající růst fyzické výroby masa se letos zastavil. Za meziročním poklesem v 1. až 3. čtvrtletí (−2,9 %) stály všechny hlavní druhy masa. Projevil se vysoký růst výrobních nákladů i nižší spotřeba v domácnostech. Pokles v rámci živočišné výroby byl zčásti tlumen mírně rostoucí produkcí mléka. Pro dynamiku celého primárního sektoru byl patrně rozhodující vývoj v lesnictví. Ustupující kůrovcová kalamita vedla druhým rokem v řadě k nižší potřebě těžby dřeva</w:t>
            </w:r>
            <w:r>
              <w:rPr>
                <w:rStyle w:val="Znakapoznpodarou"/>
                <w:spacing w:val="-4"/>
              </w:rPr>
              <w:footnoteReference w:id="20"/>
            </w:r>
            <w:r>
              <w:rPr>
                <w:spacing w:val="-4"/>
              </w:rPr>
              <w:t>.</w:t>
            </w:r>
          </w:p>
        </w:tc>
      </w:tr>
      <w:tr w:rsidR="00F052D2" w:rsidRPr="003C07E6" w14:paraId="3BA69706" w14:textId="77777777" w:rsidTr="004149F4">
        <w:trPr>
          <w:trHeight w:val="145"/>
        </w:trPr>
        <w:tc>
          <w:tcPr>
            <w:tcW w:w="1747" w:type="dxa"/>
            <w:tcBorders>
              <w:top w:val="nil"/>
              <w:left w:val="nil"/>
              <w:bottom w:val="nil"/>
              <w:right w:val="nil"/>
            </w:tcBorders>
            <w:shd w:val="clear" w:color="auto" w:fill="auto"/>
            <w:tcMar>
              <w:left w:w="0" w:type="dxa"/>
            </w:tcMar>
          </w:tcPr>
          <w:p w14:paraId="779C84D5" w14:textId="77777777" w:rsidR="00F052D2" w:rsidRDefault="00F052D2" w:rsidP="004149F4">
            <w:pPr>
              <w:pStyle w:val="Marginlie"/>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průmyslové produkce letos pokračoval, ve </w:t>
            </w:r>
            <w:r>
              <w:rPr>
                <w:color w:val="0D0D0D" w:themeColor="text1" w:themeTint="F2"/>
                <w:spacing w:val="-4"/>
              </w:rPr>
              <w:br/>
              <w:t>2.</w:t>
            </w:r>
            <w:r w:rsidRPr="003B6934">
              <w:rPr>
                <w:color w:val="0D0D0D" w:themeColor="text1" w:themeTint="F2"/>
                <w:spacing w:val="-4"/>
              </w:rPr>
              <w:t> </w:t>
            </w:r>
            <w:r>
              <w:rPr>
                <w:color w:val="0D0D0D" w:themeColor="text1" w:themeTint="F2"/>
                <w:spacing w:val="-4"/>
              </w:rPr>
              <w:t>i</w:t>
            </w:r>
            <w:r w:rsidRPr="003B6934">
              <w:rPr>
                <w:color w:val="0D0D0D" w:themeColor="text1" w:themeTint="F2"/>
                <w:spacing w:val="-4"/>
              </w:rPr>
              <w:t> </w:t>
            </w:r>
            <w:r>
              <w:rPr>
                <w:color w:val="0D0D0D" w:themeColor="text1" w:themeTint="F2"/>
                <w:spacing w:val="-4"/>
              </w:rPr>
              <w:t xml:space="preserve">3. čtvrtletí ovšem převážně jen díky </w:t>
            </w:r>
            <w:r>
              <w:rPr>
                <w:color w:val="0D0D0D" w:themeColor="text1" w:themeTint="F2"/>
                <w:spacing w:val="-4"/>
              </w:rPr>
              <w:br/>
              <w:t xml:space="preserve">výrobě automobilů. </w:t>
            </w:r>
          </w:p>
          <w:p w14:paraId="4AA0CBF3" w14:textId="77777777" w:rsidR="00F052D2" w:rsidRDefault="00F052D2" w:rsidP="004149F4">
            <w:pPr>
              <w:pStyle w:val="Marginlie"/>
              <w:rPr>
                <w:color w:val="0D0D0D" w:themeColor="text1" w:themeTint="F2"/>
                <w:spacing w:val="-4"/>
              </w:rPr>
            </w:pPr>
          </w:p>
          <w:p w14:paraId="15BD0AC3" w14:textId="77777777" w:rsidR="00F052D2" w:rsidRDefault="00F052D2" w:rsidP="004149F4">
            <w:pPr>
              <w:pStyle w:val="Marginlie"/>
              <w:rPr>
                <w:color w:val="0D0D0D" w:themeColor="text1" w:themeTint="F2"/>
                <w:spacing w:val="-4"/>
              </w:rPr>
            </w:pPr>
          </w:p>
          <w:p w14:paraId="10529A62" w14:textId="77777777" w:rsidR="00F052D2" w:rsidRDefault="00F052D2" w:rsidP="004149F4">
            <w:pPr>
              <w:pStyle w:val="Marginlie"/>
              <w:rPr>
                <w:color w:val="0D0D0D" w:themeColor="text1" w:themeTint="F2"/>
                <w:spacing w:val="-4"/>
              </w:rPr>
            </w:pPr>
          </w:p>
          <w:p w14:paraId="4BF95647" w14:textId="77777777" w:rsidR="00F052D2" w:rsidRDefault="00F052D2" w:rsidP="004149F4">
            <w:pPr>
              <w:pStyle w:val="Marginlie"/>
              <w:rPr>
                <w:color w:val="0D0D0D" w:themeColor="text1" w:themeTint="F2"/>
                <w:spacing w:val="-4"/>
              </w:rPr>
            </w:pPr>
          </w:p>
          <w:p w14:paraId="376FAFDE" w14:textId="77777777" w:rsidR="00F052D2" w:rsidRDefault="00F052D2" w:rsidP="004149F4">
            <w:pPr>
              <w:pStyle w:val="Marginlie"/>
              <w:rPr>
                <w:color w:val="0D0D0D" w:themeColor="text1" w:themeTint="F2"/>
                <w:spacing w:val="-4"/>
              </w:rPr>
            </w:pPr>
          </w:p>
          <w:p w14:paraId="52BABBD4" w14:textId="77777777" w:rsidR="00F052D2" w:rsidRPr="003B6934" w:rsidRDefault="00F052D2" w:rsidP="004149F4">
            <w:pPr>
              <w:pStyle w:val="Marginlie"/>
              <w:rPr>
                <w:color w:val="0D0D0D" w:themeColor="text1" w:themeTint="F2"/>
                <w:spacing w:val="-4"/>
              </w:rPr>
            </w:pPr>
            <w:r>
              <w:rPr>
                <w:color w:val="0D0D0D" w:themeColor="text1" w:themeTint="F2"/>
                <w:spacing w:val="-4"/>
              </w:rPr>
              <w:t xml:space="preserve">Během léta výkon průmyslu poprvé vystoupal nad úroveň z roku 2019. </w:t>
            </w:r>
          </w:p>
        </w:tc>
        <w:tc>
          <w:tcPr>
            <w:tcW w:w="212" w:type="dxa"/>
            <w:tcBorders>
              <w:top w:val="nil"/>
              <w:left w:val="nil"/>
              <w:bottom w:val="nil"/>
              <w:right w:val="nil"/>
            </w:tcBorders>
            <w:shd w:val="clear" w:color="auto" w:fill="auto"/>
            <w:tcMar>
              <w:left w:w="0" w:type="dxa"/>
            </w:tcMar>
          </w:tcPr>
          <w:p w14:paraId="60C4883C"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EAB45ED" w14:textId="77777777" w:rsidR="00F052D2" w:rsidRPr="008D3CD4" w:rsidRDefault="00F052D2" w:rsidP="004149F4">
            <w:pPr>
              <w:spacing w:after="220"/>
              <w:rPr>
                <w:color w:val="0D0D0D" w:themeColor="text1" w:themeTint="F2"/>
                <w:spacing w:val="-4"/>
              </w:rPr>
            </w:pPr>
            <w:r w:rsidRPr="008D3CD4">
              <w:rPr>
                <w:spacing w:val="-4"/>
              </w:rPr>
              <w:t xml:space="preserve">Údaje </w:t>
            </w:r>
            <w:r w:rsidRPr="008D3CD4">
              <w:rPr>
                <w:color w:val="0D0D0D" w:themeColor="text1" w:themeTint="F2"/>
                <w:spacing w:val="-4"/>
              </w:rPr>
              <w:t>z podnikových statistik potvrzují, že trend mírného zotavování tuzemského průmyslu pokračoval i během letošního 3. čtvrtletí. Na rozdíl od první poloviny roku k tomu docházelo v podmínkách, kdy se tuzemská ekonomika již nacházela na hraně recese. Průmyslová produkce</w:t>
            </w:r>
            <w:r w:rsidRPr="008D3CD4">
              <w:rPr>
                <w:rStyle w:val="Znakapoznpodarou"/>
                <w:color w:val="0D0D0D" w:themeColor="text1" w:themeTint="F2"/>
                <w:spacing w:val="-4"/>
              </w:rPr>
              <w:footnoteReference w:id="21"/>
            </w:r>
            <w:r w:rsidRPr="008D3CD4">
              <w:rPr>
                <w:color w:val="0D0D0D" w:themeColor="text1" w:themeTint="F2"/>
                <w:spacing w:val="-4"/>
              </w:rPr>
              <w:t xml:space="preserve"> se sice mezi</w:t>
            </w:r>
            <w:r>
              <w:rPr>
                <w:color w:val="0D0D0D" w:themeColor="text1" w:themeTint="F2"/>
                <w:spacing w:val="-4"/>
              </w:rPr>
              <w:t>kvartálně zvýšila o významných 1,9</w:t>
            </w:r>
            <w:r w:rsidRPr="008D3CD4">
              <w:rPr>
                <w:color w:val="0D0D0D" w:themeColor="text1" w:themeTint="F2"/>
                <w:spacing w:val="-4"/>
              </w:rPr>
              <w:t> </w:t>
            </w:r>
            <w:r>
              <w:rPr>
                <w:color w:val="0D0D0D" w:themeColor="text1" w:themeTint="F2"/>
                <w:spacing w:val="-4"/>
              </w:rPr>
              <w:t>% (ve 2. čtvrtletí o 0,9 %), k</w:t>
            </w:r>
            <w:r w:rsidRPr="008D3CD4">
              <w:rPr>
                <w:color w:val="0D0D0D" w:themeColor="text1" w:themeTint="F2"/>
                <w:spacing w:val="-4"/>
              </w:rPr>
              <w:t> růstu však zásadně přispěl relativně příznivý vývoj ve výrobě automobilů</w:t>
            </w:r>
            <w:r>
              <w:rPr>
                <w:color w:val="0D0D0D" w:themeColor="text1" w:themeTint="F2"/>
                <w:spacing w:val="-4"/>
              </w:rPr>
              <w:t xml:space="preserve">, kde problémy </w:t>
            </w:r>
            <w:r w:rsidRPr="008D3CD4">
              <w:rPr>
                <w:color w:val="0D0D0D" w:themeColor="text1" w:themeTint="F2"/>
                <w:spacing w:val="-4"/>
              </w:rPr>
              <w:t xml:space="preserve">s dodávkami výrobních komponent během jara mírně polevily. Bez zahrnutí tohoto klíčového odvětví by výkon průmyslu ve 3. čtvrtletí pouze stagnoval. Produkce </w:t>
            </w:r>
            <w:r>
              <w:rPr>
                <w:color w:val="0D0D0D" w:themeColor="text1" w:themeTint="F2"/>
                <w:spacing w:val="-4"/>
              </w:rPr>
              <w:br/>
            </w:r>
            <w:r w:rsidRPr="008D3CD4">
              <w:rPr>
                <w:color w:val="0D0D0D" w:themeColor="text1" w:themeTint="F2"/>
                <w:spacing w:val="-4"/>
              </w:rPr>
              <w:t xml:space="preserve">v řadě dalších významných odvětví (vyjma strojírenství a elektrotechniky) se totiž snižovala. Vzplanutí války na Ukrajině výrazně přispělo i k eskalaci cenového růstu energií i dalších materiálových vstupů, což se již patrně negativně odrazilo ve výkonu zejména některých energeticky náročnějších odvětví. Vedle toho začaly průmyslové podniky v Česku stále více pociťovat obavy související se zhoršující se ekonomickou situací v řadě významných </w:t>
            </w:r>
            <w:r w:rsidRPr="008D3CD4">
              <w:rPr>
                <w:color w:val="0D0D0D" w:themeColor="text1" w:themeTint="F2"/>
                <w:spacing w:val="-4"/>
              </w:rPr>
              <w:lastRenderedPageBreak/>
              <w:t xml:space="preserve">exportních teritorií, která se projevovala i v oblasti nových zakázek ze zahraničí. </w:t>
            </w:r>
            <w:r>
              <w:rPr>
                <w:color w:val="0D0D0D" w:themeColor="text1" w:themeTint="F2"/>
                <w:spacing w:val="-4"/>
              </w:rPr>
              <w:t xml:space="preserve">I přes </w:t>
            </w:r>
            <w:r w:rsidRPr="008D3CD4">
              <w:rPr>
                <w:color w:val="0D0D0D" w:themeColor="text1" w:themeTint="F2"/>
                <w:spacing w:val="-4"/>
              </w:rPr>
              <w:t xml:space="preserve">to </w:t>
            </w:r>
            <w:r>
              <w:rPr>
                <w:color w:val="0D0D0D" w:themeColor="text1" w:themeTint="F2"/>
                <w:spacing w:val="-4"/>
              </w:rPr>
              <w:t>ale produkce v</w:t>
            </w:r>
            <w:r w:rsidRPr="008D3CD4">
              <w:rPr>
                <w:color w:val="0D0D0D" w:themeColor="text1" w:themeTint="F2"/>
                <w:spacing w:val="-4"/>
              </w:rPr>
              <w:t xml:space="preserve"> průmyslu letos v létě poprvé překonala úroveň z předpandemické konju</w:t>
            </w:r>
            <w:r>
              <w:rPr>
                <w:color w:val="0D0D0D" w:themeColor="text1" w:themeTint="F2"/>
                <w:spacing w:val="-4"/>
              </w:rPr>
              <w:t>n</w:t>
            </w:r>
            <w:r w:rsidRPr="008D3CD4">
              <w:rPr>
                <w:color w:val="0D0D0D" w:themeColor="text1" w:themeTint="F2"/>
                <w:spacing w:val="-4"/>
              </w:rPr>
              <w:t>ktury</w:t>
            </w:r>
            <w:r w:rsidRPr="008D3CD4">
              <w:rPr>
                <w:rStyle w:val="Znakapoznpodarou"/>
                <w:color w:val="0D0D0D" w:themeColor="text1" w:themeTint="F2"/>
                <w:spacing w:val="-4"/>
              </w:rPr>
              <w:footnoteReference w:id="22"/>
            </w:r>
            <w:r w:rsidRPr="008D3CD4">
              <w:rPr>
                <w:color w:val="0D0D0D" w:themeColor="text1" w:themeTint="F2"/>
                <w:spacing w:val="-4"/>
              </w:rPr>
              <w:t>.</w:t>
            </w:r>
          </w:p>
        </w:tc>
      </w:tr>
      <w:tr w:rsidR="00F052D2" w:rsidRPr="003C07E6" w14:paraId="00923312" w14:textId="77777777" w:rsidTr="004149F4">
        <w:trPr>
          <w:trHeight w:val="145"/>
        </w:trPr>
        <w:tc>
          <w:tcPr>
            <w:tcW w:w="1747" w:type="dxa"/>
            <w:tcBorders>
              <w:top w:val="nil"/>
              <w:left w:val="nil"/>
              <w:bottom w:val="nil"/>
              <w:right w:val="nil"/>
            </w:tcBorders>
            <w:shd w:val="clear" w:color="auto" w:fill="auto"/>
            <w:tcMar>
              <w:left w:w="0" w:type="dxa"/>
            </w:tcMar>
          </w:tcPr>
          <w:p w14:paraId="00FC99D3" w14:textId="77777777" w:rsidR="00F052D2" w:rsidRDefault="00F052D2" w:rsidP="004149F4">
            <w:pPr>
              <w:pStyle w:val="Marginlie"/>
              <w:rPr>
                <w:color w:val="0D0D0D" w:themeColor="text1" w:themeTint="F2"/>
                <w:spacing w:val="-4"/>
              </w:rPr>
            </w:pPr>
            <w:r>
              <w:rPr>
                <w:color w:val="0D0D0D" w:themeColor="text1" w:themeTint="F2"/>
                <w:spacing w:val="-4"/>
              </w:rPr>
              <w:lastRenderedPageBreak/>
              <w:t xml:space="preserve">V 1. až 3. čtvrtletí zaznamenaly nejvyšší meziroční růst průmyslové obory nejvíce poznamenané propadem poptávky </w:t>
            </w:r>
            <w:r>
              <w:rPr>
                <w:color w:val="0D0D0D" w:themeColor="text1" w:themeTint="F2"/>
                <w:spacing w:val="-5"/>
              </w:rPr>
              <w:t>v kritických fázích</w:t>
            </w:r>
            <w:r w:rsidRPr="00BC0151">
              <w:rPr>
                <w:color w:val="0D0D0D" w:themeColor="text1" w:themeTint="F2"/>
                <w:spacing w:val="-5"/>
              </w:rPr>
              <w:t xml:space="preserve"> pandemie</w:t>
            </w:r>
            <w:r>
              <w:rPr>
                <w:color w:val="0D0D0D" w:themeColor="text1" w:themeTint="F2"/>
                <w:spacing w:val="-5"/>
              </w:rPr>
              <w:t>.</w:t>
            </w:r>
          </w:p>
        </w:tc>
        <w:tc>
          <w:tcPr>
            <w:tcW w:w="212" w:type="dxa"/>
            <w:tcBorders>
              <w:top w:val="nil"/>
              <w:left w:val="nil"/>
              <w:bottom w:val="nil"/>
              <w:right w:val="nil"/>
            </w:tcBorders>
            <w:shd w:val="clear" w:color="auto" w:fill="auto"/>
            <w:tcMar>
              <w:left w:w="0" w:type="dxa"/>
            </w:tcMar>
          </w:tcPr>
          <w:p w14:paraId="75A5E28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7F1568C" w14:textId="77777777" w:rsidR="00F052D2" w:rsidRPr="008D3CD4" w:rsidRDefault="00F052D2" w:rsidP="004149F4">
            <w:pPr>
              <w:spacing w:after="220"/>
              <w:rPr>
                <w:spacing w:val="-4"/>
              </w:rPr>
            </w:pPr>
            <w:r w:rsidRPr="008D3CD4">
              <w:rPr>
                <w:color w:val="0D0D0D" w:themeColor="text1" w:themeTint="F2"/>
                <w:spacing w:val="-4"/>
              </w:rPr>
              <w:t>V meziročním srovnání se letos ve 3. čtvrtletí p</w:t>
            </w:r>
            <w:r>
              <w:rPr>
                <w:color w:val="0D0D0D" w:themeColor="text1" w:themeTint="F2"/>
                <w:spacing w:val="-4"/>
              </w:rPr>
              <w:t>růmyslová produkce zvýšila o 5,2 %, když narostla poprvé od 2. kvartálu</w:t>
            </w:r>
            <w:r w:rsidRPr="008D3CD4">
              <w:rPr>
                <w:color w:val="0D0D0D" w:themeColor="text1" w:themeTint="F2"/>
                <w:spacing w:val="-4"/>
              </w:rPr>
              <w:t xml:space="preserve"> 2021. Stála za tím primárně nízká srovnávací základna, neboť loni v létě došlo vlivem eskalace nedostupnosti polovodičů k opakovanému omezení výroby v automobilovém průmyslu. Bez přispění výrobců automobilů by tak letos v létě průmyslová produkce mírně klesala (</w:t>
            </w:r>
            <w:r>
              <w:rPr>
                <w:color w:val="0D0D0D" w:themeColor="text1" w:themeTint="F2"/>
                <w:spacing w:val="-4"/>
              </w:rPr>
              <w:t>o 0,6</w:t>
            </w:r>
            <w:r w:rsidRPr="008D3CD4">
              <w:rPr>
                <w:color w:val="0D0D0D" w:themeColor="text1" w:themeTint="F2"/>
                <w:spacing w:val="-4"/>
              </w:rPr>
              <w:t xml:space="preserve"> %). V úhrnu od ledna do září byl výkon p</w:t>
            </w:r>
            <w:r>
              <w:rPr>
                <w:color w:val="0D0D0D" w:themeColor="text1" w:themeTint="F2"/>
                <w:spacing w:val="-4"/>
              </w:rPr>
              <w:t>růmyslu meziročně vyšší o 1,4</w:t>
            </w:r>
            <w:r w:rsidRPr="008D3CD4">
              <w:rPr>
                <w:color w:val="0D0D0D" w:themeColor="text1" w:themeTint="F2"/>
                <w:spacing w:val="-4"/>
              </w:rPr>
              <w:t xml:space="preserve"> %, opět hlavně zásluhou seg</w:t>
            </w:r>
            <w:r>
              <w:rPr>
                <w:color w:val="0D0D0D" w:themeColor="text1" w:themeTint="F2"/>
                <w:spacing w:val="-4"/>
              </w:rPr>
              <w:t xml:space="preserve">mentu </w:t>
            </w:r>
            <w:proofErr w:type="spellStart"/>
            <w:r>
              <w:rPr>
                <w:color w:val="0D0D0D" w:themeColor="text1" w:themeTint="F2"/>
                <w:spacing w:val="-4"/>
              </w:rPr>
              <w:t>automotive</w:t>
            </w:r>
            <w:proofErr w:type="spellEnd"/>
            <w:r>
              <w:rPr>
                <w:color w:val="0D0D0D" w:themeColor="text1" w:themeTint="F2"/>
                <w:spacing w:val="-4"/>
              </w:rPr>
              <w:t xml:space="preserve"> (příspěvek +1,3</w:t>
            </w:r>
            <w:r w:rsidRPr="008D3CD4">
              <w:rPr>
                <w:color w:val="0D0D0D" w:themeColor="text1" w:themeTint="F2"/>
                <w:spacing w:val="-4"/>
              </w:rPr>
              <w:t xml:space="preserve"> p. b.). Největší </w:t>
            </w:r>
            <w:r>
              <w:rPr>
                <w:color w:val="0D0D0D" w:themeColor="text1" w:themeTint="F2"/>
                <w:spacing w:val="2"/>
              </w:rPr>
              <w:t>dynamiku ale vykázaly obory silně zasaže</w:t>
            </w:r>
            <w:r w:rsidRPr="00E4073A">
              <w:rPr>
                <w:color w:val="0D0D0D" w:themeColor="text1" w:themeTint="F2"/>
                <w:spacing w:val="2"/>
              </w:rPr>
              <w:t xml:space="preserve">né hlubokým útlumem poptávky v důsledku </w:t>
            </w:r>
            <w:r w:rsidRPr="00E4073A">
              <w:rPr>
                <w:color w:val="0D0D0D" w:themeColor="text1" w:themeTint="F2"/>
                <w:spacing w:val="-4"/>
              </w:rPr>
              <w:t>protipandemických restrikcí – obuvnictví i kožedělnictví</w:t>
            </w:r>
            <w:r>
              <w:rPr>
                <w:color w:val="0D0D0D" w:themeColor="text1" w:themeTint="F2"/>
                <w:spacing w:val="-4"/>
              </w:rPr>
              <w:t xml:space="preserve"> (+21,5</w:t>
            </w:r>
            <w:r w:rsidRPr="00E4073A">
              <w:rPr>
                <w:color w:val="0D0D0D" w:themeColor="text1" w:themeTint="F2"/>
                <w:spacing w:val="-4"/>
              </w:rPr>
              <w:t xml:space="preserve"> %),</w:t>
            </w:r>
            <w:r>
              <w:rPr>
                <w:color w:val="0D0D0D" w:themeColor="text1" w:themeTint="F2"/>
                <w:spacing w:val="-4"/>
              </w:rPr>
              <w:t xml:space="preserve"> oděvnictví (+9,6</w:t>
            </w:r>
            <w:r w:rsidRPr="00E4073A">
              <w:rPr>
                <w:color w:val="0D0D0D" w:themeColor="text1" w:themeTint="F2"/>
                <w:spacing w:val="-4"/>
              </w:rPr>
              <w:t> %) a</w:t>
            </w:r>
            <w:r w:rsidRPr="008D3CD4">
              <w:rPr>
                <w:color w:val="0D0D0D" w:themeColor="text1" w:themeTint="F2"/>
                <w:spacing w:val="-4"/>
              </w:rPr>
              <w:t> </w:t>
            </w:r>
            <w:r w:rsidRPr="00E4073A">
              <w:rPr>
                <w:color w:val="0D0D0D" w:themeColor="text1" w:themeTint="F2"/>
                <w:spacing w:val="-4"/>
              </w:rPr>
              <w:t>též výroba</w:t>
            </w:r>
            <w:r>
              <w:rPr>
                <w:color w:val="0D0D0D" w:themeColor="text1" w:themeTint="F2"/>
                <w:spacing w:val="-4"/>
              </w:rPr>
              <w:t xml:space="preserve"> nápojů (+7,8</w:t>
            </w:r>
            <w:r w:rsidRPr="00E4073A">
              <w:rPr>
                <w:color w:val="0D0D0D" w:themeColor="text1" w:themeTint="F2"/>
                <w:spacing w:val="-4"/>
              </w:rPr>
              <w:t xml:space="preserve"> %)</w:t>
            </w:r>
            <w:r>
              <w:rPr>
                <w:color w:val="0D0D0D" w:themeColor="text1" w:themeTint="F2"/>
                <w:spacing w:val="-4"/>
              </w:rPr>
              <w:t>, které</w:t>
            </w:r>
            <w:r w:rsidRPr="00E4073A">
              <w:rPr>
                <w:color w:val="0D0D0D" w:themeColor="text1" w:themeTint="F2"/>
                <w:spacing w:val="-4"/>
              </w:rPr>
              <w:t xml:space="preserve"> pomohly i postupně rostoucí počty zahraničních turistů.</w:t>
            </w:r>
            <w:r w:rsidRPr="00E4073A">
              <w:rPr>
                <w:color w:val="0D0D0D" w:themeColor="text1" w:themeTint="F2"/>
                <w:spacing w:val="2"/>
              </w:rPr>
              <w:t xml:space="preserve"> </w:t>
            </w:r>
            <w:r>
              <w:rPr>
                <w:color w:val="0D0D0D" w:themeColor="text1" w:themeTint="F2"/>
                <w:spacing w:val="2"/>
              </w:rPr>
              <w:t>Díky stále silné poptávce z tuzemska</w:t>
            </w:r>
            <w:r w:rsidRPr="00E4073A">
              <w:rPr>
                <w:color w:val="0D0D0D" w:themeColor="text1" w:themeTint="F2"/>
                <w:spacing w:val="2"/>
              </w:rPr>
              <w:t xml:space="preserve"> i zahraničí se dařilo</w:t>
            </w:r>
            <w:r w:rsidRPr="008D3CD4">
              <w:rPr>
                <w:color w:val="0D0D0D" w:themeColor="text1" w:themeTint="F2"/>
                <w:spacing w:val="-6"/>
              </w:rPr>
              <w:t xml:space="preserve"> farmaceutickému</w:t>
            </w:r>
            <w:r>
              <w:rPr>
                <w:color w:val="0D0D0D" w:themeColor="text1" w:themeTint="F2"/>
                <w:spacing w:val="-4"/>
              </w:rPr>
              <w:t xml:space="preserve"> průmyslu (+11,7</w:t>
            </w:r>
            <w:r w:rsidRPr="008D3CD4">
              <w:rPr>
                <w:color w:val="0D0D0D" w:themeColor="text1" w:themeTint="F2"/>
                <w:spacing w:val="-4"/>
              </w:rPr>
              <w:t> %), který spo</w:t>
            </w:r>
            <w:r>
              <w:rPr>
                <w:color w:val="0D0D0D" w:themeColor="text1" w:themeTint="F2"/>
                <w:spacing w:val="-4"/>
              </w:rPr>
              <w:t>lu s papírenským průmyslem (+4,2</w:t>
            </w:r>
            <w:r w:rsidRPr="008D3CD4">
              <w:rPr>
                <w:color w:val="0D0D0D" w:themeColor="text1" w:themeTint="F2"/>
                <w:spacing w:val="-4"/>
              </w:rPr>
              <w:t xml:space="preserve"> %) patřil k jediným průmyslovým oborům, jehož růst produkce nebyl </w:t>
            </w:r>
            <w:r>
              <w:rPr>
                <w:color w:val="0D0D0D" w:themeColor="text1" w:themeTint="F2"/>
                <w:spacing w:val="-4"/>
              </w:rPr>
              <w:t xml:space="preserve">dosud </w:t>
            </w:r>
            <w:r w:rsidRPr="008D3CD4">
              <w:rPr>
                <w:color w:val="0D0D0D" w:themeColor="text1" w:themeTint="F2"/>
                <w:spacing w:val="-4"/>
              </w:rPr>
              <w:t xml:space="preserve">po celé pandemické období přerušen. </w:t>
            </w:r>
          </w:p>
        </w:tc>
      </w:tr>
      <w:tr w:rsidR="00F052D2" w:rsidRPr="003C07E6" w14:paraId="60A46E0E" w14:textId="77777777" w:rsidTr="004149F4">
        <w:trPr>
          <w:trHeight w:val="145"/>
        </w:trPr>
        <w:tc>
          <w:tcPr>
            <w:tcW w:w="1747" w:type="dxa"/>
            <w:tcBorders>
              <w:top w:val="nil"/>
              <w:left w:val="nil"/>
              <w:bottom w:val="nil"/>
              <w:right w:val="nil"/>
            </w:tcBorders>
            <w:shd w:val="clear" w:color="auto" w:fill="auto"/>
            <w:tcMar>
              <w:left w:w="0" w:type="dxa"/>
            </w:tcMar>
          </w:tcPr>
          <w:p w14:paraId="03BDF6E9" w14:textId="77777777" w:rsidR="00F052D2" w:rsidRDefault="00F052D2" w:rsidP="004149F4">
            <w:pPr>
              <w:pStyle w:val="Marginlie"/>
            </w:pPr>
            <w:r>
              <w:t xml:space="preserve">Fyzická výroba automobilů se letos v létě přiblížila předkrizové úrovni. Využití výrobních kapacit ale za dlouhodobým průměrem stále zaostávalo. </w:t>
            </w:r>
          </w:p>
          <w:p w14:paraId="29B5F30F" w14:textId="77777777" w:rsidR="00F052D2" w:rsidRDefault="00F052D2" w:rsidP="004149F4">
            <w:pPr>
              <w:pStyle w:val="Marginlie"/>
            </w:pPr>
          </w:p>
          <w:p w14:paraId="443A3E14" w14:textId="77777777" w:rsidR="00F052D2" w:rsidRDefault="00F052D2" w:rsidP="004149F4">
            <w:pPr>
              <w:pStyle w:val="Marginlie"/>
            </w:pPr>
          </w:p>
          <w:p w14:paraId="096C6597" w14:textId="77777777" w:rsidR="00F052D2" w:rsidRDefault="00F052D2" w:rsidP="004149F4">
            <w:pPr>
              <w:pStyle w:val="Marginlie"/>
            </w:pPr>
          </w:p>
          <w:p w14:paraId="1E820542" w14:textId="77777777" w:rsidR="00F052D2" w:rsidRDefault="00F052D2" w:rsidP="004149F4">
            <w:pPr>
              <w:pStyle w:val="Marginlie"/>
            </w:pPr>
            <w:r>
              <w:t>Mírný růst produkce v elektrotechnickém i strojírenském průmyslu letos přetrvával.</w:t>
            </w:r>
          </w:p>
        </w:tc>
        <w:tc>
          <w:tcPr>
            <w:tcW w:w="212" w:type="dxa"/>
            <w:tcBorders>
              <w:top w:val="nil"/>
              <w:left w:val="nil"/>
              <w:bottom w:val="nil"/>
              <w:right w:val="nil"/>
            </w:tcBorders>
            <w:shd w:val="clear" w:color="auto" w:fill="auto"/>
            <w:tcMar>
              <w:left w:w="0" w:type="dxa"/>
            </w:tcMar>
          </w:tcPr>
          <w:p w14:paraId="7D107FAD"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CFF13B8" w14:textId="77777777" w:rsidR="00F052D2" w:rsidRPr="00E4073A" w:rsidRDefault="00F052D2" w:rsidP="004149F4">
            <w:pPr>
              <w:spacing w:after="200"/>
              <w:rPr>
                <w:color w:val="0D0D0D" w:themeColor="text1" w:themeTint="F2"/>
                <w:spacing w:val="-6"/>
              </w:rPr>
            </w:pPr>
            <w:r w:rsidRPr="00E4073A">
              <w:rPr>
                <w:spacing w:val="-6"/>
              </w:rPr>
              <w:t>P</w:t>
            </w:r>
            <w:r w:rsidRPr="00E4073A">
              <w:rPr>
                <w:color w:val="0D0D0D" w:themeColor="text1" w:themeTint="F2"/>
                <w:spacing w:val="-6"/>
              </w:rPr>
              <w:t xml:space="preserve">rodukce v klíčovém odvětví výroby motorových vozidel se za tři letošní čtvrtletí meziročně </w:t>
            </w:r>
            <w:r>
              <w:rPr>
                <w:color w:val="0D0D0D" w:themeColor="text1" w:themeTint="F2"/>
                <w:spacing w:val="-6"/>
              </w:rPr>
              <w:t>navýšila o 7,0</w:t>
            </w:r>
            <w:r w:rsidRPr="00E4073A">
              <w:rPr>
                <w:color w:val="0D0D0D" w:themeColor="text1" w:themeTint="F2"/>
                <w:spacing w:val="-6"/>
              </w:rPr>
              <w:t> %. Po částečném zmírnění napětí v dodavatelských řetězcích (u čipů či kabelových svazků) tak doháněli výrobci aut loňské ztráty. Pomohla k tomu silná poptávka související s obnovou firemního vozového parku (přerušenou během pandemie) i postupně se rozvíjející segment elektromobility – což dokládají i údaje o fyzické produkci</w:t>
            </w:r>
            <w:r w:rsidRPr="00E4073A">
              <w:rPr>
                <w:rStyle w:val="Znakapoznpodarou"/>
                <w:color w:val="0D0D0D" w:themeColor="text1" w:themeTint="F2"/>
                <w:spacing w:val="-6"/>
              </w:rPr>
              <w:footnoteReference w:id="23"/>
            </w:r>
            <w:r w:rsidRPr="00E4073A">
              <w:rPr>
                <w:color w:val="0D0D0D" w:themeColor="text1" w:themeTint="F2"/>
                <w:spacing w:val="-6"/>
              </w:rPr>
              <w:t>. Navzdory tomu zůstává situace v automobilovém průmyslu stále komplikovaná. Využití výrobních kapacit se zde již pátý kvartál v řadě pohybovalo znatelně pod dlouhodobým průměrem</w:t>
            </w:r>
            <w:r w:rsidRPr="00E4073A">
              <w:rPr>
                <w:rStyle w:val="Znakapoznpodarou"/>
                <w:color w:val="0D0D0D" w:themeColor="text1" w:themeTint="F2"/>
                <w:spacing w:val="-6"/>
              </w:rPr>
              <w:footnoteReference w:id="24"/>
            </w:r>
            <w:r w:rsidRPr="00E4073A">
              <w:rPr>
                <w:color w:val="0D0D0D" w:themeColor="text1" w:themeTint="F2"/>
                <w:spacing w:val="-6"/>
              </w:rPr>
              <w:t>. Nedostatek materiálu a zařízení deklarovalo letos v říjnu 85 % podniků v odvětví výroby motorových vozidel (v celém průmyslu rovněž vysokých 46 %)</w:t>
            </w:r>
            <w:r w:rsidRPr="00E4073A">
              <w:rPr>
                <w:rStyle w:val="Znakapoznpodarou"/>
                <w:color w:val="0D0D0D" w:themeColor="text1" w:themeTint="F2"/>
                <w:spacing w:val="-6"/>
              </w:rPr>
              <w:footnoteReference w:id="25"/>
            </w:r>
            <w:r w:rsidRPr="00E4073A">
              <w:rPr>
                <w:color w:val="0D0D0D" w:themeColor="text1" w:themeTint="F2"/>
                <w:spacing w:val="-6"/>
              </w:rPr>
              <w:t xml:space="preserve">. Situace v automobilovém průmyslu se promítla i do návazné výroby pryžových a plastových výrobků, v níž v 1. až </w:t>
            </w:r>
            <w:r>
              <w:rPr>
                <w:color w:val="0D0D0D" w:themeColor="text1" w:themeTint="F2"/>
                <w:spacing w:val="-6"/>
              </w:rPr>
              <w:br/>
            </w:r>
            <w:r w:rsidRPr="00E4073A">
              <w:rPr>
                <w:color w:val="0D0D0D" w:themeColor="text1" w:themeTint="F2"/>
                <w:spacing w:val="-6"/>
              </w:rPr>
              <w:t>3. čtvrtletí produkce</w:t>
            </w:r>
            <w:r>
              <w:rPr>
                <w:color w:val="0D0D0D" w:themeColor="text1" w:themeTint="F2"/>
                <w:spacing w:val="-6"/>
              </w:rPr>
              <w:t xml:space="preserve"> meziročně mírně poklesla (o 2,6</w:t>
            </w:r>
            <w:r w:rsidRPr="00E4073A">
              <w:rPr>
                <w:color w:val="0D0D0D" w:themeColor="text1" w:themeTint="F2"/>
                <w:spacing w:val="-6"/>
              </w:rPr>
              <w:t xml:space="preserve"> %). Naopak v diverzifikované výrobě elektrických zařízení výkon dále rostl</w:t>
            </w:r>
            <w:r>
              <w:rPr>
                <w:color w:val="0D0D0D" w:themeColor="text1" w:themeTint="F2"/>
                <w:spacing w:val="-6"/>
              </w:rPr>
              <w:t xml:space="preserve"> (+4,8</w:t>
            </w:r>
            <w:r w:rsidRPr="00E4073A">
              <w:rPr>
                <w:color w:val="0D0D0D" w:themeColor="text1" w:themeTint="F2"/>
                <w:spacing w:val="-6"/>
              </w:rPr>
              <w:t xml:space="preserve"> %), když byl podporován solidní poptávkou z tuzemska i zahraničí. Podobné platilo i pro váhově významný obor</w:t>
            </w:r>
            <w:r>
              <w:rPr>
                <w:color w:val="0D0D0D" w:themeColor="text1" w:themeTint="F2"/>
                <w:spacing w:val="-6"/>
              </w:rPr>
              <w:t xml:space="preserve"> strojírenství (+3,6 %). P</w:t>
            </w:r>
            <w:r w:rsidRPr="00E4073A">
              <w:rPr>
                <w:color w:val="0D0D0D" w:themeColor="text1" w:themeTint="F2"/>
                <w:spacing w:val="-6"/>
              </w:rPr>
              <w:t xml:space="preserve">rodukce </w:t>
            </w:r>
            <w:r>
              <w:rPr>
                <w:color w:val="0D0D0D" w:themeColor="text1" w:themeTint="F2"/>
                <w:spacing w:val="-6"/>
              </w:rPr>
              <w:t>se zde během léta téměř</w:t>
            </w:r>
            <w:r w:rsidRPr="00E4073A">
              <w:rPr>
                <w:color w:val="0D0D0D" w:themeColor="text1" w:themeTint="F2"/>
                <w:spacing w:val="-6"/>
              </w:rPr>
              <w:t xml:space="preserve"> dorovnal</w:t>
            </w:r>
            <w:r>
              <w:rPr>
                <w:color w:val="0D0D0D" w:themeColor="text1" w:themeTint="F2"/>
                <w:spacing w:val="-6"/>
              </w:rPr>
              <w:t>a úrovni</w:t>
            </w:r>
            <w:r w:rsidRPr="00E4073A">
              <w:rPr>
                <w:color w:val="0D0D0D" w:themeColor="text1" w:themeTint="F2"/>
                <w:spacing w:val="-6"/>
              </w:rPr>
              <w:t xml:space="preserve"> z vrcholu předpandemické konjunktury. K tomu pomohlo předchozí oživení investiční aktivity v tuzemské ekonomice i v eurozóně (údaje z 3. čtvrtletí naznačují, že investiční aktivita v Česku se zatím </w:t>
            </w:r>
            <w:r>
              <w:rPr>
                <w:color w:val="0D0D0D" w:themeColor="text1" w:themeTint="F2"/>
                <w:spacing w:val="-6"/>
              </w:rPr>
              <w:t xml:space="preserve">meziročně </w:t>
            </w:r>
            <w:r w:rsidRPr="00E4073A">
              <w:rPr>
                <w:color w:val="0D0D0D" w:themeColor="text1" w:themeTint="F2"/>
                <w:spacing w:val="-6"/>
              </w:rPr>
              <w:t xml:space="preserve">nesnižovala). </w:t>
            </w:r>
          </w:p>
        </w:tc>
      </w:tr>
      <w:tr w:rsidR="00F052D2" w:rsidRPr="003C07E6" w14:paraId="0C6370B9" w14:textId="77777777" w:rsidTr="004149F4">
        <w:trPr>
          <w:trHeight w:val="145"/>
        </w:trPr>
        <w:tc>
          <w:tcPr>
            <w:tcW w:w="1747" w:type="dxa"/>
            <w:tcBorders>
              <w:top w:val="nil"/>
              <w:left w:val="nil"/>
              <w:bottom w:val="nil"/>
              <w:right w:val="nil"/>
            </w:tcBorders>
            <w:shd w:val="clear" w:color="auto" w:fill="auto"/>
            <w:tcMar>
              <w:left w:w="0" w:type="dxa"/>
            </w:tcMar>
          </w:tcPr>
          <w:p w14:paraId="1F1F04CD" w14:textId="77777777" w:rsidR="00F052D2" w:rsidRDefault="00F052D2" w:rsidP="004149F4">
            <w:pPr>
              <w:pStyle w:val="Marginlie"/>
              <w:rPr>
                <w:spacing w:val="-4"/>
              </w:rPr>
            </w:pPr>
            <w:r>
              <w:rPr>
                <w:spacing w:val="-4"/>
              </w:rPr>
              <w:t>Produkce v energeticky náročných oborech hutnického, kovodělného i</w:t>
            </w:r>
            <w:r>
              <w:t> </w:t>
            </w:r>
            <w:r>
              <w:rPr>
                <w:spacing w:val="-4"/>
              </w:rPr>
              <w:t>chemického průmyslu se snižovala.</w:t>
            </w:r>
          </w:p>
          <w:p w14:paraId="0407EDAA" w14:textId="77777777" w:rsidR="00F052D2" w:rsidRDefault="00F052D2" w:rsidP="004149F4">
            <w:pPr>
              <w:pStyle w:val="Marginlie"/>
              <w:rPr>
                <w:spacing w:val="-4"/>
              </w:rPr>
            </w:pPr>
          </w:p>
          <w:p w14:paraId="3F354748" w14:textId="77777777" w:rsidR="00F052D2" w:rsidRDefault="00F052D2" w:rsidP="004149F4">
            <w:pPr>
              <w:pStyle w:val="Marginlie"/>
              <w:rPr>
                <w:spacing w:val="-4"/>
              </w:rPr>
            </w:pPr>
          </w:p>
          <w:p w14:paraId="79FC7BA8" w14:textId="77777777" w:rsidR="00F052D2" w:rsidRDefault="00F052D2" w:rsidP="004149F4">
            <w:pPr>
              <w:pStyle w:val="Marginlie"/>
            </w:pPr>
            <w:r>
              <w:rPr>
                <w:spacing w:val="-4"/>
              </w:rPr>
              <w:t>Slábnoucí spotřebitelská poptávka se odrazila také v nižší produkci potravinářského průmyslu.</w:t>
            </w:r>
          </w:p>
        </w:tc>
        <w:tc>
          <w:tcPr>
            <w:tcW w:w="212" w:type="dxa"/>
            <w:tcBorders>
              <w:top w:val="nil"/>
              <w:left w:val="nil"/>
              <w:bottom w:val="nil"/>
              <w:right w:val="nil"/>
            </w:tcBorders>
            <w:shd w:val="clear" w:color="auto" w:fill="auto"/>
            <w:tcMar>
              <w:left w:w="0" w:type="dxa"/>
            </w:tcMar>
          </w:tcPr>
          <w:p w14:paraId="6620C87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2B6DDB0" w14:textId="77777777" w:rsidR="00F052D2" w:rsidRPr="00C63719" w:rsidRDefault="00F052D2" w:rsidP="004149F4">
            <w:pPr>
              <w:spacing w:after="200"/>
              <w:rPr>
                <w:color w:val="0D0D0D" w:themeColor="text1" w:themeTint="F2"/>
                <w:spacing w:val="-5"/>
              </w:rPr>
            </w:pPr>
            <w:r>
              <w:rPr>
                <w:color w:val="0D0D0D" w:themeColor="text1" w:themeTint="F2"/>
                <w:spacing w:val="-4"/>
              </w:rPr>
              <w:t>Stále složitější situace panuje naopak v energeticky náročných odvětvích chemického, hutnického a kovodělného průmyslu. Po rychlém loňském zotavení, kdy výkon těchto oborů pod vlivem svižné poptávky z tuzemska i zahraničí vystoupal na předkrizovou úroveň, docházelo vlivem prudkého růstu cen vstupů (umocněného energetickou krizí) k útlumu. Ten byl obzvláště patrný v hutnictví, kde vinou slabé zahraniční poptávky produkce ve 3.</w:t>
            </w:r>
            <w:r>
              <w:rPr>
                <w:color w:val="0D0D0D" w:themeColor="text1" w:themeTint="F2"/>
                <w:spacing w:val="-5"/>
              </w:rPr>
              <w:t> </w:t>
            </w:r>
            <w:r>
              <w:rPr>
                <w:color w:val="0D0D0D" w:themeColor="text1" w:themeTint="F2"/>
                <w:spacing w:val="-4"/>
              </w:rPr>
              <w:t xml:space="preserve">čtvrtletí 2022 oproti předchozímu kvartálu propadla o více než desetinu. Řádově menší, ale rovněž významný pokles produkce zaznamenalo potravinářství. Jeho výkon se dosud mezikvartálně mírně snižoval po celý letošní rok, což souviselo s propadem spotřebitelské důvěry i s tržbami v maloobchodě. Produkce v potravinářském průmyslu zůstala i přesto letos ve 3. čtvrtletí velmi mírně nad úrovní konjunkturního roku 2019. Odlišné pozadí měl naopak útlum ve dřevozpracujícím průmyslu. K němu dochází vlivem částečného ústupu </w:t>
            </w:r>
            <w:r>
              <w:rPr>
                <w:color w:val="0D0D0D" w:themeColor="text1" w:themeTint="F2"/>
                <w:spacing w:val="-4"/>
              </w:rPr>
              <w:lastRenderedPageBreak/>
              <w:t>kůrovcové kalamity v</w:t>
            </w:r>
            <w:r>
              <w:rPr>
                <w:color w:val="0D0D0D" w:themeColor="text1" w:themeTint="F2"/>
                <w:spacing w:val="-5"/>
              </w:rPr>
              <w:t> </w:t>
            </w:r>
            <w:r>
              <w:rPr>
                <w:color w:val="0D0D0D" w:themeColor="text1" w:themeTint="F2"/>
                <w:spacing w:val="-4"/>
              </w:rPr>
              <w:t>meziročním pohledu již od poloviny loňského roku</w:t>
            </w:r>
            <w:r>
              <w:rPr>
                <w:rStyle w:val="Znakapoznpodarou"/>
                <w:color w:val="0D0D0D" w:themeColor="text1" w:themeTint="F2"/>
                <w:spacing w:val="-4"/>
              </w:rPr>
              <w:footnoteReference w:id="26"/>
            </w:r>
            <w:r>
              <w:rPr>
                <w:color w:val="0D0D0D" w:themeColor="text1" w:themeTint="F2"/>
                <w:spacing w:val="-4"/>
              </w:rPr>
              <w:t xml:space="preserve"> a v úhrnu za tři letošní čtvrtletí činil 9,4 %. Výkon návazných oborů – papírenství a</w:t>
            </w:r>
            <w:r>
              <w:rPr>
                <w:color w:val="0D0D0D" w:themeColor="text1" w:themeTint="F2"/>
                <w:spacing w:val="-5"/>
              </w:rPr>
              <w:t> </w:t>
            </w:r>
            <w:r>
              <w:rPr>
                <w:color w:val="0D0D0D" w:themeColor="text1" w:themeTint="F2"/>
                <w:spacing w:val="-4"/>
              </w:rPr>
              <w:t>nábytkářství – působením setrvačnosti ale stále mírně rostl, během léta se ovšem i zde začala projevovat slábnoucí poptávka.</w:t>
            </w:r>
          </w:p>
        </w:tc>
      </w:tr>
      <w:tr w:rsidR="00F052D2" w:rsidRPr="00F704D2" w14:paraId="6E25643B" w14:textId="77777777" w:rsidTr="004149F4">
        <w:trPr>
          <w:trHeight w:val="170"/>
        </w:trPr>
        <w:tc>
          <w:tcPr>
            <w:tcW w:w="1747" w:type="dxa"/>
            <w:vMerge w:val="restart"/>
            <w:tcBorders>
              <w:top w:val="nil"/>
              <w:left w:val="nil"/>
              <w:bottom w:val="nil"/>
              <w:right w:val="nil"/>
            </w:tcBorders>
            <w:shd w:val="clear" w:color="auto" w:fill="auto"/>
            <w:tcMar>
              <w:left w:w="0" w:type="dxa"/>
            </w:tcMar>
          </w:tcPr>
          <w:p w14:paraId="5DE81D21"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2CB27679"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577C09F" w14:textId="77777777" w:rsidR="00F052D2" w:rsidRPr="00A92514" w:rsidRDefault="00F052D2" w:rsidP="004149F4">
            <w:pPr>
              <w:spacing w:after="0"/>
              <w:rPr>
                <w:spacing w:val="-4"/>
              </w:rPr>
            </w:pPr>
            <w:r w:rsidRPr="008E64D7">
              <w:rPr>
                <w:rFonts w:cs="Arial"/>
                <w:b/>
                <w:bCs/>
                <w:color w:val="000000"/>
                <w:szCs w:val="20"/>
              </w:rPr>
              <w:t xml:space="preserve">Graf č. 4 </w:t>
            </w:r>
            <w:r w:rsidRPr="008E64D7">
              <w:rPr>
                <w:b/>
              </w:rPr>
              <w:t>Příspěvky dílčích odvětví k meziroční změně průmyslové produkce</w:t>
            </w:r>
            <w:r w:rsidRPr="008E64D7">
              <w:rPr>
                <w:b/>
              </w:rPr>
              <w:br/>
            </w:r>
            <w:r w:rsidRPr="008E64D7">
              <w:t xml:space="preserve">(očištěno o kalendářní vlivy, reálně, v p. b.) </w:t>
            </w:r>
            <w:r w:rsidRPr="008E64D7">
              <w:rPr>
                <w:b/>
              </w:rPr>
              <w:t xml:space="preserve">a tržby* i produkce v celém průmyslu </w:t>
            </w:r>
            <w:r w:rsidRPr="008E64D7">
              <w:t>(sezónně očištěno, úroveň roku 2015=100, pravá osa)</w:t>
            </w:r>
          </w:p>
        </w:tc>
      </w:tr>
      <w:tr w:rsidR="00F052D2" w14:paraId="3DF90031" w14:textId="77777777" w:rsidTr="004149F4">
        <w:tblPrEx>
          <w:tblCellMar>
            <w:left w:w="70" w:type="dxa"/>
            <w:right w:w="70" w:type="dxa"/>
          </w:tblCellMar>
        </w:tblPrEx>
        <w:trPr>
          <w:trHeight w:val="170"/>
        </w:trPr>
        <w:tc>
          <w:tcPr>
            <w:tcW w:w="1747" w:type="dxa"/>
            <w:vMerge/>
            <w:tcBorders>
              <w:top w:val="nil"/>
              <w:left w:val="nil"/>
              <w:bottom w:val="nil"/>
              <w:right w:val="nil"/>
            </w:tcBorders>
            <w:shd w:val="clear" w:color="auto" w:fill="auto"/>
          </w:tcPr>
          <w:p w14:paraId="2B832EC9"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62A69887"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2C366622" w14:textId="77777777" w:rsidR="00F052D2" w:rsidRPr="0067514E" w:rsidRDefault="00F052D2" w:rsidP="004149F4">
            <w:pPr>
              <w:spacing w:after="0"/>
              <w:rPr>
                <w:spacing w:val="-6"/>
              </w:rPr>
            </w:pPr>
            <w:r>
              <w:rPr>
                <w:noProof/>
              </w:rPr>
              <w:drawing>
                <wp:inline distT="0" distB="0" distL="0" distR="0" wp14:anchorId="30EB2BE5" wp14:editId="48FFC22A">
                  <wp:extent cx="4600332" cy="3413371"/>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052D2" w:rsidRPr="007B3A78" w14:paraId="1E512DB4" w14:textId="77777777" w:rsidTr="004149F4">
        <w:trPr>
          <w:trHeight w:val="170"/>
        </w:trPr>
        <w:tc>
          <w:tcPr>
            <w:tcW w:w="1747" w:type="dxa"/>
            <w:vMerge/>
            <w:tcBorders>
              <w:top w:val="nil"/>
              <w:left w:val="nil"/>
              <w:bottom w:val="nil"/>
              <w:right w:val="nil"/>
            </w:tcBorders>
            <w:shd w:val="clear" w:color="auto" w:fill="auto"/>
            <w:tcMar>
              <w:left w:w="0" w:type="dxa"/>
            </w:tcMar>
          </w:tcPr>
          <w:p w14:paraId="1489297A"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6D08E058"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8938490" w14:textId="77777777" w:rsidR="00F052D2" w:rsidRPr="00E52D45" w:rsidRDefault="00F052D2" w:rsidP="004149F4">
            <w:pPr>
              <w:tabs>
                <w:tab w:val="right" w:pos="7683"/>
              </w:tabs>
              <w:spacing w:line="240" w:lineRule="auto"/>
              <w:jc w:val="left"/>
              <w:rPr>
                <w:spacing w:val="-2"/>
                <w:sz w:val="14"/>
                <w:szCs w:val="14"/>
              </w:rPr>
            </w:pPr>
            <w:r>
              <w:rPr>
                <w:rFonts w:cs="Arial"/>
                <w:sz w:val="14"/>
                <w:szCs w:val="14"/>
              </w:rPr>
              <w:t xml:space="preserve">Poznámka: Tržby jsou uvedeny v běžných cenách. </w:t>
            </w:r>
            <w:r>
              <w:rPr>
                <w:rFonts w:cs="Arial"/>
                <w:sz w:val="14"/>
                <w:szCs w:val="14"/>
              </w:rPr>
              <w:tab/>
              <w:t xml:space="preserve"> </w:t>
            </w:r>
            <w:r w:rsidRPr="00883202">
              <w:rPr>
                <w:rFonts w:cs="Arial"/>
                <w:sz w:val="14"/>
                <w:szCs w:val="14"/>
              </w:rPr>
              <w:t>Zdroj: ČSÚ</w:t>
            </w:r>
          </w:p>
        </w:tc>
      </w:tr>
      <w:tr w:rsidR="00F052D2" w:rsidRPr="007B3A78" w14:paraId="1131E046" w14:textId="77777777" w:rsidTr="004149F4">
        <w:trPr>
          <w:trHeight w:val="170"/>
        </w:trPr>
        <w:tc>
          <w:tcPr>
            <w:tcW w:w="1747" w:type="dxa"/>
            <w:tcBorders>
              <w:top w:val="nil"/>
              <w:left w:val="nil"/>
              <w:bottom w:val="nil"/>
              <w:right w:val="nil"/>
            </w:tcBorders>
            <w:shd w:val="clear" w:color="auto" w:fill="auto"/>
            <w:tcMar>
              <w:left w:w="0" w:type="dxa"/>
            </w:tcMar>
          </w:tcPr>
          <w:p w14:paraId="2B531E5F" w14:textId="77777777" w:rsidR="00F052D2" w:rsidRDefault="00F052D2" w:rsidP="004149F4">
            <w:pPr>
              <w:pStyle w:val="Marginlie"/>
              <w:rPr>
                <w:spacing w:val="-4"/>
              </w:rPr>
            </w:pPr>
            <w:r>
              <w:rPr>
                <w:spacing w:val="-4"/>
              </w:rPr>
              <w:t>Produkce v těžbě uhlí ve 3. čtvrtletí rekordně vzrostla.</w:t>
            </w:r>
          </w:p>
          <w:p w14:paraId="2EC0DD08" w14:textId="77777777" w:rsidR="00F052D2" w:rsidRDefault="00F052D2" w:rsidP="004149F4">
            <w:pPr>
              <w:pStyle w:val="Marginlie"/>
              <w:rPr>
                <w:spacing w:val="-4"/>
              </w:rPr>
            </w:pPr>
          </w:p>
          <w:p w14:paraId="37EC506D" w14:textId="77777777" w:rsidR="00F052D2" w:rsidRDefault="00F052D2" w:rsidP="004149F4">
            <w:pPr>
              <w:pStyle w:val="Marginlie"/>
              <w:rPr>
                <w:spacing w:val="-4"/>
              </w:rPr>
            </w:pPr>
          </w:p>
          <w:p w14:paraId="7FD63B3D" w14:textId="77777777" w:rsidR="00F052D2" w:rsidRDefault="00F052D2" w:rsidP="004149F4">
            <w:pPr>
              <w:pStyle w:val="Marginlie"/>
              <w:rPr>
                <w:spacing w:val="-4"/>
              </w:rPr>
            </w:pPr>
          </w:p>
          <w:p w14:paraId="58AB849A" w14:textId="77777777" w:rsidR="00F052D2" w:rsidRDefault="00F052D2" w:rsidP="004149F4">
            <w:pPr>
              <w:pStyle w:val="Marginlie"/>
              <w:rPr>
                <w:spacing w:val="-4"/>
              </w:rPr>
            </w:pPr>
          </w:p>
          <w:p w14:paraId="470AE215" w14:textId="77777777" w:rsidR="00F052D2" w:rsidRDefault="00F052D2" w:rsidP="004149F4">
            <w:pPr>
              <w:pStyle w:val="Marginlie"/>
              <w:rPr>
                <w:spacing w:val="-4"/>
              </w:rPr>
            </w:pPr>
          </w:p>
          <w:p w14:paraId="07902D2E" w14:textId="77777777" w:rsidR="00F052D2" w:rsidRDefault="00F052D2" w:rsidP="004149F4">
            <w:pPr>
              <w:pStyle w:val="Marginlie"/>
              <w:rPr>
                <w:spacing w:val="-4"/>
              </w:rPr>
            </w:pPr>
            <w:r>
              <w:rPr>
                <w:spacing w:val="-4"/>
              </w:rPr>
              <w:t xml:space="preserve">Produkce v energetice za tři čtvrtletí navzdory nižší srovnávací základně stagnovala. Projevovala se </w:t>
            </w:r>
            <w:r w:rsidRPr="00052ADA">
              <w:rPr>
                <w:color w:val="0D0D0D" w:themeColor="text1" w:themeTint="F2"/>
                <w:spacing w:val="-4"/>
              </w:rPr>
              <w:t xml:space="preserve">slabší poptávka po plynu i teplu vlivem </w:t>
            </w:r>
            <w:r>
              <w:rPr>
                <w:color w:val="0D0D0D" w:themeColor="text1" w:themeTint="F2"/>
                <w:spacing w:val="-4"/>
              </w:rPr>
              <w:t>počasí i úspor v domácnostech a</w:t>
            </w:r>
            <w:r w:rsidRPr="00052ADA">
              <w:rPr>
                <w:color w:val="0D0D0D" w:themeColor="text1" w:themeTint="F2"/>
                <w:spacing w:val="-4"/>
              </w:rPr>
              <w:t> podnicích.</w:t>
            </w:r>
          </w:p>
        </w:tc>
        <w:tc>
          <w:tcPr>
            <w:tcW w:w="212" w:type="dxa"/>
            <w:tcBorders>
              <w:top w:val="nil"/>
              <w:left w:val="nil"/>
              <w:bottom w:val="nil"/>
              <w:right w:val="nil"/>
            </w:tcBorders>
            <w:shd w:val="clear" w:color="auto" w:fill="auto"/>
            <w:tcMar>
              <w:left w:w="0" w:type="dxa"/>
            </w:tcMar>
          </w:tcPr>
          <w:p w14:paraId="4121E041"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BA4ED56" w14:textId="77777777" w:rsidR="00F052D2" w:rsidRPr="00F46CAE" w:rsidRDefault="00F052D2" w:rsidP="004149F4">
            <w:pPr>
              <w:spacing w:after="200"/>
              <w:rPr>
                <w:color w:val="0D0D0D" w:themeColor="text1" w:themeTint="F2"/>
                <w:spacing w:val="-4"/>
              </w:rPr>
            </w:pPr>
            <w:r>
              <w:rPr>
                <w:color w:val="0D0D0D" w:themeColor="text1" w:themeTint="F2"/>
                <w:spacing w:val="-4"/>
              </w:rPr>
              <w:t xml:space="preserve">Situaci v nezpracovatelských průmyslových odvětvích letos výrazně ovlivnil energetický šok spjatý s ekonomickými dopady války na Ukrajině. Neočekávaný výpadek dodávek ruského </w:t>
            </w:r>
            <w:r w:rsidRPr="00E951D7">
              <w:rPr>
                <w:color w:val="0D0D0D" w:themeColor="text1" w:themeTint="F2"/>
                <w:spacing w:val="-5"/>
              </w:rPr>
              <w:t>plynu otřásl relativně ustáleným energetickým mixem v řadě evropských ekonomik a přerušil</w:t>
            </w:r>
            <w:r>
              <w:rPr>
                <w:color w:val="0D0D0D" w:themeColor="text1" w:themeTint="F2"/>
                <w:spacing w:val="-4"/>
              </w:rPr>
              <w:t xml:space="preserve"> některé dlouhodobé trendy v poptávce po důležitých komoditách. </w:t>
            </w:r>
            <w:r w:rsidRPr="0023321C">
              <w:rPr>
                <w:color w:val="0D0D0D" w:themeColor="text1" w:themeTint="F2"/>
                <w:spacing w:val="-4"/>
              </w:rPr>
              <w:t>Produkce v dlouh</w:t>
            </w:r>
            <w:r>
              <w:rPr>
                <w:color w:val="0D0D0D" w:themeColor="text1" w:themeTint="F2"/>
                <w:spacing w:val="-4"/>
              </w:rPr>
              <w:t xml:space="preserve">odobě útlumovém tuzemském odvětví </w:t>
            </w:r>
            <w:r w:rsidRPr="00F46CAE">
              <w:rPr>
                <w:color w:val="0D0D0D" w:themeColor="text1" w:themeTint="F2"/>
                <w:spacing w:val="-4"/>
              </w:rPr>
              <w:t xml:space="preserve">těžby a dobývání </w:t>
            </w:r>
            <w:r>
              <w:rPr>
                <w:color w:val="0D0D0D" w:themeColor="text1" w:themeTint="F2"/>
                <w:spacing w:val="-4"/>
              </w:rPr>
              <w:t>se od ledna do září meziročně zvýšila o rekordních 5,1 % (a navázala n</w:t>
            </w:r>
            <w:r w:rsidRPr="0023321C">
              <w:rPr>
                <w:color w:val="0D0D0D" w:themeColor="text1" w:themeTint="F2"/>
                <w:spacing w:val="-4"/>
              </w:rPr>
              <w:t>a růst z 2. </w:t>
            </w:r>
            <w:r>
              <w:rPr>
                <w:color w:val="0D0D0D" w:themeColor="text1" w:themeTint="F2"/>
                <w:spacing w:val="-4"/>
              </w:rPr>
              <w:t>pololetí 2021). Zatímco v těžbě stavebních materiálů se vlivem situace ve stavebnictví postupně projevovalo oslabování poptávky (ve 2. i 3. čtvrtletí tak produkce klesala), v dominantním segmentu těžby uhlí růst produkce naopak sílil (ve 3. čtvrtletí meziročně na bezprecedentních 21,6 %). Produkce v odvětví energetiky v 1. až 3. čtvrtletí stagnovala (v samotném 2. i 3. čtvrtletí 2022 ovšem mírně rostla) navzdory snížené srovnávací základně (významné</w:t>
            </w:r>
            <w:r w:rsidRPr="0023321C">
              <w:rPr>
                <w:color w:val="0D0D0D" w:themeColor="text1" w:themeTint="F2"/>
                <w:spacing w:val="-4"/>
              </w:rPr>
              <w:t xml:space="preserve"> omezen</w:t>
            </w:r>
            <w:r>
              <w:rPr>
                <w:color w:val="0D0D0D" w:themeColor="text1" w:themeTint="F2"/>
                <w:spacing w:val="-4"/>
              </w:rPr>
              <w:t>í</w:t>
            </w:r>
            <w:r w:rsidRPr="0023321C">
              <w:rPr>
                <w:color w:val="0D0D0D" w:themeColor="text1" w:themeTint="F2"/>
                <w:spacing w:val="-4"/>
              </w:rPr>
              <w:t xml:space="preserve"> chod</w:t>
            </w:r>
            <w:r>
              <w:rPr>
                <w:color w:val="0D0D0D" w:themeColor="text1" w:themeTint="F2"/>
                <w:spacing w:val="-4"/>
              </w:rPr>
              <w:t>u</w:t>
            </w:r>
            <w:r w:rsidRPr="0023321C">
              <w:rPr>
                <w:color w:val="0D0D0D" w:themeColor="text1" w:themeTint="F2"/>
                <w:spacing w:val="-4"/>
              </w:rPr>
              <w:t xml:space="preserve"> řady prov</w:t>
            </w:r>
            <w:r>
              <w:rPr>
                <w:color w:val="0D0D0D" w:themeColor="text1" w:themeTint="F2"/>
                <w:spacing w:val="-4"/>
              </w:rPr>
              <w:t xml:space="preserve">ozoven maloobchodu a služeb </w:t>
            </w:r>
            <w:r w:rsidRPr="0023321C">
              <w:rPr>
                <w:color w:val="0D0D0D" w:themeColor="text1" w:themeTint="F2"/>
                <w:spacing w:val="-4"/>
              </w:rPr>
              <w:t>loni od</w:t>
            </w:r>
            <w:r>
              <w:rPr>
                <w:color w:val="0D0D0D" w:themeColor="text1" w:themeTint="F2"/>
                <w:spacing w:val="-4"/>
              </w:rPr>
              <w:t xml:space="preserve"> ledna do dubna bylo spojeno se slabší spotřebou elektřiny). Spotřeba</w:t>
            </w:r>
            <w:r w:rsidRPr="0023321C">
              <w:rPr>
                <w:color w:val="0D0D0D" w:themeColor="text1" w:themeTint="F2"/>
                <w:spacing w:val="-4"/>
              </w:rPr>
              <w:t xml:space="preserve"> plyn</w:t>
            </w:r>
            <w:r>
              <w:rPr>
                <w:color w:val="0D0D0D" w:themeColor="text1" w:themeTint="F2"/>
                <w:spacing w:val="-4"/>
              </w:rPr>
              <w:t>u i vyrobeného tepla se významně snížila (vlivem</w:t>
            </w:r>
            <w:r w:rsidRPr="0023321C">
              <w:rPr>
                <w:color w:val="0D0D0D" w:themeColor="text1" w:themeTint="F2"/>
                <w:spacing w:val="-4"/>
              </w:rPr>
              <w:t xml:space="preserve"> nadprůměrných teplot v zimních m</w:t>
            </w:r>
            <w:r>
              <w:rPr>
                <w:color w:val="0D0D0D" w:themeColor="text1" w:themeTint="F2"/>
                <w:spacing w:val="-4"/>
              </w:rPr>
              <w:t>ěsících i úspor v domácnostech a </w:t>
            </w:r>
            <w:r w:rsidRPr="0023321C">
              <w:rPr>
                <w:color w:val="0D0D0D" w:themeColor="text1" w:themeTint="F2"/>
                <w:spacing w:val="-4"/>
              </w:rPr>
              <w:t>podnicích)</w:t>
            </w:r>
            <w:r w:rsidRPr="0023321C">
              <w:rPr>
                <w:rStyle w:val="Znakapoznpodarou"/>
                <w:color w:val="0D0D0D" w:themeColor="text1" w:themeTint="F2"/>
                <w:spacing w:val="-4"/>
              </w:rPr>
              <w:footnoteReference w:id="27"/>
            </w:r>
            <w:r>
              <w:rPr>
                <w:color w:val="0D0D0D" w:themeColor="text1" w:themeTint="F2"/>
                <w:spacing w:val="-4"/>
              </w:rPr>
              <w:t xml:space="preserve">. Množství vyrobené </w:t>
            </w:r>
            <w:r w:rsidRPr="0023321C">
              <w:rPr>
                <w:color w:val="0D0D0D" w:themeColor="text1" w:themeTint="F2"/>
                <w:spacing w:val="-4"/>
              </w:rPr>
              <w:t>elektřiny</w:t>
            </w:r>
            <w:r>
              <w:rPr>
                <w:color w:val="0D0D0D" w:themeColor="text1" w:themeTint="F2"/>
                <w:spacing w:val="-4"/>
              </w:rPr>
              <w:t xml:space="preserve"> naopak meziročně mírně vzrostlo</w:t>
            </w:r>
            <w:r w:rsidRPr="0023321C">
              <w:rPr>
                <w:rStyle w:val="Znakapoznpodarou"/>
                <w:color w:val="0D0D0D" w:themeColor="text1" w:themeTint="F2"/>
                <w:spacing w:val="-4"/>
              </w:rPr>
              <w:footnoteReference w:id="28"/>
            </w:r>
            <w:r w:rsidRPr="0023321C">
              <w:rPr>
                <w:color w:val="0D0D0D" w:themeColor="text1" w:themeTint="F2"/>
                <w:spacing w:val="-4"/>
              </w:rPr>
              <w:t>.</w:t>
            </w:r>
          </w:p>
        </w:tc>
      </w:tr>
      <w:tr w:rsidR="00F052D2" w:rsidRPr="007B3A78" w14:paraId="01B8F308" w14:textId="77777777" w:rsidTr="004149F4">
        <w:trPr>
          <w:trHeight w:val="170"/>
        </w:trPr>
        <w:tc>
          <w:tcPr>
            <w:tcW w:w="1747" w:type="dxa"/>
            <w:tcBorders>
              <w:top w:val="nil"/>
              <w:left w:val="nil"/>
              <w:bottom w:val="nil"/>
              <w:right w:val="nil"/>
            </w:tcBorders>
            <w:shd w:val="clear" w:color="auto" w:fill="auto"/>
            <w:tcMar>
              <w:left w:w="0" w:type="dxa"/>
            </w:tcMar>
          </w:tcPr>
          <w:p w14:paraId="4175A3B6" w14:textId="77777777" w:rsidR="00F052D2" w:rsidRDefault="00F052D2" w:rsidP="004149F4">
            <w:pPr>
              <w:pStyle w:val="Marginlie"/>
            </w:pPr>
            <w:r>
              <w:rPr>
                <w:color w:val="0D0D0D" w:themeColor="text1" w:themeTint="F2"/>
              </w:rPr>
              <w:lastRenderedPageBreak/>
              <w:t>Růst tržeb podniků z průmyslové činnosti sílil zejména vlivem vyšších cen energií, surovin a dalších meziproduktů.</w:t>
            </w:r>
          </w:p>
        </w:tc>
        <w:tc>
          <w:tcPr>
            <w:tcW w:w="212" w:type="dxa"/>
            <w:tcBorders>
              <w:top w:val="nil"/>
              <w:left w:val="nil"/>
              <w:bottom w:val="nil"/>
              <w:right w:val="nil"/>
            </w:tcBorders>
            <w:shd w:val="clear" w:color="auto" w:fill="auto"/>
            <w:tcMar>
              <w:left w:w="0" w:type="dxa"/>
            </w:tcMar>
          </w:tcPr>
          <w:p w14:paraId="5916657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B406D96" w14:textId="77777777" w:rsidR="00F052D2" w:rsidRDefault="00F052D2" w:rsidP="004149F4">
            <w:pPr>
              <w:spacing w:after="200"/>
              <w:rPr>
                <w:color w:val="0D0D0D" w:themeColor="text1" w:themeTint="F2"/>
                <w:spacing w:val="-5"/>
              </w:rPr>
            </w:pPr>
            <w:r w:rsidRPr="009E6A58">
              <w:rPr>
                <w:rFonts w:cs="Arial"/>
                <w:bCs/>
                <w:color w:val="0D0D0D" w:themeColor="text1" w:themeTint="F2"/>
                <w:spacing w:val="-5"/>
                <w:szCs w:val="20"/>
              </w:rPr>
              <w:t xml:space="preserve">Nominální tržby průmyslových </w:t>
            </w:r>
            <w:r w:rsidRPr="00030362">
              <w:rPr>
                <w:rFonts w:cs="Arial"/>
                <w:bCs/>
                <w:color w:val="0D0D0D" w:themeColor="text1" w:themeTint="F2"/>
                <w:spacing w:val="-5"/>
                <w:szCs w:val="20"/>
              </w:rPr>
              <w:t>podniků</w:t>
            </w:r>
            <w:r w:rsidRPr="00030362">
              <w:rPr>
                <w:rStyle w:val="Znakapoznpodarou"/>
                <w:bCs/>
                <w:color w:val="0D0D0D" w:themeColor="text1" w:themeTint="F2"/>
                <w:spacing w:val="-5"/>
                <w:szCs w:val="20"/>
              </w:rPr>
              <w:footnoteReference w:id="29"/>
            </w:r>
            <w:r>
              <w:rPr>
                <w:rFonts w:cs="Arial"/>
                <w:bCs/>
                <w:color w:val="0D0D0D" w:themeColor="text1" w:themeTint="F2"/>
                <w:spacing w:val="-5"/>
                <w:szCs w:val="20"/>
              </w:rPr>
              <w:t xml:space="preserve"> letos výrazně zrychlovaly svůj růst. V posledním loňském kvartálu se zvyšovaly meziročně o střídmých 3,2 % (tržby z přímého vývozu dokonce nepatrně klesaly), ve 3. čtvrtletí 2022 již o 22,9 %. K této akceleraci zásadně přispěly tržby v energetice, jež byly letos v létě oproti loňsku téměř dvojnásobné. Sílící</w:t>
            </w:r>
            <w:r w:rsidRPr="00030362">
              <w:rPr>
                <w:rFonts w:cs="Arial"/>
                <w:bCs/>
                <w:color w:val="0D0D0D" w:themeColor="text1" w:themeTint="F2"/>
                <w:spacing w:val="-5"/>
                <w:szCs w:val="20"/>
              </w:rPr>
              <w:t xml:space="preserve"> </w:t>
            </w:r>
            <w:r>
              <w:rPr>
                <w:rFonts w:cs="Arial"/>
                <w:bCs/>
                <w:color w:val="0D0D0D" w:themeColor="text1" w:themeTint="F2"/>
                <w:spacing w:val="-5"/>
                <w:szCs w:val="20"/>
              </w:rPr>
              <w:t>ceny vstupů, které</w:t>
            </w:r>
            <w:r w:rsidRPr="00030362">
              <w:rPr>
                <w:rFonts w:cs="Arial"/>
                <w:bCs/>
                <w:color w:val="0D0D0D" w:themeColor="text1" w:themeTint="F2"/>
                <w:spacing w:val="-5"/>
                <w:szCs w:val="20"/>
              </w:rPr>
              <w:t xml:space="preserve"> podniky promítají do svých finálních produktů</w:t>
            </w:r>
            <w:r>
              <w:rPr>
                <w:rFonts w:cs="Arial"/>
                <w:bCs/>
                <w:color w:val="0D0D0D" w:themeColor="text1" w:themeTint="F2"/>
                <w:spacing w:val="-5"/>
                <w:szCs w:val="20"/>
              </w:rPr>
              <w:t>, ve 3. čtvrtletí zásadně přispěly ke svižnému navýšení tržeb také v těžbě a dobývání (na 33 %), v papírenském (25 %), chemickém a</w:t>
            </w:r>
            <w:r w:rsidRPr="00030362">
              <w:rPr>
                <w:rFonts w:cs="Arial"/>
                <w:bCs/>
                <w:color w:val="0D0D0D" w:themeColor="text1" w:themeTint="F2"/>
                <w:spacing w:val="-5"/>
                <w:szCs w:val="20"/>
              </w:rPr>
              <w:t> </w:t>
            </w:r>
            <w:r>
              <w:rPr>
                <w:rFonts w:cs="Arial"/>
                <w:bCs/>
                <w:color w:val="0D0D0D" w:themeColor="text1" w:themeTint="F2"/>
                <w:spacing w:val="-5"/>
                <w:szCs w:val="20"/>
              </w:rPr>
              <w:t>potravinářském průmyslu (shodně 21 %), ve výrobě stavebních hmot (17 %) či kovodělném průmyslu (13 %). Naopak vyšší tržby ve výrazně proexportní výrobě motorových vozidel (+40 %), podobně jako ve farmacii (+23 %), souvisely primárně s vyšším odbytem a cenový posun byl zde dosud umírněný. Ani silný cenový růst nezabránil tomu, že tržby dřevozpracujícího i nábytkářského průmyslu mírně poklesly.</w:t>
            </w:r>
          </w:p>
        </w:tc>
      </w:tr>
      <w:tr w:rsidR="00F052D2" w:rsidRPr="007B3A78" w14:paraId="381DAC6F" w14:textId="77777777" w:rsidTr="004149F4">
        <w:trPr>
          <w:trHeight w:val="170"/>
        </w:trPr>
        <w:tc>
          <w:tcPr>
            <w:tcW w:w="1747" w:type="dxa"/>
            <w:tcBorders>
              <w:top w:val="nil"/>
              <w:left w:val="nil"/>
              <w:bottom w:val="nil"/>
              <w:right w:val="nil"/>
            </w:tcBorders>
            <w:shd w:val="clear" w:color="auto" w:fill="auto"/>
            <w:tcMar>
              <w:left w:w="0" w:type="dxa"/>
            </w:tcMar>
          </w:tcPr>
          <w:p w14:paraId="2F501DB9" w14:textId="77777777" w:rsidR="00F052D2" w:rsidRDefault="00F052D2" w:rsidP="004149F4">
            <w:pPr>
              <w:pStyle w:val="Marginlie"/>
            </w:pPr>
            <w:r>
              <w:t xml:space="preserve">Růst hodnoty nových průmyslových zakázek od počátku roku zaostával za </w:t>
            </w:r>
            <w:r>
              <w:br/>
              <w:t xml:space="preserve">dynamikou </w:t>
            </w:r>
            <w:proofErr w:type="gramStart"/>
            <w:r>
              <w:t>tržeb..</w:t>
            </w:r>
            <w:proofErr w:type="gramEnd"/>
          </w:p>
        </w:tc>
        <w:tc>
          <w:tcPr>
            <w:tcW w:w="212" w:type="dxa"/>
            <w:tcBorders>
              <w:top w:val="nil"/>
              <w:left w:val="nil"/>
              <w:bottom w:val="nil"/>
              <w:right w:val="nil"/>
            </w:tcBorders>
            <w:shd w:val="clear" w:color="auto" w:fill="auto"/>
            <w:tcMar>
              <w:left w:w="0" w:type="dxa"/>
            </w:tcMar>
          </w:tcPr>
          <w:p w14:paraId="2F91154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BEB2CAC" w14:textId="77777777" w:rsidR="00F052D2" w:rsidRPr="00F344B0" w:rsidRDefault="00F052D2" w:rsidP="004149F4">
            <w:pPr>
              <w:spacing w:after="200"/>
              <w:rPr>
                <w:color w:val="0D0D0D" w:themeColor="text1" w:themeTint="F2"/>
                <w:spacing w:val="-5"/>
              </w:rPr>
            </w:pPr>
            <w:r>
              <w:rPr>
                <w:color w:val="0D0D0D" w:themeColor="text1" w:themeTint="F2"/>
                <w:spacing w:val="-5"/>
              </w:rPr>
              <w:t>R</w:t>
            </w:r>
            <w:r w:rsidRPr="00030362">
              <w:rPr>
                <w:color w:val="0D0D0D" w:themeColor="text1" w:themeTint="F2"/>
                <w:spacing w:val="-5"/>
              </w:rPr>
              <w:t xml:space="preserve">ůst </w:t>
            </w:r>
            <w:r>
              <w:rPr>
                <w:color w:val="0D0D0D" w:themeColor="text1" w:themeTint="F2"/>
                <w:spacing w:val="-5"/>
              </w:rPr>
              <w:t xml:space="preserve">nominální </w:t>
            </w:r>
            <w:r w:rsidRPr="00030362">
              <w:rPr>
                <w:color w:val="0D0D0D" w:themeColor="text1" w:themeTint="F2"/>
                <w:spacing w:val="-5"/>
              </w:rPr>
              <w:t xml:space="preserve">hodnoty </w:t>
            </w:r>
            <w:r w:rsidRPr="00F344B0">
              <w:rPr>
                <w:color w:val="0D0D0D" w:themeColor="text1" w:themeTint="F2"/>
                <w:spacing w:val="-5"/>
              </w:rPr>
              <w:t xml:space="preserve">nových zakázek ve vybraných </w:t>
            </w:r>
            <w:r w:rsidRPr="00030362">
              <w:rPr>
                <w:color w:val="0D0D0D" w:themeColor="text1" w:themeTint="F2"/>
                <w:spacing w:val="-5"/>
              </w:rPr>
              <w:t>průmyslových odvětvích</w:t>
            </w:r>
            <w:r w:rsidRPr="00030362">
              <w:rPr>
                <w:rStyle w:val="Znakapoznpodarou"/>
                <w:color w:val="0D0D0D" w:themeColor="text1" w:themeTint="F2"/>
                <w:spacing w:val="-5"/>
              </w:rPr>
              <w:footnoteReference w:id="30"/>
            </w:r>
            <w:r>
              <w:rPr>
                <w:color w:val="0D0D0D" w:themeColor="text1" w:themeTint="F2"/>
                <w:spacing w:val="-5"/>
              </w:rPr>
              <w:t xml:space="preserve"> ve 3. </w:t>
            </w:r>
            <w:r w:rsidRPr="00030362">
              <w:rPr>
                <w:color w:val="0D0D0D" w:themeColor="text1" w:themeTint="F2"/>
                <w:spacing w:val="-5"/>
              </w:rPr>
              <w:t>čtv</w:t>
            </w:r>
            <w:r>
              <w:rPr>
                <w:color w:val="0D0D0D" w:themeColor="text1" w:themeTint="F2"/>
                <w:spacing w:val="-5"/>
              </w:rPr>
              <w:t>rtletí meziročně zrychlil na 14,5 %</w:t>
            </w:r>
            <w:r w:rsidRPr="00030362">
              <w:rPr>
                <w:color w:val="0D0D0D" w:themeColor="text1" w:themeTint="F2"/>
                <w:spacing w:val="-5"/>
              </w:rPr>
              <w:t xml:space="preserve"> </w:t>
            </w:r>
            <w:r>
              <w:rPr>
                <w:color w:val="0D0D0D" w:themeColor="text1" w:themeTint="F2"/>
                <w:spacing w:val="-5"/>
              </w:rPr>
              <w:t>(za</w:t>
            </w:r>
            <w:r w:rsidRPr="00030362">
              <w:rPr>
                <w:color w:val="0D0D0D" w:themeColor="text1" w:themeTint="F2"/>
                <w:spacing w:val="-5"/>
              </w:rPr>
              <w:t xml:space="preserve"> dynamikou tržeb i růstem cen průmyslových výrobců</w:t>
            </w:r>
            <w:r>
              <w:rPr>
                <w:color w:val="0D0D0D" w:themeColor="text1" w:themeTint="F2"/>
                <w:spacing w:val="-5"/>
              </w:rPr>
              <w:t xml:space="preserve"> však dosud letos znatelně zaostával). Téměř polovinou přispěli k růstu výrobci motorových vozů, a to hlavně díky sílící tuzemské poptávce. Pozitivně lze hodnotit i aktuální vývoj zakázek v elektrotechnickém průmyslu (+14 % meziročně), ve strojírenství (+13 %) </w:t>
            </w:r>
            <w:r>
              <w:rPr>
                <w:color w:val="0D0D0D" w:themeColor="text1" w:themeTint="F2"/>
                <w:spacing w:val="-5"/>
              </w:rPr>
              <w:br/>
              <w:t>a v menších oborech – farmacii (18 %) i oděvnictví (11 %). Oproti tomu ani pětinové navýšení nových zakázek v chemickém průmyslu růst cen vstupů v tomto oboru zdaleka nepokrývá.</w:t>
            </w:r>
          </w:p>
        </w:tc>
      </w:tr>
      <w:tr w:rsidR="00F052D2" w:rsidRPr="008266F0" w14:paraId="6DF3D432" w14:textId="77777777" w:rsidTr="004149F4">
        <w:trPr>
          <w:trHeight w:val="134"/>
        </w:trPr>
        <w:tc>
          <w:tcPr>
            <w:tcW w:w="1747" w:type="dxa"/>
            <w:vMerge w:val="restart"/>
            <w:tcBorders>
              <w:top w:val="nil"/>
              <w:left w:val="nil"/>
              <w:bottom w:val="nil"/>
              <w:right w:val="nil"/>
            </w:tcBorders>
            <w:shd w:val="clear" w:color="auto" w:fill="auto"/>
            <w:tcMar>
              <w:left w:w="0" w:type="dxa"/>
            </w:tcMar>
          </w:tcPr>
          <w:p w14:paraId="656CF22B"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1F933F47"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6EEF5098" w14:textId="77777777" w:rsidR="00F052D2" w:rsidRPr="00705C3E" w:rsidRDefault="00F052D2" w:rsidP="004149F4">
            <w:pPr>
              <w:spacing w:after="0"/>
              <w:rPr>
                <w:color w:val="0D0D0D" w:themeColor="text1" w:themeTint="F2"/>
                <w:spacing w:val="-5"/>
              </w:rPr>
            </w:pPr>
            <w:r w:rsidRPr="00760356">
              <w:rPr>
                <w:b/>
                <w:spacing w:val="-2"/>
              </w:rPr>
              <w:t>Graf č. 5</w:t>
            </w:r>
            <w:r>
              <w:rPr>
                <w:b/>
                <w:spacing w:val="-2"/>
              </w:rPr>
              <w:t xml:space="preserve"> Nové zakázky v </w:t>
            </w:r>
            <w:r w:rsidRPr="00760356">
              <w:rPr>
                <w:b/>
                <w:spacing w:val="-2"/>
              </w:rPr>
              <w:t xml:space="preserve">průmyslu </w:t>
            </w:r>
            <w:r w:rsidRPr="00760356">
              <w:rPr>
                <w:bCs/>
                <w:spacing w:val="-2"/>
              </w:rPr>
              <w:t>(</w:t>
            </w:r>
            <w:r>
              <w:rPr>
                <w:bCs/>
                <w:spacing w:val="-2"/>
              </w:rPr>
              <w:t>nominálně</w:t>
            </w:r>
            <w:r w:rsidRPr="00760356">
              <w:rPr>
                <w:bCs/>
                <w:spacing w:val="-2"/>
              </w:rPr>
              <w:t xml:space="preserve">, </w:t>
            </w:r>
            <w:r w:rsidRPr="00760356">
              <w:rPr>
                <w:spacing w:val="-2"/>
              </w:rPr>
              <w:t>meziročně</w:t>
            </w:r>
            <w:r>
              <w:rPr>
                <w:spacing w:val="-2"/>
              </w:rPr>
              <w:t>,</w:t>
            </w:r>
            <w:r w:rsidRPr="00760356">
              <w:rPr>
                <w:bCs/>
                <w:spacing w:val="-2"/>
              </w:rPr>
              <w:t xml:space="preserve"> v %)</w:t>
            </w:r>
            <w:r>
              <w:rPr>
                <w:b/>
                <w:spacing w:val="-2"/>
              </w:rPr>
              <w:t xml:space="preserve">, </w:t>
            </w:r>
            <w:r w:rsidRPr="00760356">
              <w:rPr>
                <w:b/>
                <w:spacing w:val="-2"/>
              </w:rPr>
              <w:t>využi</w:t>
            </w:r>
            <w:r>
              <w:rPr>
                <w:b/>
                <w:spacing w:val="-2"/>
              </w:rPr>
              <w:t xml:space="preserve">tí výrobních kapacit v průmyslu, </w:t>
            </w:r>
            <w:r w:rsidRPr="00760356">
              <w:rPr>
                <w:b/>
                <w:spacing w:val="-2"/>
              </w:rPr>
              <w:t>vybrané bariéry růst</w:t>
            </w:r>
            <w:r w:rsidRPr="006E759E">
              <w:rPr>
                <w:b/>
                <w:spacing w:val="-2"/>
              </w:rPr>
              <w:t>u</w:t>
            </w:r>
            <w:r w:rsidRPr="006E759E">
              <w:rPr>
                <w:spacing w:val="-2"/>
              </w:rPr>
              <w:t xml:space="preserve">* (v %, pravá osa) </w:t>
            </w:r>
            <w:r w:rsidRPr="006E759E">
              <w:rPr>
                <w:b/>
                <w:spacing w:val="-2"/>
              </w:rPr>
              <w:t>a </w:t>
            </w:r>
            <w:r>
              <w:rPr>
                <w:b/>
              </w:rPr>
              <w:t>saldo</w:t>
            </w:r>
            <w:r w:rsidRPr="006E759E">
              <w:rPr>
                <w:b/>
              </w:rPr>
              <w:t xml:space="preserve"> důvěry</w:t>
            </w:r>
            <w:r w:rsidRPr="00883202">
              <w:rPr>
                <w:b/>
              </w:rPr>
              <w:t xml:space="preserve"> </w:t>
            </w:r>
            <w:r>
              <w:rPr>
                <w:b/>
              </w:rPr>
              <w:t xml:space="preserve">podnikatelů </w:t>
            </w:r>
            <w:r w:rsidRPr="00883202">
              <w:rPr>
                <w:b/>
              </w:rPr>
              <w:t xml:space="preserve">v průmyslu* </w:t>
            </w:r>
            <w:r>
              <w:t xml:space="preserve">(v p. b., pravá </w:t>
            </w:r>
            <w:r w:rsidRPr="00883202">
              <w:t>osa)</w:t>
            </w:r>
          </w:p>
        </w:tc>
      </w:tr>
      <w:tr w:rsidR="00F052D2" w:rsidRPr="008266F0" w14:paraId="14D5DEE6" w14:textId="77777777" w:rsidTr="004149F4">
        <w:tblPrEx>
          <w:tblCellMar>
            <w:left w:w="70" w:type="dxa"/>
            <w:right w:w="70" w:type="dxa"/>
          </w:tblCellMar>
        </w:tblPrEx>
        <w:trPr>
          <w:trHeight w:val="133"/>
        </w:trPr>
        <w:tc>
          <w:tcPr>
            <w:tcW w:w="1747" w:type="dxa"/>
            <w:vMerge/>
            <w:tcBorders>
              <w:top w:val="nil"/>
              <w:left w:val="nil"/>
              <w:bottom w:val="nil"/>
              <w:right w:val="nil"/>
            </w:tcBorders>
            <w:shd w:val="clear" w:color="auto" w:fill="auto"/>
          </w:tcPr>
          <w:p w14:paraId="3E208178"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0013A37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0C7237DD" w14:textId="77777777" w:rsidR="00F052D2" w:rsidRPr="00705C3E" w:rsidRDefault="00F052D2" w:rsidP="004149F4">
            <w:pPr>
              <w:spacing w:after="0"/>
              <w:rPr>
                <w:color w:val="0D0D0D" w:themeColor="text1" w:themeTint="F2"/>
                <w:spacing w:val="-5"/>
              </w:rPr>
            </w:pPr>
            <w:r>
              <w:rPr>
                <w:noProof/>
              </w:rPr>
              <w:drawing>
                <wp:inline distT="0" distB="0" distL="0" distR="0" wp14:anchorId="16C89429" wp14:editId="27E8A6A3">
                  <wp:extent cx="4665980" cy="3697357"/>
                  <wp:effectExtent l="0" t="0" r="127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052D2" w:rsidRPr="008266F0" w14:paraId="2744C70E" w14:textId="77777777" w:rsidTr="004149F4">
        <w:trPr>
          <w:trHeight w:val="133"/>
        </w:trPr>
        <w:tc>
          <w:tcPr>
            <w:tcW w:w="1747" w:type="dxa"/>
            <w:vMerge/>
            <w:tcBorders>
              <w:top w:val="nil"/>
              <w:left w:val="nil"/>
              <w:bottom w:val="nil"/>
              <w:right w:val="nil"/>
            </w:tcBorders>
            <w:shd w:val="clear" w:color="auto" w:fill="auto"/>
            <w:tcMar>
              <w:left w:w="0" w:type="dxa"/>
            </w:tcMar>
          </w:tcPr>
          <w:p w14:paraId="6BD4D4DE"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5EF742F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ED0471B" w14:textId="77777777" w:rsidR="00F052D2" w:rsidRPr="00705C3E" w:rsidRDefault="00F052D2" w:rsidP="004149F4">
            <w:pPr>
              <w:spacing w:after="200" w:line="240" w:lineRule="auto"/>
              <w:rPr>
                <w:color w:val="0D0D0D" w:themeColor="text1" w:themeTint="F2"/>
                <w:spacing w:val="-5"/>
              </w:rPr>
            </w:pPr>
            <w:r>
              <w:rPr>
                <w:color w:val="0D0D0D" w:themeColor="text1" w:themeTint="F2"/>
                <w:spacing w:val="-5"/>
              </w:rPr>
              <w:t>*</w:t>
            </w:r>
            <w:r w:rsidRPr="00883202">
              <w:rPr>
                <w:rFonts w:cs="Arial"/>
                <w:sz w:val="14"/>
                <w:szCs w:val="14"/>
              </w:rPr>
              <w:t>Využití průmys</w:t>
            </w:r>
            <w:r>
              <w:rPr>
                <w:rFonts w:cs="Arial"/>
                <w:sz w:val="14"/>
                <w:szCs w:val="14"/>
              </w:rPr>
              <w:t xml:space="preserve">lových kapacit i bariéry růstu vyjadřují stav v prvním měsíci daného čtvrtletí, </w:t>
            </w:r>
            <w:r w:rsidRPr="006E759E">
              <w:rPr>
                <w:rFonts w:cs="Arial"/>
                <w:sz w:val="14"/>
                <w:szCs w:val="14"/>
              </w:rPr>
              <w:t>saldo důvěry</w:t>
            </w:r>
            <w:r>
              <w:rPr>
                <w:rFonts w:cs="Arial"/>
                <w:sz w:val="14"/>
                <w:szCs w:val="14"/>
              </w:rPr>
              <w:t xml:space="preserve"> podnikatelů je vztaženo k</w:t>
            </w:r>
            <w:r w:rsidRPr="00883202">
              <w:rPr>
                <w:rFonts w:cs="Arial"/>
                <w:sz w:val="14"/>
                <w:szCs w:val="14"/>
              </w:rPr>
              <w:t xml:space="preserve">e </w:t>
            </w:r>
            <w:r>
              <w:rPr>
                <w:rFonts w:cs="Arial"/>
                <w:sz w:val="14"/>
                <w:szCs w:val="14"/>
              </w:rPr>
              <w:t xml:space="preserve">druhému měsíci čtvrtletí. Zakázky jsou očištěny o kalendářní vlivy, ostatní ukazatele jsou </w:t>
            </w:r>
            <w:r w:rsidRPr="00883202">
              <w:rPr>
                <w:rFonts w:cs="Arial"/>
                <w:spacing w:val="-2"/>
                <w:sz w:val="14"/>
                <w:szCs w:val="14"/>
              </w:rPr>
              <w:t>sezónně očištěny</w:t>
            </w:r>
            <w:r>
              <w:rPr>
                <w:rFonts w:cs="Arial"/>
                <w:spacing w:val="-2"/>
                <w:sz w:val="14"/>
                <w:szCs w:val="14"/>
              </w:rPr>
              <w:t>.</w:t>
            </w:r>
            <w:r w:rsidRPr="00883202">
              <w:rPr>
                <w:rFonts w:cs="Arial"/>
                <w:spacing w:val="-2"/>
                <w:sz w:val="14"/>
                <w:szCs w:val="14"/>
              </w:rPr>
              <w:t xml:space="preserve"> </w:t>
            </w:r>
            <w:r>
              <w:rPr>
                <w:rFonts w:cs="Arial"/>
                <w:sz w:val="14"/>
                <w:szCs w:val="14"/>
              </w:rPr>
              <w:t xml:space="preserve">Podniky mohly uvést více hlavních růstových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F052D2" w:rsidRPr="00F704D2" w14:paraId="35F1B0F7" w14:textId="77777777" w:rsidTr="004149F4">
        <w:trPr>
          <w:trHeight w:val="170"/>
        </w:trPr>
        <w:tc>
          <w:tcPr>
            <w:tcW w:w="1747" w:type="dxa"/>
            <w:tcBorders>
              <w:top w:val="nil"/>
              <w:left w:val="nil"/>
              <w:bottom w:val="nil"/>
              <w:right w:val="nil"/>
            </w:tcBorders>
            <w:shd w:val="clear" w:color="auto" w:fill="auto"/>
            <w:tcMar>
              <w:left w:w="0" w:type="dxa"/>
            </w:tcMar>
          </w:tcPr>
          <w:p w14:paraId="14951B50" w14:textId="77777777" w:rsidR="00F052D2" w:rsidRPr="00D85AE5" w:rsidRDefault="00F052D2" w:rsidP="004149F4">
            <w:pPr>
              <w:pStyle w:val="Marginlie"/>
              <w:rPr>
                <w:spacing w:val="-4"/>
              </w:rPr>
            </w:pPr>
            <w:r w:rsidRPr="00D85AE5">
              <w:rPr>
                <w:spacing w:val="-4"/>
              </w:rPr>
              <w:lastRenderedPageBreak/>
              <w:t>Důvěra podnikatelů v průmyslu ve 3. čtvrtletí znatelně poklesla. Ti</w:t>
            </w:r>
            <w:r>
              <w:rPr>
                <w:spacing w:val="-4"/>
              </w:rPr>
              <w:t xml:space="preserve"> hůře hodnotili</w:t>
            </w:r>
            <w:r w:rsidRPr="00D85AE5">
              <w:rPr>
                <w:spacing w:val="-4"/>
              </w:rPr>
              <w:t xml:space="preserve"> současnou poptávku, mírně negativní očekávání převažovala i u krátkodobých výhledů.</w:t>
            </w:r>
          </w:p>
          <w:p w14:paraId="37457A85" w14:textId="77777777" w:rsidR="00F052D2" w:rsidRDefault="00F052D2" w:rsidP="004149F4">
            <w:pPr>
              <w:pStyle w:val="Marginlie"/>
            </w:pPr>
          </w:p>
          <w:p w14:paraId="7F7A0B77" w14:textId="77777777" w:rsidR="00F052D2" w:rsidRDefault="00F052D2" w:rsidP="004149F4">
            <w:pPr>
              <w:pStyle w:val="Marginlie"/>
            </w:pPr>
          </w:p>
          <w:p w14:paraId="0816DB8E" w14:textId="77777777" w:rsidR="00F052D2" w:rsidRPr="00D85AE5" w:rsidRDefault="00F052D2" w:rsidP="004149F4">
            <w:pPr>
              <w:pStyle w:val="Marginlie"/>
              <w:rPr>
                <w:spacing w:val="-3"/>
              </w:rPr>
            </w:pPr>
            <w:r w:rsidRPr="00D85AE5">
              <w:rPr>
                <w:spacing w:val="-3"/>
              </w:rPr>
              <w:t>I přes mírn</w:t>
            </w:r>
            <w:r>
              <w:rPr>
                <w:spacing w:val="-3"/>
              </w:rPr>
              <w:t>é</w:t>
            </w:r>
            <w:r w:rsidRPr="00D85AE5">
              <w:rPr>
                <w:spacing w:val="-3"/>
              </w:rPr>
              <w:t xml:space="preserve"> zlepšení zůstává klíčovou růstovou bariérou nedostatek materiálů a zařízení.</w:t>
            </w:r>
          </w:p>
        </w:tc>
        <w:tc>
          <w:tcPr>
            <w:tcW w:w="212" w:type="dxa"/>
            <w:tcBorders>
              <w:top w:val="nil"/>
              <w:left w:val="nil"/>
              <w:bottom w:val="nil"/>
              <w:right w:val="nil"/>
            </w:tcBorders>
            <w:shd w:val="clear" w:color="auto" w:fill="auto"/>
            <w:tcMar>
              <w:left w:w="0" w:type="dxa"/>
            </w:tcMar>
          </w:tcPr>
          <w:p w14:paraId="6FF18BDB"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208F5662" w14:textId="77777777" w:rsidR="00F052D2" w:rsidRPr="00D30472" w:rsidRDefault="00F052D2" w:rsidP="004149F4">
            <w:pPr>
              <w:spacing w:after="200"/>
              <w:rPr>
                <w:spacing w:val="-5"/>
              </w:rPr>
            </w:pPr>
            <w:r w:rsidRPr="00095064">
              <w:rPr>
                <w:color w:val="0D0D0D" w:themeColor="text1" w:themeTint="F2"/>
                <w:spacing w:val="-4"/>
              </w:rPr>
              <w:t xml:space="preserve">Důvěra podnikatelů v průmyslu se po krátkém růstu ve 2. čtvrtletí 2022 v další části roku </w:t>
            </w:r>
            <w:r>
              <w:rPr>
                <w:color w:val="0D0D0D" w:themeColor="text1" w:themeTint="F2"/>
                <w:spacing w:val="-4"/>
              </w:rPr>
              <w:t>postupně snižovala. V říjnu tak v tomto odvětví zavládl nepatrně vyšší pesimismus než v období těsně před propuknutím pandemie. Podniky hodnotily stále hůře svou současnou poptávku, slabší byla i očekávání výrobní činnosti s výhledem na konec letošního roku (růst ovšem stále předpokládalo 17 % podniků, pokles 12 %). Mírně převažovaly podniky očekávající v příštích třech i šesti měsících zhoršení celkové ekonomické situace. Poprvé od jara 2021 převládly i mírně negativní výhledy v oblasti zaměstnanosti (evidenční počet zaměstnanců ve 3. čtvrtletí přitom meziročně stagnoval). Podíl podniků plánujících zdražování vlastních produktů klesl na nejnižší úroveň od počátku roku (45 %). Jen desetina podniků uvedla, že není sužována žádnými významnými růstovými bariérami. Od poloviny loňského roku zůstává klíčovou bariérou nedostatek materiálu a zařízení (během 3. čtvrtletí 2022 došlo jen k mírnému zlepšení). Každý čtvrtý podnik byl limitován v oblasti lidských zdrojů, nedostatečnou poptávku pociťovalo již 30 % firem.</w:t>
            </w:r>
          </w:p>
        </w:tc>
      </w:tr>
      <w:tr w:rsidR="00F052D2" w:rsidRPr="00F704D2" w14:paraId="6C1A3640" w14:textId="77777777" w:rsidTr="004149F4">
        <w:trPr>
          <w:trHeight w:val="170"/>
        </w:trPr>
        <w:tc>
          <w:tcPr>
            <w:tcW w:w="1747" w:type="dxa"/>
            <w:tcBorders>
              <w:top w:val="nil"/>
              <w:left w:val="nil"/>
              <w:bottom w:val="nil"/>
              <w:right w:val="nil"/>
            </w:tcBorders>
            <w:shd w:val="clear" w:color="auto" w:fill="auto"/>
            <w:tcMar>
              <w:left w:w="0" w:type="dxa"/>
            </w:tcMar>
          </w:tcPr>
          <w:p w14:paraId="141EB286" w14:textId="77777777" w:rsidR="00F052D2" w:rsidRPr="00982911" w:rsidRDefault="00F052D2" w:rsidP="004149F4">
            <w:pPr>
              <w:pStyle w:val="Marginlie"/>
              <w:rPr>
                <w:spacing w:val="-4"/>
              </w:rPr>
            </w:pPr>
            <w:r w:rsidRPr="00982911">
              <w:rPr>
                <w:spacing w:val="-4"/>
              </w:rPr>
              <w:t xml:space="preserve">Výkon stavebnictví vlivem sílících nákladových tlaků i růstových bariér slábl, ve 3. čtvrtletí se produkce snižovala meziročně i mezikvartálně. </w:t>
            </w:r>
          </w:p>
        </w:tc>
        <w:tc>
          <w:tcPr>
            <w:tcW w:w="212" w:type="dxa"/>
            <w:tcBorders>
              <w:top w:val="nil"/>
              <w:left w:val="nil"/>
              <w:bottom w:val="nil"/>
              <w:right w:val="nil"/>
            </w:tcBorders>
            <w:shd w:val="clear" w:color="auto" w:fill="auto"/>
            <w:tcMar>
              <w:left w:w="0" w:type="dxa"/>
            </w:tcMar>
          </w:tcPr>
          <w:p w14:paraId="78B37A6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86B6BFB" w14:textId="77777777" w:rsidR="00F052D2" w:rsidRPr="006B64A9" w:rsidRDefault="00F052D2" w:rsidP="004149F4">
            <w:pPr>
              <w:spacing w:after="200"/>
              <w:rPr>
                <w:color w:val="0D0D0D" w:themeColor="text1" w:themeTint="F2"/>
                <w:spacing w:val="-5"/>
              </w:rPr>
            </w:pPr>
            <w:r w:rsidRPr="00D30472">
              <w:rPr>
                <w:spacing w:val="-5"/>
              </w:rPr>
              <w:t>Výkon stavebnictví během letošního roku slábl.</w:t>
            </w:r>
            <w:r w:rsidRPr="00CD6813">
              <w:rPr>
                <w:color w:val="0D0D0D" w:themeColor="text1" w:themeTint="F2"/>
                <w:spacing w:val="-5"/>
              </w:rPr>
              <w:t xml:space="preserve"> </w:t>
            </w:r>
            <w:r>
              <w:rPr>
                <w:color w:val="0D0D0D" w:themeColor="text1" w:themeTint="F2"/>
                <w:spacing w:val="-5"/>
              </w:rPr>
              <w:t xml:space="preserve">V 1. čtvrtletí 2022 ještě růst </w:t>
            </w:r>
            <w:r w:rsidRPr="0086477A">
              <w:rPr>
                <w:color w:val="0D0D0D" w:themeColor="text1" w:themeTint="F2"/>
                <w:spacing w:val="-5"/>
              </w:rPr>
              <w:t>produkce</w:t>
            </w:r>
            <w:r w:rsidRPr="0086477A">
              <w:rPr>
                <w:rStyle w:val="Znakapoznpodarou"/>
                <w:color w:val="0D0D0D" w:themeColor="text1" w:themeTint="F2"/>
                <w:spacing w:val="-5"/>
              </w:rPr>
              <w:footnoteReference w:id="31"/>
            </w:r>
            <w:r>
              <w:rPr>
                <w:color w:val="0D0D0D" w:themeColor="text1" w:themeTint="F2"/>
                <w:spacing w:val="-5"/>
              </w:rPr>
              <w:t xml:space="preserve"> vlivem teplé zimy a vysoké zásoby</w:t>
            </w:r>
            <w:r w:rsidRPr="0086477A">
              <w:rPr>
                <w:color w:val="0D0D0D" w:themeColor="text1" w:themeTint="F2"/>
                <w:spacing w:val="-5"/>
              </w:rPr>
              <w:t xml:space="preserve"> veřejných i soukromých zakázek </w:t>
            </w:r>
            <w:r>
              <w:rPr>
                <w:color w:val="0D0D0D" w:themeColor="text1" w:themeTint="F2"/>
                <w:spacing w:val="-5"/>
              </w:rPr>
              <w:t xml:space="preserve">akceleroval (na 3,8 % mezikvartálně). Výše produkce také poprvé překonala předkrizový rok 2019. V následujícím čtvrtletí došlo ke korekci tempa (−2,5 %, v samotném inženýrském stavitelství −7,8 %) </w:t>
            </w:r>
            <w:r>
              <w:rPr>
                <w:color w:val="0D0D0D" w:themeColor="text1" w:themeTint="F2"/>
                <w:spacing w:val="-5"/>
              </w:rPr>
              <w:br/>
              <w:t>a během 3. čtvrtletí se produkce snížila o dalších 2,7 %. Na celém odvětví se začíná stále více podepisovat bezprecedentní cenový růst (energií, pohonných hmot i materiálových vstupů), horší dostupnost materiálů, zařízení, ale i pracovní síly (zčásti vlivem války na Ukrajině). To mnohdy vedlo k prodloužení realizace stávajících projektů či k odkladu zahájení, popř. k revizi plánovaných investičních akcí. Ve srovnání s loňským létem byla letos ve 3. čtvrtletí stavební produkce o 1,7 % nižší (srovnatelně klesla v pozemním i inženýrském stavitelství).</w:t>
            </w:r>
          </w:p>
        </w:tc>
      </w:tr>
      <w:tr w:rsidR="00F052D2" w:rsidRPr="00F704D2" w14:paraId="1B363EA6" w14:textId="77777777" w:rsidTr="004149F4">
        <w:trPr>
          <w:trHeight w:val="170"/>
        </w:trPr>
        <w:tc>
          <w:tcPr>
            <w:tcW w:w="1747" w:type="dxa"/>
            <w:tcBorders>
              <w:top w:val="nil"/>
              <w:left w:val="nil"/>
              <w:bottom w:val="nil"/>
              <w:right w:val="nil"/>
            </w:tcBorders>
            <w:shd w:val="clear" w:color="auto" w:fill="auto"/>
            <w:tcMar>
              <w:left w:w="0" w:type="dxa"/>
            </w:tcMar>
          </w:tcPr>
          <w:p w14:paraId="44A02CB0" w14:textId="77777777" w:rsidR="00F052D2" w:rsidRDefault="00F052D2" w:rsidP="004149F4">
            <w:pPr>
              <w:pStyle w:val="Marginlie"/>
            </w:pPr>
            <w:r>
              <w:t>V úhrnu od počátku roku výkon v pozemním i</w:t>
            </w:r>
            <w:r w:rsidRPr="00982911">
              <w:rPr>
                <w:spacing w:val="-4"/>
              </w:rPr>
              <w:t> </w:t>
            </w:r>
            <w:r>
              <w:t>inženýrském stavitelství ještě mírně rostl.</w:t>
            </w:r>
          </w:p>
          <w:p w14:paraId="4FDF2418" w14:textId="77777777" w:rsidR="00F052D2" w:rsidRDefault="00F052D2" w:rsidP="004149F4">
            <w:pPr>
              <w:pStyle w:val="Marginlie"/>
            </w:pPr>
          </w:p>
          <w:p w14:paraId="3E78837C" w14:textId="77777777" w:rsidR="00F052D2" w:rsidRDefault="00F052D2" w:rsidP="004149F4">
            <w:pPr>
              <w:pStyle w:val="Marginlie"/>
            </w:pPr>
          </w:p>
          <w:p w14:paraId="305912ED" w14:textId="77777777" w:rsidR="00F052D2" w:rsidRDefault="00F052D2" w:rsidP="004149F4">
            <w:pPr>
              <w:pStyle w:val="Marginlie"/>
            </w:pPr>
          </w:p>
          <w:p w14:paraId="6437D0A2" w14:textId="77777777" w:rsidR="00F052D2" w:rsidRDefault="00F052D2" w:rsidP="004149F4">
            <w:pPr>
              <w:pStyle w:val="Marginlie"/>
            </w:pPr>
          </w:p>
          <w:p w14:paraId="4C4BBC14" w14:textId="77777777" w:rsidR="00F052D2" w:rsidRDefault="00F052D2" w:rsidP="004149F4">
            <w:pPr>
              <w:pStyle w:val="Marginlie"/>
            </w:pPr>
          </w:p>
          <w:p w14:paraId="107B3451" w14:textId="77777777" w:rsidR="00F052D2" w:rsidRDefault="00F052D2" w:rsidP="004149F4">
            <w:pPr>
              <w:pStyle w:val="Marginlie"/>
            </w:pPr>
            <w:r>
              <w:t>Počet zahájených bytů se ve 2.</w:t>
            </w:r>
            <w:r>
              <w:rPr>
                <w:spacing w:val="-4"/>
              </w:rPr>
              <w:t xml:space="preserve"> </w:t>
            </w:r>
            <w:r>
              <w:t>i</w:t>
            </w:r>
            <w:r w:rsidRPr="00982911">
              <w:rPr>
                <w:spacing w:val="-4"/>
              </w:rPr>
              <w:t> </w:t>
            </w:r>
            <w:r>
              <w:t>3. čtvrtletí meziročně snižoval.</w:t>
            </w:r>
          </w:p>
          <w:p w14:paraId="6192D43A"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58E495E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456A64A" w14:textId="77777777" w:rsidR="00F052D2" w:rsidRPr="00C5421A" w:rsidRDefault="00F052D2" w:rsidP="004149F4">
            <w:pPr>
              <w:spacing w:after="200"/>
              <w:rPr>
                <w:spacing w:val="-5"/>
              </w:rPr>
            </w:pPr>
            <w:r w:rsidRPr="00C5421A">
              <w:rPr>
                <w:spacing w:val="-5"/>
              </w:rPr>
              <w:t xml:space="preserve">V úhrnu za 1. až 3. čtvrtletí </w:t>
            </w:r>
            <w:r>
              <w:rPr>
                <w:spacing w:val="-5"/>
              </w:rPr>
              <w:t>si stavební produkce i díky slabší loňské základně</w:t>
            </w:r>
            <w:r w:rsidRPr="00CD6813">
              <w:rPr>
                <w:rStyle w:val="Znakapoznpodarou"/>
                <w:color w:val="0D0D0D" w:themeColor="text1" w:themeTint="F2"/>
                <w:spacing w:val="-5"/>
              </w:rPr>
              <w:footnoteReference w:id="32"/>
            </w:r>
            <w:r>
              <w:rPr>
                <w:spacing w:val="-5"/>
              </w:rPr>
              <w:t xml:space="preserve"> stále udržela mírný růst (2,7 %), k čemuž přispělo zejména váhově významné pozemní stavitelství (+2,2</w:t>
            </w:r>
            <w:r>
              <w:rPr>
                <w:color w:val="0D0D0D" w:themeColor="text1" w:themeTint="F2"/>
                <w:spacing w:val="-5"/>
              </w:rPr>
              <w:t> </w:t>
            </w:r>
            <w:r>
              <w:rPr>
                <w:spacing w:val="-5"/>
              </w:rPr>
              <w:t>p.</w:t>
            </w:r>
            <w:r>
              <w:rPr>
                <w:color w:val="0D0D0D" w:themeColor="text1" w:themeTint="F2"/>
                <w:spacing w:val="-5"/>
              </w:rPr>
              <w:t> </w:t>
            </w:r>
            <w:r>
              <w:rPr>
                <w:spacing w:val="-5"/>
              </w:rPr>
              <w:t>b.), vyšší meziroční výkon byl zaznamenán rovněž v segmentu inženýrských staveb. Tomu pomáhalo i solidní tempo růstu veřejných výdajů v oblasti dopravní infrastruktury</w:t>
            </w:r>
            <w:r>
              <w:rPr>
                <w:rStyle w:val="Znakapoznpodarou"/>
                <w:spacing w:val="-5"/>
              </w:rPr>
              <w:footnoteReference w:id="33"/>
            </w:r>
            <w:r>
              <w:rPr>
                <w:spacing w:val="-5"/>
              </w:rPr>
              <w:t xml:space="preserve"> související zejména s čerpáním evropských dotací. V pozemním stavitelství, jež tradičně odráží zejména investiční aktivitu podniků i domácností (a na rozdíl od inženýrských staveb tak reaguje na celkový hospodářský cyklus pružněji), se již začínají projevovat náznaky útlumu související i s citelným ochlazením hypotečního „boomu“. Např. počet zahájených bytů se ve 2. čtvrtletí meziročně mírně snížil (o 3,1 %) a ve 3. kvartálu se pokles citelně prohloubil (na</w:t>
            </w:r>
            <w:r>
              <w:rPr>
                <w:color w:val="0D0D0D" w:themeColor="text1" w:themeTint="F2"/>
                <w:spacing w:val="-5"/>
              </w:rPr>
              <w:t> −2</w:t>
            </w:r>
            <w:r>
              <w:rPr>
                <w:spacing w:val="-5"/>
              </w:rPr>
              <w:t>7,8</w:t>
            </w:r>
            <w:r>
              <w:rPr>
                <w:color w:val="0D0D0D" w:themeColor="text1" w:themeTint="F2"/>
                <w:spacing w:val="-5"/>
              </w:rPr>
              <w:t> </w:t>
            </w:r>
            <w:r>
              <w:rPr>
                <w:spacing w:val="-5"/>
              </w:rPr>
              <w:t xml:space="preserve">%). Nových bytů ubylo ve všech hlavních formách výstavby, nejvíce u nově vznikajících bytových domů. Dokončených bytů naopak letos stále přibývalo (v úhrnu od počátku roku o 10,9 %, z toho ve 3. kvartálu o 30,3 %). Dělo se tak díky vzedmuté zahajované výstavbě v předchozích 2 až 3 letech, jež se již blížila rekordní úrovni z konjunkturních let 2006–2008. Proti svižnějšímu dokončování rozestavěných bytů (zejména v rodinných domech) stále působil </w:t>
            </w:r>
            <w:r>
              <w:rPr>
                <w:color w:val="0D0D0D" w:themeColor="text1" w:themeTint="F2"/>
                <w:spacing w:val="-4"/>
              </w:rPr>
              <w:t>silný růst cen materiálů</w:t>
            </w:r>
            <w:r>
              <w:rPr>
                <w:rStyle w:val="Znakapoznpodarou"/>
                <w:color w:val="0D0D0D" w:themeColor="text1" w:themeTint="F2"/>
                <w:spacing w:val="-4"/>
              </w:rPr>
              <w:footnoteReference w:id="34"/>
            </w:r>
            <w:r>
              <w:rPr>
                <w:color w:val="0D0D0D" w:themeColor="text1" w:themeTint="F2"/>
                <w:spacing w:val="-4"/>
              </w:rPr>
              <w:t xml:space="preserve"> a značná vytíženost stavebních firem</w:t>
            </w:r>
            <w:r>
              <w:rPr>
                <w:rStyle w:val="Znakapoznpodarou"/>
                <w:color w:val="0D0D0D" w:themeColor="text1" w:themeTint="F2"/>
                <w:spacing w:val="-4"/>
              </w:rPr>
              <w:footnoteReference w:id="35"/>
            </w:r>
            <w:r>
              <w:rPr>
                <w:color w:val="0D0D0D" w:themeColor="text1" w:themeTint="F2"/>
                <w:spacing w:val="-4"/>
              </w:rPr>
              <w:t>.</w:t>
            </w:r>
          </w:p>
        </w:tc>
      </w:tr>
      <w:tr w:rsidR="00F052D2" w:rsidRPr="00F704D2" w14:paraId="2FD91B5E" w14:textId="77777777" w:rsidTr="004149F4">
        <w:trPr>
          <w:trHeight w:val="170"/>
        </w:trPr>
        <w:tc>
          <w:tcPr>
            <w:tcW w:w="1747" w:type="dxa"/>
            <w:tcBorders>
              <w:top w:val="nil"/>
              <w:left w:val="nil"/>
              <w:bottom w:val="nil"/>
              <w:right w:val="nil"/>
            </w:tcBorders>
            <w:shd w:val="clear" w:color="auto" w:fill="auto"/>
            <w:tcMar>
              <w:left w:w="0" w:type="dxa"/>
            </w:tcMar>
          </w:tcPr>
          <w:p w14:paraId="0B0E3103" w14:textId="77777777" w:rsidR="00F052D2" w:rsidRDefault="00F052D2" w:rsidP="004149F4">
            <w:pPr>
              <w:pStyle w:val="Marginlie"/>
              <w:spacing w:after="200"/>
            </w:pPr>
            <w:r>
              <w:t xml:space="preserve">Růst hodnoty nových stavebních zakázek, stejně jako povolených staveb, se v úhrnu za </w:t>
            </w:r>
            <w:r>
              <w:lastRenderedPageBreak/>
              <w:t xml:space="preserve">1. až 3. čtvrtletí příliš neodlišoval od dynamiky cen stavebních </w:t>
            </w:r>
            <w:proofErr w:type="gramStart"/>
            <w:r>
              <w:t>prací..</w:t>
            </w:r>
            <w:proofErr w:type="gramEnd"/>
          </w:p>
        </w:tc>
        <w:tc>
          <w:tcPr>
            <w:tcW w:w="212" w:type="dxa"/>
            <w:tcBorders>
              <w:top w:val="nil"/>
              <w:left w:val="nil"/>
              <w:bottom w:val="nil"/>
              <w:right w:val="nil"/>
            </w:tcBorders>
            <w:shd w:val="clear" w:color="auto" w:fill="auto"/>
            <w:tcMar>
              <w:left w:w="0" w:type="dxa"/>
            </w:tcMar>
          </w:tcPr>
          <w:p w14:paraId="3A7AF73D" w14:textId="77777777" w:rsidR="00F052D2" w:rsidRDefault="00F052D2" w:rsidP="004149F4">
            <w:pPr>
              <w:pStyle w:val="Textpoznpodarou"/>
              <w:spacing w:after="200"/>
              <w:jc w:val="both"/>
              <w:rPr>
                <w:spacing w:val="-4"/>
              </w:rPr>
            </w:pPr>
          </w:p>
        </w:tc>
        <w:tc>
          <w:tcPr>
            <w:tcW w:w="7680" w:type="dxa"/>
            <w:tcBorders>
              <w:top w:val="nil"/>
              <w:left w:val="nil"/>
              <w:bottom w:val="nil"/>
              <w:right w:val="nil"/>
            </w:tcBorders>
            <w:shd w:val="clear" w:color="auto" w:fill="auto"/>
            <w:tcMar>
              <w:left w:w="0" w:type="dxa"/>
            </w:tcMar>
          </w:tcPr>
          <w:p w14:paraId="1A6BAD03" w14:textId="77777777" w:rsidR="00F052D2" w:rsidRPr="008D6E03" w:rsidRDefault="00F052D2" w:rsidP="004149F4">
            <w:pPr>
              <w:spacing w:after="200"/>
              <w:rPr>
                <w:color w:val="0D0D0D" w:themeColor="text1" w:themeTint="F2"/>
                <w:spacing w:val="-5"/>
              </w:rPr>
            </w:pPr>
            <w:r>
              <w:rPr>
                <w:rFonts w:cs="Arial"/>
                <w:color w:val="0D0D0D" w:themeColor="text1" w:themeTint="F2"/>
                <w:spacing w:val="-6"/>
              </w:rPr>
              <w:t>Meziroční tempo růstu n</w:t>
            </w:r>
            <w:r w:rsidRPr="00CD6813">
              <w:rPr>
                <w:rFonts w:cs="Arial"/>
                <w:color w:val="0D0D0D" w:themeColor="text1" w:themeTint="F2"/>
                <w:spacing w:val="-6"/>
              </w:rPr>
              <w:t xml:space="preserve">ominální </w:t>
            </w:r>
            <w:r>
              <w:rPr>
                <w:rFonts w:cs="Arial"/>
                <w:color w:val="0D0D0D" w:themeColor="text1" w:themeTint="F2"/>
                <w:spacing w:val="-6"/>
              </w:rPr>
              <w:t xml:space="preserve">hodnoty nových </w:t>
            </w:r>
            <w:r w:rsidRPr="001E7777">
              <w:rPr>
                <w:rFonts w:cs="Arial"/>
                <w:color w:val="0D0D0D" w:themeColor="text1" w:themeTint="F2"/>
                <w:spacing w:val="-6"/>
              </w:rPr>
              <w:t>stavebních zakázek</w:t>
            </w:r>
            <w:r>
              <w:rPr>
                <w:rFonts w:cs="Arial"/>
                <w:color w:val="0D0D0D" w:themeColor="text1" w:themeTint="F2"/>
                <w:spacing w:val="-6"/>
              </w:rPr>
              <w:t xml:space="preserve"> v tuzemsku</w:t>
            </w:r>
            <w:r w:rsidRPr="001E7777">
              <w:rPr>
                <w:rFonts w:cs="Arial"/>
                <w:color w:val="0D0D0D" w:themeColor="text1" w:themeTint="F2"/>
                <w:spacing w:val="-6"/>
              </w:rPr>
              <w:t xml:space="preserve"> (v podnicích s více než 50 zaměstnanci)</w:t>
            </w:r>
            <w:r>
              <w:rPr>
                <w:rFonts w:cs="Arial"/>
                <w:color w:val="0D0D0D" w:themeColor="text1" w:themeTint="F2"/>
                <w:spacing w:val="-6"/>
              </w:rPr>
              <w:t xml:space="preserve"> letos rostlo dvojcifernými tempy (ve 3. čtvrtletí o</w:t>
            </w:r>
            <w:r w:rsidRPr="001E7777">
              <w:rPr>
                <w:rFonts w:cs="Arial"/>
                <w:color w:val="0D0D0D" w:themeColor="text1" w:themeTint="F2"/>
                <w:spacing w:val="-6"/>
              </w:rPr>
              <w:t> </w:t>
            </w:r>
            <w:r>
              <w:rPr>
                <w:rFonts w:cs="Arial"/>
                <w:color w:val="0D0D0D" w:themeColor="text1" w:themeTint="F2"/>
                <w:spacing w:val="-6"/>
              </w:rPr>
              <w:t>12,6</w:t>
            </w:r>
            <w:r w:rsidRPr="001E7777">
              <w:rPr>
                <w:rFonts w:cs="Arial"/>
                <w:color w:val="0D0D0D" w:themeColor="text1" w:themeTint="F2"/>
                <w:spacing w:val="-6"/>
              </w:rPr>
              <w:t> </w:t>
            </w:r>
            <w:r>
              <w:rPr>
                <w:rFonts w:cs="Arial"/>
                <w:color w:val="0D0D0D" w:themeColor="text1" w:themeTint="F2"/>
                <w:spacing w:val="-6"/>
              </w:rPr>
              <w:t xml:space="preserve">%). Zatímco na počátku roku byl růst zakázek podpořen jen pozemními stavbami </w:t>
            </w:r>
            <w:r>
              <w:rPr>
                <w:rFonts w:cs="Arial"/>
                <w:color w:val="0D0D0D" w:themeColor="text1" w:themeTint="F2"/>
                <w:spacing w:val="-6"/>
              </w:rPr>
              <w:lastRenderedPageBreak/>
              <w:t>(v</w:t>
            </w:r>
            <w:r w:rsidRPr="001E7777">
              <w:rPr>
                <w:rFonts w:cs="Arial"/>
                <w:color w:val="0D0D0D" w:themeColor="text1" w:themeTint="F2"/>
                <w:spacing w:val="-6"/>
              </w:rPr>
              <w:t> </w:t>
            </w:r>
            <w:r>
              <w:rPr>
                <w:rFonts w:cs="Arial"/>
                <w:color w:val="0D0D0D" w:themeColor="text1" w:themeTint="F2"/>
                <w:spacing w:val="-6"/>
              </w:rPr>
              <w:t>následujícím kvartálu naopak pouze inženýrskými), ve 3. čtvrtletí pozitivně přispěly oba tyto hlavní segmenty. Při zohlednění růstu cen stavebních prací</w:t>
            </w:r>
            <w:r>
              <w:rPr>
                <w:rStyle w:val="Znakapoznpodarou"/>
                <w:color w:val="0D0D0D" w:themeColor="text1" w:themeTint="F2"/>
                <w:spacing w:val="-6"/>
              </w:rPr>
              <w:footnoteReference w:id="36"/>
            </w:r>
            <w:r>
              <w:rPr>
                <w:rFonts w:cs="Arial"/>
                <w:color w:val="0D0D0D" w:themeColor="text1" w:themeTint="F2"/>
                <w:spacing w:val="-6"/>
              </w:rPr>
              <w:t xml:space="preserve"> lze hovořit jen o stagnaci reálné poptávky v celém stavebnictví. Růst celkové zásoby práce během letošního roku zvolnil. Jestliže hodnota veškerých </w:t>
            </w:r>
            <w:r>
              <w:rPr>
                <w:rFonts w:cs="Arial"/>
                <w:color w:val="0D0D0D" w:themeColor="text1" w:themeTint="F2"/>
                <w:spacing w:val="-4"/>
              </w:rPr>
              <w:t>dosud nerealizovaných</w:t>
            </w:r>
            <w:r w:rsidRPr="003448DB">
              <w:rPr>
                <w:rFonts w:cs="Arial"/>
                <w:color w:val="0D0D0D" w:themeColor="text1" w:themeTint="F2"/>
                <w:spacing w:val="-4"/>
              </w:rPr>
              <w:t xml:space="preserve"> stavební</w:t>
            </w:r>
            <w:r>
              <w:rPr>
                <w:rFonts w:cs="Arial"/>
                <w:color w:val="0D0D0D" w:themeColor="text1" w:themeTint="F2"/>
                <w:spacing w:val="-4"/>
              </w:rPr>
              <w:t>ch zakázek</w:t>
            </w:r>
            <w:r w:rsidRPr="003448DB">
              <w:rPr>
                <w:rFonts w:cs="Arial"/>
                <w:color w:val="0D0D0D" w:themeColor="text1" w:themeTint="F2"/>
                <w:spacing w:val="-4"/>
              </w:rPr>
              <w:t xml:space="preserve"> byla </w:t>
            </w:r>
            <w:r>
              <w:rPr>
                <w:rFonts w:cs="Arial"/>
                <w:color w:val="0D0D0D" w:themeColor="text1" w:themeTint="F2"/>
                <w:spacing w:val="-4"/>
              </w:rPr>
              <w:t>loni na konci prosince meziročně o 13,1 % vyšší, na sklonku září již jen 8,5</w:t>
            </w:r>
            <w:r w:rsidRPr="003448DB">
              <w:rPr>
                <w:rFonts w:cs="Arial"/>
                <w:color w:val="0D0D0D" w:themeColor="text1" w:themeTint="F2"/>
                <w:spacing w:val="-4"/>
              </w:rPr>
              <w:t xml:space="preserve"> %</w:t>
            </w:r>
            <w:r>
              <w:rPr>
                <w:rFonts w:cs="Arial"/>
                <w:color w:val="0D0D0D" w:themeColor="text1" w:themeTint="F2"/>
                <w:spacing w:val="-4"/>
              </w:rPr>
              <w:t>. Přispěly k tomu především soukromé zakázky z tuzemska – růst jejich zásoby se totiž v letošním 2. čtvrtletí téměř zastavil (poprvé od roku 2017). Náznaky ochlazování poptávky jsou letos patrné také u vydaných stavebních povolení. Jejich orientační hodnota v 1. i 2. čtvrtletí rostla meziročně zhruba o pětinu, ve 3. kvartálu propadla skoro o třetinu. Byť zde sehrálo významnou roli loňské povolení výstavby nové trasy pražského metra, k poklesu došlo rovněž u bytových budov (</w:t>
            </w:r>
            <w:r>
              <w:rPr>
                <w:color w:val="0D0D0D" w:themeColor="text1" w:themeTint="F2"/>
                <w:spacing w:val="-5"/>
              </w:rPr>
              <w:t>−</w:t>
            </w:r>
            <w:r>
              <w:rPr>
                <w:rFonts w:cs="Arial"/>
                <w:color w:val="0D0D0D" w:themeColor="text1" w:themeTint="F2"/>
                <w:spacing w:val="-4"/>
              </w:rPr>
              <w:t>17,3 %) i těch nebytových (</w:t>
            </w:r>
            <w:r>
              <w:rPr>
                <w:color w:val="0D0D0D" w:themeColor="text1" w:themeTint="F2"/>
                <w:spacing w:val="-5"/>
              </w:rPr>
              <w:t>−</w:t>
            </w:r>
            <w:r>
              <w:rPr>
                <w:rFonts w:cs="Arial"/>
                <w:color w:val="0D0D0D" w:themeColor="text1" w:themeTint="F2"/>
                <w:spacing w:val="-4"/>
              </w:rPr>
              <w:t>10,6 %). V úhrnu za tři letošní čtvrtletí hodnota povolených staveb nepatrně klesla (1,2 %), Pokud bychom vyloučili velké projekty (nad 1 mld. korun), činil by růst povolení 13,1 %, což odpovídá dynamice cen stavebních prací.</w:t>
            </w:r>
          </w:p>
        </w:tc>
      </w:tr>
      <w:tr w:rsidR="00F052D2" w:rsidRPr="00F704D2" w14:paraId="6D08690C" w14:textId="77777777" w:rsidTr="004149F4">
        <w:trPr>
          <w:trHeight w:val="170"/>
        </w:trPr>
        <w:tc>
          <w:tcPr>
            <w:tcW w:w="1747" w:type="dxa"/>
            <w:tcBorders>
              <w:top w:val="nil"/>
              <w:left w:val="nil"/>
              <w:bottom w:val="nil"/>
              <w:right w:val="nil"/>
            </w:tcBorders>
            <w:shd w:val="clear" w:color="auto" w:fill="auto"/>
            <w:tcMar>
              <w:left w:w="0" w:type="dxa"/>
            </w:tcMar>
          </w:tcPr>
          <w:p w14:paraId="36FB9F5E" w14:textId="77777777" w:rsidR="00F052D2" w:rsidRDefault="00F052D2" w:rsidP="004149F4">
            <w:pPr>
              <w:pStyle w:val="Marginlie"/>
              <w:spacing w:after="200"/>
            </w:pPr>
            <w:r>
              <w:lastRenderedPageBreak/>
              <w:t xml:space="preserve">Důvěra podnikatelů ve stavebnictví se ve </w:t>
            </w:r>
            <w:r>
              <w:br/>
              <w:t>2. i 3. čtvrtletí zhoršovala. Firmy byly sužovány významnými růstovými bariérami.</w:t>
            </w:r>
          </w:p>
        </w:tc>
        <w:tc>
          <w:tcPr>
            <w:tcW w:w="212" w:type="dxa"/>
            <w:tcBorders>
              <w:top w:val="nil"/>
              <w:left w:val="nil"/>
              <w:bottom w:val="nil"/>
              <w:right w:val="nil"/>
            </w:tcBorders>
            <w:shd w:val="clear" w:color="auto" w:fill="auto"/>
            <w:tcMar>
              <w:left w:w="0" w:type="dxa"/>
            </w:tcMar>
          </w:tcPr>
          <w:p w14:paraId="6E1DB828" w14:textId="77777777" w:rsidR="00F052D2" w:rsidRDefault="00F052D2" w:rsidP="004149F4">
            <w:pPr>
              <w:pStyle w:val="Textpoznpodarou"/>
              <w:spacing w:after="200"/>
              <w:jc w:val="both"/>
              <w:rPr>
                <w:spacing w:val="-4"/>
              </w:rPr>
            </w:pPr>
          </w:p>
        </w:tc>
        <w:tc>
          <w:tcPr>
            <w:tcW w:w="7680" w:type="dxa"/>
            <w:tcBorders>
              <w:top w:val="nil"/>
              <w:left w:val="nil"/>
              <w:bottom w:val="nil"/>
              <w:right w:val="nil"/>
            </w:tcBorders>
            <w:shd w:val="clear" w:color="auto" w:fill="auto"/>
            <w:tcMar>
              <w:left w:w="0" w:type="dxa"/>
            </w:tcMar>
          </w:tcPr>
          <w:p w14:paraId="052EBCAA" w14:textId="77777777" w:rsidR="00F052D2" w:rsidRPr="003273FC" w:rsidRDefault="00F052D2" w:rsidP="004149F4">
            <w:pPr>
              <w:spacing w:after="200"/>
              <w:rPr>
                <w:rFonts w:cs="Arial"/>
                <w:color w:val="0D0D0D" w:themeColor="text1" w:themeTint="F2"/>
                <w:spacing w:val="-6"/>
              </w:rPr>
            </w:pPr>
            <w:r>
              <w:rPr>
                <w:rFonts w:cs="Arial"/>
                <w:color w:val="0D0D0D" w:themeColor="text1" w:themeTint="F2"/>
                <w:spacing w:val="-6"/>
              </w:rPr>
              <w:t xml:space="preserve">Dobré výsledky stavebnictví na počátku letošního roku podpořily optimismus podnikatelů v tomto odvětví a únorové </w:t>
            </w:r>
            <w:r w:rsidRPr="003B286D">
              <w:rPr>
                <w:rFonts w:cs="Arial"/>
                <w:color w:val="0D0D0D" w:themeColor="text1" w:themeTint="F2"/>
                <w:spacing w:val="-6"/>
              </w:rPr>
              <w:t xml:space="preserve">saldo důvěry se </w:t>
            </w:r>
            <w:r>
              <w:rPr>
                <w:rFonts w:cs="Arial"/>
                <w:color w:val="0D0D0D" w:themeColor="text1" w:themeTint="F2"/>
                <w:spacing w:val="-6"/>
              </w:rPr>
              <w:t xml:space="preserve">tak srovnalo s absolutním maximem (z ledna 2019). Později se ale nálada v odvětví zhoršovala, v říjnu dosáhla nejníže od počátku roku 2021 (stále se ovšem pohybovala nad dlouhodobým průměrem). Rychle rostoucí nákladové tlaky spolu s problémy s dostupností stavebních materiálů se promítly do negativního hodnocení současné i očekávané poptávky či budoucí ekonomické situace firem v nejbližších šesti měsících. Po takřka dvou letech převážily i negativní výhledy v oblasti zaměstnanosti (evidenční počet zaměstnanců však zatím i ve 3. čtvrtletí meziročně mírně rostl). </w:t>
            </w:r>
          </w:p>
        </w:tc>
      </w:tr>
      <w:tr w:rsidR="00F052D2" w:rsidRPr="00F704D2" w14:paraId="376068A2" w14:textId="77777777" w:rsidTr="004149F4">
        <w:trPr>
          <w:trHeight w:val="170"/>
        </w:trPr>
        <w:tc>
          <w:tcPr>
            <w:tcW w:w="1747" w:type="dxa"/>
            <w:vMerge w:val="restart"/>
            <w:tcBorders>
              <w:top w:val="nil"/>
              <w:left w:val="nil"/>
              <w:bottom w:val="nil"/>
              <w:right w:val="nil"/>
            </w:tcBorders>
            <w:shd w:val="clear" w:color="auto" w:fill="auto"/>
            <w:tcMar>
              <w:left w:w="0" w:type="dxa"/>
            </w:tcMar>
          </w:tcPr>
          <w:p w14:paraId="76B2E066" w14:textId="77777777" w:rsidR="00F052D2" w:rsidRDefault="00F052D2" w:rsidP="004149F4">
            <w:pPr>
              <w:pStyle w:val="Marginlie"/>
            </w:pPr>
          </w:p>
        </w:tc>
        <w:tc>
          <w:tcPr>
            <w:tcW w:w="212" w:type="dxa"/>
            <w:vMerge w:val="restart"/>
            <w:tcBorders>
              <w:top w:val="nil"/>
              <w:left w:val="nil"/>
              <w:bottom w:val="nil"/>
              <w:right w:val="nil"/>
            </w:tcBorders>
            <w:shd w:val="clear" w:color="auto" w:fill="auto"/>
            <w:tcMar>
              <w:left w:w="0" w:type="dxa"/>
            </w:tcMar>
          </w:tcPr>
          <w:p w14:paraId="4757B0C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A248DCB" w14:textId="77777777" w:rsidR="00F052D2" w:rsidRPr="00D232BB" w:rsidRDefault="00F052D2" w:rsidP="004149F4">
            <w:pPr>
              <w:spacing w:after="20"/>
              <w:rPr>
                <w:rFonts w:cs="Arial"/>
                <w:bCs/>
              </w:rPr>
            </w:pPr>
            <w:r w:rsidRPr="006E759E">
              <w:rPr>
                <w:b/>
                <w:spacing w:val="-5"/>
              </w:rPr>
              <w:t xml:space="preserve">Graf č. 6 Příspěvky odvětví k meziroční změně stavební produkce </w:t>
            </w:r>
            <w:r w:rsidRPr="006E759E">
              <w:rPr>
                <w:spacing w:val="-5"/>
              </w:rPr>
              <w:t>(reálně, v p. b.)</w:t>
            </w:r>
            <w:r w:rsidRPr="006E759E">
              <w:rPr>
                <w:b/>
                <w:bCs/>
                <w:spacing w:val="-5"/>
              </w:rPr>
              <w:t>,</w:t>
            </w:r>
            <w:r w:rsidRPr="006E759E">
              <w:rPr>
                <w:b/>
                <w:bCs/>
                <w:spacing w:val="-5"/>
              </w:rPr>
              <w:br/>
            </w:r>
            <w:r w:rsidRPr="006E759E">
              <w:rPr>
                <w:b/>
                <w:spacing w:val="-5"/>
              </w:rPr>
              <w:t xml:space="preserve">nové stavební zakázky </w:t>
            </w:r>
            <w:r w:rsidRPr="006E759E">
              <w:rPr>
                <w:spacing w:val="-5"/>
              </w:rPr>
              <w:t>(</w:t>
            </w:r>
            <w:r w:rsidRPr="006E759E">
              <w:rPr>
                <w:bCs/>
                <w:spacing w:val="-5"/>
              </w:rPr>
              <w:t xml:space="preserve">nominálně, </w:t>
            </w:r>
            <w:r w:rsidRPr="006E759E">
              <w:rPr>
                <w:spacing w:val="-5"/>
              </w:rPr>
              <w:t>meziročně,</w:t>
            </w:r>
            <w:r w:rsidRPr="006E759E">
              <w:rPr>
                <w:bCs/>
                <w:spacing w:val="-5"/>
              </w:rPr>
              <w:t xml:space="preserve"> v %)</w:t>
            </w:r>
            <w:r w:rsidRPr="006E759E">
              <w:rPr>
                <w:b/>
                <w:spacing w:val="-5"/>
              </w:rPr>
              <w:t>, saldo důvěry podnikatelů ve stavebnictví*</w:t>
            </w:r>
            <w:r w:rsidRPr="006E759E">
              <w:rPr>
                <w:spacing w:val="-5"/>
              </w:rPr>
              <w:t xml:space="preserve"> (v p. b., pravá osa) </w:t>
            </w:r>
            <w:r w:rsidRPr="006E759E">
              <w:rPr>
                <w:b/>
                <w:spacing w:val="-5"/>
              </w:rPr>
              <w:t>a vybrané bariéry růstu</w:t>
            </w:r>
            <w:r w:rsidRPr="006E759E">
              <w:rPr>
                <w:spacing w:val="-5"/>
              </w:rPr>
              <w:t>* (v %, pravá osa)</w:t>
            </w:r>
          </w:p>
        </w:tc>
      </w:tr>
      <w:tr w:rsidR="00F052D2" w14:paraId="40B3820B" w14:textId="77777777" w:rsidTr="004149F4">
        <w:tblPrEx>
          <w:tblCellMar>
            <w:left w:w="70" w:type="dxa"/>
            <w:right w:w="70" w:type="dxa"/>
          </w:tblCellMar>
        </w:tblPrEx>
        <w:trPr>
          <w:trHeight w:val="170"/>
        </w:trPr>
        <w:tc>
          <w:tcPr>
            <w:tcW w:w="1747" w:type="dxa"/>
            <w:vMerge/>
            <w:tcBorders>
              <w:top w:val="nil"/>
              <w:left w:val="nil"/>
              <w:bottom w:val="nil"/>
              <w:right w:val="nil"/>
            </w:tcBorders>
            <w:shd w:val="clear" w:color="auto" w:fill="auto"/>
          </w:tcPr>
          <w:p w14:paraId="089AD80F" w14:textId="77777777" w:rsidR="00F052D2" w:rsidRDefault="00F052D2" w:rsidP="004149F4">
            <w:pPr>
              <w:pStyle w:val="Marginlie"/>
            </w:pPr>
          </w:p>
        </w:tc>
        <w:tc>
          <w:tcPr>
            <w:tcW w:w="212" w:type="dxa"/>
            <w:vMerge/>
            <w:tcBorders>
              <w:top w:val="nil"/>
              <w:left w:val="nil"/>
              <w:bottom w:val="nil"/>
              <w:right w:val="nil"/>
            </w:tcBorders>
            <w:shd w:val="clear" w:color="auto" w:fill="auto"/>
          </w:tcPr>
          <w:p w14:paraId="375F7CAF"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653F191E" w14:textId="77777777" w:rsidR="00F052D2" w:rsidRPr="0067514E" w:rsidRDefault="00F052D2" w:rsidP="004149F4">
            <w:pPr>
              <w:spacing w:after="0"/>
              <w:rPr>
                <w:spacing w:val="-6"/>
              </w:rPr>
            </w:pPr>
            <w:r>
              <w:rPr>
                <w:noProof/>
              </w:rPr>
              <w:drawing>
                <wp:inline distT="0" distB="0" distL="0" distR="0" wp14:anchorId="234D8878" wp14:editId="7079217B">
                  <wp:extent cx="4681855" cy="3625795"/>
                  <wp:effectExtent l="0" t="0" r="444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F052D2" w:rsidRPr="00343AC1" w14:paraId="3FC62CA0" w14:textId="77777777" w:rsidTr="004149F4">
        <w:trPr>
          <w:trHeight w:val="170"/>
        </w:trPr>
        <w:tc>
          <w:tcPr>
            <w:tcW w:w="1747" w:type="dxa"/>
            <w:vMerge/>
            <w:tcBorders>
              <w:top w:val="nil"/>
              <w:left w:val="nil"/>
              <w:bottom w:val="nil"/>
              <w:right w:val="nil"/>
            </w:tcBorders>
            <w:shd w:val="clear" w:color="auto" w:fill="auto"/>
            <w:tcMar>
              <w:left w:w="0" w:type="dxa"/>
            </w:tcMar>
          </w:tcPr>
          <w:p w14:paraId="4190BA49" w14:textId="77777777" w:rsidR="00F052D2" w:rsidRDefault="00F052D2" w:rsidP="004149F4">
            <w:pPr>
              <w:pStyle w:val="Marginlie"/>
            </w:pPr>
          </w:p>
        </w:tc>
        <w:tc>
          <w:tcPr>
            <w:tcW w:w="212" w:type="dxa"/>
            <w:vMerge/>
            <w:tcBorders>
              <w:top w:val="nil"/>
              <w:left w:val="nil"/>
              <w:bottom w:val="nil"/>
              <w:right w:val="nil"/>
            </w:tcBorders>
            <w:shd w:val="clear" w:color="auto" w:fill="auto"/>
            <w:tcMar>
              <w:left w:w="0" w:type="dxa"/>
            </w:tcMar>
          </w:tcPr>
          <w:p w14:paraId="684757A3"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3F9EF3F" w14:textId="77777777" w:rsidR="00F052D2" w:rsidRPr="00883202" w:rsidRDefault="00F052D2" w:rsidP="004149F4">
            <w:pPr>
              <w:spacing w:after="0"/>
              <w:rPr>
                <w:rFonts w:cs="Arial"/>
                <w:sz w:val="14"/>
                <w:szCs w:val="14"/>
              </w:rPr>
            </w:pPr>
            <w:r>
              <w:rPr>
                <w:rFonts w:cs="Arial"/>
                <w:sz w:val="14"/>
                <w:szCs w:val="14"/>
              </w:rPr>
              <w:t xml:space="preserve">Poznámka: </w:t>
            </w:r>
            <w:r w:rsidRPr="00883202">
              <w:rPr>
                <w:rFonts w:cs="Arial"/>
                <w:sz w:val="14"/>
                <w:szCs w:val="14"/>
              </w:rPr>
              <w:t>Údaje o stavební produkci jsou očištěny o kalendářní vlivy.</w:t>
            </w:r>
          </w:p>
          <w:p w14:paraId="765BEDFE" w14:textId="77777777" w:rsidR="00F052D2" w:rsidRPr="008F2BE2" w:rsidRDefault="00F052D2" w:rsidP="004149F4">
            <w:pPr>
              <w:pStyle w:val="Textpoznpodarou"/>
              <w:spacing w:after="200"/>
              <w:rPr>
                <w:spacing w:val="-4"/>
                <w:sz w:val="14"/>
                <w:szCs w:val="14"/>
              </w:rPr>
            </w:pPr>
            <w:r w:rsidRPr="00883202">
              <w:rPr>
                <w:rFonts w:cs="Arial"/>
                <w:sz w:val="14"/>
                <w:szCs w:val="14"/>
              </w:rPr>
              <w:t>*</w:t>
            </w:r>
            <w:r w:rsidRPr="006E759E">
              <w:rPr>
                <w:rFonts w:cs="Arial"/>
                <w:spacing w:val="-2"/>
                <w:sz w:val="14"/>
                <w:szCs w:val="14"/>
              </w:rPr>
              <w:t>Saldo důvěry podnikatelů i bariéry</w:t>
            </w:r>
            <w:r w:rsidRPr="00883202">
              <w:rPr>
                <w:rFonts w:cs="Arial"/>
                <w:spacing w:val="-2"/>
                <w:sz w:val="14"/>
                <w:szCs w:val="14"/>
              </w:rPr>
              <w:t xml:space="preserve">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                                                                                          </w:t>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F052D2" w:rsidRPr="00343AC1" w14:paraId="61BBE700" w14:textId="77777777" w:rsidTr="004149F4">
        <w:trPr>
          <w:trHeight w:val="170"/>
        </w:trPr>
        <w:tc>
          <w:tcPr>
            <w:tcW w:w="1747" w:type="dxa"/>
            <w:tcBorders>
              <w:top w:val="nil"/>
              <w:left w:val="nil"/>
              <w:bottom w:val="nil"/>
              <w:right w:val="nil"/>
            </w:tcBorders>
            <w:shd w:val="clear" w:color="auto" w:fill="auto"/>
            <w:tcMar>
              <w:left w:w="0" w:type="dxa"/>
            </w:tcMar>
          </w:tcPr>
          <w:p w14:paraId="30AAB9A3" w14:textId="77777777" w:rsidR="00F052D2" w:rsidRDefault="00F052D2" w:rsidP="004149F4">
            <w:pPr>
              <w:pStyle w:val="Marginlie"/>
            </w:pPr>
            <w:r>
              <w:lastRenderedPageBreak/>
              <w:t>Tržby ve službách posilovaly a překonaly úroveň z roku 2019. Ve 3. čtvrtletí se ale v některých významných odvětvích začaly projevovat náznaky oslabování poptávky.</w:t>
            </w:r>
          </w:p>
        </w:tc>
        <w:tc>
          <w:tcPr>
            <w:tcW w:w="212" w:type="dxa"/>
            <w:tcBorders>
              <w:top w:val="nil"/>
              <w:left w:val="nil"/>
              <w:bottom w:val="nil"/>
              <w:right w:val="nil"/>
            </w:tcBorders>
            <w:shd w:val="clear" w:color="auto" w:fill="auto"/>
            <w:tcMar>
              <w:left w:w="0" w:type="dxa"/>
            </w:tcMar>
          </w:tcPr>
          <w:p w14:paraId="20A06EF2"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5CCED64" w14:textId="7BC0238F" w:rsidR="00F052D2" w:rsidRPr="0025676A" w:rsidRDefault="00F052D2" w:rsidP="004149F4">
            <w:pPr>
              <w:spacing w:after="200"/>
              <w:rPr>
                <w:color w:val="0D0D0D" w:themeColor="text1" w:themeTint="F2"/>
                <w:spacing w:val="-4"/>
              </w:rPr>
            </w:pPr>
            <w:r>
              <w:rPr>
                <w:rFonts w:cs="Arial"/>
                <w:color w:val="0D0D0D" w:themeColor="text1" w:themeTint="F2"/>
                <w:spacing w:val="-6"/>
              </w:rPr>
              <w:t>Poptávka po službách se stále zvyšovala.</w:t>
            </w:r>
            <w:r w:rsidRPr="00231745">
              <w:rPr>
                <w:color w:val="0D0D0D" w:themeColor="text1" w:themeTint="F2"/>
                <w:spacing w:val="-4"/>
              </w:rPr>
              <w:t xml:space="preserve"> </w:t>
            </w:r>
            <w:r>
              <w:rPr>
                <w:color w:val="0D0D0D" w:themeColor="text1" w:themeTint="F2"/>
                <w:spacing w:val="-4"/>
              </w:rPr>
              <w:t xml:space="preserve">Tržby ve vybraných </w:t>
            </w:r>
            <w:r w:rsidRPr="00231745">
              <w:rPr>
                <w:color w:val="0D0D0D" w:themeColor="text1" w:themeTint="F2"/>
                <w:spacing w:val="-4"/>
              </w:rPr>
              <w:t>službách</w:t>
            </w:r>
            <w:r w:rsidRPr="00231745">
              <w:rPr>
                <w:color w:val="0D0D0D" w:themeColor="text1" w:themeTint="F2"/>
                <w:spacing w:val="-4"/>
                <w:vertAlign w:val="superscript"/>
              </w:rPr>
              <w:footnoteReference w:id="37"/>
            </w:r>
            <w:r>
              <w:rPr>
                <w:color w:val="0D0D0D" w:themeColor="text1" w:themeTint="F2"/>
                <w:spacing w:val="-4"/>
              </w:rPr>
              <w:t xml:space="preserve"> mezikvartálně rostly nepřetržitě od počátku loňského roku a v 1. čtvrtletí 2022 poprvé vystoupaly na úroveň z vrcholu předpandemické konjunktury. Službám se dařilo i ve 2. čtvrtletí, kdy výrazně ožila zejména odvětví s těsnou vazbou na cestovní ruch. V následujícím období ovšem </w:t>
            </w:r>
            <w:proofErr w:type="spellStart"/>
            <w:r>
              <w:rPr>
                <w:color w:val="0D0D0D" w:themeColor="text1" w:themeTint="F2"/>
                <w:spacing w:val="-4"/>
              </w:rPr>
              <w:t>mezikvartální</w:t>
            </w:r>
            <w:proofErr w:type="spellEnd"/>
            <w:r>
              <w:rPr>
                <w:color w:val="0D0D0D" w:themeColor="text1" w:themeTint="F2"/>
                <w:spacing w:val="-4"/>
              </w:rPr>
              <w:t xml:space="preserve"> růst tržeb citelně zvolnil (na 0,1 %). Náznaky oslabování poptávky totiž registrovalo klíčové odvětví dopravy a skladování</w:t>
            </w:r>
            <w:r>
              <w:rPr>
                <w:rStyle w:val="Znakapoznpodarou"/>
                <w:color w:val="0D0D0D" w:themeColor="text1" w:themeTint="F2"/>
                <w:spacing w:val="-4"/>
              </w:rPr>
              <w:footnoteReference w:id="38"/>
            </w:r>
            <w:r>
              <w:rPr>
                <w:color w:val="0D0D0D" w:themeColor="text1" w:themeTint="F2"/>
                <w:spacing w:val="-4"/>
              </w:rPr>
              <w:t xml:space="preserve"> (poprvé od poloviny roku 2020). Vedle toho se zhoršující ekonomická situace tuzemských domácností promítla v oblasti stravování i pohostinství. K tomu i podniky patrně začaly omezovat svou poptávku po některých službách (hlavně administrativního a podpůrného charakteru). V meziročním srovnání tržby ve službách stále zřetelně rostly – letos v září o</w:t>
            </w:r>
            <w:r w:rsidR="00A269AB">
              <w:rPr>
                <w:color w:val="0D0D0D" w:themeColor="text1" w:themeTint="F2"/>
                <w:spacing w:val="-4"/>
              </w:rPr>
              <w:t xml:space="preserve"> 3,5</w:t>
            </w:r>
            <w:r>
              <w:rPr>
                <w:color w:val="0D0D0D" w:themeColor="text1" w:themeTint="F2"/>
                <w:spacing w:val="-4"/>
              </w:rPr>
              <w:t xml:space="preserve"> % (ale nejslaběji od loňského března).</w:t>
            </w:r>
          </w:p>
        </w:tc>
      </w:tr>
      <w:tr w:rsidR="00F052D2" w:rsidRPr="00D232BB" w14:paraId="38613616" w14:textId="77777777" w:rsidTr="004149F4">
        <w:trPr>
          <w:trHeight w:val="170"/>
        </w:trPr>
        <w:tc>
          <w:tcPr>
            <w:tcW w:w="1747" w:type="dxa"/>
            <w:tcBorders>
              <w:top w:val="nil"/>
              <w:left w:val="nil"/>
              <w:bottom w:val="nil"/>
              <w:right w:val="nil"/>
            </w:tcBorders>
            <w:shd w:val="clear" w:color="auto" w:fill="auto"/>
            <w:tcMar>
              <w:left w:w="0" w:type="dxa"/>
            </w:tcMar>
          </w:tcPr>
          <w:p w14:paraId="0099C46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260FFE8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4EA55957" w14:textId="77777777" w:rsidR="00F052D2" w:rsidRPr="004C1143" w:rsidRDefault="00F052D2" w:rsidP="004149F4">
            <w:pPr>
              <w:spacing w:after="0"/>
              <w:rPr>
                <w:rFonts w:cs="Arial"/>
                <w:sz w:val="14"/>
                <w:szCs w:val="14"/>
              </w:rPr>
            </w:pPr>
            <w:r w:rsidRPr="004405E2">
              <w:rPr>
                <w:b/>
              </w:rPr>
              <w:t>Graf č. 7</w:t>
            </w:r>
            <w:r w:rsidRPr="00F0005D">
              <w:rPr>
                <w:b/>
              </w:rPr>
              <w:t xml:space="preserve"> Příspěvky dílčích odvětví k meziroční změně tržeb ve službách*</w:t>
            </w:r>
            <w:r w:rsidRPr="00052ADA">
              <w:br/>
              <w:t>(</w:t>
            </w:r>
            <w:r w:rsidRPr="00052ADA">
              <w:rPr>
                <w:bCs/>
              </w:rPr>
              <w:t xml:space="preserve">reálně, </w:t>
            </w:r>
            <w:r w:rsidRPr="00052ADA">
              <w:t>v p. b)</w:t>
            </w:r>
            <w:r w:rsidRPr="00052ADA">
              <w:rPr>
                <w:bCs/>
              </w:rPr>
              <w:t xml:space="preserve">, </w:t>
            </w:r>
            <w:r w:rsidRPr="00F0005D">
              <w:rPr>
                <w:b/>
              </w:rPr>
              <w:t>saldo důvěry podnikatelů ve službách**</w:t>
            </w:r>
            <w:r w:rsidRPr="00052ADA">
              <w:t xml:space="preserve"> (v p. b., </w:t>
            </w:r>
            <w:r>
              <w:t xml:space="preserve">sezónně očištěno </w:t>
            </w:r>
            <w:r w:rsidRPr="00052ADA">
              <w:t>pravá osa)</w:t>
            </w:r>
            <w:r w:rsidRPr="004405E2">
              <w:rPr>
                <w:b/>
              </w:rPr>
              <w:t xml:space="preserve"> a vybrané bariéry růstu**</w:t>
            </w:r>
            <w:r w:rsidRPr="00052ADA">
              <w:t xml:space="preserve"> (v %, </w:t>
            </w:r>
            <w:r>
              <w:t>sezónně očištěno,</w:t>
            </w:r>
            <w:r w:rsidRPr="00052ADA">
              <w:t xml:space="preserve"> pravá osa)</w:t>
            </w:r>
            <w:r w:rsidRPr="004C1143">
              <w:rPr>
                <w:rFonts w:cs="Arial"/>
                <w:sz w:val="14"/>
                <w:szCs w:val="14"/>
              </w:rPr>
              <w:t xml:space="preserve"> </w:t>
            </w:r>
          </w:p>
        </w:tc>
      </w:tr>
      <w:tr w:rsidR="00F052D2" w:rsidRPr="0067514E" w14:paraId="2A38998C" w14:textId="77777777" w:rsidTr="004149F4">
        <w:tblPrEx>
          <w:tblCellMar>
            <w:left w:w="70" w:type="dxa"/>
            <w:right w:w="70" w:type="dxa"/>
          </w:tblCellMar>
        </w:tblPrEx>
        <w:trPr>
          <w:trHeight w:val="170"/>
        </w:trPr>
        <w:tc>
          <w:tcPr>
            <w:tcW w:w="1747" w:type="dxa"/>
            <w:tcBorders>
              <w:top w:val="nil"/>
              <w:left w:val="nil"/>
              <w:bottom w:val="nil"/>
              <w:right w:val="nil"/>
            </w:tcBorders>
            <w:shd w:val="clear" w:color="auto" w:fill="auto"/>
          </w:tcPr>
          <w:p w14:paraId="0464B320" w14:textId="77777777" w:rsidR="00F052D2" w:rsidRDefault="00F052D2" w:rsidP="004149F4">
            <w:pPr>
              <w:pStyle w:val="Marginlie"/>
            </w:pPr>
          </w:p>
        </w:tc>
        <w:tc>
          <w:tcPr>
            <w:tcW w:w="212" w:type="dxa"/>
            <w:tcBorders>
              <w:top w:val="nil"/>
              <w:left w:val="nil"/>
              <w:bottom w:val="nil"/>
              <w:right w:val="nil"/>
            </w:tcBorders>
            <w:shd w:val="clear" w:color="auto" w:fill="auto"/>
          </w:tcPr>
          <w:p w14:paraId="263890E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631B527E" w14:textId="77777777" w:rsidR="00F052D2" w:rsidRPr="004C1143" w:rsidRDefault="00F052D2" w:rsidP="004149F4">
            <w:pPr>
              <w:spacing w:after="0"/>
              <w:rPr>
                <w:rFonts w:cs="Arial"/>
                <w:sz w:val="14"/>
                <w:szCs w:val="14"/>
              </w:rPr>
            </w:pPr>
            <w:r>
              <w:rPr>
                <w:noProof/>
              </w:rPr>
              <w:drawing>
                <wp:inline distT="0" distB="0" distL="0" distR="0" wp14:anchorId="72066D3B" wp14:editId="7B9972E1">
                  <wp:extent cx="4658360" cy="3482671"/>
                  <wp:effectExtent l="0" t="0" r="8890" b="381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F052D2" w:rsidRPr="008F2BE2" w14:paraId="5DC67877" w14:textId="77777777" w:rsidTr="004149F4">
        <w:trPr>
          <w:trHeight w:val="170"/>
        </w:trPr>
        <w:tc>
          <w:tcPr>
            <w:tcW w:w="1747" w:type="dxa"/>
            <w:tcBorders>
              <w:top w:val="nil"/>
              <w:left w:val="nil"/>
              <w:bottom w:val="nil"/>
              <w:right w:val="nil"/>
            </w:tcBorders>
            <w:shd w:val="clear" w:color="auto" w:fill="auto"/>
            <w:tcMar>
              <w:left w:w="0" w:type="dxa"/>
            </w:tcMar>
          </w:tcPr>
          <w:p w14:paraId="5867474E"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0D276510"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3B5CD59A" w14:textId="77777777" w:rsidR="00F052D2" w:rsidRPr="00052ADA" w:rsidRDefault="00F052D2" w:rsidP="004149F4">
            <w:pPr>
              <w:spacing w:after="0" w:line="240" w:lineRule="auto"/>
              <w:rPr>
                <w:rFonts w:cs="Arial"/>
                <w:sz w:val="14"/>
                <w:szCs w:val="14"/>
              </w:rPr>
            </w:pPr>
            <w:r>
              <w:rPr>
                <w:rFonts w:cs="Arial"/>
                <w:color w:val="0D0D0D" w:themeColor="text1" w:themeTint="F2"/>
                <w:spacing w:val="-6"/>
              </w:rPr>
              <w:t>*</w:t>
            </w:r>
            <w:r w:rsidRPr="00052ADA">
              <w:rPr>
                <w:color w:val="0D0D0D" w:themeColor="text1" w:themeTint="F2"/>
                <w:sz w:val="14"/>
                <w:szCs w:val="14"/>
              </w:rPr>
              <w:t xml:space="preserve">Bez odvětví obchodu, peněžnictví, pojišťovnictví, vědy, výzkumu a veřejných služeb. </w:t>
            </w:r>
            <w:r w:rsidRPr="00052ADA">
              <w:rPr>
                <w:rFonts w:cs="Arial"/>
                <w:sz w:val="14"/>
                <w:szCs w:val="14"/>
              </w:rPr>
              <w:t>Tržby jsou očištěny o kalendářní vlivy.</w:t>
            </w:r>
          </w:p>
          <w:p w14:paraId="737B5706" w14:textId="77777777" w:rsidR="00F052D2" w:rsidRPr="004C1143" w:rsidRDefault="00F052D2" w:rsidP="004149F4">
            <w:pPr>
              <w:spacing w:line="240" w:lineRule="auto"/>
              <w:rPr>
                <w:rFonts w:cs="Arial"/>
                <w:sz w:val="14"/>
                <w:szCs w:val="14"/>
              </w:rPr>
            </w:pPr>
            <w:r w:rsidRPr="00052ADA">
              <w:rPr>
                <w:rFonts w:cs="Arial"/>
                <w:sz w:val="14"/>
                <w:szCs w:val="14"/>
              </w:rPr>
              <w:t>**</w:t>
            </w:r>
            <w:r w:rsidRPr="00052ADA">
              <w:rPr>
                <w:rFonts w:cs="Arial"/>
                <w:spacing w:val="-2"/>
                <w:sz w:val="14"/>
                <w:szCs w:val="14"/>
              </w:rPr>
              <w:t>Zahrnuje i finanční sektor. Saldo důvěry podnikatelů i barié</w:t>
            </w:r>
            <w:r>
              <w:rPr>
                <w:rFonts w:cs="Arial"/>
                <w:spacing w:val="-2"/>
                <w:sz w:val="14"/>
                <w:szCs w:val="14"/>
              </w:rPr>
              <w:t xml:space="preserve">ry růstu </w:t>
            </w:r>
            <w:r w:rsidRPr="00052ADA">
              <w:rPr>
                <w:rFonts w:cs="Arial"/>
                <w:spacing w:val="-2"/>
                <w:sz w:val="14"/>
                <w:szCs w:val="14"/>
              </w:rPr>
              <w:t xml:space="preserve">vyjadřují stav v prvním (bariéry růstu), resp. ve druhém měsíci daného čtvrtletí (saldo důvěry). </w:t>
            </w:r>
            <w:r w:rsidRPr="00052ADA">
              <w:rPr>
                <w:rFonts w:cs="Arial"/>
                <w:sz w:val="14"/>
                <w:szCs w:val="14"/>
              </w:rPr>
              <w:t>Podniky mohly uvést více hlavních bariér současně.</w:t>
            </w:r>
            <w:r>
              <w:rPr>
                <w:rFonts w:cs="Arial"/>
                <w:sz w:val="14"/>
                <w:szCs w:val="14"/>
              </w:rPr>
              <w:t xml:space="preserve">                     </w:t>
            </w:r>
            <w:r w:rsidRPr="00052ADA">
              <w:rPr>
                <w:rFonts w:cs="Arial"/>
                <w:sz w:val="14"/>
                <w:szCs w:val="14"/>
              </w:rPr>
              <w:t xml:space="preserve">    Zdroj: ČSÚ, </w:t>
            </w:r>
            <w:proofErr w:type="spellStart"/>
            <w:r w:rsidRPr="00052ADA">
              <w:rPr>
                <w:rFonts w:cs="Arial"/>
                <w:sz w:val="14"/>
                <w:szCs w:val="14"/>
              </w:rPr>
              <w:t>Eurostat</w:t>
            </w:r>
            <w:proofErr w:type="spellEnd"/>
          </w:p>
        </w:tc>
      </w:tr>
      <w:tr w:rsidR="00F052D2" w14:paraId="4BDCA698" w14:textId="77777777" w:rsidTr="004149F4">
        <w:trPr>
          <w:trHeight w:val="170"/>
        </w:trPr>
        <w:tc>
          <w:tcPr>
            <w:tcW w:w="1747" w:type="dxa"/>
            <w:tcBorders>
              <w:top w:val="nil"/>
              <w:left w:val="nil"/>
              <w:bottom w:val="nil"/>
              <w:right w:val="nil"/>
            </w:tcBorders>
            <w:shd w:val="clear" w:color="auto" w:fill="auto"/>
            <w:tcMar>
              <w:left w:w="0" w:type="dxa"/>
            </w:tcMar>
          </w:tcPr>
          <w:p w14:paraId="22084DAA" w14:textId="6DCEA1C7" w:rsidR="00F052D2" w:rsidRDefault="00F052D2" w:rsidP="004149F4">
            <w:pPr>
              <w:pStyle w:val="Marginlie"/>
            </w:pPr>
            <w:r>
              <w:t xml:space="preserve">K meziročnímu </w:t>
            </w:r>
            <w:r w:rsidR="00A269AB">
              <w:t>růstu tržeb ve službách přispěly</w:t>
            </w:r>
            <w:r>
              <w:t xml:space="preserve"> z dílčích odvětví nejvíce </w:t>
            </w:r>
            <w:r w:rsidR="00A269AB">
              <w:t xml:space="preserve">cestovní kanceláře a také </w:t>
            </w:r>
            <w:r>
              <w:t xml:space="preserve">skladování. Opačně působily zejména stravování a pohostinství </w:t>
            </w:r>
            <w:r>
              <w:lastRenderedPageBreak/>
              <w:t>a také reklama a průzkum trhu.</w:t>
            </w:r>
          </w:p>
          <w:p w14:paraId="339843D5" w14:textId="77777777" w:rsidR="00F052D2" w:rsidRDefault="00F052D2" w:rsidP="004149F4">
            <w:pPr>
              <w:pStyle w:val="Marginlie"/>
            </w:pPr>
          </w:p>
          <w:p w14:paraId="736F0A62" w14:textId="77777777" w:rsidR="00F052D2" w:rsidRDefault="00F052D2" w:rsidP="004149F4">
            <w:pPr>
              <w:pStyle w:val="Marginlie"/>
            </w:pPr>
          </w:p>
          <w:p w14:paraId="05EE40CD"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20389ADE"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3699F870" w14:textId="3918830C" w:rsidR="00F052D2" w:rsidRPr="00D85AE5" w:rsidRDefault="00F052D2" w:rsidP="00A269AB">
            <w:pPr>
              <w:spacing w:after="200"/>
              <w:rPr>
                <w:color w:val="0D0D0D" w:themeColor="text1" w:themeTint="F2"/>
                <w:spacing w:val="-5"/>
              </w:rPr>
            </w:pPr>
            <w:r w:rsidRPr="00D85AE5">
              <w:rPr>
                <w:color w:val="0D0D0D" w:themeColor="text1" w:themeTint="F2"/>
                <w:spacing w:val="-5"/>
              </w:rPr>
              <w:t>V úhrnu za celé 3. čtvrtletí 2022 tržby ve službách meziročně posílily o 6,9 %. K růstu zásadně při</w:t>
            </w:r>
            <w:r>
              <w:rPr>
                <w:color w:val="0D0D0D" w:themeColor="text1" w:themeTint="F2"/>
                <w:spacing w:val="-5"/>
              </w:rPr>
              <w:t>spěla doprava a skladování (+3,8</w:t>
            </w:r>
            <w:r w:rsidRPr="00D85AE5">
              <w:rPr>
                <w:color w:val="0D0D0D" w:themeColor="text1" w:themeTint="F2"/>
                <w:spacing w:val="-5"/>
              </w:rPr>
              <w:t xml:space="preserve"> p. b.), pozitivně však působila všechna hlavní odvětví, vyjma ubytování, stravování a pohostinství (</w:t>
            </w:r>
            <w:r>
              <w:rPr>
                <w:color w:val="0D0D0D" w:themeColor="text1" w:themeTint="F2"/>
                <w:spacing w:val="-5"/>
              </w:rPr>
              <w:t>−</w:t>
            </w:r>
            <w:r w:rsidRPr="00D85AE5">
              <w:rPr>
                <w:color w:val="0D0D0D" w:themeColor="text1" w:themeTint="F2"/>
                <w:spacing w:val="-5"/>
              </w:rPr>
              <w:t>0,4 p. b.). V samotném ubyto</w:t>
            </w:r>
            <w:r>
              <w:rPr>
                <w:color w:val="0D0D0D" w:themeColor="text1" w:themeTint="F2"/>
                <w:spacing w:val="-5"/>
              </w:rPr>
              <w:t>vání ale tržby dále rostly (+8,7</w:t>
            </w:r>
            <w:r w:rsidRPr="00D85AE5">
              <w:rPr>
                <w:color w:val="0D0D0D" w:themeColor="text1" w:themeTint="F2"/>
                <w:spacing w:val="-5"/>
              </w:rPr>
              <w:t xml:space="preserve"> %). I přes úspěšnou letní sezónu</w:t>
            </w:r>
            <w:r w:rsidRPr="00D85AE5">
              <w:rPr>
                <w:rStyle w:val="Znakapoznpodarou"/>
                <w:color w:val="0D0D0D" w:themeColor="text1" w:themeTint="F2"/>
                <w:spacing w:val="-5"/>
              </w:rPr>
              <w:footnoteReference w:id="39"/>
            </w:r>
            <w:r w:rsidRPr="00D85AE5">
              <w:rPr>
                <w:color w:val="0D0D0D" w:themeColor="text1" w:themeTint="F2"/>
                <w:spacing w:val="-5"/>
              </w:rPr>
              <w:t xml:space="preserve"> se tržby ubytovatelů nacházely o více </w:t>
            </w:r>
            <w:r>
              <w:rPr>
                <w:color w:val="0D0D0D" w:themeColor="text1" w:themeTint="F2"/>
                <w:spacing w:val="-5"/>
              </w:rPr>
              <w:t xml:space="preserve">než </w:t>
            </w:r>
            <w:r w:rsidRPr="00D85AE5">
              <w:rPr>
                <w:color w:val="0D0D0D" w:themeColor="text1" w:themeTint="F2"/>
                <w:spacing w:val="-5"/>
              </w:rPr>
              <w:t>čtvrtinu pod úrovní ze 3. čtvrtletí 2019 (v případě stravování a pohostinství o necelou pětinu). Razantní oživení (vč. výjezdů občanů ČR na letní dovolené) se odrazil</w:t>
            </w:r>
            <w:r>
              <w:rPr>
                <w:color w:val="0D0D0D" w:themeColor="text1" w:themeTint="F2"/>
                <w:spacing w:val="-5"/>
              </w:rPr>
              <w:t>o</w:t>
            </w:r>
            <w:r w:rsidRPr="00D85AE5">
              <w:rPr>
                <w:color w:val="0D0D0D" w:themeColor="text1" w:themeTint="F2"/>
                <w:spacing w:val="-5"/>
              </w:rPr>
              <w:t xml:space="preserve"> i ve výkonech cestovních kanceláří a agentur – ty zároveň táhly svižný růst tržeb v celém odvětví </w:t>
            </w:r>
            <w:r w:rsidRPr="00D85AE5">
              <w:rPr>
                <w:color w:val="0D0D0D" w:themeColor="text1" w:themeTint="F2"/>
                <w:spacing w:val="-5"/>
              </w:rPr>
              <w:lastRenderedPageBreak/>
              <w:t>administrativ</w:t>
            </w:r>
            <w:r>
              <w:rPr>
                <w:color w:val="0D0D0D" w:themeColor="text1" w:themeTint="F2"/>
                <w:spacing w:val="-5"/>
              </w:rPr>
              <w:t>ních a podpůrných činností (17,7</w:t>
            </w:r>
            <w:r w:rsidRPr="00D85AE5">
              <w:rPr>
                <w:color w:val="0D0D0D" w:themeColor="text1" w:themeTint="F2"/>
                <w:spacing w:val="-5"/>
              </w:rPr>
              <w:t xml:space="preserve"> % meziročně). Opačně působily pracovní agentury, u nichž se tržby snižovaly pátým kvartálem v řadě (</w:t>
            </w:r>
            <w:r>
              <w:rPr>
                <w:color w:val="0D0D0D" w:themeColor="text1" w:themeTint="F2"/>
                <w:spacing w:val="-5"/>
              </w:rPr>
              <w:t>a oproti roku 2019 byly o</w:t>
            </w:r>
            <w:r w:rsidRPr="00D85AE5">
              <w:rPr>
                <w:color w:val="0D0D0D" w:themeColor="text1" w:themeTint="F2"/>
                <w:spacing w:val="-5"/>
              </w:rPr>
              <w:t> </w:t>
            </w:r>
            <w:r>
              <w:rPr>
                <w:color w:val="0D0D0D" w:themeColor="text1" w:themeTint="F2"/>
                <w:spacing w:val="-5"/>
              </w:rPr>
              <w:t>30 %</w:t>
            </w:r>
            <w:r w:rsidRPr="00D85AE5">
              <w:rPr>
                <w:color w:val="0D0D0D" w:themeColor="text1" w:themeTint="F2"/>
                <w:spacing w:val="-5"/>
              </w:rPr>
              <w:t xml:space="preserve"> nižší). V odvětví </w:t>
            </w:r>
            <w:r w:rsidRPr="00D85AE5">
              <w:rPr>
                <w:rFonts w:cs="Arial"/>
                <w:color w:val="0D0D0D" w:themeColor="text1" w:themeTint="F2"/>
                <w:spacing w:val="-5"/>
              </w:rPr>
              <w:t>profesní, vědecké a technické činnosti vzrostly tržby mírněji (</w:t>
            </w:r>
            <w:r w:rsidRPr="00B81C9D">
              <w:rPr>
                <w:rFonts w:cs="Arial"/>
                <w:color w:val="0D0D0D" w:themeColor="text1" w:themeTint="F2"/>
                <w:spacing w:val="-6"/>
              </w:rPr>
              <w:t>o</w:t>
            </w:r>
            <w:r w:rsidRPr="00B81C9D">
              <w:rPr>
                <w:color w:val="0D0D0D" w:themeColor="text1" w:themeTint="F2"/>
                <w:spacing w:val="-6"/>
              </w:rPr>
              <w:t> </w:t>
            </w:r>
            <w:r>
              <w:rPr>
                <w:rFonts w:cs="Arial"/>
                <w:color w:val="0D0D0D" w:themeColor="text1" w:themeTint="F2"/>
                <w:spacing w:val="-6"/>
              </w:rPr>
              <w:t>2,5</w:t>
            </w:r>
            <w:r w:rsidRPr="00B81C9D">
              <w:rPr>
                <w:color w:val="0D0D0D" w:themeColor="text1" w:themeTint="F2"/>
                <w:spacing w:val="-6"/>
              </w:rPr>
              <w:t> </w:t>
            </w:r>
            <w:r w:rsidRPr="00B81C9D">
              <w:rPr>
                <w:rFonts w:cs="Arial"/>
                <w:color w:val="0D0D0D" w:themeColor="text1" w:themeTint="F2"/>
                <w:spacing w:val="-6"/>
              </w:rPr>
              <w:t>%). Toto odvětví ale poskytuje sofi</w:t>
            </w:r>
            <w:r>
              <w:rPr>
                <w:rFonts w:cs="Arial"/>
                <w:color w:val="0D0D0D" w:themeColor="text1" w:themeTint="F2"/>
                <w:spacing w:val="-6"/>
              </w:rPr>
              <w:t>stikovanější služby pro podniky a p</w:t>
            </w:r>
            <w:r w:rsidRPr="00B81C9D">
              <w:rPr>
                <w:rFonts w:cs="Arial"/>
                <w:color w:val="0D0D0D" w:themeColor="text1" w:themeTint="F2"/>
                <w:spacing w:val="-6"/>
              </w:rPr>
              <w:t>optávka po mnohých z nich nebyla za pandemického období příliš narušena (právní a</w:t>
            </w:r>
            <w:r w:rsidRPr="00B81C9D">
              <w:rPr>
                <w:spacing w:val="-6"/>
              </w:rPr>
              <w:t> </w:t>
            </w:r>
            <w:r w:rsidRPr="00B81C9D">
              <w:rPr>
                <w:rFonts w:cs="Arial"/>
                <w:color w:val="0D0D0D" w:themeColor="text1" w:themeTint="F2"/>
                <w:spacing w:val="-6"/>
              </w:rPr>
              <w:t xml:space="preserve">účetnické činnosti, poradenství v oblasti řízení). K růstu </w:t>
            </w:r>
            <w:r>
              <w:rPr>
                <w:rFonts w:cs="Arial"/>
                <w:color w:val="0D0D0D" w:themeColor="text1" w:themeTint="F2"/>
                <w:spacing w:val="-6"/>
              </w:rPr>
              <w:t xml:space="preserve">tohoto </w:t>
            </w:r>
            <w:r w:rsidRPr="00B81C9D">
              <w:rPr>
                <w:rFonts w:cs="Arial"/>
                <w:color w:val="0D0D0D" w:themeColor="text1" w:themeTint="F2"/>
                <w:spacing w:val="-6"/>
              </w:rPr>
              <w:t xml:space="preserve">odvětví </w:t>
            </w:r>
            <w:r w:rsidR="00A269AB">
              <w:rPr>
                <w:rFonts w:cs="Arial"/>
                <w:color w:val="0D0D0D" w:themeColor="text1" w:themeTint="F2"/>
                <w:spacing w:val="-6"/>
              </w:rPr>
              <w:t xml:space="preserve">ve 3. čtvrtletí 2022 významně </w:t>
            </w:r>
            <w:r w:rsidRPr="00B81C9D">
              <w:rPr>
                <w:rFonts w:cs="Arial"/>
                <w:color w:val="0D0D0D" w:themeColor="text1" w:themeTint="F2"/>
                <w:spacing w:val="-6"/>
              </w:rPr>
              <w:t>přis</w:t>
            </w:r>
            <w:r>
              <w:rPr>
                <w:rFonts w:cs="Arial"/>
                <w:color w:val="0D0D0D" w:themeColor="text1" w:themeTint="F2"/>
                <w:spacing w:val="-6"/>
              </w:rPr>
              <w:t xml:space="preserve">pěly </w:t>
            </w:r>
            <w:r w:rsidR="00A269AB">
              <w:rPr>
                <w:rFonts w:cs="Arial"/>
                <w:color w:val="0D0D0D" w:themeColor="text1" w:themeTint="F2"/>
                <w:spacing w:val="-6"/>
              </w:rPr>
              <w:t>právní a</w:t>
            </w:r>
            <w:r w:rsidR="00A269AB" w:rsidRPr="00B81C9D">
              <w:rPr>
                <w:rFonts w:cs="Arial"/>
                <w:color w:val="0D0D0D" w:themeColor="text1" w:themeTint="F2"/>
                <w:spacing w:val="-6"/>
              </w:rPr>
              <w:t> </w:t>
            </w:r>
            <w:r w:rsidR="00A269AB" w:rsidRPr="00A269AB">
              <w:rPr>
                <w:rFonts w:cs="Arial"/>
                <w:color w:val="0D0D0D" w:themeColor="text1" w:themeTint="F2"/>
                <w:spacing w:val="-6"/>
              </w:rPr>
              <w:t>účetnické činnosti</w:t>
            </w:r>
            <w:r w:rsidR="00A269AB">
              <w:rPr>
                <w:rFonts w:cs="Arial"/>
                <w:color w:val="0D0D0D" w:themeColor="text1" w:themeTint="F2"/>
                <w:spacing w:val="-6"/>
              </w:rPr>
              <w:t xml:space="preserve"> a také </w:t>
            </w:r>
            <w:r>
              <w:rPr>
                <w:rFonts w:cs="Arial"/>
                <w:color w:val="0D0D0D" w:themeColor="text1" w:themeTint="F2"/>
                <w:spacing w:val="-6"/>
              </w:rPr>
              <w:t>architektonické a</w:t>
            </w:r>
            <w:r w:rsidRPr="00B81C9D">
              <w:rPr>
                <w:rFonts w:cs="Arial"/>
                <w:color w:val="0D0D0D" w:themeColor="text1" w:themeTint="F2"/>
                <w:spacing w:val="-6"/>
              </w:rPr>
              <w:t xml:space="preserve"> inženýrské činnosti, jimž se dařilo navzdory slábnoucímu výkonu stavebnictví. Růst poptávky pokračoval i v dalších dílčích </w:t>
            </w:r>
            <w:r w:rsidRPr="00307F0B">
              <w:rPr>
                <w:rFonts w:cs="Arial"/>
                <w:color w:val="0D0D0D" w:themeColor="text1" w:themeTint="F2"/>
                <w:spacing w:val="-6"/>
              </w:rPr>
              <w:t>oborech podnikových služeb. Výjimkou byly reklamní činnosti a průzkum trhu a veřejného mínění, kde tržby meziročně poklesly o 12,8 % (a zaostaly i ve srovnání s předkrizovým rokem 2019).</w:t>
            </w:r>
            <w:r w:rsidRPr="00307F0B">
              <w:rPr>
                <w:rFonts w:cs="Arial"/>
                <w:color w:val="0D0D0D" w:themeColor="text1" w:themeTint="F2"/>
                <w:spacing w:val="-5"/>
              </w:rPr>
              <w:t xml:space="preserve"> </w:t>
            </w:r>
          </w:p>
        </w:tc>
      </w:tr>
      <w:tr w:rsidR="00F052D2" w14:paraId="22934545" w14:textId="77777777" w:rsidTr="004149F4">
        <w:trPr>
          <w:trHeight w:val="170"/>
        </w:trPr>
        <w:tc>
          <w:tcPr>
            <w:tcW w:w="1747" w:type="dxa"/>
            <w:tcBorders>
              <w:top w:val="nil"/>
              <w:left w:val="nil"/>
              <w:bottom w:val="nil"/>
              <w:right w:val="nil"/>
            </w:tcBorders>
            <w:shd w:val="clear" w:color="auto" w:fill="auto"/>
            <w:tcMar>
              <w:left w:w="0" w:type="dxa"/>
            </w:tcMar>
          </w:tcPr>
          <w:p w14:paraId="6AF0011D" w14:textId="77777777" w:rsidR="00F052D2" w:rsidRDefault="00F052D2" w:rsidP="004149F4">
            <w:pPr>
              <w:pStyle w:val="Marginlie"/>
            </w:pPr>
            <w:r>
              <w:lastRenderedPageBreak/>
              <w:t>Růst tržeb v pozemní dopravě i vlivem slabší dynamiky vývozu zboží ve 2. čtvrtletí zvolnil. Poptávka ve skladování zůstala vysoká.</w:t>
            </w:r>
          </w:p>
          <w:p w14:paraId="1467A4F5" w14:textId="77777777" w:rsidR="00F052D2" w:rsidRDefault="00F052D2" w:rsidP="004149F4">
            <w:pPr>
              <w:pStyle w:val="Marginlie"/>
            </w:pPr>
          </w:p>
          <w:p w14:paraId="67300260" w14:textId="77777777" w:rsidR="00F052D2" w:rsidRDefault="00F052D2" w:rsidP="004149F4">
            <w:pPr>
              <w:pStyle w:val="Marginlie"/>
            </w:pPr>
          </w:p>
          <w:p w14:paraId="37D7FFA2" w14:textId="77777777" w:rsidR="00F052D2" w:rsidRDefault="00F052D2" w:rsidP="004149F4">
            <w:pPr>
              <w:pStyle w:val="Marginlie"/>
            </w:pPr>
          </w:p>
          <w:p w14:paraId="7476ACC2" w14:textId="77777777" w:rsidR="00F052D2" w:rsidRDefault="00F052D2" w:rsidP="004149F4">
            <w:pPr>
              <w:pStyle w:val="Marginlie"/>
            </w:pPr>
          </w:p>
          <w:p w14:paraId="07CE968D" w14:textId="77777777" w:rsidR="00F052D2" w:rsidRDefault="00F052D2" w:rsidP="004149F4">
            <w:pPr>
              <w:pStyle w:val="Marginlie"/>
            </w:pPr>
          </w:p>
          <w:p w14:paraId="1B724D4E" w14:textId="77777777" w:rsidR="00F052D2" w:rsidRDefault="00F052D2" w:rsidP="004149F4">
            <w:pPr>
              <w:pStyle w:val="Marginlie"/>
            </w:pPr>
            <w:r>
              <w:t>Poptávka v klíčových oborech informačních a komunikačních činností dále rostla.</w:t>
            </w:r>
          </w:p>
          <w:p w14:paraId="0B0C7804"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7864DA49"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5017227F" w14:textId="77777777" w:rsidR="00F052D2" w:rsidRPr="00E04DF2" w:rsidRDefault="00F052D2" w:rsidP="004149F4">
            <w:pPr>
              <w:rPr>
                <w:rFonts w:cs="Arial"/>
                <w:spacing w:val="-4"/>
                <w:sz w:val="14"/>
                <w:szCs w:val="14"/>
              </w:rPr>
            </w:pPr>
            <w:r w:rsidRPr="00E04DF2">
              <w:rPr>
                <w:rFonts w:cs="Arial"/>
                <w:color w:val="0D0D0D" w:themeColor="text1" w:themeTint="F2"/>
                <w:spacing w:val="-4"/>
              </w:rPr>
              <w:t>Váhově dominantní odvětví dopravy a skladování zaznamenalo ve 3. čtvrtletí meziroční růst tržeb o 12,5 %. Bezmála z poloviny se o to zasloužilo samotné skladování. Mírnější růst registrovala pozemní doprava, kde tempo ve srovnání s počátkem roku zvolnilo (na 6,7 %). To bylo ovlivněno i slabšími výsledky tuzemských vývozců zboží. Výrazně ožila letecká doprava (+81,9 %), proti roku 2019 však její tržby zhruba o desetinu zaostaly (obdobně jako ve vodní dopravě). Tržby poštovních a kurýrních činností meziročně spíše stagnovaly (svůj předpandemický vrchol ale zhruba o šestinu již překonaly). Růst tržeb v dlouhodobě posilujícím odvětví informačních a</w:t>
            </w:r>
            <w:r w:rsidRPr="00E04DF2">
              <w:rPr>
                <w:color w:val="0D0D0D" w:themeColor="text1" w:themeTint="F2"/>
                <w:spacing w:val="-4"/>
              </w:rPr>
              <w:t> </w:t>
            </w:r>
            <w:r w:rsidRPr="00E04DF2">
              <w:rPr>
                <w:rFonts w:cs="Arial"/>
                <w:color w:val="0D0D0D" w:themeColor="text1" w:themeTint="F2"/>
                <w:spacing w:val="-4"/>
              </w:rPr>
              <w:t>komunikačních činností zvolnil na 2,9 %. Výkon odvětví stále táhla vysoká poptávka zejména po činnostech v oblasti informačních technologií (např. programování, správa počítačového vybavení). Dařilo se i informačním činnostem (např. zpracování dat, činnost webových portálů) a telekomunikacím. Naopak pokles tržeb za tvorbu rozhlasových i televizních programů a vysílání se prohluboval a zotavování filmového i hudebního průmyslu se zastavilo</w:t>
            </w:r>
            <w:r w:rsidRPr="00E04DF2">
              <w:rPr>
                <w:rStyle w:val="Znakapoznpodarou"/>
                <w:color w:val="0D0D0D" w:themeColor="text1" w:themeTint="F2"/>
                <w:spacing w:val="-4"/>
              </w:rPr>
              <w:footnoteReference w:id="40"/>
            </w:r>
            <w:r w:rsidRPr="00E04DF2">
              <w:rPr>
                <w:rFonts w:cs="Arial"/>
                <w:color w:val="0D0D0D" w:themeColor="text1" w:themeTint="F2"/>
                <w:spacing w:val="-4"/>
              </w:rPr>
              <w:t>. V obou těchto váhově spíše okrajových oborech tržby oproti loňskému 3. čtvrtletí propadly zhruba o čtvrtinu a zaostaly i za rokem 2019.</w:t>
            </w:r>
          </w:p>
        </w:tc>
      </w:tr>
      <w:tr w:rsidR="00F052D2" w14:paraId="070F4820" w14:textId="77777777" w:rsidTr="004149F4">
        <w:trPr>
          <w:trHeight w:val="170"/>
        </w:trPr>
        <w:tc>
          <w:tcPr>
            <w:tcW w:w="1747" w:type="dxa"/>
            <w:tcBorders>
              <w:top w:val="nil"/>
              <w:left w:val="nil"/>
              <w:bottom w:val="nil"/>
              <w:right w:val="nil"/>
            </w:tcBorders>
            <w:shd w:val="clear" w:color="auto" w:fill="auto"/>
            <w:tcMar>
              <w:left w:w="0" w:type="dxa"/>
            </w:tcMar>
          </w:tcPr>
          <w:p w14:paraId="06D52776" w14:textId="68C37A4D" w:rsidR="00F052D2" w:rsidRDefault="00F052D2" w:rsidP="004149F4">
            <w:pPr>
              <w:pStyle w:val="Marginlie"/>
            </w:pPr>
            <w:proofErr w:type="spellStart"/>
            <w:r>
              <w:t>Mezikvartální</w:t>
            </w:r>
            <w:proofErr w:type="spellEnd"/>
            <w:r>
              <w:t xml:space="preserve"> pokles maloobchod</w:t>
            </w:r>
            <w:r w:rsidR="00A269AB">
              <w:t>ních tržeb přetrvává od 4. čtvrtletí</w:t>
            </w:r>
            <w:r>
              <w:t xml:space="preserve"> loňského roku.</w:t>
            </w:r>
          </w:p>
          <w:p w14:paraId="3A57809B" w14:textId="77777777" w:rsidR="00F052D2" w:rsidRDefault="00F052D2" w:rsidP="004149F4">
            <w:pPr>
              <w:pStyle w:val="Marginlie"/>
            </w:pPr>
          </w:p>
          <w:p w14:paraId="49ED90A0" w14:textId="77777777" w:rsidR="00F052D2" w:rsidRDefault="00F052D2" w:rsidP="004149F4">
            <w:pPr>
              <w:pStyle w:val="Marginlie"/>
            </w:pPr>
          </w:p>
          <w:p w14:paraId="39D22D8E" w14:textId="77777777" w:rsidR="00F052D2" w:rsidRDefault="00F052D2" w:rsidP="004149F4">
            <w:pPr>
              <w:pStyle w:val="Marginlie"/>
            </w:pPr>
          </w:p>
          <w:p w14:paraId="4F2A7BD9" w14:textId="77777777" w:rsidR="00F052D2" w:rsidRDefault="00F052D2" w:rsidP="004149F4">
            <w:pPr>
              <w:pStyle w:val="Marginlie"/>
            </w:pPr>
          </w:p>
          <w:p w14:paraId="2BDE16D0" w14:textId="77777777" w:rsidR="00F052D2" w:rsidRDefault="00F052D2" w:rsidP="004149F4">
            <w:pPr>
              <w:pStyle w:val="Marginlie"/>
            </w:pPr>
            <w:r>
              <w:t>Pesimismus spotřebitelů byl v říjnu rekordní.</w:t>
            </w:r>
          </w:p>
          <w:p w14:paraId="021E0162" w14:textId="77777777" w:rsidR="00F052D2" w:rsidRDefault="00F052D2" w:rsidP="004149F4">
            <w:pPr>
              <w:pStyle w:val="Marginlie"/>
            </w:pPr>
            <w:r>
              <w:t xml:space="preserve">Důvěra obchodníků se ale dosud letos snižovala jen mírně. </w:t>
            </w:r>
          </w:p>
          <w:p w14:paraId="5427BB9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135418B4"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1C446625" w14:textId="77777777" w:rsidR="00F052D2" w:rsidRPr="00D06CFC" w:rsidRDefault="00F052D2" w:rsidP="004149F4">
            <w:pPr>
              <w:spacing w:after="0"/>
              <w:rPr>
                <w:rFonts w:cs="Arial"/>
                <w:color w:val="0D0D0D" w:themeColor="text1" w:themeTint="F2"/>
                <w:spacing w:val="-4"/>
                <w:szCs w:val="20"/>
              </w:rPr>
            </w:pPr>
            <w:r w:rsidRPr="007E16DE">
              <w:rPr>
                <w:rFonts w:cs="Arial"/>
                <w:color w:val="0D0D0D" w:themeColor="text1" w:themeTint="F2"/>
                <w:spacing w:val="-4"/>
                <w:szCs w:val="20"/>
              </w:rPr>
              <w:t>Tržby v maloobchodu</w:t>
            </w:r>
            <w:r w:rsidRPr="007E16DE">
              <w:rPr>
                <w:rStyle w:val="Znakapoznpodarou"/>
                <w:color w:val="0D0D0D" w:themeColor="text1" w:themeTint="F2"/>
                <w:spacing w:val="-4"/>
              </w:rPr>
              <w:footnoteReference w:id="41"/>
            </w:r>
            <w:r>
              <w:rPr>
                <w:rFonts w:cs="Arial"/>
                <w:color w:val="0D0D0D" w:themeColor="text1" w:themeTint="F2"/>
                <w:spacing w:val="-4"/>
                <w:szCs w:val="20"/>
              </w:rPr>
              <w:t xml:space="preserve"> byly ve 3. čtvrtletí 2022 mezikvartálně nižší o 2,0 %, když klesaly prakticky ve všech jeho segmentech. Útlum poptávky v maloobchodu je patrný již čtvrtý kvartál v řadě (shodně jako v případě celkových výdajů na konečnou spotřebu domácností). V září 2022 se sice meziměsíční pokles maloobchodních tržeb dočasně zastavil</w:t>
            </w:r>
            <w:r>
              <w:rPr>
                <w:rStyle w:val="Znakapoznpodarou"/>
                <w:color w:val="0D0D0D" w:themeColor="text1" w:themeTint="F2"/>
                <w:spacing w:val="-4"/>
                <w:szCs w:val="20"/>
              </w:rPr>
              <w:footnoteReference w:id="42"/>
            </w:r>
            <w:r>
              <w:rPr>
                <w:rFonts w:cs="Arial"/>
                <w:color w:val="0D0D0D" w:themeColor="text1" w:themeTint="F2"/>
                <w:spacing w:val="-4"/>
                <w:szCs w:val="20"/>
              </w:rPr>
              <w:t>, jejich výše se ale pouze dorovnala úrovni z července</w:t>
            </w:r>
            <w:r w:rsidRPr="00D74A69">
              <w:rPr>
                <w:rFonts w:cs="Arial"/>
                <w:color w:val="0D0D0D" w:themeColor="text1" w:themeTint="F2"/>
                <w:spacing w:val="-4"/>
                <w:szCs w:val="20"/>
              </w:rPr>
              <w:t xml:space="preserve"> 2019.</w:t>
            </w:r>
            <w:r>
              <w:rPr>
                <w:rFonts w:cs="Arial"/>
                <w:color w:val="0D0D0D" w:themeColor="text1" w:themeTint="F2"/>
                <w:spacing w:val="-4"/>
                <w:szCs w:val="20"/>
              </w:rPr>
              <w:t xml:space="preserve"> To</w:t>
            </w:r>
            <w:r w:rsidRPr="00D74A69">
              <w:rPr>
                <w:rFonts w:cs="Arial"/>
                <w:color w:val="0D0D0D" w:themeColor="text1" w:themeTint="F2"/>
                <w:spacing w:val="-4"/>
                <w:szCs w:val="20"/>
              </w:rPr>
              <w:t xml:space="preserve"> úzce souvisel</w:t>
            </w:r>
            <w:r>
              <w:rPr>
                <w:rFonts w:cs="Arial"/>
                <w:color w:val="0D0D0D" w:themeColor="text1" w:themeTint="F2"/>
                <w:spacing w:val="-4"/>
                <w:szCs w:val="20"/>
              </w:rPr>
              <w:t>o</w:t>
            </w:r>
            <w:r w:rsidRPr="00D74A69">
              <w:rPr>
                <w:rFonts w:cs="Arial"/>
                <w:color w:val="0D0D0D" w:themeColor="text1" w:themeTint="F2"/>
                <w:spacing w:val="-4"/>
                <w:szCs w:val="20"/>
              </w:rPr>
              <w:t xml:space="preserve"> s postupným útlumem spotřebitelské důvěry až n</w:t>
            </w:r>
            <w:r>
              <w:rPr>
                <w:rFonts w:cs="Arial"/>
                <w:color w:val="0D0D0D" w:themeColor="text1" w:themeTint="F2"/>
                <w:spacing w:val="-4"/>
                <w:szCs w:val="20"/>
              </w:rPr>
              <w:t>a historické minimum (v říjnu</w:t>
            </w:r>
            <w:r w:rsidRPr="00D74A69">
              <w:rPr>
                <w:rFonts w:cs="Arial"/>
                <w:color w:val="0D0D0D" w:themeColor="text1" w:themeTint="F2"/>
                <w:spacing w:val="-4"/>
                <w:szCs w:val="20"/>
              </w:rPr>
              <w:t xml:space="preserve"> 2</w:t>
            </w:r>
            <w:r>
              <w:rPr>
                <w:rFonts w:cs="Arial"/>
                <w:color w:val="0D0D0D" w:themeColor="text1" w:themeTint="F2"/>
                <w:spacing w:val="-4"/>
                <w:szCs w:val="20"/>
              </w:rPr>
              <w:t xml:space="preserve">022). Meziroční reálný propad průměrných mezd dosáhl ve 2. i 3. </w:t>
            </w:r>
            <w:r w:rsidRPr="00D74A69">
              <w:rPr>
                <w:rFonts w:cs="Arial"/>
                <w:color w:val="0D0D0D" w:themeColor="text1" w:themeTint="F2"/>
                <w:spacing w:val="-4"/>
                <w:szCs w:val="20"/>
              </w:rPr>
              <w:t>čtvr</w:t>
            </w:r>
            <w:r>
              <w:rPr>
                <w:rFonts w:cs="Arial"/>
                <w:color w:val="0D0D0D" w:themeColor="text1" w:themeTint="F2"/>
                <w:spacing w:val="-4"/>
                <w:szCs w:val="20"/>
              </w:rPr>
              <w:t>tletí 2022 téměř 10 % a vyústil v citelný</w:t>
            </w:r>
            <w:r w:rsidRPr="00D74A69">
              <w:rPr>
                <w:rFonts w:cs="Arial"/>
                <w:color w:val="0D0D0D" w:themeColor="text1" w:themeTint="F2"/>
                <w:spacing w:val="-4"/>
                <w:szCs w:val="20"/>
              </w:rPr>
              <w:t xml:space="preserve"> </w:t>
            </w:r>
            <w:r>
              <w:rPr>
                <w:rFonts w:cs="Arial"/>
                <w:color w:val="0D0D0D" w:themeColor="text1" w:themeTint="F2"/>
                <w:spacing w:val="-4"/>
                <w:szCs w:val="20"/>
              </w:rPr>
              <w:t xml:space="preserve">pokles celkového </w:t>
            </w:r>
            <w:r w:rsidRPr="00D74A69">
              <w:rPr>
                <w:rFonts w:cs="Arial"/>
                <w:color w:val="0D0D0D" w:themeColor="text1" w:themeTint="F2"/>
                <w:spacing w:val="-4"/>
                <w:szCs w:val="20"/>
              </w:rPr>
              <w:t>disponibilního důchodu domácností</w:t>
            </w:r>
            <w:r>
              <w:rPr>
                <w:rStyle w:val="Znakapoznpodarou"/>
                <w:color w:val="0D0D0D" w:themeColor="text1" w:themeTint="F2"/>
                <w:spacing w:val="-4"/>
                <w:szCs w:val="20"/>
              </w:rPr>
              <w:footnoteReference w:id="43"/>
            </w:r>
            <w:r>
              <w:rPr>
                <w:rFonts w:cs="Arial"/>
                <w:color w:val="0D0D0D" w:themeColor="text1" w:themeTint="F2"/>
                <w:spacing w:val="-4"/>
                <w:szCs w:val="20"/>
              </w:rPr>
              <w:t>. Spolu se zhoršující se finanční situací domácností se prohlubovaly i negativní výhledy v oblasti celkové ekonomické situace v ČR</w:t>
            </w:r>
            <w:r w:rsidRPr="00D74A69">
              <w:rPr>
                <w:rFonts w:cs="Arial"/>
                <w:color w:val="0D0D0D" w:themeColor="text1" w:themeTint="F2"/>
                <w:spacing w:val="-4"/>
                <w:szCs w:val="20"/>
              </w:rPr>
              <w:t xml:space="preserve"> na období nejbl</w:t>
            </w:r>
            <w:r>
              <w:rPr>
                <w:rFonts w:cs="Arial"/>
                <w:color w:val="0D0D0D" w:themeColor="text1" w:themeTint="F2"/>
                <w:spacing w:val="-4"/>
                <w:szCs w:val="20"/>
              </w:rPr>
              <w:t>ižších 12 měsíců</w:t>
            </w:r>
            <w:r>
              <w:rPr>
                <w:rStyle w:val="Znakapoznpodarou"/>
                <w:color w:val="0D0D0D" w:themeColor="text1" w:themeTint="F2"/>
                <w:spacing w:val="-4"/>
                <w:szCs w:val="20"/>
              </w:rPr>
              <w:footnoteReference w:id="44"/>
            </w:r>
            <w:r>
              <w:rPr>
                <w:rFonts w:cs="Arial"/>
                <w:color w:val="0D0D0D" w:themeColor="text1" w:themeTint="F2"/>
                <w:spacing w:val="-4"/>
                <w:szCs w:val="20"/>
              </w:rPr>
              <w:t>. Ovšem</w:t>
            </w:r>
            <w:r w:rsidRPr="00D74A69">
              <w:rPr>
                <w:rFonts w:cs="Arial"/>
                <w:color w:val="0D0D0D" w:themeColor="text1" w:themeTint="F2"/>
                <w:spacing w:val="-4"/>
                <w:szCs w:val="20"/>
              </w:rPr>
              <w:t xml:space="preserve"> nálada samotných obchodníků zůstávala i přes mírné zhoršení pozitivní</w:t>
            </w:r>
            <w:r w:rsidRPr="00D74A69">
              <w:rPr>
                <w:rStyle w:val="Znakapoznpodarou"/>
                <w:color w:val="0D0D0D" w:themeColor="text1" w:themeTint="F2"/>
                <w:spacing w:val="-4"/>
                <w:szCs w:val="20"/>
              </w:rPr>
              <w:footnoteReference w:id="45"/>
            </w:r>
            <w:r w:rsidRPr="00D74A69">
              <w:rPr>
                <w:rFonts w:cs="Arial"/>
                <w:color w:val="0D0D0D" w:themeColor="text1" w:themeTint="F2"/>
                <w:spacing w:val="-4"/>
                <w:szCs w:val="20"/>
              </w:rPr>
              <w:t>.</w:t>
            </w:r>
            <w:r>
              <w:rPr>
                <w:rFonts w:cs="Arial"/>
                <w:color w:val="0D0D0D" w:themeColor="text1" w:themeTint="F2"/>
                <w:spacing w:val="-4"/>
                <w:szCs w:val="20"/>
              </w:rPr>
              <w:t xml:space="preserve"> Ti spoléhali i na</w:t>
            </w:r>
            <w:r w:rsidRPr="00D74A69">
              <w:rPr>
                <w:rFonts w:cs="Arial"/>
                <w:color w:val="0D0D0D" w:themeColor="text1" w:themeTint="F2"/>
                <w:spacing w:val="-4"/>
                <w:szCs w:val="20"/>
              </w:rPr>
              <w:t xml:space="preserve"> setrvačnost ve spotřebním chování tuzemských domácností (vč. </w:t>
            </w:r>
            <w:r>
              <w:rPr>
                <w:rFonts w:cs="Arial"/>
                <w:color w:val="0D0D0D" w:themeColor="text1" w:themeTint="F2"/>
                <w:spacing w:val="-4"/>
                <w:szCs w:val="20"/>
              </w:rPr>
              <w:t xml:space="preserve">jejich </w:t>
            </w:r>
            <w:r w:rsidRPr="00D74A69">
              <w:rPr>
                <w:rFonts w:cs="Arial"/>
                <w:color w:val="0D0D0D" w:themeColor="text1" w:themeTint="F2"/>
                <w:spacing w:val="-4"/>
                <w:szCs w:val="20"/>
              </w:rPr>
              <w:t>využití zbývající části „zadržených“ úspor z let 2020 a 2021</w:t>
            </w:r>
            <w:r>
              <w:rPr>
                <w:rFonts w:cs="Arial"/>
                <w:color w:val="0D0D0D" w:themeColor="text1" w:themeTint="F2"/>
                <w:spacing w:val="-4"/>
                <w:szCs w:val="20"/>
              </w:rPr>
              <w:t xml:space="preserve"> k současným nákupům</w:t>
            </w:r>
            <w:r w:rsidRPr="00D74A69">
              <w:rPr>
                <w:rFonts w:cs="Arial"/>
                <w:color w:val="0D0D0D" w:themeColor="text1" w:themeTint="F2"/>
                <w:spacing w:val="-4"/>
                <w:szCs w:val="20"/>
              </w:rPr>
              <w:t>)</w:t>
            </w:r>
            <w:r>
              <w:rPr>
                <w:rFonts w:cs="Arial"/>
                <w:color w:val="0D0D0D" w:themeColor="text1" w:themeTint="F2"/>
                <w:spacing w:val="-4"/>
                <w:szCs w:val="20"/>
              </w:rPr>
              <w:t xml:space="preserve"> </w:t>
            </w:r>
            <w:proofErr w:type="gramStart"/>
            <w:r>
              <w:rPr>
                <w:rFonts w:cs="Arial"/>
                <w:color w:val="0D0D0D" w:themeColor="text1" w:themeTint="F2"/>
                <w:spacing w:val="-4"/>
                <w:szCs w:val="20"/>
              </w:rPr>
              <w:t>a</w:t>
            </w:r>
            <w:r w:rsidRPr="00D74A69">
              <w:rPr>
                <w:rFonts w:cs="Arial"/>
                <w:color w:val="0D0D0D" w:themeColor="text1" w:themeTint="F2"/>
                <w:spacing w:val="-4"/>
                <w:szCs w:val="20"/>
              </w:rPr>
              <w:t xml:space="preserve">  na</w:t>
            </w:r>
            <w:proofErr w:type="gramEnd"/>
            <w:r w:rsidRPr="00D74A69">
              <w:rPr>
                <w:rFonts w:cs="Arial"/>
                <w:color w:val="0D0D0D" w:themeColor="text1" w:themeTint="F2"/>
                <w:spacing w:val="-4"/>
                <w:szCs w:val="20"/>
              </w:rPr>
              <w:t xml:space="preserve"> vyšší výdaje nerezidentů</w:t>
            </w:r>
            <w:r>
              <w:rPr>
                <w:rStyle w:val="Znakapoznpodarou"/>
                <w:color w:val="0D0D0D" w:themeColor="text1" w:themeTint="F2"/>
                <w:spacing w:val="-4"/>
                <w:szCs w:val="20"/>
              </w:rPr>
              <w:footnoteReference w:id="46"/>
            </w:r>
            <w:r w:rsidRPr="00D74A69">
              <w:rPr>
                <w:rFonts w:cs="Arial"/>
                <w:color w:val="0D0D0D" w:themeColor="text1" w:themeTint="F2"/>
                <w:spacing w:val="-4"/>
                <w:szCs w:val="20"/>
              </w:rPr>
              <w:t xml:space="preserve"> související s oživením turismu </w:t>
            </w:r>
            <w:r>
              <w:rPr>
                <w:rFonts w:cs="Arial"/>
                <w:color w:val="0D0D0D" w:themeColor="text1" w:themeTint="F2"/>
                <w:spacing w:val="-4"/>
                <w:szCs w:val="20"/>
              </w:rPr>
              <w:t>č</w:t>
            </w:r>
            <w:r w:rsidRPr="00D74A69">
              <w:rPr>
                <w:rFonts w:cs="Arial"/>
                <w:color w:val="0D0D0D" w:themeColor="text1" w:themeTint="F2"/>
                <w:spacing w:val="-4"/>
                <w:szCs w:val="20"/>
              </w:rPr>
              <w:t>i uprchlickou vlnou z Ukrajiny.</w:t>
            </w:r>
            <w:r>
              <w:rPr>
                <w:rFonts w:cs="Arial"/>
                <w:color w:val="0D0D0D" w:themeColor="text1" w:themeTint="F2"/>
                <w:spacing w:val="-4"/>
                <w:szCs w:val="20"/>
              </w:rPr>
              <w:t xml:space="preserve"> </w:t>
            </w:r>
          </w:p>
        </w:tc>
      </w:tr>
      <w:tr w:rsidR="00F052D2" w14:paraId="7CCEFF02" w14:textId="77777777" w:rsidTr="004149F4">
        <w:trPr>
          <w:trHeight w:val="170"/>
        </w:trPr>
        <w:tc>
          <w:tcPr>
            <w:tcW w:w="1747" w:type="dxa"/>
            <w:tcBorders>
              <w:top w:val="nil"/>
              <w:left w:val="nil"/>
              <w:bottom w:val="nil"/>
              <w:right w:val="nil"/>
            </w:tcBorders>
            <w:shd w:val="clear" w:color="auto" w:fill="auto"/>
            <w:tcMar>
              <w:left w:w="0" w:type="dxa"/>
            </w:tcMar>
          </w:tcPr>
          <w:p w14:paraId="704EAD51" w14:textId="77777777" w:rsidR="00F052D2" w:rsidRDefault="00F052D2" w:rsidP="004149F4">
            <w:pPr>
              <w:pStyle w:val="Marginlie"/>
            </w:pPr>
            <w:r>
              <w:lastRenderedPageBreak/>
              <w:t>Meziroční pokles tržeb v maloobchodě dosáhl ve 3. čtvrtletí rekordní hloubky. Nižší poptávka sužovala všechny jeho významnější segmenty.</w:t>
            </w:r>
          </w:p>
          <w:p w14:paraId="155BF763" w14:textId="77777777" w:rsidR="00F052D2" w:rsidRDefault="00F052D2" w:rsidP="004149F4">
            <w:pPr>
              <w:pStyle w:val="Marginlie"/>
            </w:pPr>
          </w:p>
          <w:p w14:paraId="042E474B" w14:textId="77777777" w:rsidR="00F052D2" w:rsidRDefault="00F052D2" w:rsidP="004149F4">
            <w:pPr>
              <w:pStyle w:val="Marginlie"/>
            </w:pPr>
          </w:p>
          <w:p w14:paraId="7E71AFCE" w14:textId="77777777" w:rsidR="00F052D2" w:rsidRDefault="00F052D2" w:rsidP="004149F4">
            <w:pPr>
              <w:pStyle w:val="Marginlie"/>
            </w:pPr>
          </w:p>
          <w:p w14:paraId="6A726E70" w14:textId="77777777" w:rsidR="00F052D2" w:rsidRDefault="00F052D2" w:rsidP="004149F4">
            <w:pPr>
              <w:pStyle w:val="Marginlie"/>
            </w:pPr>
          </w:p>
          <w:p w14:paraId="4303C196" w14:textId="77777777" w:rsidR="00F052D2" w:rsidRDefault="00F052D2" w:rsidP="004149F4">
            <w:pPr>
              <w:pStyle w:val="Marginlie"/>
            </w:pPr>
          </w:p>
          <w:p w14:paraId="02267DD9" w14:textId="77777777" w:rsidR="00F052D2" w:rsidRDefault="00F052D2" w:rsidP="004149F4">
            <w:pPr>
              <w:pStyle w:val="Marginlie"/>
            </w:pPr>
            <w:r>
              <w:t xml:space="preserve">Pokles poptávky v motoristickém segmentu obchodu se zmírnil, přesto za rokem 2019 stále citelně zaostával. </w:t>
            </w:r>
          </w:p>
        </w:tc>
        <w:tc>
          <w:tcPr>
            <w:tcW w:w="212" w:type="dxa"/>
            <w:tcBorders>
              <w:top w:val="nil"/>
              <w:left w:val="nil"/>
              <w:bottom w:val="nil"/>
              <w:right w:val="nil"/>
            </w:tcBorders>
            <w:shd w:val="clear" w:color="auto" w:fill="auto"/>
            <w:tcMar>
              <w:left w:w="0" w:type="dxa"/>
            </w:tcMar>
          </w:tcPr>
          <w:p w14:paraId="19B6A5F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F095D5C" w14:textId="77777777" w:rsidR="00F052D2" w:rsidRPr="00E04DF2" w:rsidRDefault="00F052D2" w:rsidP="004149F4">
            <w:pPr>
              <w:spacing w:after="0"/>
              <w:rPr>
                <w:rFonts w:cs="Arial"/>
                <w:color w:val="0D0D0D" w:themeColor="text1" w:themeTint="F2"/>
                <w:spacing w:val="-8"/>
                <w:szCs w:val="20"/>
              </w:rPr>
            </w:pPr>
            <w:r w:rsidRPr="00E04DF2">
              <w:rPr>
                <w:rFonts w:cs="Arial"/>
                <w:color w:val="0D0D0D" w:themeColor="text1" w:themeTint="F2"/>
                <w:spacing w:val="-4"/>
                <w:szCs w:val="20"/>
              </w:rPr>
              <w:t>Maloobchodní tržby se ve 3. čtvrtletí meziročně propadly o rekordních 7,1 % a prohloubily tak svůj pokles z předchozího kvartálu (−3,0 %). Jestliže ve 2. čtvrtletí stály za poklesem celého maloobchodu především nižší nákupy potravin, v následujícím období pak prodeje nepotravinářského zboží (s meziročním propadem tržeb o 7,4 %). Ty táhly dolů klesající tržby ve specializovaných prodejnách – nejvíce v těch s výrobky převážně pro domácnost</w:t>
            </w:r>
            <w:r w:rsidRPr="00E04DF2">
              <w:rPr>
                <w:rStyle w:val="Znakapoznpodarou"/>
                <w:color w:val="0D0D0D" w:themeColor="text1" w:themeTint="F2"/>
                <w:spacing w:val="-4"/>
                <w:szCs w:val="20"/>
              </w:rPr>
              <w:footnoteReference w:id="47"/>
            </w:r>
            <w:r w:rsidRPr="00E04DF2">
              <w:rPr>
                <w:rFonts w:cs="Arial"/>
                <w:color w:val="0D0D0D" w:themeColor="text1" w:themeTint="F2"/>
                <w:spacing w:val="-4"/>
                <w:szCs w:val="20"/>
              </w:rPr>
              <w:t xml:space="preserve"> (−11,4 %). Citelně klesla poptávka i po počítačovém a komunikačním zařízení (−11,2 %), výrobcích pro kulturu a rekreaci (−8,5 %) či oděvech, obuvi a koženém zboží (−7,9 %). Třetí čtvrtletí v řadě stržili meziročně méně i internetoví prodejci (−6,6 %), oproti </w:t>
            </w:r>
            <w:proofErr w:type="spellStart"/>
            <w:r w:rsidRPr="00E04DF2">
              <w:rPr>
                <w:rFonts w:cs="Arial"/>
                <w:color w:val="0D0D0D" w:themeColor="text1" w:themeTint="F2"/>
                <w:spacing w:val="-4"/>
                <w:szCs w:val="20"/>
              </w:rPr>
              <w:t>předpademickému</w:t>
            </w:r>
            <w:proofErr w:type="spellEnd"/>
            <w:r w:rsidRPr="00E04DF2">
              <w:rPr>
                <w:rFonts w:cs="Arial"/>
                <w:color w:val="0D0D0D" w:themeColor="text1" w:themeTint="F2"/>
                <w:spacing w:val="-4"/>
                <w:szCs w:val="20"/>
              </w:rPr>
              <w:t xml:space="preserve"> období (3. čtvrtletí 2019) ale registrovali skoro 30% růst. Také poptávka po farmaceutickém a zdravotnickém zboží nebyla za pandemie příliš narušena a rostla i letos ve 3. čtvrtletí (+4,2 %) jako jediná ze sortimentních skupin ve specializovaných prodejnách</w:t>
            </w:r>
            <w:r w:rsidRPr="00E04DF2">
              <w:rPr>
                <w:rStyle w:val="Znakapoznpodarou"/>
                <w:color w:val="0D0D0D" w:themeColor="text1" w:themeTint="F2"/>
                <w:spacing w:val="-4"/>
                <w:szCs w:val="20"/>
              </w:rPr>
              <w:footnoteReference w:id="48"/>
            </w:r>
            <w:r w:rsidRPr="00E04DF2">
              <w:rPr>
                <w:rFonts w:cs="Arial"/>
                <w:color w:val="0D0D0D" w:themeColor="text1" w:themeTint="F2"/>
                <w:spacing w:val="-4"/>
                <w:szCs w:val="20"/>
              </w:rPr>
              <w:t>. Tržby za potraviny se snižovaly od poloviny loňského roku a ve 3. čtvrtletí 2022 poklesly již o 5,6 %. Hůře si letos, stejně jako v úhrnu za celé pandemické období, vedly menší specializované prodejny s potravinami, nižší tržby ale zaznamenaly i velké řetězce</w:t>
            </w:r>
            <w:r w:rsidRPr="00E04DF2">
              <w:rPr>
                <w:rStyle w:val="Znakapoznpodarou"/>
                <w:color w:val="0D0D0D" w:themeColor="text1" w:themeTint="F2"/>
                <w:spacing w:val="-4"/>
                <w:szCs w:val="20"/>
              </w:rPr>
              <w:footnoteReference w:id="49"/>
            </w:r>
            <w:r w:rsidRPr="00E04DF2">
              <w:rPr>
                <w:rFonts w:cs="Arial"/>
                <w:color w:val="0D0D0D" w:themeColor="text1" w:themeTint="F2"/>
                <w:spacing w:val="-4"/>
                <w:szCs w:val="20"/>
              </w:rPr>
              <w:t>. Meziroční pokles prodeje pohonných hmot se letos prohloubil až na rovných 10 % (ve 2. čtvrtletí činil 4,0 %) a ve srovnání s rokem 2019 stále zaostával (o 7,4 %)</w:t>
            </w:r>
            <w:r w:rsidRPr="00E04DF2">
              <w:rPr>
                <w:rStyle w:val="Znakapoznpodarou"/>
                <w:color w:val="0D0D0D" w:themeColor="text1" w:themeTint="F2"/>
                <w:spacing w:val="-4"/>
                <w:szCs w:val="20"/>
              </w:rPr>
              <w:footnoteReference w:id="50"/>
            </w:r>
            <w:r w:rsidRPr="00E04DF2">
              <w:rPr>
                <w:rFonts w:cs="Arial"/>
                <w:color w:val="0D0D0D" w:themeColor="text1" w:themeTint="F2"/>
                <w:spacing w:val="-4"/>
                <w:szCs w:val="20"/>
              </w:rPr>
              <w:t xml:space="preserve">. To platilo i pro motoristický segment obchodu, v němž ovšem pokles tržeb trvající od poloviny loňského roku letos ve 3. čtvrtletí zmírnil na 3,8 %. Jedinou částí tohoto segmentu, kde letos </w:t>
            </w:r>
            <w:r w:rsidRPr="00E04DF2">
              <w:rPr>
                <w:rFonts w:cs="Arial"/>
                <w:color w:val="0D0D0D" w:themeColor="text1" w:themeTint="F2"/>
                <w:spacing w:val="-8"/>
                <w:szCs w:val="20"/>
              </w:rPr>
              <w:t>v létě poptávka předčila předkrizový rok 2019, byl obchod, opravy a údržba motocyklů (+2,7 %).</w:t>
            </w:r>
          </w:p>
          <w:p w14:paraId="754F431F" w14:textId="77777777" w:rsidR="00F052D2" w:rsidRPr="00E04DF2" w:rsidRDefault="00F052D2" w:rsidP="004149F4">
            <w:pPr>
              <w:spacing w:after="0"/>
              <w:rPr>
                <w:rFonts w:cs="Arial"/>
                <w:spacing w:val="-4"/>
                <w:sz w:val="14"/>
                <w:szCs w:val="14"/>
              </w:rPr>
            </w:pPr>
          </w:p>
        </w:tc>
      </w:tr>
      <w:tr w:rsidR="00F052D2" w:rsidRPr="004C1143" w14:paraId="1233A17E" w14:textId="77777777" w:rsidTr="004149F4">
        <w:trPr>
          <w:trHeight w:val="170"/>
        </w:trPr>
        <w:tc>
          <w:tcPr>
            <w:tcW w:w="1747" w:type="dxa"/>
            <w:tcBorders>
              <w:top w:val="nil"/>
              <w:left w:val="nil"/>
              <w:bottom w:val="nil"/>
              <w:right w:val="nil"/>
            </w:tcBorders>
            <w:shd w:val="clear" w:color="auto" w:fill="auto"/>
            <w:tcMar>
              <w:left w:w="0" w:type="dxa"/>
            </w:tcMar>
          </w:tcPr>
          <w:p w14:paraId="2C19EE95"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79E29188"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03F61295" w14:textId="77777777" w:rsidR="00F052D2" w:rsidRPr="004C1143" w:rsidRDefault="00F052D2" w:rsidP="004149F4">
            <w:pPr>
              <w:spacing w:after="0"/>
              <w:rPr>
                <w:rFonts w:cs="Arial"/>
                <w:sz w:val="14"/>
                <w:szCs w:val="14"/>
              </w:rPr>
            </w:pPr>
            <w:r w:rsidRPr="004C1143">
              <w:rPr>
                <w:rFonts w:cs="Arial"/>
                <w:sz w:val="14"/>
                <w:szCs w:val="14"/>
              </w:rPr>
              <w:t xml:space="preserve"> </w:t>
            </w:r>
            <w:r>
              <w:rPr>
                <w:b/>
              </w:rPr>
              <w:t>Graf č. 8</w:t>
            </w:r>
            <w:r w:rsidRPr="00F0005D">
              <w:rPr>
                <w:b/>
              </w:rPr>
              <w:t xml:space="preserve"> </w:t>
            </w:r>
            <w:r w:rsidRPr="004405E2">
              <w:rPr>
                <w:rFonts w:cs="Arial"/>
                <w:b/>
                <w:bCs/>
                <w:color w:val="0D0D0D" w:themeColor="text1" w:themeTint="F2"/>
                <w:spacing w:val="-6"/>
              </w:rPr>
              <w:t xml:space="preserve">Příspěvky dílčích odvětví k meziroční změně tržeb v maloobchodu* </w:t>
            </w:r>
            <w:r w:rsidRPr="004405E2">
              <w:rPr>
                <w:rFonts w:cs="Arial"/>
                <w:color w:val="0D0D0D" w:themeColor="text1" w:themeTint="F2"/>
                <w:spacing w:val="-6"/>
              </w:rPr>
              <w:t xml:space="preserve">(reálně, v p. b.), </w:t>
            </w:r>
            <w:r w:rsidRPr="004405E2">
              <w:rPr>
                <w:rFonts w:cs="Arial"/>
                <w:b/>
                <w:bCs/>
                <w:color w:val="0D0D0D" w:themeColor="text1" w:themeTint="F2"/>
                <w:spacing w:val="-6"/>
              </w:rPr>
              <w:t xml:space="preserve">tržby v maloobchodu a v motoristickém segmentu obchodu** </w:t>
            </w:r>
            <w:r w:rsidRPr="004405E2">
              <w:rPr>
                <w:rFonts w:cs="Arial"/>
                <w:color w:val="0D0D0D" w:themeColor="text1" w:themeTint="F2"/>
                <w:spacing w:val="-6"/>
              </w:rPr>
              <w:t xml:space="preserve">(reálně, úroveň roku 2015=100, pravá osa) </w:t>
            </w:r>
            <w:r w:rsidRPr="004405E2">
              <w:rPr>
                <w:rFonts w:cs="Arial"/>
                <w:b/>
                <w:bCs/>
                <w:color w:val="0D0D0D" w:themeColor="text1" w:themeTint="F2"/>
                <w:spacing w:val="-6"/>
              </w:rPr>
              <w:t xml:space="preserve">a saldo celkové důvěry spotřebitelů*** </w:t>
            </w:r>
            <w:r w:rsidRPr="004405E2">
              <w:rPr>
                <w:rFonts w:cs="Arial"/>
                <w:color w:val="0D0D0D" w:themeColor="text1" w:themeTint="F2"/>
                <w:spacing w:val="-6"/>
              </w:rPr>
              <w:t>(v p. b., pravá osa)</w:t>
            </w:r>
          </w:p>
        </w:tc>
      </w:tr>
      <w:tr w:rsidR="00F052D2" w:rsidRPr="004C1143" w14:paraId="4215E578" w14:textId="77777777" w:rsidTr="004149F4">
        <w:tblPrEx>
          <w:tblCellMar>
            <w:left w:w="70" w:type="dxa"/>
            <w:right w:w="70" w:type="dxa"/>
          </w:tblCellMar>
        </w:tblPrEx>
        <w:trPr>
          <w:trHeight w:val="170"/>
        </w:trPr>
        <w:tc>
          <w:tcPr>
            <w:tcW w:w="1747" w:type="dxa"/>
            <w:tcBorders>
              <w:top w:val="nil"/>
              <w:left w:val="nil"/>
              <w:bottom w:val="nil"/>
              <w:right w:val="nil"/>
            </w:tcBorders>
            <w:shd w:val="clear" w:color="auto" w:fill="auto"/>
          </w:tcPr>
          <w:p w14:paraId="61C71D90" w14:textId="77777777" w:rsidR="00F052D2" w:rsidRDefault="00F052D2" w:rsidP="004149F4">
            <w:pPr>
              <w:pStyle w:val="Marginlie"/>
            </w:pPr>
          </w:p>
        </w:tc>
        <w:tc>
          <w:tcPr>
            <w:tcW w:w="212" w:type="dxa"/>
            <w:tcBorders>
              <w:top w:val="nil"/>
              <w:left w:val="nil"/>
              <w:bottom w:val="nil"/>
              <w:right w:val="nil"/>
            </w:tcBorders>
            <w:shd w:val="clear" w:color="auto" w:fill="auto"/>
          </w:tcPr>
          <w:p w14:paraId="2EC5FF65"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Pr>
          <w:p w14:paraId="7CE3969C" w14:textId="77777777" w:rsidR="00F052D2" w:rsidRPr="004C1143" w:rsidRDefault="00F052D2" w:rsidP="004149F4">
            <w:pPr>
              <w:spacing w:after="0"/>
              <w:rPr>
                <w:rFonts w:cs="Arial"/>
                <w:sz w:val="14"/>
                <w:szCs w:val="14"/>
              </w:rPr>
            </w:pPr>
            <w:r>
              <w:rPr>
                <w:noProof/>
              </w:rPr>
              <w:drawing>
                <wp:inline distT="0" distB="0" distL="0" distR="0" wp14:anchorId="48D92B15" wp14:editId="4E569C85">
                  <wp:extent cx="4788000" cy="3716118"/>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F052D2" w:rsidRPr="004C1143" w14:paraId="61528176" w14:textId="77777777" w:rsidTr="004149F4">
        <w:trPr>
          <w:trHeight w:val="170"/>
        </w:trPr>
        <w:tc>
          <w:tcPr>
            <w:tcW w:w="1747" w:type="dxa"/>
            <w:tcBorders>
              <w:top w:val="nil"/>
              <w:left w:val="nil"/>
              <w:bottom w:val="nil"/>
              <w:right w:val="nil"/>
            </w:tcBorders>
            <w:shd w:val="clear" w:color="auto" w:fill="auto"/>
            <w:tcMar>
              <w:left w:w="0" w:type="dxa"/>
            </w:tcMar>
          </w:tcPr>
          <w:p w14:paraId="5D10FDBD" w14:textId="77777777" w:rsidR="00F052D2" w:rsidRDefault="00F052D2" w:rsidP="004149F4">
            <w:pPr>
              <w:pStyle w:val="Marginlie"/>
            </w:pPr>
          </w:p>
        </w:tc>
        <w:tc>
          <w:tcPr>
            <w:tcW w:w="212" w:type="dxa"/>
            <w:tcBorders>
              <w:top w:val="nil"/>
              <w:left w:val="nil"/>
              <w:bottom w:val="nil"/>
              <w:right w:val="nil"/>
            </w:tcBorders>
            <w:shd w:val="clear" w:color="auto" w:fill="auto"/>
            <w:tcMar>
              <w:left w:w="0" w:type="dxa"/>
            </w:tcMar>
          </w:tcPr>
          <w:p w14:paraId="6FE330FF" w14:textId="77777777" w:rsidR="00F052D2" w:rsidRDefault="00F052D2" w:rsidP="004149F4">
            <w:pPr>
              <w:pStyle w:val="Textpoznpodarou"/>
              <w:jc w:val="both"/>
              <w:rPr>
                <w:spacing w:val="-4"/>
              </w:rPr>
            </w:pPr>
          </w:p>
        </w:tc>
        <w:tc>
          <w:tcPr>
            <w:tcW w:w="7680" w:type="dxa"/>
            <w:tcBorders>
              <w:top w:val="nil"/>
              <w:left w:val="nil"/>
              <w:bottom w:val="nil"/>
              <w:right w:val="nil"/>
            </w:tcBorders>
            <w:shd w:val="clear" w:color="auto" w:fill="auto"/>
            <w:tcMar>
              <w:left w:w="0" w:type="dxa"/>
            </w:tcMar>
          </w:tcPr>
          <w:p w14:paraId="79DB91B5" w14:textId="77777777" w:rsidR="00F052D2" w:rsidRPr="00052ADA" w:rsidRDefault="00F052D2" w:rsidP="004149F4">
            <w:pPr>
              <w:spacing w:after="0" w:line="240" w:lineRule="auto"/>
              <w:rPr>
                <w:rFonts w:cs="Arial"/>
                <w:sz w:val="14"/>
                <w:szCs w:val="14"/>
              </w:rPr>
            </w:pPr>
            <w:r>
              <w:rPr>
                <w:rFonts w:cs="Arial"/>
                <w:color w:val="0D0D0D" w:themeColor="text1" w:themeTint="F2"/>
                <w:spacing w:val="-6"/>
              </w:rPr>
              <w:t>*</w:t>
            </w:r>
            <w:r w:rsidRPr="00052ADA">
              <w:rPr>
                <w:rFonts w:cs="Arial"/>
                <w:sz w:val="14"/>
                <w:szCs w:val="14"/>
              </w:rPr>
              <w:t xml:space="preserve"> Tržby jsou očištěny o kalendářní vlivy.       ** Tržby jsou sezónně i kalendářně očištěny.</w:t>
            </w:r>
          </w:p>
          <w:p w14:paraId="7771BC52" w14:textId="77777777" w:rsidR="00F052D2" w:rsidRPr="004C1143" w:rsidRDefault="00F052D2" w:rsidP="004149F4">
            <w:pPr>
              <w:spacing w:after="0"/>
              <w:rPr>
                <w:rFonts w:cs="Arial"/>
                <w:sz w:val="14"/>
                <w:szCs w:val="14"/>
              </w:rPr>
            </w:pPr>
            <w:r w:rsidRPr="00052ADA">
              <w:rPr>
                <w:rFonts w:cs="Arial"/>
                <w:color w:val="0D0D0D" w:themeColor="text1" w:themeTint="F2"/>
                <w:spacing w:val="-4"/>
                <w:sz w:val="14"/>
                <w:szCs w:val="14"/>
              </w:rPr>
              <w:t>*** Saldo důvěry spotřebitelů je sezónně očištěno a vyjadřuje stav ve druhém měs</w:t>
            </w:r>
            <w:r>
              <w:rPr>
                <w:rFonts w:cs="Arial"/>
                <w:color w:val="0D0D0D" w:themeColor="text1" w:themeTint="F2"/>
                <w:spacing w:val="-4"/>
                <w:sz w:val="14"/>
                <w:szCs w:val="14"/>
              </w:rPr>
              <w:t>íci daného čtvrtletí.</w:t>
            </w:r>
            <w:r>
              <w:rPr>
                <w:rFonts w:cs="Arial"/>
                <w:color w:val="0D0D0D" w:themeColor="text1" w:themeTint="F2"/>
                <w:spacing w:val="-4"/>
                <w:sz w:val="14"/>
                <w:szCs w:val="14"/>
              </w:rPr>
              <w:tab/>
              <w:t xml:space="preserve">      </w:t>
            </w:r>
            <w:r w:rsidRPr="00052ADA">
              <w:rPr>
                <w:rFonts w:cs="Arial"/>
                <w:color w:val="0D0D0D" w:themeColor="text1" w:themeTint="F2"/>
                <w:spacing w:val="-4"/>
                <w:sz w:val="14"/>
                <w:szCs w:val="14"/>
              </w:rPr>
              <w:t xml:space="preserve">         Zdroj: ČSÚ</w:t>
            </w:r>
          </w:p>
        </w:tc>
      </w:tr>
    </w:tbl>
    <w:p w14:paraId="353D6675" w14:textId="77777777" w:rsidR="00F052D2" w:rsidRPr="00E42054" w:rsidRDefault="00F052D2" w:rsidP="00F052D2">
      <w:pPr>
        <w:pStyle w:val="Nadpis11"/>
        <w:rPr>
          <w:b w:val="0"/>
          <w:sz w:val="2"/>
          <w:szCs w:val="2"/>
        </w:rPr>
      </w:pPr>
    </w:p>
    <w:p w14:paraId="0F906123" w14:textId="77777777" w:rsidR="00F052D2" w:rsidRPr="00E42054" w:rsidRDefault="00F052D2" w:rsidP="00F052D2">
      <w:pPr>
        <w:pStyle w:val="Nadpis11"/>
        <w:rPr>
          <w:b w:val="0"/>
          <w:sz w:val="2"/>
          <w:szCs w:val="2"/>
        </w:rPr>
      </w:pPr>
    </w:p>
    <w:p w14:paraId="7EDF992F" w14:textId="5F916045" w:rsidR="00050541" w:rsidRPr="00134FFF" w:rsidRDefault="00050541" w:rsidP="00050541">
      <w:pPr>
        <w:pStyle w:val="Nadpis11"/>
        <w:rPr>
          <w:sz w:val="2"/>
          <w:szCs w:val="2"/>
        </w:rPr>
      </w:pPr>
      <w:bookmarkStart w:id="26" w:name="_Toc121993820"/>
      <w:r>
        <w:t>4</w:t>
      </w:r>
      <w:bookmarkStart w:id="27" w:name="_Toc511215218"/>
      <w:bookmarkStart w:id="28" w:name="_Toc19090679"/>
      <w:bookmarkStart w:id="29" w:name="_Toc74643856"/>
      <w:bookmarkStart w:id="30" w:name="_Toc42852411"/>
      <w:bookmarkStart w:id="31" w:name="_Toc74643857"/>
      <w:bookmarkEnd w:id="27"/>
      <w:bookmarkEnd w:id="28"/>
      <w:r w:rsidRPr="009110F7">
        <w:t>.</w:t>
      </w:r>
      <w:r>
        <w:t> </w:t>
      </w:r>
      <w:r w:rsidRPr="009110F7">
        <w:t>Vnější vztahy</w:t>
      </w:r>
      <w:bookmarkEnd w:id="18"/>
      <w:bookmarkEnd w:id="26"/>
    </w:p>
    <w:tbl>
      <w:tblPr>
        <w:tblW w:w="9639" w:type="dxa"/>
        <w:tblInd w:w="-15" w:type="dxa"/>
        <w:tblCellMar>
          <w:left w:w="0" w:type="dxa"/>
          <w:right w:w="0" w:type="dxa"/>
        </w:tblCellMar>
        <w:tblLook w:val="00A0" w:firstRow="1" w:lastRow="0" w:firstColumn="1" w:lastColumn="0" w:noHBand="0" w:noVBand="0"/>
      </w:tblPr>
      <w:tblGrid>
        <w:gridCol w:w="1760"/>
        <w:gridCol w:w="223"/>
        <w:gridCol w:w="7656"/>
      </w:tblGrid>
      <w:tr w:rsidR="00050541" w:rsidRPr="009110F7" w14:paraId="6AC31EB3" w14:textId="77777777" w:rsidTr="00275E43">
        <w:trPr>
          <w:trHeight w:val="145"/>
        </w:trPr>
        <w:tc>
          <w:tcPr>
            <w:tcW w:w="1760" w:type="dxa"/>
            <w:shd w:val="clear" w:color="auto" w:fill="auto"/>
            <w:tcMar>
              <w:left w:w="0" w:type="dxa"/>
            </w:tcMar>
          </w:tcPr>
          <w:p w14:paraId="63049DF4" w14:textId="77777777" w:rsidR="00050541" w:rsidRDefault="00050541" w:rsidP="00275E43">
            <w:pPr>
              <w:pStyle w:val="Marginlie"/>
            </w:pPr>
            <w:r>
              <w:t xml:space="preserve">Hodnota exportu zboží ve 3. čtvrtletí silně rostla. </w:t>
            </w:r>
          </w:p>
        </w:tc>
        <w:tc>
          <w:tcPr>
            <w:tcW w:w="223" w:type="dxa"/>
            <w:shd w:val="clear" w:color="auto" w:fill="auto"/>
            <w:tcMar>
              <w:left w:w="0" w:type="dxa"/>
            </w:tcMar>
          </w:tcPr>
          <w:p w14:paraId="432C7979" w14:textId="77777777" w:rsidR="00050541" w:rsidRDefault="00050541" w:rsidP="00275E43">
            <w:pPr>
              <w:pStyle w:val="Textpoznpodarou"/>
              <w:jc w:val="both"/>
              <w:rPr>
                <w:spacing w:val="-4"/>
              </w:rPr>
            </w:pPr>
          </w:p>
        </w:tc>
        <w:tc>
          <w:tcPr>
            <w:tcW w:w="7656" w:type="dxa"/>
            <w:shd w:val="clear" w:color="auto" w:fill="auto"/>
            <w:tcMar>
              <w:left w:w="0" w:type="dxa"/>
            </w:tcMar>
          </w:tcPr>
          <w:p w14:paraId="1C3CFD03" w14:textId="77777777" w:rsidR="00050541" w:rsidRPr="00AF6F98" w:rsidRDefault="00050541" w:rsidP="00275E43">
            <w:pPr>
              <w:spacing w:after="180"/>
              <w:rPr>
                <w:spacing w:val="-4"/>
              </w:rPr>
            </w:pPr>
            <w:r>
              <w:rPr>
                <w:spacing w:val="-4"/>
              </w:rPr>
              <w:t xml:space="preserve">Hodnota vývozu zboží se za období 1. až 3. čtvrtletí 2022 meziročně zvýšila </w:t>
            </w:r>
            <w:r>
              <w:rPr>
                <w:spacing w:val="-4"/>
              </w:rPr>
              <w:br/>
              <w:t>o 392,3 mld. korun (13,5 %) a dosáhla 3 308,0 mld.</w:t>
            </w:r>
            <w:r>
              <w:rPr>
                <w:rStyle w:val="Znakapoznpodarou"/>
                <w:spacing w:val="-4"/>
              </w:rPr>
              <w:footnoteReference w:id="51"/>
            </w:r>
            <w:r>
              <w:rPr>
                <w:spacing w:val="-4"/>
              </w:rPr>
              <w:t xml:space="preserve">. Růst hodnoty vývozu byl z významné části podpořen růstem cenové hladiny a u některých odvětví také působil vliv nízké srovnávací základny spojený s loňskými problémy s dodávkami komponent. V samotném 3. čtvrtletí 2022 hodnota exportu dosáhla 1 108,2 mld. korun a meziročně vzrostla o 197,7 mld. (21,7 %). Podle sezónně očištěných údajů vzrostl export ve 3. čtvrtletí mezičtvrtletně o 5,9 %.   </w:t>
            </w:r>
          </w:p>
        </w:tc>
      </w:tr>
      <w:tr w:rsidR="00050541" w:rsidRPr="009110F7" w14:paraId="52614B9D" w14:textId="77777777" w:rsidTr="00275E43">
        <w:trPr>
          <w:trHeight w:val="145"/>
        </w:trPr>
        <w:tc>
          <w:tcPr>
            <w:tcW w:w="1760" w:type="dxa"/>
            <w:shd w:val="clear" w:color="auto" w:fill="auto"/>
            <w:tcMar>
              <w:left w:w="0" w:type="dxa"/>
            </w:tcMar>
          </w:tcPr>
          <w:p w14:paraId="5A7DA539" w14:textId="77777777" w:rsidR="00050541" w:rsidRDefault="00050541" w:rsidP="00275E43">
            <w:pPr>
              <w:pStyle w:val="Marginlie"/>
            </w:pPr>
            <w:r>
              <w:t>Silněji rostl vývoz do Evropské unie.</w:t>
            </w:r>
          </w:p>
        </w:tc>
        <w:tc>
          <w:tcPr>
            <w:tcW w:w="223" w:type="dxa"/>
            <w:shd w:val="clear" w:color="auto" w:fill="auto"/>
            <w:tcMar>
              <w:left w:w="0" w:type="dxa"/>
            </w:tcMar>
          </w:tcPr>
          <w:p w14:paraId="213860A3" w14:textId="77777777" w:rsidR="00050541" w:rsidRDefault="00050541" w:rsidP="00275E43">
            <w:pPr>
              <w:pStyle w:val="Textpoznpodarou"/>
              <w:jc w:val="both"/>
              <w:rPr>
                <w:spacing w:val="-4"/>
              </w:rPr>
            </w:pPr>
          </w:p>
        </w:tc>
        <w:tc>
          <w:tcPr>
            <w:tcW w:w="7656" w:type="dxa"/>
            <w:shd w:val="clear" w:color="auto" w:fill="auto"/>
            <w:tcMar>
              <w:left w:w="0" w:type="dxa"/>
            </w:tcMar>
          </w:tcPr>
          <w:p w14:paraId="0AE01A65" w14:textId="77777777" w:rsidR="00050541" w:rsidRDefault="00050541" w:rsidP="00275E43">
            <w:pPr>
              <w:spacing w:after="180"/>
              <w:rPr>
                <w:spacing w:val="-4"/>
              </w:rPr>
            </w:pPr>
            <w:r>
              <w:rPr>
                <w:spacing w:val="-4"/>
              </w:rPr>
              <w:t xml:space="preserve">Meziroční růst hodnoty vývozu byl z většiny podpořen exportem do zemí EU, který byl za 1. až 3. čtvrtletí 2022 meziročně vyšší o 367,6 mld. korun (15,7 %). Za stejné období vzrostl vývoz do </w:t>
            </w:r>
            <w:proofErr w:type="spellStart"/>
            <w:r>
              <w:rPr>
                <w:spacing w:val="-4"/>
              </w:rPr>
              <w:t>mimounijních</w:t>
            </w:r>
            <w:proofErr w:type="spellEnd"/>
            <w:r>
              <w:rPr>
                <w:spacing w:val="-4"/>
              </w:rPr>
              <w:t xml:space="preserve"> zemí o 24,7 mld. korun (4,3 %). Ke kumulovaným přírůstkům z většiny přispěl vývoj v samotném 3. čtvrtletí 2022. Export do EU se meziročně zvýšil o 170,4 mld. korun (23,3 %), zatímco vývoz mimo unii byl vyšší o 27,3 mld. (15,3 %). Z jednotlivých zemí ve 3. čtvrtletí nejvíce meziročně rostl export do Německa (+66,3 mld. korun, 23,3 %), na Slovensko (+17,9 mld., 19,6 %) a do Polska (+13,2 mld., 19,8 %). U Německa a Slovenska stále měl silnou roli na tomto navýšení vlivem vyšších cen vývoz elektřiny</w:t>
            </w:r>
            <w:r>
              <w:rPr>
                <w:rStyle w:val="Znakapoznpodarou"/>
                <w:spacing w:val="-4"/>
              </w:rPr>
              <w:footnoteReference w:id="52"/>
            </w:r>
            <w:r>
              <w:rPr>
                <w:spacing w:val="-4"/>
              </w:rPr>
              <w:t>, ale zejména u Německa se k tomu přidalo i výrazné meziroční oživení vývozu motorových vozidel. Silně rostl také export do Francie (+11,5 mld. korun, 29,0 %), Itálie (+9,8 mld., 29,9 %), Rakouska (+9,6 mld., 21,9 %), Nizozemska (+7,4 mld., 23,9 %), Spojených států (+6,5 mld., 29,1 %), Belgie (+5,7 mld., 33,2 %), Maďarska (+5,5 mld., 18,8 %) a Španělska (+5,2 mld., 24,8 %). Vzhledem k plošně rostoucí cenové hladině se hodnota vývozu zvyšovala u naprosté většiny zemí. Jednou z mála výjimek a tou nejvýznamnější bylo Rusko, kam bylo v souvislosti s ekonomickými sankcemi vyvezeno o 13,2 mld. korun (−69,8 %) méně.</w:t>
            </w:r>
          </w:p>
        </w:tc>
      </w:tr>
      <w:tr w:rsidR="00050541" w:rsidRPr="009110F7" w14:paraId="599319A6" w14:textId="77777777" w:rsidTr="00275E43">
        <w:trPr>
          <w:trHeight w:val="170"/>
        </w:trPr>
        <w:tc>
          <w:tcPr>
            <w:tcW w:w="1760" w:type="dxa"/>
            <w:shd w:val="clear" w:color="auto" w:fill="auto"/>
            <w:tcMar>
              <w:left w:w="0" w:type="dxa"/>
            </w:tcMar>
          </w:tcPr>
          <w:p w14:paraId="799EA557" w14:textId="77777777" w:rsidR="00050541" w:rsidRDefault="00050541" w:rsidP="00275E43">
            <w:pPr>
              <w:pStyle w:val="Marginlie"/>
            </w:pPr>
            <w:r>
              <w:t xml:space="preserve">Ve 3. čtvrtletí došlo k výraznému meziročnímu oživení vývozu motorových vozidel. </w:t>
            </w:r>
          </w:p>
        </w:tc>
        <w:tc>
          <w:tcPr>
            <w:tcW w:w="223" w:type="dxa"/>
            <w:shd w:val="clear" w:color="auto" w:fill="auto"/>
            <w:tcMar>
              <w:left w:w="0" w:type="dxa"/>
            </w:tcMar>
          </w:tcPr>
          <w:p w14:paraId="5639FC9B" w14:textId="77777777" w:rsidR="00050541" w:rsidRDefault="00050541" w:rsidP="00275E43">
            <w:pPr>
              <w:pStyle w:val="Textpoznpodarou"/>
              <w:jc w:val="both"/>
              <w:rPr>
                <w:spacing w:val="-4"/>
              </w:rPr>
            </w:pPr>
          </w:p>
        </w:tc>
        <w:tc>
          <w:tcPr>
            <w:tcW w:w="7656" w:type="dxa"/>
            <w:shd w:val="clear" w:color="auto" w:fill="auto"/>
            <w:tcMar>
              <w:left w:w="0" w:type="dxa"/>
            </w:tcMar>
          </w:tcPr>
          <w:p w14:paraId="099CA5D9" w14:textId="77777777" w:rsidR="00050541" w:rsidRPr="00AF6F98" w:rsidRDefault="00050541" w:rsidP="00275E43">
            <w:pPr>
              <w:spacing w:after="180"/>
              <w:rPr>
                <w:spacing w:val="-4"/>
              </w:rPr>
            </w:pPr>
            <w:r>
              <w:rPr>
                <w:spacing w:val="-4"/>
              </w:rPr>
              <w:t xml:space="preserve">Z hlediska odvětvové struktury se v rámci 1. až 3. čtvrtletí nejvíce meziročně zvýšila hodnota exportu elektřiny, plynu, páry a klimatizovaného vzduchu (+62,8 mld. korun, 233,2 %) a v těsném závěsu byl přírůstek vývozu motorových vozidel (+60,4 mld., 8,4 %). Na výrazných navýšeních od začátku roku se ale u mnoha významných artiklů podílel vývoj v samotném 3. čtvrtletí. Ve 3. kvartálu se meziročně mohutně zvýšila hodnota vývozu motorových vozidel (+72,0 mld. korun, 38,6 %), na čemž má velký podíl nízká základna loňského léta, kdy vrcholil nedostatek čipů a dalších komponent. Posílil také meziroční přírůstek hodnoty vývozu elektřiny, plynu, páry a klimatizovaného vzduchu (+27,5 mld. korun, 189,5 %). S oživením v automobilovém průmyslu částečně souvisel i velký nárůst exportu elektrických zařízení (+21,8 mld. korun, 26,3 %) nebo posílení u pryžových a plastových výrobků (o 5,3 mld., 10,5 %). Obrat nastal u počítačů, elektronických a optických přístrojů a zařízení, kde po sérii poklesů ve 3. čtvrtletí vzrostl vývoz opět meziročně o 9,7 mld. korun (9,8 %). Výrazně se zlepšil i přírůstek exportu strojů a zařízení (+9,8 mld. korun, 9,9 %) a pod vlivem cenového růstu také potravinářských výrobků (+9,2 mld., 29,9 %). Silné, ale </w:t>
            </w:r>
            <w:proofErr w:type="gramStart"/>
            <w:r>
              <w:rPr>
                <w:spacing w:val="-4"/>
              </w:rPr>
              <w:t>mírnější</w:t>
            </w:r>
            <w:proofErr w:type="gramEnd"/>
            <w:r>
              <w:rPr>
                <w:spacing w:val="-4"/>
              </w:rPr>
              <w:t xml:space="preserve"> než v předchozím období bylo navýšení exportu chemických látek a přípravků (+9,0 mld. korun, 17,6 %) a kovodělných výrobků (+8,1 mld., 13,6 %). Značně oslabila meziroční dynamika vývozu základních kovů (+3,5 mld. korun, 8,3 %), která byla v předchozím roce mimořádně silná. Ve 3. čtvrtletí významněji meziročně klesl jen export u sběru, přípravy k likvidaci a likvidace odpadu (−2,1 mld. korun, −17,7 %), produktů lesnictví, těžby dřeva a souvisejících služeb (−2,0 mld., −26,2 %) a dřeva a dřevěných a korkových výrobků kromě nábytku (−1,3 mld., −8,5 %).     </w:t>
            </w:r>
          </w:p>
        </w:tc>
      </w:tr>
      <w:tr w:rsidR="00050541" w:rsidRPr="009110F7" w14:paraId="4727FD13" w14:textId="77777777" w:rsidTr="00275E43">
        <w:trPr>
          <w:trHeight w:val="145"/>
        </w:trPr>
        <w:tc>
          <w:tcPr>
            <w:tcW w:w="1760" w:type="dxa"/>
            <w:shd w:val="clear" w:color="auto" w:fill="auto"/>
            <w:tcMar>
              <w:left w:w="0" w:type="dxa"/>
            </w:tcMar>
          </w:tcPr>
          <w:p w14:paraId="7B4BC866" w14:textId="77777777" w:rsidR="00050541" w:rsidRDefault="00050541" w:rsidP="00275E43">
            <w:pPr>
              <w:pStyle w:val="Marginlie"/>
            </w:pPr>
            <w:r>
              <w:t>Růst dovozu byl z velké části stimulován cenovým růstem.</w:t>
            </w:r>
          </w:p>
        </w:tc>
        <w:tc>
          <w:tcPr>
            <w:tcW w:w="223" w:type="dxa"/>
            <w:shd w:val="clear" w:color="auto" w:fill="auto"/>
            <w:tcMar>
              <w:left w:w="0" w:type="dxa"/>
            </w:tcMar>
          </w:tcPr>
          <w:p w14:paraId="2553DBC1" w14:textId="77777777" w:rsidR="00050541" w:rsidRDefault="00050541" w:rsidP="00275E43">
            <w:pPr>
              <w:pStyle w:val="Textpoznpodarou"/>
              <w:jc w:val="both"/>
              <w:rPr>
                <w:spacing w:val="-4"/>
              </w:rPr>
            </w:pPr>
          </w:p>
        </w:tc>
        <w:tc>
          <w:tcPr>
            <w:tcW w:w="7656" w:type="dxa"/>
            <w:shd w:val="clear" w:color="auto" w:fill="auto"/>
            <w:tcMar>
              <w:left w:w="0" w:type="dxa"/>
            </w:tcMar>
          </w:tcPr>
          <w:p w14:paraId="1D2247C4" w14:textId="77777777" w:rsidR="00050541" w:rsidRPr="00AF6F98" w:rsidRDefault="00050541" w:rsidP="00275E43">
            <w:pPr>
              <w:spacing w:after="180"/>
              <w:rPr>
                <w:spacing w:val="-4"/>
              </w:rPr>
            </w:pPr>
            <w:r>
              <w:rPr>
                <w:spacing w:val="-4"/>
              </w:rPr>
              <w:t xml:space="preserve">Dovoz zboží v kumulaci od začátku roku dosáhl 3 455,6 mld. korun a meziročně se tak jeho hodnota zvýšila o 560,1 mld. (19,3 %). Také hodnotu dovozu značně nafukoval cenový růst, </w:t>
            </w:r>
            <w:r>
              <w:rPr>
                <w:spacing w:val="-4"/>
              </w:rPr>
              <w:lastRenderedPageBreak/>
              <w:t>především u různých surovin a energií. V samotném 3. čtvrtletí 2022 dovoz činil 1 174,7 mld. korun a meziročně byl vyšší o 209,5 mld. (21,7 %). Podle sezónně očištěných údajů byl dovoz zboží mezičtvrtletně vyšší o 2,9 %. Struktura přírůstku dovozu odpovídala aktuální ekonomické situaci. Za 1. až 3. čtvrtletí se dovoz z EU zvýšil o 257,5 mld. korun (14,1 %). Import z </w:t>
            </w:r>
            <w:proofErr w:type="spellStart"/>
            <w:r>
              <w:rPr>
                <w:spacing w:val="-4"/>
              </w:rPr>
              <w:t>mimounijních</w:t>
            </w:r>
            <w:proofErr w:type="spellEnd"/>
            <w:r>
              <w:rPr>
                <w:spacing w:val="-4"/>
              </w:rPr>
              <w:t xml:space="preserve"> zemí, ve kterém významně figurují aktuálně zdražující suroviny, byl ale vyšší o 299,8 mld. korun (28,7 %). Samotné 3. čtvrtletí z pohledu dovozu z EU nevybočovalo výrazněji z řady letošních meziročních přírůstků (+90,5 mld. korun, 15,3 %), ale růst dovozu ze zemí mimo EU opět výrazně posílil (+118,7 mld., 32,2 %). Vlivem rostoucích cen plynu byl velmi silný meziroční přírůstek dovozu z Ruska (+46,3 mld. korun, 106,7 %) a razantně posílila dynamika importu z Číny (+38,5 mld., 32,7 %). Silný meziroční přírůstek byl ale zaznamenán také v případě dovozu z Německa (+33,4 mld. korun, 15,3 %), Polska (+19,3 mld., 23,2 %), Spojených států (+6,5 mld., 22,7 %), Ázerbájdžánu (+6,3 mld., 264,7 %), Slovenska (+6,1 mld., 12,3 %) nebo Francie (+5,4 mld., 18,9 %). Mezi nemnohé země, u kterých ve 3. čtvrtletí došlo k výraznějšímu meziročnímu poklesu dovozu, patřily Kazachstán (−2,8 mld. korun, −75,5 %) a Ukrajina (−2,6 mld., −21,3 %). </w:t>
            </w:r>
          </w:p>
        </w:tc>
      </w:tr>
      <w:tr w:rsidR="00050541" w:rsidRPr="009110F7" w14:paraId="7811CB6F" w14:textId="77777777" w:rsidTr="00275E43">
        <w:trPr>
          <w:trHeight w:val="145"/>
        </w:trPr>
        <w:tc>
          <w:tcPr>
            <w:tcW w:w="1760" w:type="dxa"/>
            <w:shd w:val="clear" w:color="auto" w:fill="auto"/>
            <w:tcMar>
              <w:left w:w="0" w:type="dxa"/>
            </w:tcMar>
          </w:tcPr>
          <w:p w14:paraId="642497B1" w14:textId="77777777" w:rsidR="00050541" w:rsidRDefault="00050541" w:rsidP="00275E43">
            <w:pPr>
              <w:pStyle w:val="Marginlie"/>
            </w:pPr>
            <w:r>
              <w:lastRenderedPageBreak/>
              <w:t>Růst dovozu byl nejvíce ovlivněn navýšením importu ropy a zemního plynu.</w:t>
            </w:r>
          </w:p>
        </w:tc>
        <w:tc>
          <w:tcPr>
            <w:tcW w:w="223" w:type="dxa"/>
            <w:shd w:val="clear" w:color="auto" w:fill="auto"/>
            <w:tcMar>
              <w:left w:w="0" w:type="dxa"/>
            </w:tcMar>
          </w:tcPr>
          <w:p w14:paraId="6ADC60AD" w14:textId="77777777" w:rsidR="00050541" w:rsidRDefault="00050541" w:rsidP="00275E43">
            <w:pPr>
              <w:pStyle w:val="Textpoznpodarou"/>
              <w:jc w:val="both"/>
              <w:rPr>
                <w:spacing w:val="-4"/>
              </w:rPr>
            </w:pPr>
          </w:p>
        </w:tc>
        <w:tc>
          <w:tcPr>
            <w:tcW w:w="7656" w:type="dxa"/>
            <w:shd w:val="clear" w:color="auto" w:fill="auto"/>
            <w:tcMar>
              <w:left w:w="0" w:type="dxa"/>
            </w:tcMar>
          </w:tcPr>
          <w:p w14:paraId="2375C4F6" w14:textId="77777777" w:rsidR="00050541" w:rsidRDefault="00050541" w:rsidP="00275E43">
            <w:pPr>
              <w:spacing w:after="180"/>
              <w:rPr>
                <w:spacing w:val="-4"/>
              </w:rPr>
            </w:pPr>
            <w:r>
              <w:rPr>
                <w:spacing w:val="-4"/>
              </w:rPr>
              <w:t xml:space="preserve">Za celé období 1. až 3. čtvrtletí 2022 nejvíce meziročně rostl dovoz ropy a zemního plynu (+161,3 mld. korun, 162,0 %). Mimořádně silný byl i přírůstek importu základních kovů (+66,0 mld. korun, 28,2 %). V kumulaci od začátku roku nejvýrazněji meziročně poklesl dovoz počítačů, elektronických a optických přístrojů a zařízení (−6,7 mld. korun, −2,0 %). Také v samotném 3. kvartálu nejvíce rostla hodnota importu ropy a zemního plynu (+54,7 mld. korun, 116,8 %), ale oproti předchozímu čtvrtletí, kdy se masivně plnily plynové zásobníky, přírůstek oslabil. Druhý nejsilnější nárůst dovozu zaznamenala motorová vozidla (+34,3 mld. korun, 31,7 %), u kterých se tak vlivem slabé srovnávací základny změnil kumulovaný pokles od začátku roku ve výrazný růst. Ve 3. čtvrtletí také mohutně meziročně narostl import elektrických zařízení (+27,8 mld. korun, 32,4 %) a silný přírůstek si držely chemické látky a přípravky (+15,9 mld., 19,0 %) i potravinářské výrobky (+10,0 mld., 23,5 %). Navzdory oslabení zůstalo výrazné meziroční navýšení dovozu koksu a rafinovaných ropných výrobků (+8,6 mld. korun, 44,7 %). Podobně jako na straně vývozu ve 3. čtvrtletí prudce oslabila meziroční dynamika dovozu základních kovů (+6,1 mld. korun, 7,4 %). Jeden z mála a nejvýraznější meziroční pokles byl zachycen u dovozu rud (−2,2 mld. korun, −29,9 %).    </w:t>
            </w:r>
          </w:p>
        </w:tc>
      </w:tr>
      <w:tr w:rsidR="00050541" w:rsidRPr="009110F7" w14:paraId="37DFC74C" w14:textId="77777777" w:rsidTr="00275E43">
        <w:trPr>
          <w:trHeight w:val="145"/>
        </w:trPr>
        <w:tc>
          <w:tcPr>
            <w:tcW w:w="1760" w:type="dxa"/>
            <w:shd w:val="clear" w:color="auto" w:fill="auto"/>
            <w:tcMar>
              <w:left w:w="0" w:type="dxa"/>
            </w:tcMar>
          </w:tcPr>
          <w:p w14:paraId="5DB658C2" w14:textId="77777777" w:rsidR="00050541" w:rsidRDefault="00050541" w:rsidP="00275E43">
            <w:pPr>
              <w:pStyle w:val="Marginlie"/>
            </w:pPr>
            <w:r>
              <w:t xml:space="preserve">Bilance zahraničního obchodu se zbožím se meziročně zhoršila </w:t>
            </w:r>
            <w:r>
              <w:br/>
              <w:t>a skončila v deficitu.</w:t>
            </w:r>
          </w:p>
        </w:tc>
        <w:tc>
          <w:tcPr>
            <w:tcW w:w="223" w:type="dxa"/>
            <w:shd w:val="clear" w:color="auto" w:fill="auto"/>
            <w:tcMar>
              <w:left w:w="0" w:type="dxa"/>
            </w:tcMar>
          </w:tcPr>
          <w:p w14:paraId="3777F8FF" w14:textId="77777777" w:rsidR="00050541" w:rsidRDefault="00050541" w:rsidP="00275E43">
            <w:pPr>
              <w:pStyle w:val="Textpoznpodarou"/>
              <w:jc w:val="both"/>
              <w:rPr>
                <w:spacing w:val="-4"/>
              </w:rPr>
            </w:pPr>
          </w:p>
        </w:tc>
        <w:tc>
          <w:tcPr>
            <w:tcW w:w="7656" w:type="dxa"/>
            <w:shd w:val="clear" w:color="auto" w:fill="auto"/>
            <w:tcMar>
              <w:left w:w="0" w:type="dxa"/>
            </w:tcMar>
          </w:tcPr>
          <w:p w14:paraId="10982568" w14:textId="77777777" w:rsidR="00050541" w:rsidRPr="00AF6F98" w:rsidRDefault="00050541" w:rsidP="00275E43">
            <w:pPr>
              <w:spacing w:after="180"/>
              <w:rPr>
                <w:spacing w:val="-4"/>
              </w:rPr>
            </w:pPr>
            <w:r>
              <w:rPr>
                <w:spacing w:val="-4"/>
              </w:rPr>
              <w:t>Bilance zahraničního obchodu se zbožím za 1. až 3. čtvrtletí 2022 dosáhla deficitu 147,5 mld. korun. To představuje meziroční zhoršení o 167,7 mld. korun. V samotném 3. čtvrtletí činil schodek 66,4 mld. korun a šlo tak meziročně o 11,7 mld. horší výsledek. Podle sezónně očištěných údajů se ale mezičtvrtletně bilance zahraničního obchodu se zbožím zlepšila o 30,6 mld. korun. Deficit za 1. až 3. čtvrtletí jde čistě na vrub obchodu se zeměmi mimo EU, jehož bilance se meziročně zhoršila o 275,1 mld. korun. Naopak přebytek obchodu se zeměmi EU se zvýšil o 110,1 mld. korun. V samotném 3. čtvrtletí 2022 se tento vzorec opakoval. Bilance obchodu s EU se meziročně zlepšila o 80,0 mld. korun, zatímco u obchodu s </w:t>
            </w:r>
            <w:proofErr w:type="spellStart"/>
            <w:r>
              <w:rPr>
                <w:spacing w:val="-4"/>
              </w:rPr>
              <w:t>mimounijními</w:t>
            </w:r>
            <w:proofErr w:type="spellEnd"/>
            <w:r>
              <w:rPr>
                <w:spacing w:val="-4"/>
              </w:rPr>
              <w:t xml:space="preserve"> zeměmi došlo k propadu schodku o 91,4 mld. Ve směru meziročního zhoršení bilance ve 3. čtvrtletí nejvíce a z naprosté většiny působil obchod s Ruskem (−59,5 mld. korun) a Čínou (−37,8 mld.). Menší zhoršení pak zaznamenala bilance obchodu s Polskem (−6,1 mld. korun) a Ázerbájdžánem (−5,8 mld.). Meziročně se naopak zlepšovala mimo jiné bilance obchodu s Německem (+32,9 mld. korun), Slovenskem (+11,8 mld.), Rakouskem (+9,4 mld.), Francií (+6,1 mld.), Itálií (+5,8 mld.) nebo Kazachstánem (+5,7 mld.) </w:t>
            </w:r>
          </w:p>
        </w:tc>
      </w:tr>
      <w:tr w:rsidR="00050541" w:rsidRPr="009110F7" w14:paraId="5C7E4EC9" w14:textId="77777777" w:rsidTr="00275E43">
        <w:trPr>
          <w:trHeight w:val="145"/>
        </w:trPr>
        <w:tc>
          <w:tcPr>
            <w:tcW w:w="1760" w:type="dxa"/>
            <w:shd w:val="clear" w:color="auto" w:fill="auto"/>
            <w:tcMar>
              <w:left w:w="0" w:type="dxa"/>
            </w:tcMar>
          </w:tcPr>
          <w:p w14:paraId="1EED7126" w14:textId="77777777" w:rsidR="00050541" w:rsidRDefault="00050541" w:rsidP="00275E43">
            <w:pPr>
              <w:pStyle w:val="Marginlie"/>
            </w:pPr>
            <w:r>
              <w:t>Ke zhoršení bilance nejvíce přispíval obchod s ropou a zemním plynem.</w:t>
            </w:r>
          </w:p>
        </w:tc>
        <w:tc>
          <w:tcPr>
            <w:tcW w:w="223" w:type="dxa"/>
            <w:shd w:val="clear" w:color="auto" w:fill="auto"/>
            <w:tcMar>
              <w:left w:w="0" w:type="dxa"/>
            </w:tcMar>
          </w:tcPr>
          <w:p w14:paraId="161A7DAC" w14:textId="77777777" w:rsidR="00050541" w:rsidRDefault="00050541" w:rsidP="00275E43">
            <w:pPr>
              <w:pStyle w:val="Textpoznpodarou"/>
              <w:jc w:val="both"/>
              <w:rPr>
                <w:spacing w:val="-4"/>
              </w:rPr>
            </w:pPr>
          </w:p>
        </w:tc>
        <w:tc>
          <w:tcPr>
            <w:tcW w:w="7656" w:type="dxa"/>
            <w:shd w:val="clear" w:color="auto" w:fill="auto"/>
            <w:tcMar>
              <w:left w:w="0" w:type="dxa"/>
            </w:tcMar>
          </w:tcPr>
          <w:p w14:paraId="1153F22C" w14:textId="77777777" w:rsidR="00050541" w:rsidRDefault="00050541" w:rsidP="00275E43">
            <w:pPr>
              <w:spacing w:after="180"/>
              <w:rPr>
                <w:spacing w:val="-4"/>
              </w:rPr>
            </w:pPr>
            <w:r>
              <w:rPr>
                <w:spacing w:val="-4"/>
              </w:rPr>
              <w:t xml:space="preserve">Z hlediska struktury k meziročnímu zhoršení bilance zahraničního obchodu se zbožím v kumulaci od začátku roku nejvíce přispívalo velké prohloubení deficitu u ropy a zemního plynu o 152,4 mld. korun. Ve směru zhoršení bilance silně působil i obchod se základními kovy (−36,5 mld. korun), koksem a rafinovanými ropnými výrobky (−18,7 mld.) a chemickými </w:t>
            </w:r>
            <w:r>
              <w:rPr>
                <w:spacing w:val="-4"/>
              </w:rPr>
              <w:lastRenderedPageBreak/>
              <w:t xml:space="preserve">látkami a přípravky (−17,3 mld.). Za celé 1. až 3. čtvrtletí se naopak meziročně výrazně zlepšilo saldo obchodu s elektřinou, plynem, párou a klimatizovaným vzduchem (+49,2 mld. korun) a motorovými vozidly (+33,2 mld.). V samotném 3. čtvrtletí se nejvíce meziročně zhoršila bilance obchodu s ropou a zemním plynem (−51,2 mld. korun), propad se ale zmírnil. U ostatního zboží nebylo zhoršení zdaleka tak výrazné a mnohde byly poklesy méně výrazné než v předchozím období – u chemických látek a přípravků se schodek prohloubil o 7,0 mld. korun, u elektrických zařízení o 6,0 mld. a u černého a hnědého uhlí a lignitu o 4,9 mld. Významnější meziroční zhoršení bilance bylo zachyceno u základních farmaceutických výrobků a přípravků (−3,8 mld. korun), koksu a rafinovaných ropných výrobků (−2,8 mld.), základních kovů (−2,6 mld.), ostatních výrobků zpracovatelského průmyslu (−2,5 mld.), produktů lesnictví, těžby dřeva a souvisejících služeb (−2,4 mld.) a oděvů (−2,1 mld.). Výrazné meziroční zlepšení bilance ve 3. čtvrtletí zaznamenal obchod s motorovými vozidly (+37,7 mld. korun) a elektřinou, plynem, párou a klimatizovaným vzduchem (+25,5 mld.). Ve směru zmírnění celkového deficitu působil i obchod s počítači, elektronickými a optickými přístroji a zařízeními (+4,6 mld.), stroji a zařízeními (+2,9 mld.), kovodělnými výrobky (+2,7 mld.), produkty zemědělství a myslivosti (+2,5 mld.) nebo rudami (+2,2 mld.). </w:t>
            </w:r>
          </w:p>
        </w:tc>
      </w:tr>
      <w:tr w:rsidR="00050541" w:rsidRPr="009110F7" w14:paraId="24FFA8B4" w14:textId="77777777" w:rsidTr="00275E43">
        <w:trPr>
          <w:trHeight w:val="106"/>
        </w:trPr>
        <w:tc>
          <w:tcPr>
            <w:tcW w:w="1760" w:type="dxa"/>
            <w:vMerge w:val="restart"/>
            <w:shd w:val="clear" w:color="auto" w:fill="auto"/>
            <w:tcMar>
              <w:left w:w="0" w:type="dxa"/>
            </w:tcMar>
          </w:tcPr>
          <w:p w14:paraId="74A155D3" w14:textId="77777777" w:rsidR="00050541" w:rsidRDefault="00050541" w:rsidP="00275E43">
            <w:pPr>
              <w:pStyle w:val="Marginlie"/>
            </w:pPr>
          </w:p>
        </w:tc>
        <w:tc>
          <w:tcPr>
            <w:tcW w:w="223" w:type="dxa"/>
            <w:vMerge w:val="restart"/>
            <w:shd w:val="clear" w:color="auto" w:fill="auto"/>
            <w:tcMar>
              <w:left w:w="0" w:type="dxa"/>
            </w:tcMar>
          </w:tcPr>
          <w:p w14:paraId="6C667390" w14:textId="77777777" w:rsidR="00050541" w:rsidRDefault="00050541" w:rsidP="00275E43">
            <w:pPr>
              <w:pStyle w:val="Textpoznpodarou"/>
              <w:jc w:val="both"/>
              <w:rPr>
                <w:spacing w:val="-4"/>
              </w:rPr>
            </w:pPr>
          </w:p>
        </w:tc>
        <w:tc>
          <w:tcPr>
            <w:tcW w:w="7656" w:type="dxa"/>
            <w:shd w:val="clear" w:color="auto" w:fill="auto"/>
            <w:tcMar>
              <w:left w:w="0" w:type="dxa"/>
            </w:tcMar>
          </w:tcPr>
          <w:p w14:paraId="316C5B84" w14:textId="77777777" w:rsidR="00050541" w:rsidRPr="00D75AC1" w:rsidRDefault="00050541" w:rsidP="00275E43">
            <w:pPr>
              <w:spacing w:after="0"/>
              <w:rPr>
                <w:spacing w:val="-4"/>
                <w:szCs w:val="20"/>
              </w:rPr>
            </w:pPr>
            <w:r w:rsidRPr="00D75AC1">
              <w:rPr>
                <w:rFonts w:cs="Arial"/>
                <w:b/>
                <w:bCs/>
                <w:color w:val="000000"/>
                <w:szCs w:val="20"/>
              </w:rPr>
              <w:t>Graf č.</w:t>
            </w:r>
            <w:r>
              <w:rPr>
                <w:rFonts w:cs="Arial"/>
                <w:b/>
                <w:bCs/>
                <w:color w:val="000000"/>
                <w:szCs w:val="20"/>
              </w:rPr>
              <w:t xml:space="preserve"> 9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až 3. čtvrtletí</w:t>
            </w:r>
            <w:r w:rsidRPr="00D75AC1">
              <w:rPr>
                <w:spacing w:val="-4"/>
                <w:szCs w:val="20"/>
              </w:rPr>
              <w:t>, v mld.</w:t>
            </w:r>
            <w:r>
              <w:rPr>
                <w:spacing w:val="-4"/>
                <w:szCs w:val="20"/>
              </w:rPr>
              <w:t xml:space="preserve"> </w:t>
            </w:r>
            <w:r w:rsidRPr="00D75AC1">
              <w:rPr>
                <w:spacing w:val="-4"/>
                <w:szCs w:val="20"/>
              </w:rPr>
              <w:t>korun, vybrané oddíly klasifikace CPA)</w:t>
            </w:r>
          </w:p>
        </w:tc>
      </w:tr>
      <w:tr w:rsidR="00050541" w:rsidRPr="009110F7" w14:paraId="703D5572" w14:textId="77777777" w:rsidTr="00275E43">
        <w:tblPrEx>
          <w:tblCellMar>
            <w:left w:w="70" w:type="dxa"/>
            <w:right w:w="70" w:type="dxa"/>
          </w:tblCellMar>
        </w:tblPrEx>
        <w:trPr>
          <w:trHeight w:val="106"/>
        </w:trPr>
        <w:tc>
          <w:tcPr>
            <w:tcW w:w="1760" w:type="dxa"/>
            <w:vMerge/>
            <w:shd w:val="clear" w:color="auto" w:fill="auto"/>
          </w:tcPr>
          <w:p w14:paraId="7EF7BB62" w14:textId="77777777" w:rsidR="00050541" w:rsidRDefault="00050541" w:rsidP="00275E43">
            <w:pPr>
              <w:pStyle w:val="Marginlie"/>
            </w:pPr>
          </w:p>
        </w:tc>
        <w:tc>
          <w:tcPr>
            <w:tcW w:w="223" w:type="dxa"/>
            <w:vMerge/>
            <w:shd w:val="clear" w:color="auto" w:fill="auto"/>
          </w:tcPr>
          <w:p w14:paraId="00DC8F13" w14:textId="77777777" w:rsidR="00050541" w:rsidRDefault="00050541" w:rsidP="00275E43">
            <w:pPr>
              <w:pStyle w:val="Textpoznpodarou"/>
              <w:jc w:val="both"/>
              <w:rPr>
                <w:spacing w:val="-4"/>
              </w:rPr>
            </w:pPr>
          </w:p>
        </w:tc>
        <w:tc>
          <w:tcPr>
            <w:tcW w:w="7656" w:type="dxa"/>
            <w:shd w:val="clear" w:color="auto" w:fill="auto"/>
          </w:tcPr>
          <w:p w14:paraId="286971BE" w14:textId="77777777" w:rsidR="00050541" w:rsidRPr="00AF6F98" w:rsidRDefault="00050541" w:rsidP="00275E43">
            <w:pPr>
              <w:spacing w:after="0"/>
              <w:rPr>
                <w:spacing w:val="-4"/>
              </w:rPr>
            </w:pPr>
            <w:r>
              <w:rPr>
                <w:noProof/>
              </w:rPr>
              <w:drawing>
                <wp:inline distT="0" distB="0" distL="0" distR="0" wp14:anchorId="75486302" wp14:editId="750B304B">
                  <wp:extent cx="4771467" cy="3492000"/>
                  <wp:effectExtent l="0" t="0" r="0" b="0"/>
                  <wp:docPr id="3" name="Graf 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050541" w:rsidRPr="009110F7" w14:paraId="5C7B22AA" w14:textId="77777777" w:rsidTr="00275E43">
        <w:trPr>
          <w:trHeight w:val="106"/>
        </w:trPr>
        <w:tc>
          <w:tcPr>
            <w:tcW w:w="1760" w:type="dxa"/>
            <w:vMerge/>
            <w:shd w:val="clear" w:color="auto" w:fill="auto"/>
            <w:tcMar>
              <w:left w:w="0" w:type="dxa"/>
            </w:tcMar>
          </w:tcPr>
          <w:p w14:paraId="7C03F06E" w14:textId="77777777" w:rsidR="00050541" w:rsidRDefault="00050541" w:rsidP="00275E43">
            <w:pPr>
              <w:pStyle w:val="Marginlie"/>
            </w:pPr>
          </w:p>
        </w:tc>
        <w:tc>
          <w:tcPr>
            <w:tcW w:w="223" w:type="dxa"/>
            <w:vMerge/>
            <w:shd w:val="clear" w:color="auto" w:fill="auto"/>
            <w:tcMar>
              <w:left w:w="0" w:type="dxa"/>
            </w:tcMar>
          </w:tcPr>
          <w:p w14:paraId="3E2BB7DA" w14:textId="77777777" w:rsidR="00050541" w:rsidRDefault="00050541" w:rsidP="00275E43">
            <w:pPr>
              <w:pStyle w:val="Textpoznpodarou"/>
              <w:jc w:val="both"/>
              <w:rPr>
                <w:spacing w:val="-4"/>
              </w:rPr>
            </w:pPr>
          </w:p>
        </w:tc>
        <w:tc>
          <w:tcPr>
            <w:tcW w:w="7656" w:type="dxa"/>
            <w:shd w:val="clear" w:color="auto" w:fill="auto"/>
            <w:tcMar>
              <w:left w:w="0" w:type="dxa"/>
            </w:tcMar>
          </w:tcPr>
          <w:p w14:paraId="2E3904D5" w14:textId="77777777" w:rsidR="00050541" w:rsidRPr="00AF6F98" w:rsidRDefault="00050541" w:rsidP="00275E43">
            <w:pPr>
              <w:spacing w:after="0"/>
              <w:rPr>
                <w:spacing w:val="-4"/>
              </w:rPr>
            </w:pPr>
            <w:r>
              <w:rPr>
                <w:sz w:val="14"/>
                <w:szCs w:val="14"/>
              </w:rPr>
              <w:t>Zdroj: ČSÚ</w:t>
            </w:r>
          </w:p>
        </w:tc>
      </w:tr>
      <w:bookmarkEnd w:id="29"/>
      <w:bookmarkEnd w:id="30"/>
      <w:bookmarkEnd w:id="31"/>
    </w:tbl>
    <w:p w14:paraId="7AEDB1F0" w14:textId="77777777" w:rsidR="00050541" w:rsidRPr="00E42054" w:rsidRDefault="00050541" w:rsidP="00050541">
      <w:pPr>
        <w:pStyle w:val="Nadpis11"/>
        <w:rPr>
          <w:b w:val="0"/>
          <w:sz w:val="2"/>
          <w:szCs w:val="2"/>
        </w:rPr>
      </w:pPr>
    </w:p>
    <w:p w14:paraId="0BD050C2" w14:textId="77777777" w:rsidR="00050541" w:rsidRPr="000F45E7" w:rsidRDefault="00050541" w:rsidP="00050541">
      <w:pPr>
        <w:pStyle w:val="Nadpis11"/>
        <w:spacing w:after="0"/>
        <w:rPr>
          <w:b w:val="0"/>
          <w:sz w:val="2"/>
          <w:szCs w:val="2"/>
        </w:rPr>
      </w:pPr>
    </w:p>
    <w:p w14:paraId="51B6CCA9" w14:textId="77777777" w:rsidR="00050541" w:rsidRPr="00E42054" w:rsidRDefault="00050541" w:rsidP="00050541">
      <w:pPr>
        <w:pStyle w:val="Nadpis11"/>
        <w:rPr>
          <w:b w:val="0"/>
          <w:sz w:val="2"/>
          <w:szCs w:val="2"/>
        </w:rPr>
      </w:pPr>
    </w:p>
    <w:p w14:paraId="6CD65359" w14:textId="77777777" w:rsidR="00050541" w:rsidRPr="00E42054" w:rsidRDefault="00050541" w:rsidP="00050541">
      <w:pPr>
        <w:pStyle w:val="Nadpis11"/>
        <w:rPr>
          <w:b w:val="0"/>
          <w:sz w:val="2"/>
          <w:szCs w:val="2"/>
        </w:rPr>
      </w:pPr>
    </w:p>
    <w:p w14:paraId="378D327D" w14:textId="77777777" w:rsidR="00050541" w:rsidRDefault="00050541">
      <w:pPr>
        <w:spacing w:after="0" w:line="240" w:lineRule="auto"/>
        <w:jc w:val="left"/>
        <w:rPr>
          <w:rFonts w:eastAsia="MS Gothic"/>
          <w:b/>
          <w:bCs/>
          <w:color w:val="71818C"/>
          <w:sz w:val="32"/>
          <w:szCs w:val="28"/>
        </w:rPr>
      </w:pPr>
      <w:r>
        <w:br w:type="page"/>
      </w:r>
    </w:p>
    <w:p w14:paraId="5FA4EBBA" w14:textId="05F28921" w:rsidR="00E41131" w:rsidRPr="009110F7" w:rsidRDefault="00E41131" w:rsidP="00E41131">
      <w:pPr>
        <w:pStyle w:val="Nadpis11"/>
      </w:pPr>
      <w:bookmarkStart w:id="32" w:name="_Toc121993821"/>
      <w:r w:rsidRPr="009110F7">
        <w:lastRenderedPageBreak/>
        <w:t>5</w:t>
      </w:r>
      <w:r>
        <w:t>. </w:t>
      </w:r>
      <w:r w:rsidRPr="009110F7">
        <w:t>Ceny</w:t>
      </w:r>
      <w:bookmarkEnd w:id="19"/>
      <w:bookmarkEnd w:id="32"/>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E41131" w:rsidRPr="009110F7" w14:paraId="31DE5C79" w14:textId="77777777" w:rsidTr="002036E6">
        <w:trPr>
          <w:trHeight w:val="145"/>
        </w:trPr>
        <w:tc>
          <w:tcPr>
            <w:tcW w:w="1805" w:type="dxa"/>
            <w:shd w:val="clear" w:color="auto" w:fill="auto"/>
            <w:tcMar>
              <w:left w:w="0" w:type="dxa"/>
            </w:tcMar>
          </w:tcPr>
          <w:p w14:paraId="54F423CC" w14:textId="77777777" w:rsidR="00E41131" w:rsidRPr="00793D78" w:rsidRDefault="00E41131" w:rsidP="002036E6">
            <w:pPr>
              <w:pStyle w:val="Marginlie"/>
              <w:rPr>
                <w:spacing w:val="0"/>
              </w:rPr>
            </w:pPr>
            <w:r>
              <w:rPr>
                <w:spacing w:val="0"/>
              </w:rPr>
              <w:t>Růst celkové cenové hladiny posílil.</w:t>
            </w:r>
          </w:p>
        </w:tc>
        <w:tc>
          <w:tcPr>
            <w:tcW w:w="224" w:type="dxa"/>
            <w:shd w:val="clear" w:color="auto" w:fill="auto"/>
            <w:tcMar>
              <w:left w:w="0" w:type="dxa"/>
            </w:tcMar>
          </w:tcPr>
          <w:p w14:paraId="350E3229" w14:textId="77777777" w:rsidR="00E41131" w:rsidRPr="00793D78" w:rsidRDefault="00E41131" w:rsidP="002036E6">
            <w:pPr>
              <w:pStyle w:val="Textpoznpodarou1"/>
              <w:jc w:val="both"/>
            </w:pPr>
          </w:p>
        </w:tc>
        <w:tc>
          <w:tcPr>
            <w:tcW w:w="7610" w:type="dxa"/>
            <w:shd w:val="clear" w:color="auto" w:fill="auto"/>
            <w:tcMar>
              <w:left w:w="0" w:type="dxa"/>
            </w:tcMar>
          </w:tcPr>
          <w:p w14:paraId="7CA71BB1" w14:textId="77777777" w:rsidR="00E41131" w:rsidRPr="00793D78" w:rsidRDefault="00E41131" w:rsidP="002036E6">
            <w:pPr>
              <w:rPr>
                <w:szCs w:val="20"/>
              </w:rPr>
            </w:pPr>
            <w:r>
              <w:rPr>
                <w:szCs w:val="20"/>
              </w:rPr>
              <w:t xml:space="preserve">Celkový meziroční růst cenové hladiny podle deflátoru HDP ve 3. čtvrtletí dosáhl 9,8 %. To představuje výrazné zrychlení oproti předchozímu kvartálu. Ceny spotřebního zboží vzrostly o 13,8 %, z toho ceny spotřeby domácností byly meziročně vyšší o 19,2 %, zatímco vládních institucí o 3,2 %. Cenová hladina kapitálových statků se meziročně zvýšila o 13,9 %. Směnné relace zahraničního obchodu se zbožím a službami zůstaly záporné a dosáhly 95,3 %. Z toho směnné relace obchodu se zbožím činily 93,9 %, zatímco u obchodu se službami byly výrazně kladné (105,4 %). Mezičtvrtletně se cenová hladina v ekonomice zvýšila o 4,0 %. Mezičtvrtletní přírůstek cen spotřebních statků zrychlil na 3,6 % a kapitálových statků na 4,6 %.  </w:t>
            </w:r>
          </w:p>
        </w:tc>
      </w:tr>
      <w:tr w:rsidR="00E41131" w:rsidRPr="009110F7" w14:paraId="3C4D4155" w14:textId="77777777" w:rsidTr="002036E6">
        <w:trPr>
          <w:trHeight w:val="145"/>
        </w:trPr>
        <w:tc>
          <w:tcPr>
            <w:tcW w:w="1805" w:type="dxa"/>
            <w:shd w:val="clear" w:color="auto" w:fill="auto"/>
            <w:tcMar>
              <w:left w:w="0" w:type="dxa"/>
            </w:tcMar>
          </w:tcPr>
          <w:p w14:paraId="3A8E5B82" w14:textId="77777777" w:rsidR="00E41131" w:rsidRPr="00793D78" w:rsidRDefault="00E41131" w:rsidP="002036E6">
            <w:pPr>
              <w:pStyle w:val="Marginlie"/>
              <w:rPr>
                <w:spacing w:val="0"/>
              </w:rPr>
            </w:pPr>
            <w:r>
              <w:rPr>
                <w:spacing w:val="0"/>
              </w:rPr>
              <w:t>Meziroční růst spotřebitelských cen nadále zrychloval.</w:t>
            </w:r>
          </w:p>
        </w:tc>
        <w:tc>
          <w:tcPr>
            <w:tcW w:w="224" w:type="dxa"/>
            <w:shd w:val="clear" w:color="auto" w:fill="auto"/>
            <w:tcMar>
              <w:left w:w="0" w:type="dxa"/>
            </w:tcMar>
          </w:tcPr>
          <w:p w14:paraId="025963FF" w14:textId="77777777" w:rsidR="00E41131" w:rsidRPr="00793D78" w:rsidRDefault="00E41131" w:rsidP="002036E6">
            <w:pPr>
              <w:pStyle w:val="Textpoznpodarou1"/>
              <w:jc w:val="both"/>
              <w:rPr>
                <w:highlight w:val="yellow"/>
              </w:rPr>
            </w:pPr>
          </w:p>
        </w:tc>
        <w:tc>
          <w:tcPr>
            <w:tcW w:w="7610" w:type="dxa"/>
            <w:shd w:val="clear" w:color="auto" w:fill="auto"/>
            <w:tcMar>
              <w:left w:w="0" w:type="dxa"/>
            </w:tcMar>
          </w:tcPr>
          <w:p w14:paraId="3A5DD1FA" w14:textId="77777777" w:rsidR="00E41131" w:rsidRPr="000316FC" w:rsidRDefault="00E41131" w:rsidP="002036E6">
            <w:r>
              <w:t xml:space="preserve">Meziroční růst spotřebitelských cen ve 3. čtvrtletí 2022 zrychlil na 17,6 %. Největší podíl na celkovém růstu měly nadále ceny bydlení, vody, energií a paliv (bydlení </w:t>
            </w:r>
            <w:r>
              <w:br/>
              <w:t>a energie), potravin a nealkoholických nápojů a dopravy. Tyto tři položky přispěly dohromady k meziročnímu přírůstku ze dvou třetin. K pokračujícímu zrychlování meziroční dynamiky, které trvá již šest čtvrtletí, přispělo nejvíce posílení cenového růstu u potravin a energií. U většiny ostatních oddílů spotřebního koše se přírůstky také zvyšovaly. Výjimkou byly ceny dopravy. Mezičtvrtletní přírůstek spotřebitelských cen ve 3. čtvrtletí zpomalil na 3,6 %. Mezikvartálně vyšší byly ceny ve všech oddílech spotřebního koše a na zpomalení celkového přírůstku se podílelo zejména zastavení prudkého růstu cen dopravy. V kumulaci od začátku roku byly spotřebitelské ceny oproti stejnému období roku 2021 vyšší o 14,9 %.</w:t>
            </w:r>
          </w:p>
        </w:tc>
      </w:tr>
      <w:tr w:rsidR="00E41131" w:rsidRPr="009110F7" w14:paraId="0A22EBE0" w14:textId="77777777" w:rsidTr="002036E6">
        <w:trPr>
          <w:trHeight w:val="170"/>
        </w:trPr>
        <w:tc>
          <w:tcPr>
            <w:tcW w:w="1805" w:type="dxa"/>
            <w:vMerge w:val="restart"/>
            <w:shd w:val="clear" w:color="auto" w:fill="auto"/>
            <w:tcMar>
              <w:left w:w="0" w:type="dxa"/>
            </w:tcMar>
          </w:tcPr>
          <w:p w14:paraId="7AD03EBB" w14:textId="77777777" w:rsidR="00E41131" w:rsidRDefault="00E41131" w:rsidP="002036E6">
            <w:pPr>
              <w:pStyle w:val="Marginlie"/>
              <w:rPr>
                <w:spacing w:val="0"/>
              </w:rPr>
            </w:pPr>
          </w:p>
        </w:tc>
        <w:tc>
          <w:tcPr>
            <w:tcW w:w="224" w:type="dxa"/>
            <w:vMerge w:val="restart"/>
            <w:shd w:val="clear" w:color="auto" w:fill="auto"/>
            <w:tcMar>
              <w:left w:w="0" w:type="dxa"/>
            </w:tcMar>
          </w:tcPr>
          <w:p w14:paraId="22037882" w14:textId="77777777" w:rsidR="00E41131" w:rsidRPr="00793D78" w:rsidRDefault="00E41131" w:rsidP="002036E6">
            <w:pPr>
              <w:pStyle w:val="Textpoznpodarou1"/>
              <w:jc w:val="both"/>
            </w:pPr>
          </w:p>
        </w:tc>
        <w:tc>
          <w:tcPr>
            <w:tcW w:w="7610" w:type="dxa"/>
            <w:shd w:val="clear" w:color="auto" w:fill="auto"/>
            <w:tcMar>
              <w:left w:w="0" w:type="dxa"/>
            </w:tcMar>
          </w:tcPr>
          <w:p w14:paraId="7A32CE57" w14:textId="77777777" w:rsidR="00E41131" w:rsidRDefault="00E41131" w:rsidP="002036E6">
            <w:pPr>
              <w:spacing w:after="0"/>
            </w:pPr>
            <w:r w:rsidRPr="00793D78">
              <w:rPr>
                <w:rFonts w:cs="Arial"/>
                <w:b/>
                <w:bCs/>
                <w:color w:val="000000"/>
                <w:sz w:val="18"/>
                <w:szCs w:val="18"/>
              </w:rPr>
              <w:t xml:space="preserve">Graf </w:t>
            </w:r>
            <w:r>
              <w:rPr>
                <w:rFonts w:cs="Arial"/>
                <w:b/>
                <w:bCs/>
                <w:color w:val="000000"/>
                <w:sz w:val="18"/>
                <w:szCs w:val="18"/>
              </w:rPr>
              <w:t xml:space="preserve">č. 10 </w:t>
            </w:r>
            <w:r w:rsidRPr="00793D78">
              <w:rPr>
                <w:rFonts w:cs="Arial"/>
                <w:b/>
                <w:bCs/>
                <w:color w:val="000000"/>
                <w:sz w:val="18"/>
                <w:szCs w:val="18"/>
              </w:rPr>
              <w:t>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E41131" w:rsidRPr="009110F7" w14:paraId="636681EB" w14:textId="77777777" w:rsidTr="002036E6">
        <w:tblPrEx>
          <w:tblCellMar>
            <w:left w:w="70" w:type="dxa"/>
            <w:right w:w="70" w:type="dxa"/>
          </w:tblCellMar>
        </w:tblPrEx>
        <w:trPr>
          <w:trHeight w:val="170"/>
        </w:trPr>
        <w:tc>
          <w:tcPr>
            <w:tcW w:w="1805" w:type="dxa"/>
            <w:vMerge/>
            <w:shd w:val="clear" w:color="auto" w:fill="auto"/>
          </w:tcPr>
          <w:p w14:paraId="78BFA50C" w14:textId="77777777" w:rsidR="00E41131" w:rsidRDefault="00E41131" w:rsidP="002036E6">
            <w:pPr>
              <w:pStyle w:val="Marginlie"/>
              <w:rPr>
                <w:spacing w:val="0"/>
              </w:rPr>
            </w:pPr>
          </w:p>
        </w:tc>
        <w:tc>
          <w:tcPr>
            <w:tcW w:w="224" w:type="dxa"/>
            <w:vMerge/>
            <w:shd w:val="clear" w:color="auto" w:fill="auto"/>
          </w:tcPr>
          <w:p w14:paraId="6B2BB1CC" w14:textId="77777777" w:rsidR="00E41131" w:rsidRPr="00793D78" w:rsidRDefault="00E41131" w:rsidP="002036E6">
            <w:pPr>
              <w:pStyle w:val="Textpoznpodarou1"/>
              <w:jc w:val="both"/>
            </w:pPr>
          </w:p>
        </w:tc>
        <w:tc>
          <w:tcPr>
            <w:tcW w:w="7610" w:type="dxa"/>
            <w:shd w:val="clear" w:color="auto" w:fill="auto"/>
          </w:tcPr>
          <w:p w14:paraId="0650C371" w14:textId="77777777" w:rsidR="00E41131" w:rsidRDefault="00E41131" w:rsidP="002036E6">
            <w:pPr>
              <w:spacing w:after="0"/>
            </w:pPr>
            <w:r>
              <w:rPr>
                <w:noProof/>
              </w:rPr>
              <w:drawing>
                <wp:inline distT="0" distB="0" distL="0" distR="0" wp14:anchorId="2ED646FB" wp14:editId="6D6DDC54">
                  <wp:extent cx="4737600" cy="3553200"/>
                  <wp:effectExtent l="0" t="0" r="6350" b="0"/>
                  <wp:docPr id="23" name="Graf 2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41131" w:rsidRPr="009110F7" w14:paraId="04A3F01D" w14:textId="77777777" w:rsidTr="002036E6">
        <w:trPr>
          <w:trHeight w:val="170"/>
        </w:trPr>
        <w:tc>
          <w:tcPr>
            <w:tcW w:w="1805" w:type="dxa"/>
            <w:vMerge/>
            <w:shd w:val="clear" w:color="auto" w:fill="auto"/>
            <w:tcMar>
              <w:left w:w="0" w:type="dxa"/>
            </w:tcMar>
          </w:tcPr>
          <w:p w14:paraId="6E92F33A" w14:textId="77777777" w:rsidR="00E41131" w:rsidRDefault="00E41131" w:rsidP="002036E6">
            <w:pPr>
              <w:pStyle w:val="Marginlie"/>
              <w:rPr>
                <w:spacing w:val="0"/>
              </w:rPr>
            </w:pPr>
          </w:p>
        </w:tc>
        <w:tc>
          <w:tcPr>
            <w:tcW w:w="224" w:type="dxa"/>
            <w:vMerge/>
            <w:shd w:val="clear" w:color="auto" w:fill="auto"/>
            <w:tcMar>
              <w:left w:w="0" w:type="dxa"/>
            </w:tcMar>
          </w:tcPr>
          <w:p w14:paraId="1689F6A1" w14:textId="77777777" w:rsidR="00E41131" w:rsidRPr="00793D78" w:rsidRDefault="00E41131" w:rsidP="002036E6">
            <w:pPr>
              <w:pStyle w:val="Textpoznpodarou1"/>
              <w:jc w:val="both"/>
            </w:pPr>
          </w:p>
        </w:tc>
        <w:tc>
          <w:tcPr>
            <w:tcW w:w="7610" w:type="dxa"/>
            <w:shd w:val="clear" w:color="auto" w:fill="auto"/>
            <w:tcMar>
              <w:left w:w="0" w:type="dxa"/>
            </w:tcMar>
          </w:tcPr>
          <w:p w14:paraId="45C72A06" w14:textId="77777777" w:rsidR="00E41131" w:rsidRDefault="00E41131" w:rsidP="002036E6">
            <w:r w:rsidRPr="00793D78">
              <w:rPr>
                <w:sz w:val="14"/>
                <w:szCs w:val="14"/>
              </w:rPr>
              <w:t>Zdroj: ČSÚ</w:t>
            </w:r>
          </w:p>
        </w:tc>
      </w:tr>
      <w:tr w:rsidR="00E41131" w:rsidRPr="009110F7" w14:paraId="7200E696" w14:textId="77777777" w:rsidTr="002036E6">
        <w:trPr>
          <w:trHeight w:val="145"/>
        </w:trPr>
        <w:tc>
          <w:tcPr>
            <w:tcW w:w="1805" w:type="dxa"/>
            <w:shd w:val="clear" w:color="auto" w:fill="auto"/>
            <w:tcMar>
              <w:left w:w="0" w:type="dxa"/>
            </w:tcMar>
          </w:tcPr>
          <w:p w14:paraId="203F4A66" w14:textId="77777777" w:rsidR="00E41131" w:rsidRDefault="00E41131" w:rsidP="002036E6">
            <w:pPr>
              <w:pStyle w:val="Marginlie"/>
              <w:rPr>
                <w:spacing w:val="0"/>
              </w:rPr>
            </w:pPr>
            <w:r>
              <w:rPr>
                <w:spacing w:val="0"/>
              </w:rPr>
              <w:t>K celkovému růstu nejvíce přispěly ceny bydlení a energií, hlavně ceny elektřiny.</w:t>
            </w:r>
          </w:p>
        </w:tc>
        <w:tc>
          <w:tcPr>
            <w:tcW w:w="224" w:type="dxa"/>
            <w:shd w:val="clear" w:color="auto" w:fill="auto"/>
            <w:tcMar>
              <w:left w:w="0" w:type="dxa"/>
            </w:tcMar>
          </w:tcPr>
          <w:p w14:paraId="3715F7EF" w14:textId="77777777" w:rsidR="00E41131" w:rsidRPr="00793D78" w:rsidRDefault="00E41131" w:rsidP="002036E6">
            <w:pPr>
              <w:pStyle w:val="Textpoznpodarou1"/>
              <w:jc w:val="both"/>
            </w:pPr>
          </w:p>
        </w:tc>
        <w:tc>
          <w:tcPr>
            <w:tcW w:w="7610" w:type="dxa"/>
            <w:shd w:val="clear" w:color="auto" w:fill="auto"/>
            <w:tcMar>
              <w:left w:w="0" w:type="dxa"/>
            </w:tcMar>
          </w:tcPr>
          <w:p w14:paraId="60D54D3C" w14:textId="77777777" w:rsidR="00E41131" w:rsidRDefault="00E41131" w:rsidP="002036E6">
            <w:r>
              <w:t xml:space="preserve">Ceny bydlení a energií se ve 3. čtvrtletí meziročně zvýšily o 23,6 %. Růst nákladů na bydlení tak opět zrychlil, především pod vlivem prudce rostoucích cen energií. Ceny elektrické a tepelné energie, plynu a ostatních paliv byly totiž meziročně vyšší </w:t>
            </w:r>
            <w:r>
              <w:br/>
              <w:t xml:space="preserve">o 42,6 % (ve 2. čtvrtletí přírůstek činil 34,1 %) a nejvíce přispěly ke zrychlení </w:t>
            </w:r>
            <w:r>
              <w:br/>
            </w:r>
            <w:r>
              <w:lastRenderedPageBreak/>
              <w:t>i celkovému přírůstku. Druhý nejvyšší vliv mělo imputované nájemné</w:t>
            </w:r>
            <w:r>
              <w:rPr>
                <w:rStyle w:val="Znakapoznpodarou"/>
              </w:rPr>
              <w:footnoteReference w:id="53"/>
            </w:r>
            <w:r>
              <w:t xml:space="preserve">, které bylo vyšší o 17,9 %, což představuje mírné zpomalení meziročního tempa. Naopak vyšší byl meziroční růst cen běžné údržby a oprav (21,4 %), nájemného z bytu (5,1 %) </w:t>
            </w:r>
            <w:r>
              <w:br/>
              <w:t xml:space="preserve">a ostatních služeb souvisejících s bydlením (5,1 %). Mezičtvrtletně se ceny bydlení </w:t>
            </w:r>
            <w:r>
              <w:br/>
              <w:t>a energií ve 3. čtvrtletí zvýšily o 4,3 %, což bylo mírně méně než v předchozím kvartálu.</w:t>
            </w:r>
          </w:p>
        </w:tc>
      </w:tr>
      <w:tr w:rsidR="00E41131" w:rsidRPr="009110F7" w14:paraId="392D21C8" w14:textId="77777777" w:rsidTr="002036E6">
        <w:trPr>
          <w:trHeight w:val="145"/>
        </w:trPr>
        <w:tc>
          <w:tcPr>
            <w:tcW w:w="1805" w:type="dxa"/>
            <w:shd w:val="clear" w:color="auto" w:fill="auto"/>
            <w:tcMar>
              <w:left w:w="0" w:type="dxa"/>
            </w:tcMar>
          </w:tcPr>
          <w:p w14:paraId="279B08FF" w14:textId="77777777" w:rsidR="00E41131" w:rsidRDefault="00E41131" w:rsidP="002036E6">
            <w:pPr>
              <w:pStyle w:val="Marginlie"/>
              <w:rPr>
                <w:spacing w:val="0"/>
              </w:rPr>
            </w:pPr>
            <w:r>
              <w:rPr>
                <w:spacing w:val="0"/>
              </w:rPr>
              <w:lastRenderedPageBreak/>
              <w:t xml:space="preserve">Dál sílil meziroční růst cen potravin </w:t>
            </w:r>
            <w:r>
              <w:rPr>
                <w:spacing w:val="0"/>
              </w:rPr>
              <w:br/>
              <w:t>a nealkoholických nápojů.</w:t>
            </w:r>
          </w:p>
        </w:tc>
        <w:tc>
          <w:tcPr>
            <w:tcW w:w="224" w:type="dxa"/>
            <w:shd w:val="clear" w:color="auto" w:fill="auto"/>
            <w:tcMar>
              <w:left w:w="0" w:type="dxa"/>
            </w:tcMar>
          </w:tcPr>
          <w:p w14:paraId="01B4E5E6" w14:textId="77777777" w:rsidR="00E41131" w:rsidRPr="00793D78" w:rsidRDefault="00E41131" w:rsidP="002036E6">
            <w:pPr>
              <w:pStyle w:val="Textpoznpodarou1"/>
              <w:jc w:val="both"/>
            </w:pPr>
          </w:p>
        </w:tc>
        <w:tc>
          <w:tcPr>
            <w:tcW w:w="7610" w:type="dxa"/>
            <w:shd w:val="clear" w:color="auto" w:fill="auto"/>
            <w:tcMar>
              <w:left w:w="0" w:type="dxa"/>
            </w:tcMar>
          </w:tcPr>
          <w:p w14:paraId="13E45211" w14:textId="2E16241C" w:rsidR="00E41131" w:rsidRDefault="00E41131" w:rsidP="002036E6">
            <w:r>
              <w:t>Ceny potravin a nealkoholických nápojů byly ve 3. čtvrtletí meziročně vyšší o 20,0 %. Výrazné zrychlení tempa růstu se týkalo všech skupin potravin. Nejvíce rostly ceny olejů a tuků (50,7 %), pekárenských výrobků a obilovin (25,1 %), mléka, sýrů a vajec (24,1 %) a masa (22,4 %). Silný přírůstek cen se dotýkal i potravinářských výrobků</w:t>
            </w:r>
            <w:r w:rsidR="00B674C7">
              <w:t xml:space="preserve"> jinde neuvedených</w:t>
            </w:r>
            <w:r>
              <w:t xml:space="preserve"> (19,0 %), cukru, marmelády, medu, čokolády a jiných cukrovinek (15,4 %) a nealkoholických nápojů (13,7 %). Ryby a mořské plody byly meziročně dražší o 10,7 %, zelenina o 8,8 %. Nejmírněji rostly ceny ovoce (3,5 %). Oproti 2. čtvrtletí 2022 se ceny potravin a nealkoholických nápojů zvýšily o 4,6 %. To je nižší přírůstek než v předchozím kvartálu. </w:t>
            </w:r>
          </w:p>
        </w:tc>
      </w:tr>
      <w:tr w:rsidR="00E41131" w:rsidRPr="009110F7" w14:paraId="682E741A" w14:textId="77777777" w:rsidTr="002036E6">
        <w:trPr>
          <w:trHeight w:val="145"/>
        </w:trPr>
        <w:tc>
          <w:tcPr>
            <w:tcW w:w="1805" w:type="dxa"/>
            <w:shd w:val="clear" w:color="auto" w:fill="auto"/>
            <w:tcMar>
              <w:left w:w="0" w:type="dxa"/>
            </w:tcMar>
          </w:tcPr>
          <w:p w14:paraId="1375CAB4" w14:textId="77777777" w:rsidR="00E41131" w:rsidRDefault="00E41131" w:rsidP="002036E6">
            <w:pPr>
              <w:pStyle w:val="Marginlie"/>
              <w:rPr>
                <w:spacing w:val="0"/>
              </w:rPr>
            </w:pPr>
            <w:r>
              <w:rPr>
                <w:spacing w:val="0"/>
              </w:rPr>
              <w:t xml:space="preserve">Pod vlivem nižšího růstu cen pohonných hmot zpomalil i přírůstek cen dopravy. </w:t>
            </w:r>
          </w:p>
        </w:tc>
        <w:tc>
          <w:tcPr>
            <w:tcW w:w="224" w:type="dxa"/>
            <w:shd w:val="clear" w:color="auto" w:fill="auto"/>
            <w:tcMar>
              <w:left w:w="0" w:type="dxa"/>
            </w:tcMar>
          </w:tcPr>
          <w:p w14:paraId="28EE1516" w14:textId="77777777" w:rsidR="00E41131" w:rsidRPr="00793D78" w:rsidRDefault="00E41131" w:rsidP="002036E6">
            <w:pPr>
              <w:pStyle w:val="Textpoznpodarou1"/>
              <w:jc w:val="both"/>
            </w:pPr>
          </w:p>
        </w:tc>
        <w:tc>
          <w:tcPr>
            <w:tcW w:w="7610" w:type="dxa"/>
            <w:shd w:val="clear" w:color="auto" w:fill="auto"/>
            <w:tcMar>
              <w:left w:w="0" w:type="dxa"/>
            </w:tcMar>
          </w:tcPr>
          <w:p w14:paraId="50ABC196" w14:textId="49B6E13E" w:rsidR="00E41131" w:rsidRDefault="00E41131" w:rsidP="002036E6">
            <w:r>
              <w:t xml:space="preserve">U cen dopravy došlo k mírnému zpomalení meziročního přírůstku na 19,7 %. Důvodem byl nižší růst nákladů na provoz osobních dopravních prostředků (24,5 %). Ceny automobilů, motocyklů a jízdních kol stouply o 15,0 % a dopravních služeb o 17,8 %. Na mírnějším meziročním tempu měla svůj podíl vysoká srovnávací základna loňského roku, ale mezičtvrtletní růst cen dopravy také zmírnil až na 0,3 %. Významný vliv na celkový růst spotřebitelských cen měly i ceny stravování a ubytování, které ve 3. čtvrtletí meziročně vzrostly o 24,3 %. Ceny stravovacích služeb zdražily o 24,9 %, zatímco ubytovací služby o 20,3 %. Mezičtvrtletně se v ubytování a stravování ceny zvýšily o 5,3 %. </w:t>
            </w:r>
          </w:p>
        </w:tc>
      </w:tr>
      <w:tr w:rsidR="00E41131" w:rsidRPr="009110F7" w14:paraId="203728BF" w14:textId="77777777" w:rsidTr="002036E6">
        <w:trPr>
          <w:trHeight w:val="145"/>
        </w:trPr>
        <w:tc>
          <w:tcPr>
            <w:tcW w:w="1805" w:type="dxa"/>
            <w:shd w:val="clear" w:color="auto" w:fill="auto"/>
            <w:tcMar>
              <w:left w:w="0" w:type="dxa"/>
            </w:tcMar>
          </w:tcPr>
          <w:p w14:paraId="5928F6C4" w14:textId="77777777" w:rsidR="00E41131" w:rsidRDefault="00E41131" w:rsidP="002036E6">
            <w:pPr>
              <w:pStyle w:val="Marginlie"/>
              <w:rPr>
                <w:spacing w:val="0"/>
              </w:rPr>
            </w:pPr>
            <w:r>
              <w:rPr>
                <w:spacing w:val="0"/>
              </w:rPr>
              <w:t>Pokračoval silný růst cen rekreací a kultury.</w:t>
            </w:r>
          </w:p>
        </w:tc>
        <w:tc>
          <w:tcPr>
            <w:tcW w:w="224" w:type="dxa"/>
            <w:shd w:val="clear" w:color="auto" w:fill="auto"/>
            <w:tcMar>
              <w:left w:w="0" w:type="dxa"/>
            </w:tcMar>
          </w:tcPr>
          <w:p w14:paraId="138F9792" w14:textId="77777777" w:rsidR="00E41131" w:rsidRPr="00793D78" w:rsidRDefault="00E41131" w:rsidP="002036E6">
            <w:pPr>
              <w:pStyle w:val="Textpoznpodarou1"/>
              <w:jc w:val="both"/>
            </w:pPr>
          </w:p>
        </w:tc>
        <w:tc>
          <w:tcPr>
            <w:tcW w:w="7610" w:type="dxa"/>
            <w:shd w:val="clear" w:color="auto" w:fill="auto"/>
            <w:tcMar>
              <w:left w:w="0" w:type="dxa"/>
            </w:tcMar>
          </w:tcPr>
          <w:p w14:paraId="06B671C4" w14:textId="3F785377" w:rsidR="00E41131" w:rsidRDefault="00E41131" w:rsidP="002036E6">
            <w:r>
              <w:t>Ceny rekreací a kultury byly vyšší o 12,6 %. Růst byl poháněn zejména zdražováním předmětů pro rekreaci a volný čas včetně zahradnic</w:t>
            </w:r>
            <w:r w:rsidR="00B674C7">
              <w:t>tví</w:t>
            </w:r>
            <w:r>
              <w:t xml:space="preserve"> a domácích zvířat (18,2 %) a dovolených s komplexními službami (15,3 %). Mezičtvrtletně byly ceny rekreací a kultury vyšší o 7,1 %. Pokračoval silný růst cen bytového vybavení, zařízení domácnosti a oprav (13,7 %) a odívání a obuvi (19,0 %). Obě položky navzdory relativně nižší váze ve spotřebním koši tak netypicky silně působily ve směru růstu spotřebitelských cen. Mezičtvrtletně přitom ceny bytového vybavení, zařízení a oprav rostly o 3,9 % a růst tedy mírně zrychlil, zatímco v případě odívání a obuvi přírůstek zpomalil na 1,9 %. U ostatního zboží a služeb</w:t>
            </w:r>
            <w:r>
              <w:rPr>
                <w:rStyle w:val="Znakapoznpodarou"/>
              </w:rPr>
              <w:footnoteReference w:id="54"/>
            </w:r>
            <w:r>
              <w:t xml:space="preserve"> meziroční růst cen zrychlil na 11,4 % a mezičtvrtletně se zvýšily o 2,8 %. Ceny alkoholických nápojů a tabáku meziročně vzrostly o 6,3 % a mezikvartálně o 1,3 %.   </w:t>
            </w:r>
          </w:p>
        </w:tc>
      </w:tr>
      <w:tr w:rsidR="00E41131" w:rsidRPr="009110F7" w14:paraId="59DFB937" w14:textId="77777777" w:rsidTr="002036E6">
        <w:trPr>
          <w:trHeight w:val="145"/>
        </w:trPr>
        <w:tc>
          <w:tcPr>
            <w:tcW w:w="1805" w:type="dxa"/>
            <w:shd w:val="clear" w:color="auto" w:fill="auto"/>
            <w:tcMar>
              <w:left w:w="0" w:type="dxa"/>
            </w:tcMar>
          </w:tcPr>
          <w:p w14:paraId="7F22F83B" w14:textId="77777777" w:rsidR="00E41131" w:rsidRDefault="00E41131" w:rsidP="002036E6">
            <w:pPr>
              <w:pStyle w:val="Marginlie"/>
              <w:rPr>
                <w:spacing w:val="0"/>
              </w:rPr>
            </w:pPr>
            <w:r>
              <w:rPr>
                <w:spacing w:val="0"/>
              </w:rPr>
              <w:t>Meziroční růst spotřebitelských cen v EU zrychlil.</w:t>
            </w:r>
          </w:p>
        </w:tc>
        <w:tc>
          <w:tcPr>
            <w:tcW w:w="224" w:type="dxa"/>
            <w:shd w:val="clear" w:color="auto" w:fill="auto"/>
            <w:tcMar>
              <w:left w:w="0" w:type="dxa"/>
            </w:tcMar>
          </w:tcPr>
          <w:p w14:paraId="7B99EF42" w14:textId="77777777" w:rsidR="00E41131" w:rsidRPr="00793D78" w:rsidRDefault="00E41131" w:rsidP="002036E6">
            <w:pPr>
              <w:pStyle w:val="Textpoznpodarou1"/>
              <w:jc w:val="both"/>
            </w:pPr>
          </w:p>
        </w:tc>
        <w:tc>
          <w:tcPr>
            <w:tcW w:w="7610" w:type="dxa"/>
            <w:shd w:val="clear" w:color="auto" w:fill="auto"/>
            <w:tcMar>
              <w:left w:w="0" w:type="dxa"/>
            </w:tcMar>
          </w:tcPr>
          <w:p w14:paraId="5B7CB2AF" w14:textId="77777777" w:rsidR="00E41131" w:rsidRDefault="00E41131" w:rsidP="002036E6">
            <w:pPr>
              <w:spacing w:after="0"/>
            </w:pPr>
            <w:r>
              <w:t>Harmonizovaný index spotřebitelských cen (HICP)</w:t>
            </w:r>
            <w:r>
              <w:rPr>
                <w:rStyle w:val="Znakapoznpodarou"/>
              </w:rPr>
              <w:footnoteReference w:id="55"/>
            </w:r>
            <w:r>
              <w:t xml:space="preserve"> v EU ve 3. čtvrtletí meziročně vzrostl o 10,3 %. Meziroční dynamika spotřebitelských cen tak dál sílila (v 1. a 2. čtvrtletí přírůstek dosáhl 6,5 % a 8,8 %). Za posílením stály hlavně ceny potravin a nealkoholických nápojů a dále bydlení a energie. Mezičtvrtletně se HICP v EU celkově zvýšil o 2,0 %. Meziročně spotřebitelské ceny ve 3. čtvrtletí rostly ve všech zemích Unie a s výjimkou Lucemburska také přírůstky všude posílily. Přes úroveň 10 % se dostala dynamika v šestnácti zemích EU. Nejvíce se index zvýšil v Estonsku (24,1 %), Lotyšsku (21,6 %) a Litvě (21,5 %), kde se do něj propisují prudce rostoucí ceny energií a paliv, ve 3. čtvrtletí zde ale zrychloval i růst cen potravin. Česko mělo z pohledu HICP pátý nejvyšší meziroční růst cen (17,4 %) po Maďarsku (18,0 %). Naopak nejnižší přírůstky zaznamenaly Francie (6,5 %), Malta (7,1 %) a Finsko (8,1 %).    </w:t>
            </w:r>
          </w:p>
        </w:tc>
      </w:tr>
      <w:tr w:rsidR="00E41131" w:rsidRPr="009110F7" w14:paraId="64475B71" w14:textId="77777777" w:rsidTr="002036E6">
        <w:trPr>
          <w:trHeight w:val="145"/>
        </w:trPr>
        <w:tc>
          <w:tcPr>
            <w:tcW w:w="1805" w:type="dxa"/>
            <w:shd w:val="clear" w:color="auto" w:fill="auto"/>
            <w:tcMar>
              <w:left w:w="0" w:type="dxa"/>
            </w:tcMar>
          </w:tcPr>
          <w:p w14:paraId="76D1646B" w14:textId="77777777" w:rsidR="00E41131" w:rsidRDefault="00E41131" w:rsidP="002036E6">
            <w:pPr>
              <w:pStyle w:val="Marginlie"/>
              <w:rPr>
                <w:spacing w:val="0"/>
              </w:rPr>
            </w:pPr>
            <w:r>
              <w:rPr>
                <w:spacing w:val="0"/>
              </w:rPr>
              <w:lastRenderedPageBreak/>
              <w:t>Meziroční tempo nabídkových</w:t>
            </w:r>
            <w:r>
              <w:rPr>
                <w:spacing w:val="0"/>
              </w:rPr>
              <w:br/>
              <w:t xml:space="preserve"> i realizovaných cen bytů zpomalilo.</w:t>
            </w:r>
          </w:p>
        </w:tc>
        <w:tc>
          <w:tcPr>
            <w:tcW w:w="224" w:type="dxa"/>
            <w:shd w:val="clear" w:color="auto" w:fill="auto"/>
            <w:tcMar>
              <w:left w:w="0" w:type="dxa"/>
            </w:tcMar>
          </w:tcPr>
          <w:p w14:paraId="5A065D39" w14:textId="77777777" w:rsidR="00E41131" w:rsidRPr="00793D78" w:rsidRDefault="00E41131" w:rsidP="002036E6">
            <w:pPr>
              <w:pStyle w:val="Textpoznpodarou1"/>
              <w:jc w:val="both"/>
            </w:pPr>
          </w:p>
        </w:tc>
        <w:tc>
          <w:tcPr>
            <w:tcW w:w="7610" w:type="dxa"/>
            <w:shd w:val="clear" w:color="auto" w:fill="auto"/>
            <w:tcMar>
              <w:left w:w="0" w:type="dxa"/>
            </w:tcMar>
          </w:tcPr>
          <w:p w14:paraId="41333364" w14:textId="77777777" w:rsidR="00E41131" w:rsidRDefault="00E41131" w:rsidP="002036E6">
            <w:r>
              <w:t xml:space="preserve">Meziroční přírůstek nabídkových cen bytů v Česku ve 3. čtvrtletí dosáhl 22,9 % a poprvé od 4. čtvrtletí 2020 tempo zpomalilo. Zvolnění se přitom týkalo cen bytů v Praze (18,5 %) i v ČR bez Prahy (28,1 %). Prudce zpomalil mezičtvrtletní růst indexu nabídkových cen bytů. Ten dosáhl 2,4 % za celou ČR (8,7 % ve 2. čtvrtletí) </w:t>
            </w:r>
            <w:r>
              <w:br/>
              <w:t xml:space="preserve">a 1,9 % za Prahu (8,0 % ve 2. čtvrtletí). Realizované ceny starších bytů v ČR se ve </w:t>
            </w:r>
            <w:r>
              <w:br/>
              <w:t xml:space="preserve">3. čtvrtletí meziročně zvýšily o 23,4 %, což také představuje výrazné zpomalení, první od 2. čtvrtletí 2020. U realizovaných cen starších bytů v Praze je zvolnění dynamiky patrné již od přelomu let 2021 a 2022. Ve 3. čtvrtletí se zde realizované ceny starších bytů meziročně zvýšily o 15,7 %, což je nejméně od 1. kvartálu 2021. Mezičtvrtletně se realizované ceny starších bytů v ČR zvýšily o 2,8 %, nejméně od 2. čtvrtletí 2020. Realizované ceny nových bytů v Praze byly meziročně vyšší o 13,7 %, což je výrazně méně než v předchozích čtyřech kvartálech. Zároveň index mezičtvrtletně klesl o 1,0 %, poprvé od 4. čtvrtletí 2017.     </w:t>
            </w:r>
          </w:p>
        </w:tc>
      </w:tr>
      <w:tr w:rsidR="00E41131" w:rsidRPr="009110F7" w14:paraId="5F805251" w14:textId="77777777" w:rsidTr="002036E6">
        <w:trPr>
          <w:trHeight w:val="170"/>
        </w:trPr>
        <w:tc>
          <w:tcPr>
            <w:tcW w:w="1805" w:type="dxa"/>
            <w:vMerge w:val="restart"/>
            <w:shd w:val="clear" w:color="auto" w:fill="auto"/>
            <w:tcMar>
              <w:left w:w="0" w:type="dxa"/>
            </w:tcMar>
          </w:tcPr>
          <w:p w14:paraId="208BEF45" w14:textId="77777777" w:rsidR="00E41131" w:rsidRDefault="00E41131" w:rsidP="002036E6">
            <w:pPr>
              <w:pStyle w:val="Marginlie"/>
              <w:rPr>
                <w:spacing w:val="0"/>
              </w:rPr>
            </w:pPr>
          </w:p>
        </w:tc>
        <w:tc>
          <w:tcPr>
            <w:tcW w:w="224" w:type="dxa"/>
            <w:vMerge w:val="restart"/>
            <w:shd w:val="clear" w:color="auto" w:fill="auto"/>
            <w:tcMar>
              <w:left w:w="0" w:type="dxa"/>
            </w:tcMar>
          </w:tcPr>
          <w:p w14:paraId="3366EF27" w14:textId="77777777" w:rsidR="00E41131" w:rsidRPr="00793D78" w:rsidRDefault="00E41131" w:rsidP="002036E6">
            <w:pPr>
              <w:pStyle w:val="Textpoznpodarou1"/>
              <w:jc w:val="both"/>
            </w:pPr>
          </w:p>
        </w:tc>
        <w:tc>
          <w:tcPr>
            <w:tcW w:w="7610" w:type="dxa"/>
            <w:shd w:val="clear" w:color="auto" w:fill="auto"/>
            <w:tcMar>
              <w:left w:w="0" w:type="dxa"/>
            </w:tcMar>
          </w:tcPr>
          <w:p w14:paraId="0EF170C8" w14:textId="77777777" w:rsidR="00E41131" w:rsidRDefault="00E41131" w:rsidP="002036E6">
            <w:pPr>
              <w:spacing w:after="0"/>
            </w:pPr>
            <w:r>
              <w:rPr>
                <w:b/>
                <w:sz w:val="18"/>
                <w:szCs w:val="18"/>
                <w:lang w:eastAsia="en-US"/>
              </w:rPr>
              <w:t>Graf č. 11</w:t>
            </w:r>
            <w:r w:rsidRPr="00793D78">
              <w:rPr>
                <w:b/>
                <w:sz w:val="18"/>
                <w:szCs w:val="18"/>
                <w:lang w:eastAsia="en-US"/>
              </w:rPr>
              <w:t xml:space="preserve"> Ceny nemovitostí </w:t>
            </w:r>
            <w:r w:rsidRPr="009067EA">
              <w:rPr>
                <w:sz w:val="18"/>
                <w:szCs w:val="18"/>
                <w:lang w:eastAsia="en-US"/>
              </w:rPr>
              <w:t>(meziroční změna, v %)</w:t>
            </w:r>
          </w:p>
        </w:tc>
      </w:tr>
      <w:tr w:rsidR="00E41131" w:rsidRPr="009110F7" w14:paraId="1E22FF1F" w14:textId="77777777" w:rsidTr="002036E6">
        <w:tblPrEx>
          <w:tblCellMar>
            <w:left w:w="70" w:type="dxa"/>
            <w:right w:w="70" w:type="dxa"/>
          </w:tblCellMar>
        </w:tblPrEx>
        <w:trPr>
          <w:trHeight w:val="170"/>
        </w:trPr>
        <w:tc>
          <w:tcPr>
            <w:tcW w:w="1805" w:type="dxa"/>
            <w:vMerge/>
            <w:shd w:val="clear" w:color="auto" w:fill="auto"/>
          </w:tcPr>
          <w:p w14:paraId="58E2C6F7" w14:textId="77777777" w:rsidR="00E41131" w:rsidRDefault="00E41131" w:rsidP="002036E6">
            <w:pPr>
              <w:pStyle w:val="Marginlie"/>
              <w:rPr>
                <w:spacing w:val="0"/>
              </w:rPr>
            </w:pPr>
          </w:p>
        </w:tc>
        <w:tc>
          <w:tcPr>
            <w:tcW w:w="224" w:type="dxa"/>
            <w:vMerge/>
            <w:shd w:val="clear" w:color="auto" w:fill="auto"/>
          </w:tcPr>
          <w:p w14:paraId="0EF7CDE5" w14:textId="77777777" w:rsidR="00E41131" w:rsidRPr="00793D78" w:rsidRDefault="00E41131" w:rsidP="002036E6">
            <w:pPr>
              <w:pStyle w:val="Textpoznpodarou1"/>
              <w:jc w:val="both"/>
            </w:pPr>
          </w:p>
        </w:tc>
        <w:tc>
          <w:tcPr>
            <w:tcW w:w="7610" w:type="dxa"/>
            <w:shd w:val="clear" w:color="auto" w:fill="auto"/>
          </w:tcPr>
          <w:p w14:paraId="53A28DB3" w14:textId="77777777" w:rsidR="00E41131" w:rsidRDefault="00E41131" w:rsidP="002036E6">
            <w:pPr>
              <w:spacing w:after="0"/>
            </w:pPr>
            <w:r>
              <w:rPr>
                <w:noProof/>
              </w:rPr>
              <w:drawing>
                <wp:inline distT="0" distB="0" distL="0" distR="0" wp14:anchorId="2AAA77DB" wp14:editId="68C4D16A">
                  <wp:extent cx="4737600" cy="3553200"/>
                  <wp:effectExtent l="0" t="0" r="6350" b="0"/>
                  <wp:docPr id="25" name="Graf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E41131" w:rsidRPr="009110F7" w14:paraId="79C9CE4A" w14:textId="77777777" w:rsidTr="002036E6">
        <w:trPr>
          <w:trHeight w:val="170"/>
        </w:trPr>
        <w:tc>
          <w:tcPr>
            <w:tcW w:w="1805" w:type="dxa"/>
            <w:vMerge/>
            <w:shd w:val="clear" w:color="auto" w:fill="auto"/>
            <w:tcMar>
              <w:left w:w="0" w:type="dxa"/>
            </w:tcMar>
          </w:tcPr>
          <w:p w14:paraId="3FA1FBBD" w14:textId="77777777" w:rsidR="00E41131" w:rsidRDefault="00E41131" w:rsidP="002036E6">
            <w:pPr>
              <w:pStyle w:val="Marginlie"/>
              <w:rPr>
                <w:spacing w:val="0"/>
              </w:rPr>
            </w:pPr>
          </w:p>
        </w:tc>
        <w:tc>
          <w:tcPr>
            <w:tcW w:w="224" w:type="dxa"/>
            <w:vMerge/>
            <w:shd w:val="clear" w:color="auto" w:fill="auto"/>
            <w:tcMar>
              <w:left w:w="0" w:type="dxa"/>
            </w:tcMar>
          </w:tcPr>
          <w:p w14:paraId="44435355" w14:textId="77777777" w:rsidR="00E41131" w:rsidRPr="00793D78" w:rsidRDefault="00E41131" w:rsidP="002036E6">
            <w:pPr>
              <w:pStyle w:val="Textpoznpodarou1"/>
              <w:jc w:val="both"/>
            </w:pPr>
          </w:p>
        </w:tc>
        <w:tc>
          <w:tcPr>
            <w:tcW w:w="7610" w:type="dxa"/>
            <w:shd w:val="clear" w:color="auto" w:fill="auto"/>
            <w:tcMar>
              <w:left w:w="0" w:type="dxa"/>
            </w:tcMar>
          </w:tcPr>
          <w:p w14:paraId="65E0BD44" w14:textId="77777777" w:rsidR="00E41131" w:rsidRDefault="00E41131" w:rsidP="002036E6">
            <w:r w:rsidRPr="00793D78">
              <w:rPr>
                <w:sz w:val="14"/>
                <w:szCs w:val="14"/>
              </w:rPr>
              <w:t>Zdroj: ČSÚ</w:t>
            </w:r>
          </w:p>
        </w:tc>
      </w:tr>
      <w:tr w:rsidR="00E41131" w:rsidRPr="009110F7" w14:paraId="20AF90CD" w14:textId="77777777" w:rsidTr="002036E6">
        <w:trPr>
          <w:trHeight w:val="145"/>
        </w:trPr>
        <w:tc>
          <w:tcPr>
            <w:tcW w:w="1805" w:type="dxa"/>
            <w:shd w:val="clear" w:color="auto" w:fill="auto"/>
            <w:tcMar>
              <w:left w:w="0" w:type="dxa"/>
            </w:tcMar>
          </w:tcPr>
          <w:p w14:paraId="4DFBDF00" w14:textId="77777777" w:rsidR="00E41131" w:rsidRDefault="00E41131" w:rsidP="002036E6">
            <w:pPr>
              <w:pStyle w:val="Marginlie"/>
              <w:rPr>
                <w:spacing w:val="0"/>
              </w:rPr>
            </w:pPr>
            <w:r>
              <w:rPr>
                <w:spacing w:val="0"/>
              </w:rPr>
              <w:t>Meziroční přírůstek cen průmyslových výrobců mírně zpomalil.</w:t>
            </w:r>
          </w:p>
        </w:tc>
        <w:tc>
          <w:tcPr>
            <w:tcW w:w="224" w:type="dxa"/>
            <w:shd w:val="clear" w:color="auto" w:fill="auto"/>
            <w:tcMar>
              <w:left w:w="0" w:type="dxa"/>
            </w:tcMar>
          </w:tcPr>
          <w:p w14:paraId="52A6CF0D" w14:textId="77777777" w:rsidR="00E41131" w:rsidRPr="00793D78" w:rsidRDefault="00E41131" w:rsidP="002036E6">
            <w:pPr>
              <w:pStyle w:val="Textpoznpodarou1"/>
              <w:jc w:val="both"/>
            </w:pPr>
          </w:p>
        </w:tc>
        <w:tc>
          <w:tcPr>
            <w:tcW w:w="7610" w:type="dxa"/>
            <w:shd w:val="clear" w:color="auto" w:fill="auto"/>
            <w:tcMar>
              <w:left w:w="0" w:type="dxa"/>
            </w:tcMar>
          </w:tcPr>
          <w:p w14:paraId="64620D92" w14:textId="77777777" w:rsidR="00E41131" w:rsidRDefault="00E41131" w:rsidP="002036E6">
            <w:r>
              <w:t xml:space="preserve">Meziroční růst cen průmyslových výrobců ve 3. čtvrtletí 2022 mírně zpomalil na 25,9 %. Důvodem byl hlavně částečný útlum meziroční dynamiky cen ropy a dalších surovin. Na tom měla podíl i vysoká srovnávací základna loňského léta, kdy cenový růst začal výrazně zrychlovat. Mezičtvrtletně byly ceny průmyslových výrobců vyšší </w:t>
            </w:r>
            <w:r>
              <w:br/>
              <w:t>o 2,1 %. Největší vliv na celkový vývoj měly ceny výrobků a služeb zpracovatelského průmyslu. Jejich meziroční přírůstek ve 3. čtvrtletí zmírnil na 20,5 % (z předchozích 24,2 %). Růst cen koksu a rafinovaných ropných výrobků navzdory oslabení nadále nejvíce přispíval</w:t>
            </w:r>
            <w:r>
              <w:rPr>
                <w:rStyle w:val="Znakapoznpodarou"/>
              </w:rPr>
              <w:footnoteReference w:id="56"/>
            </w:r>
            <w:r>
              <w:t xml:space="preserve"> k navýšení. Posílil významný vliv meziročního přírůstku cen potravinářských výrobků, nápojů a tabáku (22,9 %). Ve směru navýšení cen průmyslových výrobců velmi významně působily ceny obecných kovů a kovodělných výrobků (růst přitom oslabil na 18,8 %), pryžových a plastových výrobků, </w:t>
            </w:r>
            <w:r w:rsidRPr="00BB2FF4">
              <w:t>ostatních nekovových minerálních výrobků</w:t>
            </w:r>
            <w:r>
              <w:t xml:space="preserve"> (posílení na 22,2 %) a chemických látek a výrobků (zpomalení na 39,1 %). Výrazně se zmírnil meziroční růst cen dřeva, papíru a tisku (19,9 %). K </w:t>
            </w:r>
            <w:proofErr w:type="spellStart"/>
            <w:r>
              <w:t>subsekcím</w:t>
            </w:r>
            <w:proofErr w:type="spellEnd"/>
            <w:r>
              <w:t xml:space="preserve">, které měly významnější vliv na cenový růst, patřily stroje a </w:t>
            </w:r>
            <w:r>
              <w:lastRenderedPageBreak/>
              <w:t>zařízení jinde neuvedené (12,7 %) a nábytek a ostatní výrobky zpracovatelského průmyslu (9,4 %), které si držely silnou úroveň meziroční dynamiky, a pak váhově významné dopravní prostředky, u nichž navýšení posílilo na 2,9 %. Ceny textilu, oděvů a usní se ve 3. čtvrtletí zvýšily o 14,0 %, počítačů, elektronických a optických přístrojů o 8,5 %, základních farmaceutických výrobků o 6,4 % a elektrických zařízení o 5,5 %. Mezičtvrtletně byly ceny ve zpracovatelském průmyslu vyšší o 1,2 %.</w:t>
            </w:r>
          </w:p>
        </w:tc>
      </w:tr>
      <w:tr w:rsidR="00E41131" w:rsidRPr="009110F7" w14:paraId="6A562CD2" w14:textId="77777777" w:rsidTr="002036E6">
        <w:trPr>
          <w:trHeight w:val="145"/>
        </w:trPr>
        <w:tc>
          <w:tcPr>
            <w:tcW w:w="1805" w:type="dxa"/>
            <w:shd w:val="clear" w:color="auto" w:fill="auto"/>
            <w:tcMar>
              <w:left w:w="0" w:type="dxa"/>
            </w:tcMar>
          </w:tcPr>
          <w:p w14:paraId="0A52DE7E" w14:textId="77777777" w:rsidR="00E41131" w:rsidRDefault="00E41131" w:rsidP="002036E6">
            <w:pPr>
              <w:pStyle w:val="Marginlie"/>
              <w:rPr>
                <w:spacing w:val="0"/>
              </w:rPr>
            </w:pPr>
            <w:r>
              <w:rPr>
                <w:spacing w:val="0"/>
              </w:rPr>
              <w:lastRenderedPageBreak/>
              <w:t>Nadále akceleroval meziroční růst cen elektřiny.</w:t>
            </w:r>
          </w:p>
        </w:tc>
        <w:tc>
          <w:tcPr>
            <w:tcW w:w="224" w:type="dxa"/>
            <w:shd w:val="clear" w:color="auto" w:fill="auto"/>
            <w:tcMar>
              <w:left w:w="0" w:type="dxa"/>
            </w:tcMar>
          </w:tcPr>
          <w:p w14:paraId="282E4F55" w14:textId="77777777" w:rsidR="00E41131" w:rsidRPr="00793D78" w:rsidRDefault="00E41131" w:rsidP="002036E6">
            <w:pPr>
              <w:pStyle w:val="Textpoznpodarou1"/>
              <w:jc w:val="both"/>
            </w:pPr>
          </w:p>
        </w:tc>
        <w:tc>
          <w:tcPr>
            <w:tcW w:w="7610" w:type="dxa"/>
            <w:shd w:val="clear" w:color="auto" w:fill="auto"/>
            <w:tcMar>
              <w:left w:w="0" w:type="dxa"/>
            </w:tcMar>
          </w:tcPr>
          <w:p w14:paraId="13A63544" w14:textId="77777777" w:rsidR="00E41131" w:rsidRDefault="00E41131" w:rsidP="002036E6">
            <w:r>
              <w:t xml:space="preserve">Meziroční růst cen elektřiny, plynu, páry a klimatizovaného vzduchu ve 3. čtvrtletí posílil na 56,0 %. Vyšší byl také jejich mezičtvrtletní přírůstek (6,7 %), i když nedosáhl tak vysoké úrovně jako na začátku roku (38,8 % v 1. čtvrtletí). Ceny těžby a dobývání byly meziročně vyšší o 30,2 %, což představuje mírné zpomalení tempa. Také zde se v tomto ohledu projevil vliv zmírnění růstu cen ropy. Mezičtvrtletně ceny těžby a dobývání rostly o 0,7 %. Zásobování vodou a služby související s odpadními vodami zdražily meziročně o 5,3 %. </w:t>
            </w:r>
          </w:p>
        </w:tc>
      </w:tr>
      <w:tr w:rsidR="00E41131" w:rsidRPr="009110F7" w14:paraId="4A73FAE4" w14:textId="77777777" w:rsidTr="002036E6">
        <w:trPr>
          <w:trHeight w:val="145"/>
        </w:trPr>
        <w:tc>
          <w:tcPr>
            <w:tcW w:w="1805" w:type="dxa"/>
            <w:shd w:val="clear" w:color="auto" w:fill="auto"/>
            <w:tcMar>
              <w:left w:w="0" w:type="dxa"/>
            </w:tcMar>
          </w:tcPr>
          <w:p w14:paraId="07025A32" w14:textId="77777777" w:rsidR="00E41131" w:rsidRDefault="00E41131" w:rsidP="002036E6">
            <w:pPr>
              <w:pStyle w:val="Marginlie"/>
              <w:rPr>
                <w:spacing w:val="0"/>
              </w:rPr>
            </w:pPr>
            <w:r>
              <w:rPr>
                <w:spacing w:val="0"/>
              </w:rPr>
              <w:t>Ceny průmyslových výrobců v EU.</w:t>
            </w:r>
          </w:p>
        </w:tc>
        <w:tc>
          <w:tcPr>
            <w:tcW w:w="224" w:type="dxa"/>
            <w:shd w:val="clear" w:color="auto" w:fill="auto"/>
            <w:tcMar>
              <w:left w:w="0" w:type="dxa"/>
            </w:tcMar>
          </w:tcPr>
          <w:p w14:paraId="004AE4D8" w14:textId="77777777" w:rsidR="00E41131" w:rsidRPr="00793D78" w:rsidRDefault="00E41131" w:rsidP="002036E6">
            <w:pPr>
              <w:pStyle w:val="Textpoznpodarou1"/>
              <w:jc w:val="both"/>
            </w:pPr>
          </w:p>
        </w:tc>
        <w:tc>
          <w:tcPr>
            <w:tcW w:w="7610" w:type="dxa"/>
            <w:shd w:val="clear" w:color="auto" w:fill="auto"/>
            <w:tcMar>
              <w:left w:w="0" w:type="dxa"/>
            </w:tcMar>
          </w:tcPr>
          <w:p w14:paraId="5439DA2E" w14:textId="77777777" w:rsidR="00E41131" w:rsidRDefault="00E41131" w:rsidP="002036E6">
            <w:r>
              <w:t>Meziroční přírůstek cen průmyslových výrobců v EU</w:t>
            </w:r>
            <w:r>
              <w:rPr>
                <w:rStyle w:val="Znakapoznpodarou"/>
              </w:rPr>
              <w:footnoteReference w:id="57"/>
            </w:r>
            <w:r>
              <w:t xml:space="preserve"> zrychlil ve 3. čtvrtletí na 40,9 %. Růst cen byl poháněn zejména vývojem u surovin a energií. Ve 3. čtvrtletí tak posílil v EU meziroční přírůstek cen těžby a dobývání (95,4 %) i elektřiny, plynu, páry a klimatizovaného vzduchu (124,3 %). Naopak u cen ve zpracovatelském průmyslu došlo ke zvolnění meziročního růstu na 18,6 %. Nejvíce se meziročně zvyšovaly ceny průmyslových výrobců v Bulharsku (67,7 %), Rumunsku (67,1 %) a v Maďarsku (63,0 %). Naopak nejnižší přírůstky cen byly zaznamenány na Maltě (9,4 %), ve Švédsku (21,2 %) a v Portugalsku (21,2 %). Oproti 2. čtvrtletí se ceny průmyslových výrobců zvýšily o 9,0 %. Přitom ceny těžby a dobývání byly vyšší o 22,0 % a elektřiny, plynu, páry a klimatizovaného vzduchu o 29,6 %. Od 4. kvartálu 2020 byl nejslabší mezičtvrtletní přírůstek cen ve zpracovatelském průmyslu (1,2 %).</w:t>
            </w:r>
          </w:p>
        </w:tc>
      </w:tr>
      <w:tr w:rsidR="00E41131" w:rsidRPr="009110F7" w14:paraId="2AD4ACAA" w14:textId="77777777" w:rsidTr="002036E6">
        <w:trPr>
          <w:trHeight w:val="170"/>
        </w:trPr>
        <w:tc>
          <w:tcPr>
            <w:tcW w:w="1805" w:type="dxa"/>
            <w:vMerge w:val="restart"/>
            <w:shd w:val="clear" w:color="auto" w:fill="auto"/>
            <w:tcMar>
              <w:left w:w="0" w:type="dxa"/>
            </w:tcMar>
          </w:tcPr>
          <w:p w14:paraId="5E6CDF6F" w14:textId="77777777" w:rsidR="00E41131" w:rsidRDefault="00E41131" w:rsidP="002036E6">
            <w:pPr>
              <w:pStyle w:val="Marginlie"/>
              <w:rPr>
                <w:spacing w:val="0"/>
              </w:rPr>
            </w:pPr>
          </w:p>
        </w:tc>
        <w:tc>
          <w:tcPr>
            <w:tcW w:w="224" w:type="dxa"/>
            <w:vMerge w:val="restart"/>
            <w:shd w:val="clear" w:color="auto" w:fill="auto"/>
            <w:tcMar>
              <w:left w:w="0" w:type="dxa"/>
            </w:tcMar>
          </w:tcPr>
          <w:p w14:paraId="11C480AA" w14:textId="77777777" w:rsidR="00E41131" w:rsidRPr="00793D78" w:rsidRDefault="00E41131" w:rsidP="002036E6">
            <w:pPr>
              <w:pStyle w:val="Textpoznpodarou1"/>
              <w:jc w:val="both"/>
              <w:rPr>
                <w:highlight w:val="yellow"/>
              </w:rPr>
            </w:pPr>
          </w:p>
        </w:tc>
        <w:tc>
          <w:tcPr>
            <w:tcW w:w="7610" w:type="dxa"/>
            <w:shd w:val="clear" w:color="auto" w:fill="auto"/>
            <w:tcMar>
              <w:left w:w="0" w:type="dxa"/>
            </w:tcMar>
          </w:tcPr>
          <w:p w14:paraId="3A88BD58" w14:textId="77777777" w:rsidR="00E41131" w:rsidRPr="00D75AC1" w:rsidRDefault="00E41131" w:rsidP="002036E6">
            <w:pPr>
              <w:spacing w:after="0"/>
              <w:rPr>
                <w:b/>
                <w:szCs w:val="20"/>
              </w:rPr>
            </w:pPr>
            <w:r>
              <w:rPr>
                <w:b/>
                <w:sz w:val="18"/>
                <w:szCs w:val="18"/>
              </w:rPr>
              <w:t>Graf č. 12</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E41131" w:rsidRPr="009110F7" w14:paraId="35C69670" w14:textId="77777777" w:rsidTr="002036E6">
        <w:tblPrEx>
          <w:tblCellMar>
            <w:left w:w="70" w:type="dxa"/>
            <w:right w:w="70" w:type="dxa"/>
          </w:tblCellMar>
        </w:tblPrEx>
        <w:trPr>
          <w:trHeight w:val="170"/>
        </w:trPr>
        <w:tc>
          <w:tcPr>
            <w:tcW w:w="1805" w:type="dxa"/>
            <w:vMerge/>
            <w:shd w:val="clear" w:color="auto" w:fill="auto"/>
          </w:tcPr>
          <w:p w14:paraId="3BF0CB7A" w14:textId="77777777" w:rsidR="00E41131" w:rsidRPr="00793D78" w:rsidRDefault="00E41131" w:rsidP="002036E6">
            <w:pPr>
              <w:pStyle w:val="Marginlie"/>
              <w:rPr>
                <w:spacing w:val="0"/>
              </w:rPr>
            </w:pPr>
          </w:p>
        </w:tc>
        <w:tc>
          <w:tcPr>
            <w:tcW w:w="224" w:type="dxa"/>
            <w:vMerge/>
            <w:shd w:val="clear" w:color="auto" w:fill="auto"/>
          </w:tcPr>
          <w:p w14:paraId="1FBAD95E" w14:textId="77777777" w:rsidR="00E41131" w:rsidRPr="00793D78" w:rsidRDefault="00E41131" w:rsidP="002036E6">
            <w:pPr>
              <w:pStyle w:val="Textpoznpodarou1"/>
              <w:jc w:val="both"/>
            </w:pPr>
          </w:p>
        </w:tc>
        <w:tc>
          <w:tcPr>
            <w:tcW w:w="7610" w:type="dxa"/>
            <w:shd w:val="clear" w:color="auto" w:fill="auto"/>
          </w:tcPr>
          <w:p w14:paraId="5E31C104" w14:textId="77777777" w:rsidR="00E41131" w:rsidRPr="00793D78" w:rsidRDefault="00E41131" w:rsidP="002036E6">
            <w:pPr>
              <w:spacing w:after="0"/>
            </w:pPr>
            <w:r>
              <w:rPr>
                <w:noProof/>
              </w:rPr>
              <w:drawing>
                <wp:inline distT="0" distB="0" distL="0" distR="0" wp14:anchorId="61A2CCF0" wp14:editId="3D9CEF93">
                  <wp:extent cx="4737600" cy="3553200"/>
                  <wp:effectExtent l="0" t="0" r="6350" b="0"/>
                  <wp:docPr id="29" name="Graf 29">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E41131" w:rsidRPr="009110F7" w14:paraId="41E34530" w14:textId="77777777" w:rsidTr="002036E6">
        <w:trPr>
          <w:trHeight w:val="170"/>
        </w:trPr>
        <w:tc>
          <w:tcPr>
            <w:tcW w:w="1805" w:type="dxa"/>
            <w:vMerge/>
            <w:shd w:val="clear" w:color="auto" w:fill="auto"/>
            <w:tcMar>
              <w:left w:w="0" w:type="dxa"/>
            </w:tcMar>
          </w:tcPr>
          <w:p w14:paraId="1E861451" w14:textId="77777777" w:rsidR="00E41131" w:rsidRPr="00793D78" w:rsidRDefault="00E41131" w:rsidP="002036E6">
            <w:pPr>
              <w:pStyle w:val="Marginlie"/>
              <w:rPr>
                <w:spacing w:val="0"/>
              </w:rPr>
            </w:pPr>
          </w:p>
        </w:tc>
        <w:tc>
          <w:tcPr>
            <w:tcW w:w="224" w:type="dxa"/>
            <w:vMerge/>
            <w:shd w:val="clear" w:color="auto" w:fill="auto"/>
            <w:tcMar>
              <w:left w:w="0" w:type="dxa"/>
            </w:tcMar>
          </w:tcPr>
          <w:p w14:paraId="18C621CC" w14:textId="77777777" w:rsidR="00E41131" w:rsidRPr="00793D78" w:rsidRDefault="00E41131" w:rsidP="002036E6">
            <w:pPr>
              <w:pStyle w:val="Textpoznpodarou1"/>
              <w:jc w:val="both"/>
            </w:pPr>
          </w:p>
        </w:tc>
        <w:tc>
          <w:tcPr>
            <w:tcW w:w="7610" w:type="dxa"/>
            <w:shd w:val="clear" w:color="auto" w:fill="auto"/>
            <w:tcMar>
              <w:left w:w="0" w:type="dxa"/>
            </w:tcMar>
          </w:tcPr>
          <w:p w14:paraId="040B55B2" w14:textId="77777777" w:rsidR="00E41131" w:rsidRPr="00793D78" w:rsidRDefault="00E41131" w:rsidP="002036E6">
            <w:r w:rsidRPr="00793D78">
              <w:rPr>
                <w:sz w:val="14"/>
                <w:szCs w:val="14"/>
              </w:rPr>
              <w:t>Zdroj: ČSÚ</w:t>
            </w:r>
          </w:p>
        </w:tc>
      </w:tr>
      <w:tr w:rsidR="00E41131" w:rsidRPr="009110F7" w14:paraId="567F6703" w14:textId="77777777" w:rsidTr="002036E6">
        <w:trPr>
          <w:trHeight w:val="145"/>
        </w:trPr>
        <w:tc>
          <w:tcPr>
            <w:tcW w:w="1805" w:type="dxa"/>
            <w:shd w:val="clear" w:color="auto" w:fill="auto"/>
            <w:tcMar>
              <w:left w:w="0" w:type="dxa"/>
            </w:tcMar>
          </w:tcPr>
          <w:p w14:paraId="46E20CC4" w14:textId="77777777" w:rsidR="00E41131" w:rsidRDefault="00E41131" w:rsidP="002036E6">
            <w:pPr>
              <w:pStyle w:val="Marginlie"/>
              <w:rPr>
                <w:spacing w:val="0"/>
              </w:rPr>
            </w:pPr>
            <w:r>
              <w:rPr>
                <w:spacing w:val="0"/>
              </w:rPr>
              <w:lastRenderedPageBreak/>
              <w:t>Zrychlování meziroční dynamiky cen stavebních prací se zastavilo.</w:t>
            </w:r>
          </w:p>
        </w:tc>
        <w:tc>
          <w:tcPr>
            <w:tcW w:w="224" w:type="dxa"/>
            <w:shd w:val="clear" w:color="auto" w:fill="auto"/>
            <w:tcMar>
              <w:left w:w="0" w:type="dxa"/>
            </w:tcMar>
          </w:tcPr>
          <w:p w14:paraId="69109C3C" w14:textId="77777777" w:rsidR="00E41131" w:rsidRPr="00793D78" w:rsidRDefault="00E41131" w:rsidP="002036E6">
            <w:pPr>
              <w:pStyle w:val="Textpoznpodarou1"/>
              <w:jc w:val="both"/>
            </w:pPr>
          </w:p>
        </w:tc>
        <w:tc>
          <w:tcPr>
            <w:tcW w:w="7610" w:type="dxa"/>
            <w:shd w:val="clear" w:color="auto" w:fill="auto"/>
            <w:tcMar>
              <w:left w:w="0" w:type="dxa"/>
            </w:tcMar>
          </w:tcPr>
          <w:p w14:paraId="3D468C41" w14:textId="77777777" w:rsidR="00E41131" w:rsidRPr="00793D78" w:rsidRDefault="00E41131" w:rsidP="002036E6">
            <w:r>
              <w:t>Ve 3. čtvrtletí došlo ke zpomalení meziročního růstu cen stavebních prací. Ty se podle odhadů meziročně zvýšily o 13,1 %. Ceny materiálů a výrobků spotřebovávaných ve stavebnictví vzrostly o</w:t>
            </w:r>
            <w:r>
              <w:rPr>
                <w:szCs w:val="20"/>
              </w:rPr>
              <w:t xml:space="preserve"> 19,6 %, což představovalo výrazné zvolnění tempa. Mezičtvrtletně se ceny stavebních prací podle odhadů zvýšily o 3,0 % a </w:t>
            </w:r>
            <w:r>
              <w:t xml:space="preserve">ceny materiálů a výrobků spotřebovávaných ve stavebnictví o 1,4 %. </w:t>
            </w:r>
          </w:p>
        </w:tc>
      </w:tr>
      <w:tr w:rsidR="00E41131" w:rsidRPr="009110F7" w14:paraId="420C7505" w14:textId="77777777" w:rsidTr="002036E6">
        <w:trPr>
          <w:trHeight w:val="145"/>
        </w:trPr>
        <w:tc>
          <w:tcPr>
            <w:tcW w:w="1805" w:type="dxa"/>
            <w:shd w:val="clear" w:color="auto" w:fill="auto"/>
            <w:tcMar>
              <w:left w:w="0" w:type="dxa"/>
            </w:tcMar>
          </w:tcPr>
          <w:p w14:paraId="709FD047" w14:textId="77777777" w:rsidR="00E41131" w:rsidRPr="00793D78" w:rsidRDefault="00E41131" w:rsidP="002036E6">
            <w:pPr>
              <w:pStyle w:val="Marginlie"/>
              <w:rPr>
                <w:spacing w:val="0"/>
              </w:rPr>
            </w:pPr>
            <w:r>
              <w:rPr>
                <w:spacing w:val="0"/>
              </w:rPr>
              <w:t>Posiloval růst cen tržních služeb.</w:t>
            </w:r>
          </w:p>
        </w:tc>
        <w:tc>
          <w:tcPr>
            <w:tcW w:w="224" w:type="dxa"/>
            <w:shd w:val="clear" w:color="auto" w:fill="auto"/>
            <w:tcMar>
              <w:left w:w="0" w:type="dxa"/>
            </w:tcMar>
          </w:tcPr>
          <w:p w14:paraId="3E062D1A" w14:textId="77777777" w:rsidR="00E41131" w:rsidRPr="00793D78" w:rsidRDefault="00E41131" w:rsidP="002036E6">
            <w:pPr>
              <w:pStyle w:val="Textpoznpodarou1"/>
              <w:jc w:val="both"/>
            </w:pPr>
          </w:p>
        </w:tc>
        <w:tc>
          <w:tcPr>
            <w:tcW w:w="7610" w:type="dxa"/>
            <w:shd w:val="clear" w:color="auto" w:fill="auto"/>
            <w:tcMar>
              <w:left w:w="0" w:type="dxa"/>
            </w:tcMar>
          </w:tcPr>
          <w:p w14:paraId="0DFD1B49" w14:textId="77777777" w:rsidR="00E41131" w:rsidRPr="00793D78" w:rsidRDefault="00E41131" w:rsidP="002036E6">
            <w:r>
              <w:t xml:space="preserve">Ceny tržních služeb se ve 3. čtvrtletí meziročně zvýšily o 6,5 %. Došlo tak k dalšímu zrychlení, pátému v řadě. Nejvíce k celkovému navýšení přispěly ceny reklamních služeb a průzkumu trhu, jejichž přírůstek se vyhoupl na 22,1 %. Posílil také růst cen váhově významné pozemní a potrubní dopravy (7,4 %) a velmi silně na celkový růst působily i ceny skladování a podpůrných služeb v dopravě (15,3 %). Významným přispěvatelem k růstu byl i vyšší meziroční přírůstek cen služeb v oblasti programování a souvisejícího poradenství (6,2 %), služeb v oblasti zaměstnání (17,6 %), dále ceny architektonických a inženýrských služeb a technických zkoušek a analýz (5,2 %), služeb v oblasti nemovitostí (3,0 %) a služeb v oblasti pronájmu a operativního leasingu (10,8 %). Drtivá většina </w:t>
            </w:r>
            <w:proofErr w:type="spellStart"/>
            <w:r>
              <w:t>subsekcí</w:t>
            </w:r>
            <w:proofErr w:type="spellEnd"/>
            <w:r>
              <w:t xml:space="preserve"> zaznamenala cenový růst a jedinou výjimkou byly telekomunikační služby, kde byly ceny meziročně nižší o 0,6 %.</w:t>
            </w:r>
          </w:p>
        </w:tc>
      </w:tr>
      <w:tr w:rsidR="00E41131" w:rsidRPr="009110F7" w14:paraId="091980D9" w14:textId="77777777" w:rsidTr="002036E6">
        <w:trPr>
          <w:trHeight w:val="145"/>
        </w:trPr>
        <w:tc>
          <w:tcPr>
            <w:tcW w:w="1805" w:type="dxa"/>
            <w:shd w:val="clear" w:color="auto" w:fill="auto"/>
            <w:tcMar>
              <w:left w:w="0" w:type="dxa"/>
            </w:tcMar>
          </w:tcPr>
          <w:p w14:paraId="72F20ED0" w14:textId="77777777" w:rsidR="00E41131" w:rsidRPr="00793D78" w:rsidRDefault="00E41131" w:rsidP="002036E6">
            <w:pPr>
              <w:pStyle w:val="Marginlie"/>
              <w:rPr>
                <w:spacing w:val="0"/>
              </w:rPr>
            </w:pPr>
            <w:r>
              <w:rPr>
                <w:spacing w:val="0"/>
              </w:rPr>
              <w:t>Meziroční růst cen rostlinné výroby mírně zpomalil, zatímco v živočišné výrobě pokračovalo zrychlování.</w:t>
            </w:r>
          </w:p>
        </w:tc>
        <w:tc>
          <w:tcPr>
            <w:tcW w:w="224" w:type="dxa"/>
            <w:shd w:val="clear" w:color="auto" w:fill="auto"/>
            <w:tcMar>
              <w:left w:w="0" w:type="dxa"/>
            </w:tcMar>
          </w:tcPr>
          <w:p w14:paraId="4B2F4523" w14:textId="77777777" w:rsidR="00E41131" w:rsidRPr="00793D78" w:rsidRDefault="00E41131" w:rsidP="002036E6">
            <w:pPr>
              <w:pStyle w:val="Textpoznpodarou1"/>
              <w:jc w:val="both"/>
            </w:pPr>
          </w:p>
        </w:tc>
        <w:tc>
          <w:tcPr>
            <w:tcW w:w="7610" w:type="dxa"/>
            <w:shd w:val="clear" w:color="auto" w:fill="auto"/>
            <w:tcMar>
              <w:left w:w="0" w:type="dxa"/>
            </w:tcMar>
          </w:tcPr>
          <w:p w14:paraId="6F7C280D" w14:textId="77777777" w:rsidR="00E41131" w:rsidRPr="00CB64E1" w:rsidRDefault="00E41131" w:rsidP="002036E6">
            <w:pPr>
              <w:rPr>
                <w:spacing w:val="-2"/>
              </w:rPr>
            </w:pPr>
            <w:r>
              <w:rPr>
                <w:spacing w:val="-2"/>
              </w:rPr>
              <w:t xml:space="preserve">Také v případě cen zemědělské výroby (včetně ryb) došlo ke zmírnění meziročního přírůstku, který ale i tak dosáhl výrazných 37,0 %. Nižší byl růst cen rostlinné výroby (43,0 %), naopak navýšení cen živočišné výroby posílilo na 28,9 %. V rostlinné výrobě mírně oslabil meziroční růst cen obilovin (57,7 %), zejména pšenice (60,1 %) a kukuřice (39,6 %). Naopak silnější bylo navýšení cen žita (91,5 %), ječmene (56,3 %) </w:t>
            </w:r>
            <w:r>
              <w:rPr>
                <w:spacing w:val="-2"/>
              </w:rPr>
              <w:br/>
              <w:t xml:space="preserve">i ovsa (55,8 %). Slabší byl také růst cen průmyslových plodin (37,7 %), hlavně olejnin (43,1 %), kde méně rostly ceny semen řepky (45,1 %). Na 13,5 % posílil meziroční přírůstek cen krmných plodin. Mírně nižší bylo navýšení cen zeleniny a zahradnických produktů (15,4 %). Ceny brambor byly meziročně vyšší o 34,6 % a ovoce o 8,2 %. Za posílením růstu cen živočišné výroby stál vývoj cen hospodářských zvířat (27,4 %), především prasat (27,3 %) a drůbeže (28,3 %). Ceny skotu byly vyšší o 26,6 %. Výrazně posílil také meziroční růst cen mléka (30,0 %) a vajec (31,9 %).    </w:t>
            </w:r>
          </w:p>
        </w:tc>
      </w:tr>
      <w:tr w:rsidR="00E41131" w:rsidRPr="009110F7" w14:paraId="6CF21BBD" w14:textId="77777777" w:rsidTr="002036E6">
        <w:trPr>
          <w:trHeight w:val="145"/>
        </w:trPr>
        <w:tc>
          <w:tcPr>
            <w:tcW w:w="1805" w:type="dxa"/>
            <w:shd w:val="clear" w:color="auto" w:fill="auto"/>
            <w:tcMar>
              <w:left w:w="0" w:type="dxa"/>
            </w:tcMar>
          </w:tcPr>
          <w:p w14:paraId="3270BDB4" w14:textId="77777777" w:rsidR="00E41131" w:rsidRPr="00793D78" w:rsidRDefault="00E41131" w:rsidP="002036E6">
            <w:pPr>
              <w:pStyle w:val="Marginlie"/>
              <w:rPr>
                <w:spacing w:val="0"/>
              </w:rPr>
            </w:pPr>
            <w:r>
              <w:rPr>
                <w:spacing w:val="0"/>
              </w:rPr>
              <w:t>Ceny exportu dál silně meziročně rostly.</w:t>
            </w:r>
          </w:p>
        </w:tc>
        <w:tc>
          <w:tcPr>
            <w:tcW w:w="224" w:type="dxa"/>
            <w:shd w:val="clear" w:color="auto" w:fill="auto"/>
            <w:tcMar>
              <w:left w:w="0" w:type="dxa"/>
            </w:tcMar>
          </w:tcPr>
          <w:p w14:paraId="2A2A7710" w14:textId="77777777" w:rsidR="00E41131" w:rsidRPr="00793D78" w:rsidRDefault="00E41131" w:rsidP="002036E6">
            <w:pPr>
              <w:pStyle w:val="Textpoznpodarou1"/>
              <w:jc w:val="both"/>
            </w:pPr>
          </w:p>
        </w:tc>
        <w:tc>
          <w:tcPr>
            <w:tcW w:w="7610" w:type="dxa"/>
            <w:shd w:val="clear" w:color="auto" w:fill="auto"/>
            <w:tcMar>
              <w:left w:w="0" w:type="dxa"/>
            </w:tcMar>
          </w:tcPr>
          <w:p w14:paraId="3A265E08" w14:textId="77777777" w:rsidR="00E41131" w:rsidRPr="00793D78" w:rsidRDefault="00E41131" w:rsidP="002036E6">
            <w:r>
              <w:t>Meziroční přírůstek cen vývozu ve 3. čtvrtletí mírně zpomalil na stále velmi výrazných 14,9 %. Šlo z velké části o vliv loňské srovnávací základny, která právě ve druhé polovině roku posilovala. Ceny vývozu mezičtvrtletně vzrostly o 3,3 %. Na ceny vývozu má hlavní vliv kurz koruny vůči euru, který meziročně posílil, takže výsledný meziroční přírůstek cen exportu byl vývojem kurzu tlumen.</w:t>
            </w:r>
            <w:r>
              <w:rPr>
                <w:rStyle w:val="Znakapoznpodarou"/>
              </w:rPr>
              <w:footnoteReference w:id="58"/>
            </w:r>
            <w:r>
              <w:t xml:space="preserve"> Nejvíce se meziročně zvýšily ceny vývozu minerálních paliv (168,4 %), u kterých přírůstek dál posiloval. Výrazně rostly ceny exportu potravin a živých zvířat (24,7 %), chemikálií a příbuzných výrobků (19,2 %) a polotovarů</w:t>
            </w:r>
            <w:r>
              <w:rPr>
                <w:rStyle w:val="Znakapoznpodarou"/>
              </w:rPr>
              <w:footnoteReference w:id="59"/>
            </w:r>
            <w:r>
              <w:t xml:space="preserve"> (18,5 %). Ceny exportu nápojů a tabáku byly meziročně vyšší o 7,4 %, průmyslového spotřebního zboží o 6,0 %, ostatních surovin</w:t>
            </w:r>
            <w:r>
              <w:rPr>
                <w:rStyle w:val="Znakapoznpodarou"/>
              </w:rPr>
              <w:footnoteReference w:id="60"/>
            </w:r>
            <w:r>
              <w:t xml:space="preserve"> o 4,3 % (tempo se prudce propadlo) a strojů a dopravních prostředků o 2,8 %. </w:t>
            </w:r>
          </w:p>
        </w:tc>
      </w:tr>
      <w:tr w:rsidR="00E41131" w:rsidRPr="009110F7" w14:paraId="1F3EB93E" w14:textId="77777777" w:rsidTr="002036E6">
        <w:trPr>
          <w:trHeight w:val="145"/>
        </w:trPr>
        <w:tc>
          <w:tcPr>
            <w:tcW w:w="1805" w:type="dxa"/>
            <w:shd w:val="clear" w:color="auto" w:fill="auto"/>
            <w:tcMar>
              <w:left w:w="0" w:type="dxa"/>
            </w:tcMar>
          </w:tcPr>
          <w:p w14:paraId="1F1F22C4" w14:textId="77777777" w:rsidR="00E41131" w:rsidRPr="00793D78" w:rsidRDefault="00E41131" w:rsidP="002036E6">
            <w:pPr>
              <w:pStyle w:val="Marginlie"/>
              <w:rPr>
                <w:spacing w:val="0"/>
              </w:rPr>
            </w:pPr>
            <w:r>
              <w:rPr>
                <w:spacing w:val="0"/>
              </w:rPr>
              <w:t>Směnné relace byly nadále výrazně záporné.</w:t>
            </w:r>
          </w:p>
        </w:tc>
        <w:tc>
          <w:tcPr>
            <w:tcW w:w="224" w:type="dxa"/>
            <w:shd w:val="clear" w:color="auto" w:fill="auto"/>
            <w:tcMar>
              <w:left w:w="0" w:type="dxa"/>
            </w:tcMar>
          </w:tcPr>
          <w:p w14:paraId="08856B7C" w14:textId="77777777" w:rsidR="00E41131" w:rsidRPr="00793D78" w:rsidRDefault="00E41131" w:rsidP="002036E6">
            <w:pPr>
              <w:pStyle w:val="Textpoznpodarou1"/>
              <w:jc w:val="both"/>
            </w:pPr>
          </w:p>
        </w:tc>
        <w:tc>
          <w:tcPr>
            <w:tcW w:w="7610" w:type="dxa"/>
            <w:shd w:val="clear" w:color="auto" w:fill="auto"/>
            <w:tcMar>
              <w:left w:w="0" w:type="dxa"/>
            </w:tcMar>
          </w:tcPr>
          <w:p w14:paraId="017922F5" w14:textId="77777777" w:rsidR="00E41131" w:rsidRDefault="00E41131" w:rsidP="002036E6">
            <w:r>
              <w:t xml:space="preserve">Ceny dovozu ve 3. čtvrtletí meziročně rostly o 21,8 %. Mezičtvrtletně se ceny importu zvýšily o 5,4 %. Kurz koruny vůči dolaru má v české ekonomice na ceny dovozu silnější vliv než u exportu a došlo také k výraznému oslabení. Ve výsledku ale převážilo posílení koruny vůči euru a celkový vliv kurzu na meziroční růst cen dovozu měl tlumící efekt. Nejvíce se meziročně zvýšily ceny importu minerálních paliv (147,2 %). Velmi výrazné přírůstky měly ceny dovozu potravin a živých zvířat (19,1 %), nápojů a tabáku (17,4 %), polotovarů (15,0 %), chemikálií a příbuzných výrobků (13,6 %) a průmyslového spotřebního zboží (10,5 %). Velmi oslabil meziroční růst cen ostatních </w:t>
            </w:r>
            <w:r>
              <w:lastRenderedPageBreak/>
              <w:t xml:space="preserve">surovin (4,4 %) a </w:t>
            </w:r>
            <w:proofErr w:type="gramStart"/>
            <w:r>
              <w:t>mírněji</w:t>
            </w:r>
            <w:proofErr w:type="gramEnd"/>
            <w:r>
              <w:t xml:space="preserve"> než ostatní třídy zboží rostly i ceny dovozu strojů a dopravních prostředků (3,4 %). Směnné relace zahraničního obchodu se zbožím byly šesté čtvrtletí v řadě meziročně záporné a dosáhly 94,3 %. Záporných směnných relací přitom dosáhl obchod s nápoji a tabákem (91,5 %), průmyslovým spotřebním zbožím (95,9 %), stroji a dopravními prostředky (99,4 %) a ostatními surovinami (99,9 %). Kladné směnné relace měl obchod s minerálními palivy (108,6 %), chemikáliemi a příbuznými výrobky (104,9 %), potravinami a živými zvířaty (104,7 %) a polotovary (103,0 %).   </w:t>
            </w:r>
          </w:p>
        </w:tc>
      </w:tr>
    </w:tbl>
    <w:p w14:paraId="445547C1" w14:textId="77777777" w:rsidR="00E41131" w:rsidRPr="00E42054" w:rsidRDefault="00E41131" w:rsidP="00E41131">
      <w:pPr>
        <w:pStyle w:val="Nadpis11"/>
        <w:rPr>
          <w:b w:val="0"/>
          <w:sz w:val="2"/>
          <w:szCs w:val="2"/>
        </w:rPr>
      </w:pPr>
    </w:p>
    <w:p w14:paraId="16AEA05A" w14:textId="77777777" w:rsidR="00E41131" w:rsidRDefault="00E41131" w:rsidP="00E41131">
      <w:pPr>
        <w:spacing w:after="0" w:line="240" w:lineRule="auto"/>
        <w:jc w:val="left"/>
        <w:rPr>
          <w:rFonts w:eastAsia="MS Gothic"/>
          <w:b/>
          <w:bCs/>
          <w:color w:val="71818C"/>
          <w:sz w:val="32"/>
          <w:szCs w:val="28"/>
        </w:rPr>
      </w:pPr>
    </w:p>
    <w:p w14:paraId="444A67C6" w14:textId="77777777" w:rsidR="00E41131" w:rsidRPr="000F45E7" w:rsidRDefault="00E41131" w:rsidP="00E41131">
      <w:pPr>
        <w:pStyle w:val="Nadpis11"/>
        <w:spacing w:after="0"/>
        <w:rPr>
          <w:b w:val="0"/>
          <w:sz w:val="2"/>
          <w:szCs w:val="2"/>
        </w:rPr>
      </w:pPr>
    </w:p>
    <w:p w14:paraId="757BF0EA" w14:textId="77777777" w:rsidR="00E41131" w:rsidRPr="00E42054" w:rsidRDefault="00E41131" w:rsidP="00E41131">
      <w:pPr>
        <w:pStyle w:val="Nadpis11"/>
        <w:rPr>
          <w:b w:val="0"/>
          <w:sz w:val="2"/>
          <w:szCs w:val="2"/>
        </w:rPr>
      </w:pPr>
    </w:p>
    <w:p w14:paraId="0242BDB1" w14:textId="77777777" w:rsidR="008F2E83" w:rsidRDefault="008F2E83">
      <w:pPr>
        <w:spacing w:after="0" w:line="240" w:lineRule="auto"/>
        <w:jc w:val="left"/>
        <w:rPr>
          <w:rFonts w:eastAsia="MS Gothic"/>
          <w:b/>
          <w:bCs/>
          <w:color w:val="71818C"/>
          <w:sz w:val="32"/>
          <w:szCs w:val="28"/>
          <w:highlight w:val="yellow"/>
        </w:rPr>
      </w:pPr>
      <w:r>
        <w:rPr>
          <w:highlight w:val="yellow"/>
        </w:rPr>
        <w:br w:type="page"/>
      </w:r>
    </w:p>
    <w:p w14:paraId="01E78A11" w14:textId="77777777" w:rsidR="001F6483" w:rsidRDefault="001F6483" w:rsidP="001F6483">
      <w:pPr>
        <w:pStyle w:val="Nadpis11"/>
        <w:spacing w:after="120"/>
      </w:pPr>
      <w:bookmarkStart w:id="33" w:name="_Toc114134050"/>
      <w:bookmarkStart w:id="34" w:name="_Toc121993822"/>
      <w:bookmarkEnd w:id="20"/>
      <w:bookmarkEnd w:id="21"/>
      <w:bookmarkEnd w:id="22"/>
      <w:bookmarkEnd w:id="23"/>
      <w:bookmarkEnd w:id="24"/>
      <w:r w:rsidRPr="00B43216">
        <w:lastRenderedPageBreak/>
        <w:t>6. Trh práce</w:t>
      </w:r>
      <w:bookmarkEnd w:id="34"/>
    </w:p>
    <w:tbl>
      <w:tblPr>
        <w:tblW w:w="9674" w:type="dxa"/>
        <w:tblInd w:w="-35" w:type="dxa"/>
        <w:tblCellMar>
          <w:left w:w="0" w:type="dxa"/>
          <w:right w:w="0" w:type="dxa"/>
        </w:tblCellMar>
        <w:tblLook w:val="00A0" w:firstRow="1" w:lastRow="0" w:firstColumn="1" w:lastColumn="0" w:noHBand="0" w:noVBand="0"/>
      </w:tblPr>
      <w:tblGrid>
        <w:gridCol w:w="1636"/>
        <w:gridCol w:w="205"/>
        <w:gridCol w:w="7833"/>
      </w:tblGrid>
      <w:tr w:rsidR="001F6483" w:rsidRPr="009F0D7F" w14:paraId="52FC5024" w14:textId="77777777" w:rsidTr="00594D20">
        <w:trPr>
          <w:trHeight w:val="155"/>
        </w:trPr>
        <w:tc>
          <w:tcPr>
            <w:tcW w:w="1636" w:type="dxa"/>
            <w:shd w:val="clear" w:color="auto" w:fill="auto"/>
            <w:tcMar>
              <w:left w:w="0" w:type="dxa"/>
            </w:tcMar>
          </w:tcPr>
          <w:p w14:paraId="2AA86BFE" w14:textId="77777777" w:rsidR="001F6483" w:rsidRDefault="001F6483" w:rsidP="00594D20">
            <w:pPr>
              <w:pStyle w:val="Marginlie"/>
              <w:spacing w:after="120"/>
              <w:rPr>
                <w:color w:val="0D0D0D" w:themeColor="text1" w:themeTint="F2"/>
                <w:spacing w:val="-4"/>
              </w:rPr>
            </w:pPr>
            <w:proofErr w:type="spellStart"/>
            <w:r>
              <w:rPr>
                <w:color w:val="0D0D0D" w:themeColor="text1" w:themeTint="F2"/>
                <w:spacing w:val="-4"/>
              </w:rPr>
              <w:t>Mezikvartální</w:t>
            </w:r>
            <w:proofErr w:type="spellEnd"/>
            <w:r>
              <w:rPr>
                <w:color w:val="0D0D0D" w:themeColor="text1" w:themeTint="F2"/>
                <w:spacing w:val="-4"/>
              </w:rPr>
              <w:t xml:space="preserve"> růst celkové zaměstnanosti se letos v létě poprvé od konce roku 2020 zastavil.</w:t>
            </w:r>
          </w:p>
        </w:tc>
        <w:tc>
          <w:tcPr>
            <w:tcW w:w="205" w:type="dxa"/>
            <w:shd w:val="clear" w:color="auto" w:fill="auto"/>
            <w:tcMar>
              <w:left w:w="0" w:type="dxa"/>
            </w:tcMar>
          </w:tcPr>
          <w:p w14:paraId="1A43C37F" w14:textId="77777777" w:rsidR="001F6483" w:rsidRPr="009F0D7F"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34AFAFE9" w14:textId="77777777" w:rsidR="001F6483" w:rsidRPr="006C529B" w:rsidRDefault="001F6483" w:rsidP="00594D20">
            <w:pPr>
              <w:rPr>
                <w:color w:val="0D0D0D" w:themeColor="text1" w:themeTint="F2"/>
                <w:spacing w:val="-5"/>
              </w:rPr>
            </w:pPr>
            <w:r>
              <w:rPr>
                <w:color w:val="0D0D0D" w:themeColor="text1" w:themeTint="F2"/>
                <w:spacing w:val="-5"/>
              </w:rPr>
              <w:t xml:space="preserve">Zhoršení výkonu české ekonomiky, úzce spojené s přetrvávající nižší soukromou i vládní spotřebou, se ve 3. čtvrtletí 2022 již zčásti projevilo také na tuzemském pracovním trhu. </w:t>
            </w:r>
            <w:r w:rsidRPr="006C529B">
              <w:rPr>
                <w:color w:val="0D0D0D" w:themeColor="text1" w:themeTint="F2"/>
                <w:spacing w:val="-5"/>
              </w:rPr>
              <w:t>Růst zaměstnanosti</w:t>
            </w:r>
            <w:r w:rsidRPr="006C529B">
              <w:rPr>
                <w:color w:val="0D0D0D" w:themeColor="text1" w:themeTint="F2"/>
                <w:spacing w:val="-5"/>
                <w:vertAlign w:val="superscript"/>
              </w:rPr>
              <w:footnoteReference w:id="61"/>
            </w:r>
            <w:r>
              <w:rPr>
                <w:color w:val="0D0D0D" w:themeColor="text1" w:themeTint="F2"/>
                <w:spacing w:val="-5"/>
              </w:rPr>
              <w:t xml:space="preserve"> se v </w:t>
            </w:r>
            <w:proofErr w:type="spellStart"/>
            <w:r>
              <w:rPr>
                <w:color w:val="0D0D0D" w:themeColor="text1" w:themeTint="F2"/>
                <w:spacing w:val="-5"/>
              </w:rPr>
              <w:t>mezikvartálním</w:t>
            </w:r>
            <w:proofErr w:type="spellEnd"/>
            <w:r>
              <w:rPr>
                <w:color w:val="0D0D0D" w:themeColor="text1" w:themeTint="F2"/>
                <w:spacing w:val="-5"/>
              </w:rPr>
              <w:t xml:space="preserve"> vyjádření poprvé od konce roku 2020 zastavil (</w:t>
            </w:r>
            <w:r>
              <w:rPr>
                <w:iCs/>
                <w:spacing w:val="-6"/>
              </w:rPr>
              <w:t>−</w:t>
            </w:r>
            <w:r>
              <w:rPr>
                <w:color w:val="0D0D0D" w:themeColor="text1" w:themeTint="F2"/>
                <w:spacing w:val="-5"/>
              </w:rPr>
              <w:t xml:space="preserve">0,1 %). Během druhého letošního čtvrtletí přitom celkový počet pracovníků ještě svižně rostl (+1,6 %) a poprvé překonal rekordní úroveň z vrcholu předpandemické konjunktury. Za slabším výsledkem z letošního léta stál především mírný </w:t>
            </w:r>
            <w:proofErr w:type="spellStart"/>
            <w:r>
              <w:rPr>
                <w:color w:val="0D0D0D" w:themeColor="text1" w:themeTint="F2"/>
                <w:spacing w:val="-5"/>
              </w:rPr>
              <w:t>mezikvartální</w:t>
            </w:r>
            <w:proofErr w:type="spellEnd"/>
            <w:r>
              <w:rPr>
                <w:color w:val="0D0D0D" w:themeColor="text1" w:themeTint="F2"/>
                <w:spacing w:val="-5"/>
              </w:rPr>
              <w:t xml:space="preserve"> pokles zaměstnanosti v průmyslu a také v uskupení o</w:t>
            </w:r>
            <w:r w:rsidRPr="006D68CE">
              <w:rPr>
                <w:color w:val="0D0D0D" w:themeColor="text1" w:themeTint="F2"/>
                <w:spacing w:val="-5"/>
              </w:rPr>
              <w:t>bchod, doprava, ubytování a pohostinství</w:t>
            </w:r>
            <w:r>
              <w:rPr>
                <w:color w:val="0D0D0D" w:themeColor="text1" w:themeTint="F2"/>
                <w:spacing w:val="-5"/>
              </w:rPr>
              <w:t xml:space="preserve"> (šlo o odvětví, kterým se letos na jaře ještě dařilo). Proti hlubší redukci zaměstnanosti působila nejvíce dlouhodobě rostoucí poptávka po pracovnících v oblasti veřejných služeb.</w:t>
            </w:r>
          </w:p>
        </w:tc>
      </w:tr>
      <w:tr w:rsidR="001F6483" w:rsidRPr="009F0D7F" w14:paraId="231A7160" w14:textId="77777777" w:rsidTr="00594D20">
        <w:trPr>
          <w:trHeight w:val="155"/>
        </w:trPr>
        <w:tc>
          <w:tcPr>
            <w:tcW w:w="1636" w:type="dxa"/>
            <w:shd w:val="clear" w:color="auto" w:fill="auto"/>
            <w:tcMar>
              <w:left w:w="0" w:type="dxa"/>
            </w:tcMar>
          </w:tcPr>
          <w:p w14:paraId="349B4E65" w14:textId="77777777" w:rsidR="001F6483" w:rsidRDefault="001F6483" w:rsidP="00594D20">
            <w:pPr>
              <w:pStyle w:val="Marginlie"/>
              <w:spacing w:after="120"/>
              <w:rPr>
                <w:color w:val="0D0D0D" w:themeColor="text1" w:themeTint="F2"/>
                <w:spacing w:val="-4"/>
              </w:rPr>
            </w:pPr>
            <w:r>
              <w:rPr>
                <w:color w:val="0D0D0D" w:themeColor="text1" w:themeTint="F2"/>
                <w:spacing w:val="-4"/>
              </w:rPr>
              <w:t xml:space="preserve">Meziroční růst byl </w:t>
            </w:r>
            <w:r>
              <w:rPr>
                <w:color w:val="0D0D0D" w:themeColor="text1" w:themeTint="F2"/>
                <w:spacing w:val="-4"/>
              </w:rPr>
              <w:br/>
              <w:t xml:space="preserve">ve 3. čtvrtletí </w:t>
            </w:r>
            <w:r>
              <w:rPr>
                <w:color w:val="0D0D0D" w:themeColor="text1" w:themeTint="F2"/>
                <w:spacing w:val="-4"/>
              </w:rPr>
              <w:br/>
              <w:t>u zaměstnanců převážně plošný. Podnikatelé v řadě odvětví se však stále potýkali s problémy.</w:t>
            </w:r>
          </w:p>
          <w:p w14:paraId="451B3FF3" w14:textId="77777777" w:rsidR="001F6483" w:rsidRDefault="001F6483" w:rsidP="00594D20">
            <w:pPr>
              <w:pStyle w:val="Marginlie"/>
              <w:spacing w:after="120"/>
              <w:rPr>
                <w:color w:val="0D0D0D" w:themeColor="text1" w:themeTint="F2"/>
                <w:spacing w:val="-4"/>
              </w:rPr>
            </w:pPr>
          </w:p>
          <w:p w14:paraId="41711D27" w14:textId="77777777" w:rsidR="001F6483" w:rsidRDefault="001F6483" w:rsidP="00594D20">
            <w:pPr>
              <w:pStyle w:val="Marginlie"/>
              <w:spacing w:after="120"/>
              <w:rPr>
                <w:color w:val="0D0D0D" w:themeColor="text1" w:themeTint="F2"/>
                <w:spacing w:val="-4"/>
              </w:rPr>
            </w:pPr>
          </w:p>
          <w:p w14:paraId="2B782CC6" w14:textId="77777777" w:rsidR="001F6483" w:rsidRDefault="001F6483" w:rsidP="00594D20">
            <w:pPr>
              <w:pStyle w:val="Marginlie"/>
              <w:spacing w:after="120"/>
              <w:rPr>
                <w:spacing w:val="-5"/>
              </w:rPr>
            </w:pPr>
            <w:r>
              <w:rPr>
                <w:spacing w:val="-5"/>
              </w:rPr>
              <w:t xml:space="preserve">Růst celkového počtu pracovníků byl takřka ze tří čtvrtin tažen sektorem služeb. </w:t>
            </w:r>
          </w:p>
          <w:p w14:paraId="3C5A65F9" w14:textId="77777777" w:rsidR="001F6483" w:rsidRPr="00631DC2" w:rsidRDefault="001F6483" w:rsidP="00594D20">
            <w:pPr>
              <w:pStyle w:val="Marginlie"/>
              <w:spacing w:after="120"/>
              <w:rPr>
                <w:spacing w:val="-5"/>
              </w:rPr>
            </w:pPr>
            <w:r>
              <w:rPr>
                <w:spacing w:val="-5"/>
              </w:rPr>
              <w:t>.</w:t>
            </w:r>
          </w:p>
        </w:tc>
        <w:tc>
          <w:tcPr>
            <w:tcW w:w="205" w:type="dxa"/>
            <w:shd w:val="clear" w:color="auto" w:fill="auto"/>
            <w:tcMar>
              <w:left w:w="0" w:type="dxa"/>
            </w:tcMar>
          </w:tcPr>
          <w:p w14:paraId="7306C437" w14:textId="77777777" w:rsidR="001F6483" w:rsidRPr="009F0D7F"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65A26C1D" w14:textId="77777777" w:rsidR="001F6483" w:rsidRPr="003E28E8" w:rsidRDefault="001F6483" w:rsidP="00594D20">
            <w:pPr>
              <w:rPr>
                <w:spacing w:val="-5"/>
              </w:rPr>
            </w:pPr>
            <w:r>
              <w:rPr>
                <w:spacing w:val="-5"/>
              </w:rPr>
              <w:t>V meziročním pohledu ovšem svižný růst celkové zaměstnanosti díky doznívajícímu efektu postpandemického oživení dosud přetrvával (+1,8 % ve 3. čtvrtletí). Skoro ze tří čtvrtin se na něm podílel sektor služeb. Stejně jako letos na jaře se na něm podíleli jak zaměstnanci (+89</w:t>
            </w:r>
            <w:r>
              <w:rPr>
                <w:color w:val="0D0D0D" w:themeColor="text1" w:themeTint="F2"/>
                <w:spacing w:val="-5"/>
              </w:rPr>
              <w:t> </w:t>
            </w:r>
            <w:r>
              <w:rPr>
                <w:spacing w:val="-5"/>
              </w:rPr>
              <w:t xml:space="preserve">tis.), tak </w:t>
            </w:r>
            <w:proofErr w:type="spellStart"/>
            <w:r>
              <w:rPr>
                <w:spacing w:val="-5"/>
              </w:rPr>
              <w:t>sebezaměstnaní</w:t>
            </w:r>
            <w:proofErr w:type="spellEnd"/>
            <w:r>
              <w:rPr>
                <w:spacing w:val="-5"/>
              </w:rPr>
              <w:t xml:space="preserve"> (+6 tis.)</w:t>
            </w:r>
            <w:r>
              <w:rPr>
                <w:rStyle w:val="Znakapoznpodarou"/>
                <w:spacing w:val="-5"/>
              </w:rPr>
              <w:footnoteReference w:id="62"/>
            </w:r>
            <w:r>
              <w:rPr>
                <w:spacing w:val="-5"/>
              </w:rPr>
              <w:t>. Zatímco navýšení u zaměstnanců mělo ve 3. čtvrtletí spíše plošný charakter, drobní podnikatelé stále čelili v některých odvětvích slabší poptávce (zpracovatelský průmysl, p</w:t>
            </w:r>
            <w:r w:rsidRPr="00A15324">
              <w:rPr>
                <w:spacing w:val="-5"/>
              </w:rPr>
              <w:t>rofesní, vědecké, technické a administrativní činnosti</w:t>
            </w:r>
            <w:r>
              <w:rPr>
                <w:spacing w:val="-5"/>
              </w:rPr>
              <w:t xml:space="preserve">). Růst celkového počtu pracovníků byl takřka ze tří čtvrtin tažen sektorem služeb. Klíčové byly zejména </w:t>
            </w:r>
            <w:r>
              <w:rPr>
                <w:spacing w:val="-4"/>
              </w:rPr>
              <w:t>veřejné služby</w:t>
            </w:r>
            <w:r>
              <w:rPr>
                <w:rStyle w:val="Znakapoznpodarou"/>
                <w:spacing w:val="-4"/>
              </w:rPr>
              <w:footnoteReference w:id="63"/>
            </w:r>
            <w:r>
              <w:rPr>
                <w:spacing w:val="-4"/>
              </w:rPr>
              <w:t xml:space="preserve"> (+24 tis.). Obdobně jako v předchozích letech zde stát reagoval na zvýšenou poptávku hlavně v oblasti vzdělávání a zdravotní i sociální péče. Jen nepatrně menší vliv mělo i přes slábnoucí růst odvětví </w:t>
            </w:r>
            <w:r>
              <w:rPr>
                <w:color w:val="0D0D0D" w:themeColor="text1" w:themeTint="F2"/>
                <w:spacing w:val="-5"/>
              </w:rPr>
              <w:t>o</w:t>
            </w:r>
            <w:r w:rsidRPr="006D68CE">
              <w:rPr>
                <w:color w:val="0D0D0D" w:themeColor="text1" w:themeTint="F2"/>
                <w:spacing w:val="-5"/>
              </w:rPr>
              <w:t>bchod, doprava, ubytování a pohostinství</w:t>
            </w:r>
            <w:r>
              <w:rPr>
                <w:color w:val="0D0D0D" w:themeColor="text1" w:themeTint="F2"/>
                <w:spacing w:val="-5"/>
              </w:rPr>
              <w:t xml:space="preserve">. Pracovníků svižně přibývalo také v dalších menších odvětvích terciárního sektoru – </w:t>
            </w:r>
            <w:r w:rsidRPr="009373A0">
              <w:rPr>
                <w:color w:val="0D0D0D" w:themeColor="text1" w:themeTint="F2"/>
                <w:spacing w:val="-5"/>
              </w:rPr>
              <w:t>v oblasti nemovitostí</w:t>
            </w:r>
            <w:r>
              <w:rPr>
                <w:color w:val="0D0D0D" w:themeColor="text1" w:themeTint="F2"/>
                <w:spacing w:val="-5"/>
              </w:rPr>
              <w:t xml:space="preserve"> o 3,2 % (v úhrnu od počátku roku o 4,6 %) či v </w:t>
            </w:r>
            <w:r>
              <w:rPr>
                <w:spacing w:val="-4"/>
              </w:rPr>
              <w:t>informačních a komunikačních činnostech, popř. v ostatních činnostech služeb</w:t>
            </w:r>
            <w:r>
              <w:rPr>
                <w:rStyle w:val="Znakapoznpodarou"/>
                <w:spacing w:val="-4"/>
              </w:rPr>
              <w:footnoteReference w:id="64"/>
            </w:r>
            <w:r>
              <w:rPr>
                <w:spacing w:val="-4"/>
              </w:rPr>
              <w:t xml:space="preserve"> (ve 3. čtvrtletí shodně o 3,1</w:t>
            </w:r>
            <w:r>
              <w:rPr>
                <w:spacing w:val="-5"/>
              </w:rPr>
              <w:t> </w:t>
            </w:r>
            <w:r>
              <w:rPr>
                <w:spacing w:val="-4"/>
              </w:rPr>
              <w:t>%). Poprvé od konce roku 2016 se zastavil pokles zaměstnaných v odvětví p</w:t>
            </w:r>
            <w:r w:rsidRPr="00356A09">
              <w:rPr>
                <w:spacing w:val="-4"/>
              </w:rPr>
              <w:t>eněžnictví a poj</w:t>
            </w:r>
            <w:r w:rsidRPr="00A11CDF">
              <w:rPr>
                <w:color w:val="0D0D0D" w:themeColor="text1" w:themeTint="F2"/>
                <w:spacing w:val="-4"/>
              </w:rPr>
              <w:t>išťovnictví</w:t>
            </w:r>
            <w:r w:rsidRPr="00A11CDF">
              <w:rPr>
                <w:rStyle w:val="Znakapoznpodarou"/>
                <w:color w:val="0D0D0D" w:themeColor="text1" w:themeTint="F2"/>
                <w:spacing w:val="-4"/>
              </w:rPr>
              <w:footnoteReference w:id="65"/>
            </w:r>
            <w:r w:rsidRPr="00A11CDF">
              <w:rPr>
                <w:color w:val="0D0D0D" w:themeColor="text1" w:themeTint="F2"/>
                <w:spacing w:val="-4"/>
              </w:rPr>
              <w:t xml:space="preserve">. </w:t>
            </w:r>
          </w:p>
        </w:tc>
      </w:tr>
      <w:tr w:rsidR="001F6483" w:rsidRPr="009F0D7F" w14:paraId="78E636DC" w14:textId="77777777" w:rsidTr="00594D20">
        <w:trPr>
          <w:trHeight w:val="155"/>
        </w:trPr>
        <w:tc>
          <w:tcPr>
            <w:tcW w:w="1636" w:type="dxa"/>
            <w:shd w:val="clear" w:color="auto" w:fill="auto"/>
            <w:tcMar>
              <w:left w:w="0" w:type="dxa"/>
            </w:tcMar>
          </w:tcPr>
          <w:p w14:paraId="487C2560" w14:textId="77777777" w:rsidR="001F6483" w:rsidRDefault="001F6483" w:rsidP="00594D20">
            <w:pPr>
              <w:pStyle w:val="Marginlie"/>
              <w:spacing w:after="120"/>
              <w:rPr>
                <w:spacing w:val="-5"/>
              </w:rPr>
            </w:pPr>
            <w:r>
              <w:rPr>
                <w:spacing w:val="-5"/>
              </w:rPr>
              <w:t>Růst zaměstnanosti v průmyslu slábl. Počet pracovníků zde dosud nedosáhl předkrizové úrovně.</w:t>
            </w:r>
          </w:p>
          <w:p w14:paraId="5DB2A1E0" w14:textId="77777777" w:rsidR="001F6483" w:rsidRDefault="001F6483" w:rsidP="00594D20">
            <w:pPr>
              <w:pStyle w:val="Marginlie"/>
              <w:spacing w:after="120"/>
              <w:rPr>
                <w:spacing w:val="-5"/>
              </w:rPr>
            </w:pPr>
          </w:p>
          <w:p w14:paraId="28F8EB96" w14:textId="77777777" w:rsidR="001F6483" w:rsidRDefault="001F6483" w:rsidP="00594D20">
            <w:pPr>
              <w:pStyle w:val="Marginlie"/>
              <w:spacing w:after="120"/>
              <w:rPr>
                <w:spacing w:val="-5"/>
              </w:rPr>
            </w:pPr>
          </w:p>
          <w:p w14:paraId="7072B1D4" w14:textId="77777777" w:rsidR="001F6483" w:rsidRDefault="001F6483" w:rsidP="00594D20">
            <w:pPr>
              <w:pStyle w:val="Marginlie"/>
              <w:spacing w:after="120"/>
              <w:rPr>
                <w:spacing w:val="-5"/>
              </w:rPr>
            </w:pPr>
          </w:p>
          <w:p w14:paraId="7B1D1822" w14:textId="77777777" w:rsidR="001F6483" w:rsidRDefault="001F6483" w:rsidP="00594D20">
            <w:pPr>
              <w:pStyle w:val="Marginlie"/>
              <w:spacing w:after="120"/>
              <w:rPr>
                <w:spacing w:val="-5"/>
              </w:rPr>
            </w:pPr>
          </w:p>
          <w:p w14:paraId="2633D5F3" w14:textId="77777777" w:rsidR="001F6483" w:rsidRDefault="001F6483" w:rsidP="00594D20">
            <w:pPr>
              <w:pStyle w:val="Marginlie"/>
              <w:spacing w:after="120"/>
              <w:rPr>
                <w:color w:val="0D0D0D" w:themeColor="text1" w:themeTint="F2"/>
                <w:spacing w:val="-4"/>
              </w:rPr>
            </w:pPr>
            <w:r w:rsidRPr="00631DC2">
              <w:rPr>
                <w:spacing w:val="-5"/>
              </w:rPr>
              <w:t>Růst počtu cizinců pracujících v Česku zrychlil.</w:t>
            </w:r>
            <w:r>
              <w:rPr>
                <w:spacing w:val="-5"/>
              </w:rPr>
              <w:t xml:space="preserve"> </w:t>
            </w:r>
            <w:r w:rsidRPr="00631DC2">
              <w:rPr>
                <w:spacing w:val="-5"/>
              </w:rPr>
              <w:t xml:space="preserve">Pomohla tomu </w:t>
            </w:r>
            <w:r>
              <w:rPr>
                <w:spacing w:val="-5"/>
              </w:rPr>
              <w:t>i</w:t>
            </w:r>
            <w:r>
              <w:rPr>
                <w:color w:val="0D0D0D" w:themeColor="text1" w:themeTint="F2"/>
                <w:spacing w:val="-4"/>
              </w:rPr>
              <w:t> </w:t>
            </w:r>
            <w:r w:rsidRPr="00631DC2">
              <w:rPr>
                <w:spacing w:val="-5"/>
              </w:rPr>
              <w:t>počínající integrace uprchlíků z</w:t>
            </w:r>
            <w:r>
              <w:rPr>
                <w:spacing w:val="-5"/>
              </w:rPr>
              <w:t> </w:t>
            </w:r>
            <w:r w:rsidRPr="00631DC2">
              <w:rPr>
                <w:spacing w:val="-5"/>
              </w:rPr>
              <w:t>Ukrajiny</w:t>
            </w:r>
            <w:r>
              <w:rPr>
                <w:spacing w:val="-5"/>
              </w:rPr>
              <w:t>.</w:t>
            </w:r>
          </w:p>
        </w:tc>
        <w:tc>
          <w:tcPr>
            <w:tcW w:w="205" w:type="dxa"/>
            <w:shd w:val="clear" w:color="auto" w:fill="auto"/>
            <w:tcMar>
              <w:left w:w="0" w:type="dxa"/>
            </w:tcMar>
          </w:tcPr>
          <w:p w14:paraId="2DA3A006" w14:textId="77777777" w:rsidR="001F6483" w:rsidRPr="009F0D7F"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793ECA5C" w14:textId="77777777" w:rsidR="001F6483" w:rsidRDefault="001F6483" w:rsidP="00594D20">
            <w:pPr>
              <w:spacing w:after="200"/>
              <w:rPr>
                <w:color w:val="0D0D0D" w:themeColor="text1" w:themeTint="F2"/>
                <w:spacing w:val="-4"/>
              </w:rPr>
            </w:pPr>
            <w:r w:rsidRPr="00A11CDF">
              <w:rPr>
                <w:color w:val="0D0D0D" w:themeColor="text1" w:themeTint="F2"/>
                <w:spacing w:val="-4"/>
              </w:rPr>
              <w:t xml:space="preserve">Mimo terciární sféru se </w:t>
            </w:r>
            <w:r>
              <w:rPr>
                <w:color w:val="0D0D0D" w:themeColor="text1" w:themeTint="F2"/>
                <w:spacing w:val="-4"/>
              </w:rPr>
              <w:t xml:space="preserve">díky solidní dynamice veřejných investic </w:t>
            </w:r>
            <w:r w:rsidRPr="00A11CDF">
              <w:rPr>
                <w:color w:val="0D0D0D" w:themeColor="text1" w:themeTint="F2"/>
                <w:spacing w:val="-4"/>
              </w:rPr>
              <w:t>dařilo nejvíce stavebnictví</w:t>
            </w:r>
            <w:r>
              <w:rPr>
                <w:color w:val="0D0D0D" w:themeColor="text1" w:themeTint="F2"/>
                <w:spacing w:val="-4"/>
              </w:rPr>
              <w:t>. O</w:t>
            </w:r>
            <w:r>
              <w:rPr>
                <w:color w:val="0D0D0D" w:themeColor="text1" w:themeTint="F2"/>
                <w:spacing w:val="-5"/>
              </w:rPr>
              <w:t> </w:t>
            </w:r>
            <w:r>
              <w:rPr>
                <w:color w:val="0D0D0D" w:themeColor="text1" w:themeTint="F2"/>
                <w:spacing w:val="-4"/>
              </w:rPr>
              <w:t>vyšší zaměstnanost (3,4</w:t>
            </w:r>
            <w:r>
              <w:rPr>
                <w:spacing w:val="-5"/>
              </w:rPr>
              <w:t> </w:t>
            </w:r>
            <w:r>
              <w:rPr>
                <w:color w:val="0D0D0D" w:themeColor="text1" w:themeTint="F2"/>
                <w:spacing w:val="-4"/>
              </w:rPr>
              <w:t>% meziročně) se zde zasloužila hlavně početně zastoupená skupina drobných podnikatelů</w:t>
            </w:r>
            <w:r>
              <w:rPr>
                <w:rStyle w:val="Znakapoznpodarou"/>
                <w:color w:val="0D0D0D" w:themeColor="text1" w:themeTint="F2"/>
                <w:spacing w:val="-4"/>
              </w:rPr>
              <w:footnoteReference w:id="66"/>
            </w:r>
            <w:r>
              <w:rPr>
                <w:color w:val="0D0D0D" w:themeColor="text1" w:themeTint="F2"/>
                <w:spacing w:val="-4"/>
              </w:rPr>
              <w:t xml:space="preserve"> (jejich stavy nicméně stále nedosáhly úrovně roku 2019, zaměstnanců ve stavebnictví naopak za stejné období mírně přibylo). </w:t>
            </w:r>
            <w:r>
              <w:rPr>
                <w:spacing w:val="-4"/>
              </w:rPr>
              <w:t>Pracovníků ve zpracovatelském průmyslu ve 3. čtvrtletí přibylo meziročně o 0,7 %. Oproti předešlým čtvrtletím ovšem tempo citelně zvolnilo. Situace v jednotlivých průmyslových oborech se lišila, vedle současné poptávky po produkci patrně hrála roli i</w:t>
            </w:r>
            <w:r w:rsidRPr="00A02A50">
              <w:rPr>
                <w:bCs/>
                <w:color w:val="0D0D0D" w:themeColor="text1" w:themeTint="F2"/>
                <w:spacing w:val="-4"/>
              </w:rPr>
              <w:t> </w:t>
            </w:r>
            <w:r>
              <w:rPr>
                <w:spacing w:val="-4"/>
              </w:rPr>
              <w:t>energetická náročnost výroby i</w:t>
            </w:r>
            <w:r>
              <w:rPr>
                <w:color w:val="0D0D0D" w:themeColor="text1" w:themeTint="F2"/>
                <w:spacing w:val="-5"/>
              </w:rPr>
              <w:t> </w:t>
            </w:r>
            <w:r>
              <w:rPr>
                <w:spacing w:val="-4"/>
              </w:rPr>
              <w:t>obchodní strategie jednotlivých podniků v oblasti zajištění dodávek energií. Zaměstnanost v celém průmyslu stále mírně zaostávala za úrovní z léta roku 2019 (−2,5 %, resp. 39 tis. osob). To neplatilo o odvětví z</w:t>
            </w:r>
            <w:r w:rsidRPr="00C02143">
              <w:rPr>
                <w:spacing w:val="-4"/>
              </w:rPr>
              <w:t>emědělství, lesnictví a rybářství</w:t>
            </w:r>
            <w:r>
              <w:rPr>
                <w:spacing w:val="-4"/>
              </w:rPr>
              <w:t>, k čemuž přispěl příznivý vývoj v letošním roce, kdy mírně přibývalo zaměstnaneckých míst, a po více než třech letech zde vzrostl i počet podnikatelů.</w:t>
            </w:r>
            <w:r>
              <w:rPr>
                <w:color w:val="0D0D0D" w:themeColor="text1" w:themeTint="F2"/>
                <w:spacing w:val="-4"/>
              </w:rPr>
              <w:t xml:space="preserve"> Podniky v průmyslu, stavebnictví i v některých „</w:t>
            </w:r>
            <w:proofErr w:type="spellStart"/>
            <w:r>
              <w:rPr>
                <w:color w:val="0D0D0D" w:themeColor="text1" w:themeTint="F2"/>
                <w:spacing w:val="-4"/>
              </w:rPr>
              <w:t>nízkovýdělkových</w:t>
            </w:r>
            <w:proofErr w:type="spellEnd"/>
            <w:r>
              <w:rPr>
                <w:color w:val="0D0D0D" w:themeColor="text1" w:themeTint="F2"/>
                <w:spacing w:val="-4"/>
              </w:rPr>
              <w:t xml:space="preserve">“ odvětvích služeb z významné části saturovaly poptávku po volné pracovní síle </w:t>
            </w:r>
            <w:r>
              <w:rPr>
                <w:spacing w:val="-4"/>
              </w:rPr>
              <w:t xml:space="preserve">náborem </w:t>
            </w:r>
            <w:r w:rsidRPr="003278DA">
              <w:rPr>
                <w:color w:val="0D0D0D" w:themeColor="text1" w:themeTint="F2"/>
                <w:spacing w:val="-4"/>
              </w:rPr>
              <w:t>ze zahraničí</w:t>
            </w:r>
            <w:r>
              <w:rPr>
                <w:color w:val="0D0D0D" w:themeColor="text1" w:themeTint="F2"/>
                <w:spacing w:val="-4"/>
              </w:rPr>
              <w:t>, neboť rezervoár potenciální pracovní síly z tuzemska se za poslední roky takřka vyčerpal</w:t>
            </w:r>
            <w:r>
              <w:rPr>
                <w:rStyle w:val="Znakapoznpodarou"/>
                <w:color w:val="0D0D0D" w:themeColor="text1" w:themeTint="F2"/>
                <w:spacing w:val="-4"/>
              </w:rPr>
              <w:footnoteReference w:id="67"/>
            </w:r>
            <w:r>
              <w:rPr>
                <w:color w:val="0D0D0D" w:themeColor="text1" w:themeTint="F2"/>
                <w:spacing w:val="-4"/>
              </w:rPr>
              <w:t xml:space="preserve">. </w:t>
            </w:r>
            <w:r w:rsidRPr="00DD3343">
              <w:rPr>
                <w:spacing w:val="-4"/>
              </w:rPr>
              <w:t xml:space="preserve">Růst počtu cizinců pracujících v Česku letos během jara </w:t>
            </w:r>
            <w:r>
              <w:rPr>
                <w:spacing w:val="-4"/>
              </w:rPr>
              <w:t xml:space="preserve">i léta </w:t>
            </w:r>
            <w:r w:rsidRPr="00DD3343">
              <w:rPr>
                <w:spacing w:val="-4"/>
              </w:rPr>
              <w:t>zřetelně zrychlil</w:t>
            </w:r>
            <w:r w:rsidRPr="003278DA">
              <w:rPr>
                <w:rStyle w:val="Znakapoznpodarou"/>
                <w:color w:val="0D0D0D" w:themeColor="text1" w:themeTint="F2"/>
                <w:spacing w:val="-4"/>
              </w:rPr>
              <w:footnoteReference w:id="68"/>
            </w:r>
            <w:r w:rsidRPr="00DD3343">
              <w:rPr>
                <w:spacing w:val="-4"/>
              </w:rPr>
              <w:t xml:space="preserve">. </w:t>
            </w:r>
            <w:r w:rsidRPr="00DD3343">
              <w:rPr>
                <w:spacing w:val="-4"/>
              </w:rPr>
              <w:lastRenderedPageBreak/>
              <w:t>Pomohla tomu počínající integrace uprchlíků z Ukrajiny, řádově menší vliv měla pokračující ekonomická migrace z hospodářsky slabších regionů EU i ze států mimo EU</w:t>
            </w:r>
            <w:r>
              <w:rPr>
                <w:spacing w:val="-4"/>
              </w:rPr>
              <w:t>.</w:t>
            </w:r>
          </w:p>
        </w:tc>
      </w:tr>
      <w:tr w:rsidR="001F6483" w:rsidRPr="009F0D7F" w14:paraId="0F1433AC" w14:textId="77777777" w:rsidTr="00594D20">
        <w:trPr>
          <w:trHeight w:val="155"/>
        </w:trPr>
        <w:tc>
          <w:tcPr>
            <w:tcW w:w="1636" w:type="dxa"/>
            <w:shd w:val="clear" w:color="auto" w:fill="auto"/>
            <w:tcMar>
              <w:left w:w="0" w:type="dxa"/>
            </w:tcMar>
          </w:tcPr>
          <w:p w14:paraId="32D39779" w14:textId="77777777" w:rsidR="001F6483" w:rsidRDefault="001F6483" w:rsidP="00594D20">
            <w:pPr>
              <w:pStyle w:val="Marginlie"/>
              <w:spacing w:after="120"/>
              <w:rPr>
                <w:color w:val="0D0D0D" w:themeColor="text1" w:themeTint="F2"/>
                <w:spacing w:val="-4"/>
              </w:rPr>
            </w:pPr>
            <w:r>
              <w:rPr>
                <w:color w:val="0D0D0D" w:themeColor="text1" w:themeTint="F2"/>
                <w:spacing w:val="-4"/>
              </w:rPr>
              <w:lastRenderedPageBreak/>
              <w:t>Růst počtu odpracovaných hodin převyšoval dynamiku fyzického počtu pracovníků.</w:t>
            </w:r>
          </w:p>
        </w:tc>
        <w:tc>
          <w:tcPr>
            <w:tcW w:w="205" w:type="dxa"/>
            <w:shd w:val="clear" w:color="auto" w:fill="auto"/>
            <w:tcMar>
              <w:left w:w="0" w:type="dxa"/>
            </w:tcMar>
          </w:tcPr>
          <w:p w14:paraId="7A66D90A" w14:textId="77777777" w:rsidR="001F6483" w:rsidRPr="009F0D7F"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56A15DE6" w14:textId="77777777" w:rsidR="001F6483" w:rsidRDefault="001F6483" w:rsidP="00594D20">
            <w:pPr>
              <w:spacing w:after="0"/>
              <w:rPr>
                <w:spacing w:val="-4"/>
              </w:rPr>
            </w:pPr>
            <w:r>
              <w:rPr>
                <w:color w:val="0D0D0D" w:themeColor="text1" w:themeTint="F2"/>
                <w:spacing w:val="-4"/>
              </w:rPr>
              <w:t xml:space="preserve">Pokračoval růst počtu </w:t>
            </w:r>
            <w:r w:rsidRPr="00631DC2">
              <w:rPr>
                <w:color w:val="0D0D0D" w:themeColor="text1" w:themeTint="F2"/>
                <w:spacing w:val="-4"/>
              </w:rPr>
              <w:t xml:space="preserve">odpracovaných hodin v celé </w:t>
            </w:r>
            <w:r>
              <w:rPr>
                <w:spacing w:val="-4"/>
              </w:rPr>
              <w:t xml:space="preserve">ekonomice trvající od loňského jara. Výhradně díky zaměstnancům se počty hodin v letošním 3. čtvrtletí meziročně zvýšily </w:t>
            </w:r>
            <w:r>
              <w:rPr>
                <w:spacing w:val="-4"/>
              </w:rPr>
              <w:br/>
              <w:t>o rovná 2 % (v úhrnu za tři letošní kvartály o 4,3 %). Vzrostla tak svižněji než fyzický počet pracujících. K posílení zaměstnanosti tak patrně docházelo i vyšší nabídkou zkrácených úvazků, popř. dalších forem (např. dohod o pracovní činnosti), což mohlo souviset s </w:t>
            </w:r>
            <w:proofErr w:type="spellStart"/>
            <w:r>
              <w:rPr>
                <w:spacing w:val="-4"/>
              </w:rPr>
              <w:t>pokrizovým</w:t>
            </w:r>
            <w:proofErr w:type="spellEnd"/>
            <w:r>
              <w:rPr>
                <w:spacing w:val="-4"/>
              </w:rPr>
              <w:t xml:space="preserve"> oživením v oblasti tržních služeb, zčásti i s postupným zapojováním uprchlíků na pracovní trh. Silný růst odpracované doby signalizují v posledních dvou letech činnosti v oblasti nemovitostí.</w:t>
            </w:r>
          </w:p>
          <w:p w14:paraId="079C37C5" w14:textId="77777777" w:rsidR="001F6483" w:rsidRDefault="001F6483" w:rsidP="00594D20">
            <w:pPr>
              <w:spacing w:after="0"/>
              <w:rPr>
                <w:color w:val="0D0D0D" w:themeColor="text1" w:themeTint="F2"/>
                <w:spacing w:val="-4"/>
              </w:rPr>
            </w:pPr>
            <w:r>
              <w:rPr>
                <w:spacing w:val="-4"/>
              </w:rPr>
              <w:t xml:space="preserve"> </w:t>
            </w:r>
          </w:p>
        </w:tc>
      </w:tr>
      <w:tr w:rsidR="001F6483" w:rsidRPr="009F2A8A" w14:paraId="7E7F03E8" w14:textId="77777777" w:rsidTr="00594D20">
        <w:trPr>
          <w:trHeight w:val="155"/>
        </w:trPr>
        <w:tc>
          <w:tcPr>
            <w:tcW w:w="1636" w:type="dxa"/>
            <w:vMerge w:val="restart"/>
            <w:shd w:val="clear" w:color="auto" w:fill="auto"/>
            <w:tcMar>
              <w:left w:w="0" w:type="dxa"/>
            </w:tcMar>
          </w:tcPr>
          <w:p w14:paraId="150EFC51" w14:textId="77777777" w:rsidR="001F6483" w:rsidRPr="00B43216" w:rsidRDefault="001F6483" w:rsidP="00594D20">
            <w:pPr>
              <w:pStyle w:val="Marginlie"/>
              <w:spacing w:after="120"/>
              <w:rPr>
                <w:spacing w:val="-4"/>
              </w:rPr>
            </w:pPr>
          </w:p>
        </w:tc>
        <w:tc>
          <w:tcPr>
            <w:tcW w:w="205" w:type="dxa"/>
            <w:vMerge w:val="restart"/>
            <w:shd w:val="clear" w:color="auto" w:fill="auto"/>
            <w:tcMar>
              <w:left w:w="0" w:type="dxa"/>
            </w:tcMar>
          </w:tcPr>
          <w:p w14:paraId="7AF2770E" w14:textId="77777777" w:rsidR="001F6483" w:rsidRPr="00B43216" w:rsidRDefault="001F6483" w:rsidP="00594D20">
            <w:pPr>
              <w:pStyle w:val="Textpoznpodarou"/>
              <w:spacing w:after="120"/>
              <w:jc w:val="both"/>
              <w:rPr>
                <w:spacing w:val="-4"/>
              </w:rPr>
            </w:pPr>
          </w:p>
        </w:tc>
        <w:tc>
          <w:tcPr>
            <w:tcW w:w="7833" w:type="dxa"/>
            <w:shd w:val="clear" w:color="auto" w:fill="auto"/>
            <w:tcMar>
              <w:left w:w="0" w:type="dxa"/>
            </w:tcMar>
          </w:tcPr>
          <w:p w14:paraId="42CE46CD" w14:textId="77777777" w:rsidR="001F6483" w:rsidRPr="00CA5850" w:rsidRDefault="001F6483" w:rsidP="00594D20">
            <w:pPr>
              <w:spacing w:after="0"/>
              <w:rPr>
                <w:spacing w:val="-2"/>
              </w:rPr>
            </w:pPr>
            <w:r>
              <w:rPr>
                <w:rFonts w:cs="Arial"/>
                <w:b/>
                <w:bCs/>
                <w:color w:val="000000"/>
                <w:szCs w:val="20"/>
              </w:rPr>
              <w:t>Graf č. 13</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1F6483" w:rsidRPr="00B43216" w14:paraId="4BD8F581" w14:textId="77777777" w:rsidTr="00594D20">
        <w:tblPrEx>
          <w:tblCellMar>
            <w:left w:w="70" w:type="dxa"/>
            <w:right w:w="70" w:type="dxa"/>
          </w:tblCellMar>
        </w:tblPrEx>
        <w:trPr>
          <w:trHeight w:val="155"/>
        </w:trPr>
        <w:tc>
          <w:tcPr>
            <w:tcW w:w="1636" w:type="dxa"/>
            <w:vMerge/>
            <w:shd w:val="clear" w:color="auto" w:fill="auto"/>
          </w:tcPr>
          <w:p w14:paraId="69C5C886" w14:textId="77777777" w:rsidR="001F6483" w:rsidRPr="00B43216" w:rsidRDefault="001F6483" w:rsidP="00594D20">
            <w:pPr>
              <w:pStyle w:val="Marginlie"/>
              <w:spacing w:after="120"/>
              <w:rPr>
                <w:spacing w:val="-4"/>
              </w:rPr>
            </w:pPr>
          </w:p>
        </w:tc>
        <w:tc>
          <w:tcPr>
            <w:tcW w:w="205" w:type="dxa"/>
            <w:vMerge/>
            <w:shd w:val="clear" w:color="auto" w:fill="auto"/>
          </w:tcPr>
          <w:p w14:paraId="63AAB696" w14:textId="77777777" w:rsidR="001F6483" w:rsidRPr="00B43216" w:rsidRDefault="001F6483" w:rsidP="00594D20">
            <w:pPr>
              <w:pStyle w:val="Textpoznpodarou"/>
              <w:spacing w:after="120"/>
              <w:jc w:val="both"/>
              <w:rPr>
                <w:spacing w:val="-4"/>
              </w:rPr>
            </w:pPr>
          </w:p>
        </w:tc>
        <w:tc>
          <w:tcPr>
            <w:tcW w:w="7833" w:type="dxa"/>
            <w:shd w:val="clear" w:color="auto" w:fill="auto"/>
          </w:tcPr>
          <w:p w14:paraId="272B86A3" w14:textId="77777777" w:rsidR="001F6483" w:rsidRPr="00B43216" w:rsidRDefault="001F6483" w:rsidP="00594D20">
            <w:pPr>
              <w:spacing w:after="0"/>
              <w:rPr>
                <w:spacing w:val="-4"/>
              </w:rPr>
            </w:pPr>
            <w:r>
              <w:rPr>
                <w:noProof/>
              </w:rPr>
              <w:drawing>
                <wp:inline distT="0" distB="0" distL="0" distR="0" wp14:anchorId="0A9CEEE8" wp14:editId="4185E956">
                  <wp:extent cx="4762196" cy="3672205"/>
                  <wp:effectExtent l="0" t="0" r="635"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1F6483" w:rsidRPr="00485ED5" w14:paraId="35E0D78A" w14:textId="77777777" w:rsidTr="00594D20">
        <w:trPr>
          <w:trHeight w:val="671"/>
        </w:trPr>
        <w:tc>
          <w:tcPr>
            <w:tcW w:w="1636" w:type="dxa"/>
            <w:vMerge/>
            <w:shd w:val="clear" w:color="auto" w:fill="auto"/>
            <w:tcMar>
              <w:left w:w="0" w:type="dxa"/>
            </w:tcMar>
          </w:tcPr>
          <w:p w14:paraId="5D4F2AFB" w14:textId="77777777" w:rsidR="001F6483" w:rsidRPr="00B43216" w:rsidRDefault="001F6483" w:rsidP="00594D20">
            <w:pPr>
              <w:pStyle w:val="Marginlie"/>
              <w:spacing w:after="120"/>
              <w:rPr>
                <w:spacing w:val="-4"/>
              </w:rPr>
            </w:pPr>
          </w:p>
        </w:tc>
        <w:tc>
          <w:tcPr>
            <w:tcW w:w="205" w:type="dxa"/>
            <w:vMerge/>
            <w:shd w:val="clear" w:color="auto" w:fill="auto"/>
            <w:tcMar>
              <w:left w:w="0" w:type="dxa"/>
            </w:tcMar>
          </w:tcPr>
          <w:p w14:paraId="4130C636" w14:textId="77777777" w:rsidR="001F6483" w:rsidRPr="00B43216" w:rsidRDefault="001F6483" w:rsidP="00594D20">
            <w:pPr>
              <w:pStyle w:val="Textpoznpodarou"/>
              <w:spacing w:after="120"/>
              <w:jc w:val="both"/>
              <w:rPr>
                <w:spacing w:val="-4"/>
              </w:rPr>
            </w:pPr>
          </w:p>
        </w:tc>
        <w:tc>
          <w:tcPr>
            <w:tcW w:w="7833" w:type="dxa"/>
            <w:shd w:val="clear" w:color="auto" w:fill="auto"/>
            <w:tcMar>
              <w:left w:w="0" w:type="dxa"/>
            </w:tcMar>
          </w:tcPr>
          <w:p w14:paraId="0730D618" w14:textId="77777777" w:rsidR="001F6483" w:rsidRDefault="001F6483" w:rsidP="00594D20">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77920D57" w14:textId="77777777" w:rsidR="001F6483" w:rsidRDefault="001F6483" w:rsidP="00594D20">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 b. mezi kategoriemi růst versus pokles zaměstnanosti v nejbližších třech měsících. Údaje jsou sezónně očištěny a vztahují se k druhému měsíci daného čtvrtletí.</w:t>
            </w:r>
          </w:p>
          <w:p w14:paraId="3916AC68" w14:textId="77777777" w:rsidR="001F6483" w:rsidRPr="00485ED5" w:rsidRDefault="001F6483" w:rsidP="00594D20">
            <w:pPr>
              <w:spacing w:after="200" w:line="240" w:lineRule="auto"/>
              <w:rPr>
                <w:rFonts w:cs="Arial"/>
                <w:color w:val="0D0D0D" w:themeColor="text1" w:themeTint="F2"/>
                <w:spacing w:val="-2"/>
                <w:sz w:val="14"/>
                <w:szCs w:val="14"/>
              </w:rPr>
            </w:pPr>
            <w:r>
              <w:rPr>
                <w:rFonts w:cs="Arial"/>
                <w:sz w:val="14"/>
                <w:szCs w:val="14"/>
              </w:rPr>
              <w:t xml:space="preserve">Zdroj: ČSÚ, </w:t>
            </w:r>
            <w:proofErr w:type="spellStart"/>
            <w:r>
              <w:rPr>
                <w:rFonts w:cs="Arial"/>
                <w:sz w:val="14"/>
                <w:szCs w:val="14"/>
              </w:rPr>
              <w:t>Eurostat</w:t>
            </w:r>
            <w:proofErr w:type="spellEnd"/>
            <w:r>
              <w:rPr>
                <w:rFonts w:cs="Arial"/>
                <w:sz w:val="14"/>
                <w:szCs w:val="14"/>
              </w:rPr>
              <w:t xml:space="preserve"> (VŠPS, konjunkturální průzkumy)</w:t>
            </w:r>
          </w:p>
        </w:tc>
      </w:tr>
      <w:tr w:rsidR="001F6483" w:rsidRPr="00D82DBD" w14:paraId="56C02D9D" w14:textId="77777777" w:rsidTr="00594D20">
        <w:trPr>
          <w:trHeight w:val="145"/>
        </w:trPr>
        <w:tc>
          <w:tcPr>
            <w:tcW w:w="1636" w:type="dxa"/>
            <w:shd w:val="clear" w:color="auto" w:fill="auto"/>
            <w:tcMar>
              <w:left w:w="0" w:type="dxa"/>
            </w:tcMar>
          </w:tcPr>
          <w:p w14:paraId="0DB9A719" w14:textId="77777777" w:rsidR="001F6483" w:rsidRDefault="001F6483" w:rsidP="00594D20">
            <w:pPr>
              <w:pStyle w:val="Marginlie"/>
              <w:rPr>
                <w:color w:val="0D0D0D" w:themeColor="text1" w:themeTint="F2"/>
                <w:spacing w:val="-5"/>
              </w:rPr>
            </w:pPr>
            <w:r>
              <w:rPr>
                <w:color w:val="0D0D0D" w:themeColor="text1" w:themeTint="F2"/>
                <w:spacing w:val="-4"/>
              </w:rPr>
              <w:t xml:space="preserve">Očekávání podniků v oblasti zaměstnanost se postupně zhoršovala. Negativní byla v průmyslu, stavebnictví i službách. Optimismus si stále udržovali obchodníci. </w:t>
            </w:r>
          </w:p>
        </w:tc>
        <w:tc>
          <w:tcPr>
            <w:tcW w:w="205" w:type="dxa"/>
            <w:shd w:val="clear" w:color="auto" w:fill="auto"/>
            <w:tcMar>
              <w:left w:w="0" w:type="dxa"/>
            </w:tcMar>
          </w:tcPr>
          <w:p w14:paraId="264C1505" w14:textId="77777777" w:rsidR="001F6483" w:rsidRPr="00BC6AA8"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4FCF175D" w14:textId="77777777" w:rsidR="001F6483" w:rsidRPr="00A21D51" w:rsidRDefault="001F6483" w:rsidP="00594D20">
            <w:pPr>
              <w:spacing w:after="200"/>
              <w:rPr>
                <w:color w:val="1D1B11" w:themeColor="background2" w:themeShade="1A"/>
                <w:spacing w:val="-4"/>
              </w:rPr>
            </w:pPr>
            <w:r w:rsidRPr="00A21D51">
              <w:rPr>
                <w:color w:val="1D1B11" w:themeColor="background2" w:themeShade="1A"/>
                <w:spacing w:val="-4"/>
              </w:rPr>
              <w:t xml:space="preserve">Krátkodobá </w:t>
            </w:r>
            <w:r w:rsidRPr="007B0242">
              <w:rPr>
                <w:color w:val="0D0D0D" w:themeColor="text1" w:themeTint="F2"/>
                <w:spacing w:val="-4"/>
              </w:rPr>
              <w:t xml:space="preserve">očekávání podniků v celé ekonomice v oblasti zaměstnanosti se </w:t>
            </w:r>
            <w:r w:rsidRPr="00A21D51">
              <w:rPr>
                <w:color w:val="1D1B11" w:themeColor="background2" w:themeShade="1A"/>
                <w:spacing w:val="-4"/>
              </w:rPr>
              <w:t xml:space="preserve">po optimistických výhledech z počátku </w:t>
            </w:r>
            <w:r>
              <w:rPr>
                <w:color w:val="1D1B11" w:themeColor="background2" w:themeShade="1A"/>
                <w:spacing w:val="-4"/>
              </w:rPr>
              <w:t>letošního roku (kdy byla nejvyšší od léta 2019) postupně mírně zhoršovala</w:t>
            </w:r>
            <w:r w:rsidRPr="00A21D51">
              <w:rPr>
                <w:color w:val="1D1B11" w:themeColor="background2" w:themeShade="1A"/>
                <w:spacing w:val="-4"/>
              </w:rPr>
              <w:t>.</w:t>
            </w:r>
            <w:r>
              <w:rPr>
                <w:color w:val="1D1B11" w:themeColor="background2" w:themeShade="1A"/>
                <w:spacing w:val="-4"/>
              </w:rPr>
              <w:t xml:space="preserve"> Zřetelný optimismus si navzdory klesající spotřebě domácností udržely</w:t>
            </w:r>
            <w:r w:rsidRPr="00A21D51">
              <w:rPr>
                <w:color w:val="1D1B11" w:themeColor="background2" w:themeShade="1A"/>
                <w:spacing w:val="-4"/>
              </w:rPr>
              <w:t xml:space="preserve"> podniky v obchodu. </w:t>
            </w:r>
            <w:r>
              <w:rPr>
                <w:color w:val="1D1B11" w:themeColor="background2" w:themeShade="1A"/>
                <w:spacing w:val="-4"/>
              </w:rPr>
              <w:t>Vytvářet nová pracovní místa (</w:t>
            </w:r>
            <w:r w:rsidRPr="00A21D51">
              <w:rPr>
                <w:color w:val="1D1B11" w:themeColor="background2" w:themeShade="1A"/>
                <w:spacing w:val="-4"/>
              </w:rPr>
              <w:t>v </w:t>
            </w:r>
            <w:r>
              <w:rPr>
                <w:color w:val="1D1B11" w:themeColor="background2" w:themeShade="1A"/>
                <w:spacing w:val="-4"/>
              </w:rPr>
              <w:t xml:space="preserve">příštích třech měsících) plánovalo v listopadu </w:t>
            </w:r>
            <w:proofErr w:type="gramStart"/>
            <w:r>
              <w:rPr>
                <w:color w:val="1D1B11" w:themeColor="background2" w:themeShade="1A"/>
                <w:spacing w:val="-4"/>
              </w:rPr>
              <w:t xml:space="preserve">30 </w:t>
            </w:r>
            <w:r>
              <w:rPr>
                <w:spacing w:val="-4"/>
              </w:rPr>
              <w:t> </w:t>
            </w:r>
            <w:r w:rsidRPr="00A21D51">
              <w:rPr>
                <w:color w:val="1D1B11" w:themeColor="background2" w:themeShade="1A"/>
                <w:spacing w:val="-4"/>
              </w:rPr>
              <w:t>%</w:t>
            </w:r>
            <w:proofErr w:type="gramEnd"/>
            <w:r w:rsidRPr="00A21D51">
              <w:rPr>
                <w:color w:val="1D1B11" w:themeColor="background2" w:themeShade="1A"/>
                <w:spacing w:val="-4"/>
              </w:rPr>
              <w:t xml:space="preserve"> z nich, snižování stavů </w:t>
            </w:r>
            <w:r>
              <w:rPr>
                <w:color w:val="1D1B11" w:themeColor="background2" w:themeShade="1A"/>
                <w:spacing w:val="-4"/>
              </w:rPr>
              <w:t>zaměstnanců pak 9</w:t>
            </w:r>
            <w:r w:rsidRPr="00A21D51">
              <w:rPr>
                <w:color w:val="1D1B11" w:themeColor="background2" w:themeShade="1A"/>
                <w:spacing w:val="-4"/>
              </w:rPr>
              <w:t xml:space="preserve"> %</w:t>
            </w:r>
            <w:r>
              <w:rPr>
                <w:rStyle w:val="Znakapoznpodarou"/>
                <w:color w:val="1D1B11" w:themeColor="background2" w:themeShade="1A"/>
                <w:spacing w:val="-4"/>
              </w:rPr>
              <w:footnoteReference w:id="69"/>
            </w:r>
            <w:r w:rsidRPr="00A21D51">
              <w:rPr>
                <w:color w:val="1D1B11" w:themeColor="background2" w:themeShade="1A"/>
                <w:spacing w:val="-4"/>
              </w:rPr>
              <w:t xml:space="preserve">. </w:t>
            </w:r>
            <w:r>
              <w:rPr>
                <w:color w:val="1D1B11" w:themeColor="background2" w:themeShade="1A"/>
                <w:spacing w:val="-4"/>
              </w:rPr>
              <w:t xml:space="preserve">Naopak v průmyslu se negativní očekávání zejména během podzimních měsíců prohlubovala a redukci počtu </w:t>
            </w:r>
            <w:r>
              <w:rPr>
                <w:color w:val="1D1B11" w:themeColor="background2" w:themeShade="1A"/>
                <w:spacing w:val="-4"/>
              </w:rPr>
              <w:lastRenderedPageBreak/>
              <w:t>zaměstnanců očekávala skoro pětina firem (obdobně jako ve stavebnictví i ve službách)</w:t>
            </w:r>
            <w:r w:rsidRPr="00A21D51">
              <w:rPr>
                <w:rStyle w:val="Znakapoznpodarou"/>
                <w:color w:val="1D1B11" w:themeColor="background2" w:themeShade="1A"/>
                <w:spacing w:val="-4"/>
              </w:rPr>
              <w:footnoteReference w:id="70"/>
            </w:r>
            <w:r>
              <w:rPr>
                <w:color w:val="1D1B11" w:themeColor="background2" w:themeShade="1A"/>
                <w:spacing w:val="-4"/>
              </w:rPr>
              <w:t>. Během letošního roku došlo</w:t>
            </w:r>
            <w:r w:rsidRPr="00A21D51">
              <w:rPr>
                <w:color w:val="1D1B11" w:themeColor="background2" w:themeShade="1A"/>
                <w:spacing w:val="-4"/>
              </w:rPr>
              <w:t xml:space="preserve"> v souvislosti se zhoršením celkových ekonomických výhledů v některých odvětvích</w:t>
            </w:r>
            <w:r>
              <w:rPr>
                <w:color w:val="1D1B11" w:themeColor="background2" w:themeShade="1A"/>
                <w:spacing w:val="-4"/>
              </w:rPr>
              <w:t xml:space="preserve"> </w:t>
            </w:r>
            <w:r w:rsidRPr="00A21D51">
              <w:rPr>
                <w:color w:val="1D1B11" w:themeColor="background2" w:themeShade="1A"/>
                <w:spacing w:val="-4"/>
              </w:rPr>
              <w:t>k mírnému poklesu podílu podniků, pro něž představuje nedostatek pracovní síly jednu z</w:t>
            </w:r>
            <w:r>
              <w:rPr>
                <w:color w:val="1D1B11" w:themeColor="background2" w:themeShade="1A"/>
                <w:spacing w:val="-4"/>
              </w:rPr>
              <w:t> </w:t>
            </w:r>
            <w:r w:rsidRPr="00A21D51">
              <w:rPr>
                <w:color w:val="1D1B11" w:themeColor="background2" w:themeShade="1A"/>
                <w:spacing w:val="-4"/>
              </w:rPr>
              <w:t>významných růstových bariér. Zejména ve stavebnictví ovšem zů</w:t>
            </w:r>
            <w:r>
              <w:rPr>
                <w:color w:val="1D1B11" w:themeColor="background2" w:themeShade="1A"/>
                <w:spacing w:val="-4"/>
              </w:rPr>
              <w:t>stával tento problém nadále palčivý, neboť na sklonku roku limitoval více než</w:t>
            </w:r>
            <w:r w:rsidRPr="00A21D51">
              <w:rPr>
                <w:color w:val="1D1B11" w:themeColor="background2" w:themeShade="1A"/>
                <w:spacing w:val="-4"/>
              </w:rPr>
              <w:t xml:space="preserve"> 40 % podniků. </w:t>
            </w:r>
          </w:p>
        </w:tc>
      </w:tr>
      <w:tr w:rsidR="001F6483" w:rsidRPr="00D82DBD" w14:paraId="08CA1C8D" w14:textId="77777777" w:rsidTr="00594D20">
        <w:trPr>
          <w:trHeight w:val="145"/>
        </w:trPr>
        <w:tc>
          <w:tcPr>
            <w:tcW w:w="1636" w:type="dxa"/>
            <w:shd w:val="clear" w:color="auto" w:fill="auto"/>
            <w:tcMar>
              <w:left w:w="0" w:type="dxa"/>
            </w:tcMar>
          </w:tcPr>
          <w:p w14:paraId="25A2D048" w14:textId="77777777" w:rsidR="001F6483" w:rsidRDefault="001F6483" w:rsidP="00594D20">
            <w:pPr>
              <w:pStyle w:val="Marginlie"/>
              <w:rPr>
                <w:color w:val="0D0D0D" w:themeColor="text1" w:themeTint="F2"/>
                <w:spacing w:val="-5"/>
              </w:rPr>
            </w:pPr>
            <w:r>
              <w:rPr>
                <w:color w:val="0D0D0D" w:themeColor="text1" w:themeTint="F2"/>
                <w:spacing w:val="-5"/>
              </w:rPr>
              <w:lastRenderedPageBreak/>
              <w:t>Obecná míra nezaměstnanosti letos dosud mírně klesala. V</w:t>
            </w:r>
            <w:r>
              <w:rPr>
                <w:spacing w:val="-4"/>
              </w:rPr>
              <w:t> </w:t>
            </w:r>
            <w:r>
              <w:rPr>
                <w:color w:val="0D0D0D" w:themeColor="text1" w:themeTint="F2"/>
                <w:spacing w:val="-5"/>
              </w:rPr>
              <w:t>září dosahovala shodné úrovně jako před počátkem pandemie.</w:t>
            </w:r>
          </w:p>
          <w:p w14:paraId="721D1160" w14:textId="77777777" w:rsidR="001F6483" w:rsidRDefault="001F6483" w:rsidP="00594D20">
            <w:pPr>
              <w:pStyle w:val="Marginlie"/>
              <w:rPr>
                <w:color w:val="0D0D0D" w:themeColor="text1" w:themeTint="F2"/>
                <w:spacing w:val="-5"/>
              </w:rPr>
            </w:pPr>
          </w:p>
          <w:p w14:paraId="60308B0E" w14:textId="77777777" w:rsidR="001F6483" w:rsidRDefault="001F6483" w:rsidP="00594D20">
            <w:pPr>
              <w:pStyle w:val="Marginlie"/>
              <w:rPr>
                <w:color w:val="0D0D0D" w:themeColor="text1" w:themeTint="F2"/>
                <w:spacing w:val="-5"/>
              </w:rPr>
            </w:pPr>
          </w:p>
          <w:p w14:paraId="4153899A" w14:textId="77777777" w:rsidR="001F6483" w:rsidRDefault="001F6483" w:rsidP="00594D20">
            <w:pPr>
              <w:pStyle w:val="Marginlie"/>
              <w:rPr>
                <w:color w:val="0D0D0D" w:themeColor="text1" w:themeTint="F2"/>
                <w:spacing w:val="-5"/>
              </w:rPr>
            </w:pPr>
          </w:p>
          <w:p w14:paraId="3CD2B9E7" w14:textId="77777777" w:rsidR="001F6483" w:rsidRDefault="001F6483" w:rsidP="00594D20">
            <w:pPr>
              <w:pStyle w:val="Marginlie"/>
              <w:rPr>
                <w:color w:val="0D0D0D" w:themeColor="text1" w:themeTint="F2"/>
                <w:spacing w:val="-5"/>
              </w:rPr>
            </w:pPr>
          </w:p>
          <w:p w14:paraId="7B32AE67" w14:textId="77777777" w:rsidR="001F6483" w:rsidRDefault="001F6483" w:rsidP="00594D20">
            <w:pPr>
              <w:pStyle w:val="Marginlie"/>
              <w:rPr>
                <w:color w:val="0D0D0D" w:themeColor="text1" w:themeTint="F2"/>
                <w:spacing w:val="-5"/>
              </w:rPr>
            </w:pPr>
            <w:r>
              <w:rPr>
                <w:color w:val="0D0D0D" w:themeColor="text1" w:themeTint="F2"/>
                <w:spacing w:val="-5"/>
              </w:rPr>
              <w:t>Obavy lidí z růstu nezaměstnanosti se od jara setrvale zvyšují.</w:t>
            </w:r>
          </w:p>
          <w:p w14:paraId="62599D4D" w14:textId="77777777" w:rsidR="001F6483" w:rsidRDefault="001F6483" w:rsidP="00594D20">
            <w:pPr>
              <w:pStyle w:val="Marginlie"/>
              <w:rPr>
                <w:color w:val="0D0D0D" w:themeColor="text1" w:themeTint="F2"/>
                <w:spacing w:val="-5"/>
              </w:rPr>
            </w:pPr>
          </w:p>
          <w:p w14:paraId="22F484CA" w14:textId="77777777" w:rsidR="001F6483" w:rsidRPr="00BC6AA8" w:rsidRDefault="001F6483" w:rsidP="00594D20">
            <w:pPr>
              <w:pStyle w:val="Marginlie"/>
              <w:rPr>
                <w:color w:val="0D0D0D" w:themeColor="text1" w:themeTint="F2"/>
                <w:spacing w:val="-5"/>
              </w:rPr>
            </w:pPr>
          </w:p>
        </w:tc>
        <w:tc>
          <w:tcPr>
            <w:tcW w:w="205" w:type="dxa"/>
            <w:shd w:val="clear" w:color="auto" w:fill="auto"/>
            <w:tcMar>
              <w:left w:w="0" w:type="dxa"/>
            </w:tcMar>
          </w:tcPr>
          <w:p w14:paraId="19970FDA" w14:textId="77777777" w:rsidR="001F6483" w:rsidRPr="00BC6AA8"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5347E933" w14:textId="77777777" w:rsidR="001F6483" w:rsidRPr="009140C9" w:rsidRDefault="001F6483" w:rsidP="00594D20">
            <w:pPr>
              <w:spacing w:after="200"/>
              <w:rPr>
                <w:color w:val="0D0D0D" w:themeColor="text1" w:themeTint="F2"/>
                <w:spacing w:val="-4"/>
              </w:rPr>
            </w:pPr>
            <w:r w:rsidRPr="00F00222">
              <w:rPr>
                <w:color w:val="0D0D0D" w:themeColor="text1" w:themeTint="F2"/>
                <w:spacing w:val="-4"/>
              </w:rPr>
              <w:t>Obecná míra nezaměstnanosti</w:t>
            </w:r>
            <w:r w:rsidRPr="00F00222">
              <w:rPr>
                <w:rStyle w:val="Znakapoznpodarou"/>
                <w:color w:val="0D0D0D" w:themeColor="text1" w:themeTint="F2"/>
                <w:spacing w:val="-4"/>
              </w:rPr>
              <w:footnoteReference w:id="71"/>
            </w:r>
            <w:r w:rsidRPr="00F00222">
              <w:rPr>
                <w:color w:val="0D0D0D" w:themeColor="text1" w:themeTint="F2"/>
                <w:spacing w:val="-4"/>
              </w:rPr>
              <w:t xml:space="preserve"> (osob </w:t>
            </w:r>
            <w:r w:rsidRPr="00A21D51">
              <w:rPr>
                <w:color w:val="1D1B11" w:themeColor="background2" w:themeShade="1A"/>
                <w:spacing w:val="-4"/>
              </w:rPr>
              <w:t>ve věku 15 až 64 let</w:t>
            </w:r>
            <w:r>
              <w:rPr>
                <w:color w:val="1D1B11" w:themeColor="background2" w:themeShade="1A"/>
                <w:spacing w:val="-4"/>
              </w:rPr>
              <w:t xml:space="preserve">) letos v 1. až 3. čtvrtletí mírně klesala (až na zářijových 2,2 %). Zlepšovala se situace žen, což souviselo s pokračujícím oživením </w:t>
            </w:r>
            <w:r>
              <w:rPr>
                <w:color w:val="0D0D0D" w:themeColor="text1" w:themeTint="F2"/>
                <w:spacing w:val="-4"/>
              </w:rPr>
              <w:t xml:space="preserve">některých segmentů služeb silně zasažených propadem poptávky za pandemie. Nezaměstnanost mužů letos stagnovala blízko svého historického minima (těsně pod 2 %). Oproti loňskému září celková nezaměstnanost poklesla o 0,5 p. b. (podobně u mužů i žen) </w:t>
            </w:r>
            <w:r>
              <w:rPr>
                <w:color w:val="0D0D0D" w:themeColor="text1" w:themeTint="F2"/>
                <w:spacing w:val="-4"/>
              </w:rPr>
              <w:br/>
              <w:t>a byla srovnatelná s vrcholem z předpandemické konjunktury.</w:t>
            </w:r>
            <w:r>
              <w:rPr>
                <w:color w:val="1D1B11" w:themeColor="background2" w:themeShade="1A"/>
                <w:spacing w:val="-4"/>
              </w:rPr>
              <w:t xml:space="preserve"> Podobný obraz poskytují také údaje o počtech registrovaných uchazečů o práci</w:t>
            </w:r>
            <w:r>
              <w:rPr>
                <w:rStyle w:val="Znakapoznpodarou"/>
                <w:color w:val="1D1B11" w:themeColor="background2" w:themeShade="1A"/>
                <w:spacing w:val="-4"/>
              </w:rPr>
              <w:footnoteReference w:id="72"/>
            </w:r>
            <w:r>
              <w:rPr>
                <w:color w:val="1D1B11" w:themeColor="background2" w:themeShade="1A"/>
                <w:spacing w:val="-4"/>
              </w:rPr>
              <w:t>. Je pozitivní, že počet dlouhodobě nezaměstnaných se začal meziročně snižovat (v první polovině roku 2022 ještě rostl). Dle údajů VŠPS z 3. čtvrtletí tvořily osoby, jež byly bez práce déle než rok, čtvrtinu všech nezaměstnaných (tedy obdobný podíl jako v roce 2019).</w:t>
            </w:r>
            <w:r>
              <w:rPr>
                <w:color w:val="0D0D0D" w:themeColor="text1" w:themeTint="F2"/>
                <w:spacing w:val="-4"/>
              </w:rPr>
              <w:t xml:space="preserve"> Počet domácností očekávajících v nejbližších dvanácti měsících zhoršení hospodářské situace v ČR se během letošního jara výrazně zvýšil, což se postupně promítlo i do nárůstu obav lidí ze zvýšení nezaměstnanosti. Ty byly letos na podzim nejvyšší od loňského jara, silnější než v roce 2019, a značně převyšovaly úroveň z druhé poloviny poslední dekády.</w:t>
            </w:r>
          </w:p>
        </w:tc>
      </w:tr>
      <w:tr w:rsidR="001F6483" w:rsidRPr="00D82DBD" w14:paraId="312971F0" w14:textId="77777777" w:rsidTr="00594D20">
        <w:trPr>
          <w:trHeight w:val="145"/>
        </w:trPr>
        <w:tc>
          <w:tcPr>
            <w:tcW w:w="1636" w:type="dxa"/>
            <w:shd w:val="clear" w:color="auto" w:fill="auto"/>
            <w:tcMar>
              <w:left w:w="0" w:type="dxa"/>
            </w:tcMar>
          </w:tcPr>
          <w:p w14:paraId="4CB60A97" w14:textId="77777777" w:rsidR="001F6483" w:rsidRPr="003F5B27" w:rsidRDefault="001F6483" w:rsidP="00594D20">
            <w:pPr>
              <w:pStyle w:val="Marginlie"/>
              <w:rPr>
                <w:color w:val="0D0D0D" w:themeColor="text1" w:themeTint="F2"/>
                <w:spacing w:val="-5"/>
              </w:rPr>
            </w:pPr>
            <w:r>
              <w:rPr>
                <w:color w:val="0D0D0D" w:themeColor="text1" w:themeTint="F2"/>
                <w:spacing w:val="-5"/>
              </w:rPr>
              <w:t>Nabídka volných míst na ÚP letos od jara setrvale klesá. Nejvíce ubylo míst pro osoby s minimální kvalifikací.</w:t>
            </w:r>
          </w:p>
        </w:tc>
        <w:tc>
          <w:tcPr>
            <w:tcW w:w="205" w:type="dxa"/>
            <w:shd w:val="clear" w:color="auto" w:fill="auto"/>
            <w:tcMar>
              <w:left w:w="0" w:type="dxa"/>
            </w:tcMar>
          </w:tcPr>
          <w:p w14:paraId="7EC113A0" w14:textId="77777777" w:rsidR="001F6483" w:rsidRPr="00EA508C"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501AD9FC" w14:textId="77777777" w:rsidR="001F6483" w:rsidRPr="003C66DA" w:rsidRDefault="001F6483" w:rsidP="00594D20">
            <w:pPr>
              <w:spacing w:after="200"/>
              <w:rPr>
                <w:color w:val="0D0D0D" w:themeColor="text1" w:themeTint="F2"/>
                <w:spacing w:val="-4"/>
              </w:rPr>
            </w:pPr>
            <w:r w:rsidRPr="00303304">
              <w:rPr>
                <w:color w:val="0D0D0D" w:themeColor="text1" w:themeTint="F2"/>
                <w:spacing w:val="-4"/>
              </w:rPr>
              <w:t>Zatímc</w:t>
            </w:r>
            <w:r>
              <w:rPr>
                <w:color w:val="0D0D0D" w:themeColor="text1" w:themeTint="F2"/>
                <w:spacing w:val="-4"/>
              </w:rPr>
              <w:t xml:space="preserve">o vloni vykazoval počet </w:t>
            </w:r>
            <w:r w:rsidRPr="00303304">
              <w:rPr>
                <w:color w:val="0D0D0D" w:themeColor="text1" w:themeTint="F2"/>
                <w:spacing w:val="-4"/>
              </w:rPr>
              <w:t>volných pracovních míst (nabízených úřady práce</w:t>
            </w:r>
            <w:r>
              <w:rPr>
                <w:color w:val="0D0D0D" w:themeColor="text1" w:themeTint="F2"/>
                <w:spacing w:val="-4"/>
              </w:rPr>
              <w:t>-ÚP</w:t>
            </w:r>
            <w:r w:rsidRPr="00303304">
              <w:rPr>
                <w:color w:val="0D0D0D" w:themeColor="text1" w:themeTint="F2"/>
                <w:spacing w:val="-4"/>
              </w:rPr>
              <w:t xml:space="preserve">) typický sezónní průběh, </w:t>
            </w:r>
            <w:r>
              <w:rPr>
                <w:color w:val="0D0D0D" w:themeColor="text1" w:themeTint="F2"/>
                <w:spacing w:val="-4"/>
              </w:rPr>
              <w:t>letos i v době vrcholících sezónních prací se celková nabídka míst snižovala. Jestliže v únoru 2022 hlásily ÚP 364 tis. volných míst, na konci října 297 tis</w:t>
            </w:r>
            <w:r>
              <w:rPr>
                <w:rStyle w:val="Znakapoznpodarou"/>
                <w:color w:val="0D0D0D" w:themeColor="text1" w:themeTint="F2"/>
                <w:spacing w:val="-4"/>
              </w:rPr>
              <w:footnoteReference w:id="73"/>
            </w:r>
            <w:r>
              <w:rPr>
                <w:color w:val="0D0D0D" w:themeColor="text1" w:themeTint="F2"/>
                <w:spacing w:val="-4"/>
              </w:rPr>
              <w:t>. Zhruba 55 tis. míst ubylo i ve srovnání s loňským říjnem, především těch vyžadujících minimální kvalifikaci</w:t>
            </w:r>
            <w:r>
              <w:rPr>
                <w:rStyle w:val="Znakapoznpodarou"/>
                <w:color w:val="0D0D0D" w:themeColor="text1" w:themeTint="F2"/>
                <w:spacing w:val="-4"/>
              </w:rPr>
              <w:footnoteReference w:id="74"/>
            </w:r>
            <w:r>
              <w:rPr>
                <w:color w:val="0D0D0D" w:themeColor="text1" w:themeTint="F2"/>
                <w:spacing w:val="-4"/>
              </w:rPr>
              <w:t>. Lze předpokládat, že část méně kvalifikovaných míst mohli během jara obsadit uprchlíci z Ukrajiny</w:t>
            </w:r>
            <w:r>
              <w:rPr>
                <w:rStyle w:val="Znakapoznpodarou"/>
                <w:color w:val="0D0D0D" w:themeColor="text1" w:themeTint="F2"/>
                <w:spacing w:val="-4"/>
              </w:rPr>
              <w:footnoteReference w:id="75"/>
            </w:r>
            <w:r>
              <w:rPr>
                <w:color w:val="0D0D0D" w:themeColor="text1" w:themeTint="F2"/>
                <w:spacing w:val="-4"/>
              </w:rPr>
              <w:t>. Nabídku míst ovlivnil i cyklický útlum ekonomiky, neboť k menšímu omezení počtu volných míst došlo také u pozic s požadavkem na alespoň maturitní vzdělání (o 8 %). Převis veškeré nabídky volných míst nad počtem registrovaných uchazečů o práci nastal v říjnu v šesti krajích ČR a v necelé polovině okresů</w:t>
            </w:r>
            <w:r>
              <w:rPr>
                <w:rStyle w:val="Znakapoznpodarou"/>
                <w:color w:val="0D0D0D" w:themeColor="text1" w:themeTint="F2"/>
                <w:spacing w:val="-4"/>
              </w:rPr>
              <w:footnoteReference w:id="76"/>
            </w:r>
            <w:r>
              <w:rPr>
                <w:color w:val="0D0D0D" w:themeColor="text1" w:themeTint="F2"/>
                <w:spacing w:val="-4"/>
              </w:rPr>
              <w:t xml:space="preserve">. </w:t>
            </w:r>
          </w:p>
        </w:tc>
      </w:tr>
      <w:tr w:rsidR="001F6483" w:rsidRPr="00D82DBD" w14:paraId="441FDE38" w14:textId="77777777" w:rsidTr="00594D20">
        <w:trPr>
          <w:trHeight w:val="145"/>
        </w:trPr>
        <w:tc>
          <w:tcPr>
            <w:tcW w:w="1636" w:type="dxa"/>
            <w:shd w:val="clear" w:color="auto" w:fill="auto"/>
            <w:tcMar>
              <w:left w:w="0" w:type="dxa"/>
            </w:tcMar>
          </w:tcPr>
          <w:p w14:paraId="1E04D26A" w14:textId="77777777" w:rsidR="001F6483" w:rsidRDefault="001F6483" w:rsidP="00594D20">
            <w:pPr>
              <w:pStyle w:val="Marginlie"/>
              <w:rPr>
                <w:color w:val="0D0D0D" w:themeColor="text1" w:themeTint="F2"/>
                <w:spacing w:val="-5"/>
              </w:rPr>
            </w:pPr>
            <w:r>
              <w:rPr>
                <w:color w:val="0D0D0D" w:themeColor="text1" w:themeTint="F2"/>
                <w:spacing w:val="-5"/>
              </w:rPr>
              <w:t>Rozkolísání meziročního růstu mezd, typické po většinu pandemického období, se ve 3. čtvrtletí již příliš neprojevovalo.</w:t>
            </w:r>
          </w:p>
          <w:p w14:paraId="3A08F843" w14:textId="77777777" w:rsidR="001F6483" w:rsidRDefault="001F6483" w:rsidP="00594D20">
            <w:pPr>
              <w:pStyle w:val="Marginlie"/>
              <w:rPr>
                <w:color w:val="0D0D0D" w:themeColor="text1" w:themeTint="F2"/>
                <w:spacing w:val="-5"/>
              </w:rPr>
            </w:pPr>
          </w:p>
          <w:p w14:paraId="0528EE52" w14:textId="77777777" w:rsidR="001F6483" w:rsidRDefault="001F6483" w:rsidP="00594D20">
            <w:pPr>
              <w:pStyle w:val="Marginlie"/>
              <w:rPr>
                <w:color w:val="0D0D0D" w:themeColor="text1" w:themeTint="F2"/>
                <w:spacing w:val="-5"/>
              </w:rPr>
            </w:pPr>
          </w:p>
          <w:p w14:paraId="0E4B7A50" w14:textId="77777777" w:rsidR="001F6483" w:rsidRDefault="001F6483" w:rsidP="00594D20">
            <w:pPr>
              <w:pStyle w:val="Marginlie"/>
              <w:rPr>
                <w:color w:val="0D0D0D" w:themeColor="text1" w:themeTint="F2"/>
                <w:spacing w:val="-5"/>
              </w:rPr>
            </w:pPr>
          </w:p>
          <w:p w14:paraId="009FFD39" w14:textId="77777777" w:rsidR="001F6483" w:rsidRDefault="001F6483" w:rsidP="00594D20">
            <w:pPr>
              <w:pStyle w:val="Marginlie"/>
              <w:rPr>
                <w:color w:val="0D0D0D" w:themeColor="text1" w:themeTint="F2"/>
                <w:spacing w:val="-5"/>
              </w:rPr>
            </w:pPr>
          </w:p>
          <w:p w14:paraId="14C222FD" w14:textId="77777777" w:rsidR="001F6483" w:rsidRDefault="001F6483" w:rsidP="00594D20">
            <w:pPr>
              <w:pStyle w:val="Marginlie"/>
              <w:rPr>
                <w:color w:val="0D0D0D" w:themeColor="text1" w:themeTint="F2"/>
                <w:spacing w:val="-5"/>
              </w:rPr>
            </w:pPr>
          </w:p>
          <w:p w14:paraId="76C50EFD" w14:textId="77777777" w:rsidR="001F6483" w:rsidRDefault="001F6483" w:rsidP="00594D20">
            <w:pPr>
              <w:pStyle w:val="Marginlie"/>
              <w:rPr>
                <w:color w:val="0D0D0D" w:themeColor="text1" w:themeTint="F2"/>
                <w:spacing w:val="-5"/>
              </w:rPr>
            </w:pPr>
            <w:r>
              <w:rPr>
                <w:color w:val="0D0D0D" w:themeColor="text1" w:themeTint="F2"/>
                <w:spacing w:val="-5"/>
              </w:rPr>
              <w:t>Meziroční propad reálných mezd se druhé čtvrtletí v řadě přiblížil 10 %. Postihl všechna odvětví a regiony.</w:t>
            </w:r>
          </w:p>
          <w:p w14:paraId="00DCE568" w14:textId="77777777" w:rsidR="001F6483" w:rsidRDefault="001F6483" w:rsidP="00594D20">
            <w:pPr>
              <w:pStyle w:val="Marginlie"/>
              <w:rPr>
                <w:color w:val="0D0D0D" w:themeColor="text1" w:themeTint="F2"/>
                <w:spacing w:val="-5"/>
              </w:rPr>
            </w:pPr>
            <w:r>
              <w:rPr>
                <w:color w:val="0D0D0D" w:themeColor="text1" w:themeTint="F2"/>
                <w:spacing w:val="-5"/>
              </w:rPr>
              <w:t>.</w:t>
            </w:r>
          </w:p>
        </w:tc>
        <w:tc>
          <w:tcPr>
            <w:tcW w:w="205" w:type="dxa"/>
            <w:shd w:val="clear" w:color="auto" w:fill="auto"/>
            <w:tcMar>
              <w:left w:w="0" w:type="dxa"/>
            </w:tcMar>
          </w:tcPr>
          <w:p w14:paraId="3559686D" w14:textId="77777777" w:rsidR="001F6483" w:rsidRPr="00EA508C" w:rsidRDefault="001F6483" w:rsidP="00594D20">
            <w:pPr>
              <w:pStyle w:val="Textpoznpodarou"/>
              <w:spacing w:after="120"/>
              <w:jc w:val="both"/>
              <w:rPr>
                <w:color w:val="0D0D0D" w:themeColor="text1" w:themeTint="F2"/>
                <w:spacing w:val="-4"/>
              </w:rPr>
            </w:pPr>
          </w:p>
        </w:tc>
        <w:tc>
          <w:tcPr>
            <w:tcW w:w="7833" w:type="dxa"/>
            <w:shd w:val="clear" w:color="auto" w:fill="auto"/>
            <w:tcMar>
              <w:left w:w="0" w:type="dxa"/>
            </w:tcMar>
          </w:tcPr>
          <w:p w14:paraId="4207E66E" w14:textId="77777777" w:rsidR="001F6483" w:rsidRPr="00C31B9C" w:rsidRDefault="001F6483" w:rsidP="00594D20">
            <w:pPr>
              <w:spacing w:after="200"/>
              <w:rPr>
                <w:color w:val="0D0D0D" w:themeColor="text1" w:themeTint="F2"/>
                <w:spacing w:val="-2"/>
              </w:rPr>
            </w:pPr>
            <w:r w:rsidRPr="00C31B9C">
              <w:rPr>
                <w:color w:val="0D0D0D" w:themeColor="text1" w:themeTint="F2"/>
                <w:spacing w:val="-2"/>
              </w:rPr>
              <w:t xml:space="preserve">Průměrná hrubá měsíční nominální mzda (na zaměstnance, při zohlednění délky úvazku) vystoupala ve 3. čtvrtletí 2022 těsně pod hranici 40 tis. korun. Její meziroční růst dosáhl 6,1 %, (jen nepatrně více než v prvním letošním pololetí, kdy činil 5,8 %). Na rozdíl od předchozích čtvrtletí není meziroční tempo rozostřeno rušivými vlivy. </w:t>
            </w:r>
            <w:r w:rsidRPr="00C31B9C">
              <w:rPr>
                <w:spacing w:val="-2"/>
              </w:rPr>
              <w:t>Ve 3. čtvrtletí nebyly letos ani loni v oblasti veřejných služeb vyplaceny mimořádné odměny ve významnějším objemu. Rovněž i průměrná odpracovan</w:t>
            </w:r>
            <w:r>
              <w:rPr>
                <w:spacing w:val="-2"/>
              </w:rPr>
              <w:t>á</w:t>
            </w:r>
            <w:r w:rsidRPr="00C31B9C">
              <w:rPr>
                <w:spacing w:val="-2"/>
              </w:rPr>
              <w:t xml:space="preserve"> doba připadající na zaměstnance v celé </w:t>
            </w:r>
            <w:r w:rsidRPr="00C31B9C">
              <w:rPr>
                <w:spacing w:val="-2"/>
              </w:rPr>
              <w:lastRenderedPageBreak/>
              <w:t xml:space="preserve">ekonomice nedoznala výraznějších odchylek (vlivem lockdownů a bezprostředně následujícího období rychlého oživení ekonomické aktivity). Mzda po očištění od sezónních vlivů se ve 3. čtvrtletí </w:t>
            </w:r>
            <w:r w:rsidRPr="00C31B9C">
              <w:rPr>
                <w:color w:val="0D0D0D" w:themeColor="text1" w:themeTint="F2"/>
                <w:spacing w:val="-2"/>
              </w:rPr>
              <w:t xml:space="preserve">mezikvartálně navýšila </w:t>
            </w:r>
            <w:r w:rsidRPr="00C31B9C">
              <w:rPr>
                <w:spacing w:val="-2"/>
              </w:rPr>
              <w:t>o 1,8 %, což v kontextu od počátku letošního roku naznačovalo mírnou akceleraci. To zdaleka nestačilo zaměstnancům pokrýt prudce rostoucí životní náklady. Propad průměrné reálné mzdy pokračoval čtvrtý kvartál v řadě a letos opakovaně přepisoval rekordní hodnoty. Ve 3. čtvrtletí, shodně jako v předchozím kvartálu, činil meziročně 9,8 %. Opět tak postihl všechna odvětví i regiony a byl rozhodujícím faktorem snížení celkové kupní síly tuzemských domácností</w:t>
            </w:r>
            <w:r w:rsidRPr="00C31B9C">
              <w:rPr>
                <w:rStyle w:val="Znakapoznpodarou"/>
                <w:spacing w:val="-2"/>
              </w:rPr>
              <w:footnoteReference w:id="77"/>
            </w:r>
            <w:r w:rsidRPr="00C31B9C">
              <w:rPr>
                <w:spacing w:val="-2"/>
              </w:rPr>
              <w:t xml:space="preserve">. </w:t>
            </w:r>
          </w:p>
        </w:tc>
      </w:tr>
      <w:tr w:rsidR="001F6483" w:rsidRPr="00B43216" w14:paraId="7EFC3F2B" w14:textId="77777777" w:rsidTr="00594D20">
        <w:trPr>
          <w:trHeight w:val="155"/>
        </w:trPr>
        <w:tc>
          <w:tcPr>
            <w:tcW w:w="1636" w:type="dxa"/>
            <w:vMerge w:val="restart"/>
            <w:shd w:val="clear" w:color="auto" w:fill="auto"/>
            <w:tcMar>
              <w:left w:w="0" w:type="dxa"/>
            </w:tcMar>
          </w:tcPr>
          <w:p w14:paraId="159CDAD2" w14:textId="77777777" w:rsidR="001F6483" w:rsidRPr="00B43216" w:rsidRDefault="001F6483" w:rsidP="00594D20">
            <w:pPr>
              <w:pStyle w:val="Marginlie"/>
              <w:spacing w:after="120"/>
              <w:rPr>
                <w:spacing w:val="-4"/>
              </w:rPr>
            </w:pPr>
          </w:p>
        </w:tc>
        <w:tc>
          <w:tcPr>
            <w:tcW w:w="205" w:type="dxa"/>
            <w:vMerge w:val="restart"/>
            <w:shd w:val="clear" w:color="auto" w:fill="auto"/>
            <w:tcMar>
              <w:left w:w="0" w:type="dxa"/>
            </w:tcMar>
          </w:tcPr>
          <w:p w14:paraId="3D8360EA" w14:textId="77777777" w:rsidR="001F6483" w:rsidRPr="00B43216" w:rsidRDefault="001F6483" w:rsidP="00594D20">
            <w:pPr>
              <w:pStyle w:val="Textpoznpodarou"/>
              <w:spacing w:after="120"/>
              <w:jc w:val="both"/>
              <w:rPr>
                <w:spacing w:val="-4"/>
              </w:rPr>
            </w:pPr>
          </w:p>
        </w:tc>
        <w:tc>
          <w:tcPr>
            <w:tcW w:w="7833" w:type="dxa"/>
            <w:shd w:val="clear" w:color="auto" w:fill="auto"/>
            <w:tcMar>
              <w:left w:w="0" w:type="dxa"/>
            </w:tcMar>
          </w:tcPr>
          <w:p w14:paraId="7429B471" w14:textId="77777777" w:rsidR="001F6483" w:rsidRPr="009C410C" w:rsidRDefault="001F6483" w:rsidP="00594D20">
            <w:pPr>
              <w:spacing w:after="0"/>
              <w:rPr>
                <w:b/>
                <w:spacing w:val="-4"/>
              </w:rPr>
            </w:pPr>
            <w:r>
              <w:rPr>
                <w:b/>
                <w:spacing w:val="-4"/>
              </w:rPr>
              <w:t>Graf č. 14</w:t>
            </w:r>
            <w:r w:rsidRPr="009C410C">
              <w:rPr>
                <w:b/>
                <w:spacing w:val="-4"/>
              </w:rPr>
              <w:t xml:space="preserve"> </w:t>
            </w:r>
            <w:r w:rsidRPr="009C410C">
              <w:rPr>
                <w:rFonts w:cs="Arial"/>
                <w:b/>
                <w:spacing w:val="-4"/>
              </w:rPr>
              <w:t xml:space="preserve">Obecná míra nezaměstnanosti </w:t>
            </w:r>
            <w:r w:rsidRPr="009C410C">
              <w:rPr>
                <w:rFonts w:cs="Arial"/>
                <w:bCs/>
                <w:spacing w:val="-4"/>
              </w:rPr>
              <w:t>(v %</w:t>
            </w:r>
            <w:r>
              <w:rPr>
                <w:rFonts w:cs="Arial"/>
                <w:bCs/>
                <w:spacing w:val="-4"/>
              </w:rPr>
              <w:t>, věk 15 až 64 let</w:t>
            </w:r>
            <w:r w:rsidRPr="009C410C">
              <w:rPr>
                <w:rFonts w:cs="Arial"/>
                <w:bCs/>
                <w:spacing w:val="-4"/>
              </w:rPr>
              <w:t>)</w:t>
            </w:r>
            <w:r w:rsidRPr="009C410C">
              <w:rPr>
                <w:rFonts w:cs="Arial"/>
                <w:b/>
                <w:spacing w:val="-4"/>
              </w:rPr>
              <w:t xml:space="preserve">, </w:t>
            </w:r>
            <w:r>
              <w:rPr>
                <w:rFonts w:cs="Arial"/>
                <w:b/>
                <w:spacing w:val="-4"/>
              </w:rPr>
              <w:t>míra ekonomické aktivity</w:t>
            </w:r>
            <w:r>
              <w:rPr>
                <w:rFonts w:cs="Arial"/>
                <w:bCs/>
                <w:spacing w:val="-4"/>
              </w:rPr>
              <w:t xml:space="preserve"> (v %, věk 15 až 64 let)</w:t>
            </w:r>
            <w:r w:rsidRPr="009C410C">
              <w:rPr>
                <w:rFonts w:cs="Arial"/>
                <w:b/>
                <w:spacing w:val="-4"/>
              </w:rPr>
              <w:t xml:space="preserve">, ekonomicky neaktivní chtějící pracovat </w:t>
            </w:r>
            <w:r w:rsidRPr="009C410C">
              <w:rPr>
                <w:rFonts w:cs="Arial"/>
                <w:bCs/>
                <w:spacing w:val="-4"/>
              </w:rPr>
              <w:t>(v tis.</w:t>
            </w:r>
            <w:r>
              <w:rPr>
                <w:rFonts w:cs="Arial"/>
                <w:bCs/>
                <w:spacing w:val="-4"/>
              </w:rPr>
              <w:t xml:space="preserve"> </w:t>
            </w:r>
            <w:proofErr w:type="gramStart"/>
            <w:r>
              <w:rPr>
                <w:rFonts w:cs="Arial"/>
                <w:bCs/>
                <w:spacing w:val="-4"/>
              </w:rPr>
              <w:t>osob</w:t>
            </w:r>
            <w:r w:rsidRPr="009C410C">
              <w:rPr>
                <w:rFonts w:cs="Arial"/>
                <w:bCs/>
                <w:spacing w:val="-4"/>
              </w:rPr>
              <w:t>)*</w:t>
            </w:r>
            <w:proofErr w:type="gramEnd"/>
            <w:r w:rsidRPr="00D94F3D">
              <w:rPr>
                <w:rFonts w:cs="Arial"/>
                <w:b/>
                <w:bCs/>
                <w:spacing w:val="-4"/>
              </w:rPr>
              <w:t xml:space="preserve">, volná pracovní místa </w:t>
            </w:r>
            <w:r>
              <w:rPr>
                <w:rFonts w:cs="Arial"/>
                <w:bCs/>
                <w:spacing w:val="-4"/>
              </w:rPr>
              <w:t xml:space="preserve">(v tis.) </w:t>
            </w:r>
            <w:r w:rsidRPr="00D94F3D">
              <w:rPr>
                <w:rFonts w:cs="Arial"/>
                <w:b/>
                <w:bCs/>
                <w:spacing w:val="-4"/>
              </w:rPr>
              <w:t>a</w:t>
            </w:r>
            <w:r w:rsidRPr="009C410C">
              <w:rPr>
                <w:rFonts w:cs="Arial"/>
                <w:bCs/>
                <w:spacing w:val="-4"/>
              </w:rPr>
              <w:t xml:space="preserve"> </w:t>
            </w:r>
            <w:r>
              <w:rPr>
                <w:rFonts w:cs="Arial"/>
                <w:b/>
                <w:bCs/>
                <w:spacing w:val="-4"/>
              </w:rPr>
              <w:t>očekávání nezaměstnanosti od domácností</w:t>
            </w:r>
            <w:r w:rsidRPr="009C410C">
              <w:rPr>
                <w:rFonts w:cs="Arial"/>
                <w:bCs/>
                <w:spacing w:val="-4"/>
              </w:rPr>
              <w:t xml:space="preserve"> (v p. b.)**</w:t>
            </w:r>
          </w:p>
        </w:tc>
      </w:tr>
      <w:tr w:rsidR="001F6483" w:rsidRPr="00B43216" w14:paraId="73A4B0F7" w14:textId="77777777" w:rsidTr="00594D20">
        <w:tblPrEx>
          <w:tblCellMar>
            <w:left w:w="70" w:type="dxa"/>
            <w:right w:w="70" w:type="dxa"/>
          </w:tblCellMar>
        </w:tblPrEx>
        <w:trPr>
          <w:trHeight w:val="155"/>
        </w:trPr>
        <w:tc>
          <w:tcPr>
            <w:tcW w:w="1636" w:type="dxa"/>
            <w:vMerge/>
            <w:shd w:val="clear" w:color="auto" w:fill="auto"/>
          </w:tcPr>
          <w:p w14:paraId="2E105905" w14:textId="77777777" w:rsidR="001F6483" w:rsidRPr="00B43216" w:rsidRDefault="001F6483" w:rsidP="00594D20">
            <w:pPr>
              <w:pStyle w:val="Marginlie"/>
              <w:spacing w:after="120"/>
              <w:rPr>
                <w:spacing w:val="-4"/>
              </w:rPr>
            </w:pPr>
          </w:p>
        </w:tc>
        <w:tc>
          <w:tcPr>
            <w:tcW w:w="205" w:type="dxa"/>
            <w:vMerge/>
            <w:shd w:val="clear" w:color="auto" w:fill="auto"/>
          </w:tcPr>
          <w:p w14:paraId="4433ED28" w14:textId="77777777" w:rsidR="001F6483" w:rsidRPr="00B43216" w:rsidRDefault="001F6483" w:rsidP="00594D20">
            <w:pPr>
              <w:pStyle w:val="Textpoznpodarou"/>
              <w:spacing w:after="120"/>
              <w:jc w:val="both"/>
              <w:rPr>
                <w:spacing w:val="-4"/>
              </w:rPr>
            </w:pPr>
          </w:p>
        </w:tc>
        <w:tc>
          <w:tcPr>
            <w:tcW w:w="7833" w:type="dxa"/>
            <w:shd w:val="clear" w:color="auto" w:fill="auto"/>
          </w:tcPr>
          <w:p w14:paraId="171DF74B" w14:textId="77777777" w:rsidR="001F6483" w:rsidRPr="00B43216" w:rsidRDefault="001F6483" w:rsidP="00594D20">
            <w:pPr>
              <w:spacing w:after="0"/>
              <w:rPr>
                <w:spacing w:val="-4"/>
              </w:rPr>
            </w:pPr>
            <w:r>
              <w:rPr>
                <w:noProof/>
              </w:rPr>
              <w:drawing>
                <wp:inline distT="0" distB="0" distL="0" distR="0" wp14:anchorId="495564C7" wp14:editId="6C080CA5">
                  <wp:extent cx="4753999" cy="3528000"/>
                  <wp:effectExtent l="0" t="0" r="889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1F6483" w:rsidRPr="00B43216" w14:paraId="2B39A333" w14:textId="77777777" w:rsidTr="00594D20">
        <w:trPr>
          <w:trHeight w:val="132"/>
        </w:trPr>
        <w:tc>
          <w:tcPr>
            <w:tcW w:w="1636" w:type="dxa"/>
            <w:vMerge/>
            <w:shd w:val="clear" w:color="auto" w:fill="auto"/>
            <w:tcMar>
              <w:left w:w="0" w:type="dxa"/>
            </w:tcMar>
          </w:tcPr>
          <w:p w14:paraId="1025E0D4" w14:textId="77777777" w:rsidR="001F6483" w:rsidRPr="00B43216" w:rsidRDefault="001F6483" w:rsidP="00594D20">
            <w:pPr>
              <w:pStyle w:val="Marginlie"/>
              <w:rPr>
                <w:spacing w:val="-4"/>
              </w:rPr>
            </w:pPr>
          </w:p>
        </w:tc>
        <w:tc>
          <w:tcPr>
            <w:tcW w:w="205" w:type="dxa"/>
            <w:vMerge/>
            <w:shd w:val="clear" w:color="auto" w:fill="auto"/>
            <w:tcMar>
              <w:left w:w="0" w:type="dxa"/>
            </w:tcMar>
          </w:tcPr>
          <w:p w14:paraId="182EEA7A" w14:textId="77777777" w:rsidR="001F6483" w:rsidRPr="00B43216" w:rsidRDefault="001F6483" w:rsidP="00594D20">
            <w:pPr>
              <w:pStyle w:val="Textpoznpodarou"/>
              <w:jc w:val="both"/>
              <w:rPr>
                <w:spacing w:val="-4"/>
              </w:rPr>
            </w:pPr>
          </w:p>
        </w:tc>
        <w:tc>
          <w:tcPr>
            <w:tcW w:w="7833" w:type="dxa"/>
            <w:shd w:val="clear" w:color="auto" w:fill="auto"/>
            <w:tcMar>
              <w:left w:w="0" w:type="dxa"/>
            </w:tcMar>
          </w:tcPr>
          <w:p w14:paraId="5AE60C68" w14:textId="77777777" w:rsidR="001F6483" w:rsidRPr="00D94F3D" w:rsidRDefault="001F6483" w:rsidP="00594D20">
            <w:pPr>
              <w:spacing w:after="0" w:line="240" w:lineRule="auto"/>
              <w:rPr>
                <w:rFonts w:cs="Arial"/>
                <w:color w:val="0D0D0D" w:themeColor="text1" w:themeTint="F2"/>
                <w:spacing w:val="-4"/>
                <w:sz w:val="14"/>
                <w:szCs w:val="14"/>
              </w:rPr>
            </w:pPr>
            <w:r w:rsidRPr="00D94F3D">
              <w:rPr>
                <w:rFonts w:cs="Arial"/>
                <w:color w:val="0D0D0D" w:themeColor="text1" w:themeTint="F2"/>
                <w:spacing w:val="-4"/>
                <w:sz w:val="14"/>
                <w:szCs w:val="14"/>
              </w:rPr>
              <w:t xml:space="preserve">Pozn.: Údaje o mírách nezaměstnanosti i </w:t>
            </w:r>
            <w:proofErr w:type="spellStart"/>
            <w:r w:rsidRPr="00D94F3D">
              <w:rPr>
                <w:rFonts w:cs="Arial"/>
                <w:color w:val="0D0D0D" w:themeColor="text1" w:themeTint="F2"/>
                <w:spacing w:val="-4"/>
                <w:sz w:val="14"/>
                <w:szCs w:val="14"/>
              </w:rPr>
              <w:t>ekon</w:t>
            </w:r>
            <w:proofErr w:type="spellEnd"/>
            <w:r w:rsidRPr="00D94F3D">
              <w:rPr>
                <w:rFonts w:cs="Arial"/>
                <w:color w:val="0D0D0D" w:themeColor="text1" w:themeTint="F2"/>
                <w:spacing w:val="-4"/>
                <w:sz w:val="14"/>
                <w:szCs w:val="14"/>
              </w:rPr>
              <w:t>. aktivity jsou po sezónním očištění. VPM = volná pracovní místa (stav na konci čtvrtletí)</w:t>
            </w:r>
          </w:p>
          <w:p w14:paraId="4676D390" w14:textId="77777777" w:rsidR="001F6483" w:rsidRDefault="001F6483" w:rsidP="00594D20">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579F16B9" w14:textId="77777777" w:rsidR="001F6483" w:rsidRDefault="001F6483" w:rsidP="00594D20">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0D37A821" w14:textId="77777777" w:rsidR="001F6483" w:rsidRPr="00485ED5" w:rsidRDefault="001F6483" w:rsidP="00594D20">
            <w:pPr>
              <w:spacing w:after="200"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 MPSV (volná pracovní místa registrovaná na úřadech práce v ČR)</w:t>
            </w:r>
          </w:p>
        </w:tc>
      </w:tr>
      <w:tr w:rsidR="001F6483" w:rsidRPr="00B43216" w14:paraId="640342A6" w14:textId="77777777" w:rsidTr="00594D20">
        <w:trPr>
          <w:trHeight w:val="671"/>
        </w:trPr>
        <w:tc>
          <w:tcPr>
            <w:tcW w:w="1636" w:type="dxa"/>
            <w:shd w:val="clear" w:color="auto" w:fill="auto"/>
            <w:tcMar>
              <w:left w:w="0" w:type="dxa"/>
            </w:tcMar>
          </w:tcPr>
          <w:p w14:paraId="5D36B19E" w14:textId="77777777" w:rsidR="001F6483" w:rsidRDefault="001F6483" w:rsidP="00594D20">
            <w:pPr>
              <w:pStyle w:val="Marginlie"/>
              <w:rPr>
                <w:spacing w:val="-4"/>
              </w:rPr>
            </w:pPr>
            <w:r>
              <w:rPr>
                <w:spacing w:val="-4"/>
              </w:rPr>
              <w:t>Za mzdovým růstem stála primárně tržní odvětví. V odvětvích s dominancí státu se projevil vliv úsporných opatření.</w:t>
            </w:r>
          </w:p>
          <w:p w14:paraId="1648EF4A" w14:textId="77777777" w:rsidR="001F6483" w:rsidRDefault="001F6483" w:rsidP="00594D20">
            <w:pPr>
              <w:pStyle w:val="Marginlie"/>
              <w:rPr>
                <w:spacing w:val="-4"/>
              </w:rPr>
            </w:pPr>
          </w:p>
          <w:p w14:paraId="0710AB26" w14:textId="77777777" w:rsidR="001F6483" w:rsidRDefault="001F6483" w:rsidP="00594D20">
            <w:pPr>
              <w:pStyle w:val="Marginlie"/>
              <w:rPr>
                <w:spacing w:val="-4"/>
              </w:rPr>
            </w:pPr>
          </w:p>
          <w:p w14:paraId="25828C4D" w14:textId="77777777" w:rsidR="001F6483" w:rsidRDefault="001F6483" w:rsidP="00594D20">
            <w:pPr>
              <w:pStyle w:val="Marginlie"/>
              <w:rPr>
                <w:spacing w:val="-4"/>
              </w:rPr>
            </w:pPr>
          </w:p>
          <w:p w14:paraId="1C4D21FE" w14:textId="77777777" w:rsidR="001F6483" w:rsidRDefault="001F6483" w:rsidP="00594D20">
            <w:pPr>
              <w:pStyle w:val="Marginlie"/>
              <w:rPr>
                <w:spacing w:val="-4"/>
              </w:rPr>
            </w:pPr>
          </w:p>
          <w:p w14:paraId="561DD3B4" w14:textId="77777777" w:rsidR="001F6483" w:rsidRDefault="001F6483" w:rsidP="00594D20">
            <w:pPr>
              <w:pStyle w:val="Marginlie"/>
              <w:rPr>
                <w:color w:val="0D0D0D" w:themeColor="text1" w:themeTint="F2"/>
                <w:spacing w:val="-5"/>
              </w:rPr>
            </w:pPr>
            <w:r>
              <w:rPr>
                <w:spacing w:val="-4"/>
              </w:rPr>
              <w:t xml:space="preserve">Prostor pro větší navýšení mezd snižoval podnikům rychlý růst nemzdových výrobních nákladů i horší ekonomické výhledy </w:t>
            </w:r>
            <w:r>
              <w:rPr>
                <w:spacing w:val="-4"/>
              </w:rPr>
              <w:lastRenderedPageBreak/>
              <w:t>v důležitých exportních teritoriích.</w:t>
            </w:r>
          </w:p>
        </w:tc>
        <w:tc>
          <w:tcPr>
            <w:tcW w:w="205" w:type="dxa"/>
            <w:shd w:val="clear" w:color="auto" w:fill="auto"/>
            <w:tcMar>
              <w:left w:w="0" w:type="dxa"/>
            </w:tcMar>
          </w:tcPr>
          <w:p w14:paraId="514F96B4" w14:textId="77777777" w:rsidR="001F6483" w:rsidRPr="00B43216" w:rsidRDefault="001F6483" w:rsidP="00594D20">
            <w:pPr>
              <w:pStyle w:val="Textpoznpodarou"/>
              <w:spacing w:line="276" w:lineRule="auto"/>
              <w:jc w:val="both"/>
              <w:rPr>
                <w:spacing w:val="-4"/>
              </w:rPr>
            </w:pPr>
          </w:p>
        </w:tc>
        <w:tc>
          <w:tcPr>
            <w:tcW w:w="7833" w:type="dxa"/>
            <w:shd w:val="clear" w:color="auto" w:fill="auto"/>
            <w:tcMar>
              <w:left w:w="0" w:type="dxa"/>
            </w:tcMar>
          </w:tcPr>
          <w:p w14:paraId="755549F5" w14:textId="77777777" w:rsidR="001F6483" w:rsidRPr="00B35E65" w:rsidRDefault="001F6483" w:rsidP="00594D20">
            <w:pPr>
              <w:spacing w:after="200"/>
              <w:rPr>
                <w:color w:val="0D0D0D" w:themeColor="text1" w:themeTint="F2"/>
                <w:spacing w:val="-5"/>
              </w:rPr>
            </w:pPr>
            <w:r w:rsidRPr="00D766A7">
              <w:rPr>
                <w:color w:val="0D0D0D" w:themeColor="text1" w:themeTint="F2"/>
                <w:spacing w:val="-5"/>
              </w:rPr>
              <w:t xml:space="preserve">Meziroční mzdové tempo ve 3. čtvrtletí odráželo pokračující zotavování ekonomiky (zejména některých služeb) vyjádřené i růstem počtu odpracovaných </w:t>
            </w:r>
            <w:r w:rsidRPr="00D766A7">
              <w:rPr>
                <w:spacing w:val="-5"/>
              </w:rPr>
              <w:t>hodin. Ve směru vyšší dynamiky mezd působilo i napětí na pracovním trhu spojené s přetrvávající nízkou nezaměstnaností, stále vysokým počtem volných míst i faktem, že nedostatek zaměstnanců stále limitoval produkci v některých odvětví</w:t>
            </w:r>
            <w:r>
              <w:rPr>
                <w:spacing w:val="-5"/>
              </w:rPr>
              <w:t>ch</w:t>
            </w:r>
            <w:r w:rsidRPr="00D766A7">
              <w:rPr>
                <w:spacing w:val="-5"/>
              </w:rPr>
              <w:t>. Hlavně v odvětvích s nízkou úrovní výdělků mělo dílčí dopad i</w:t>
            </w:r>
            <w:r w:rsidRPr="00D766A7">
              <w:rPr>
                <w:bCs/>
                <w:color w:val="0D0D0D" w:themeColor="text1" w:themeTint="F2"/>
                <w:spacing w:val="-5"/>
              </w:rPr>
              <w:t> </w:t>
            </w:r>
            <w:r w:rsidRPr="00D766A7">
              <w:rPr>
                <w:spacing w:val="-5"/>
              </w:rPr>
              <w:t>pokračující navyšování minimální mzdy. Naopak příchod ukrajinských uprchlíků úroveň průměrných mezd ani v těchto odvětvích zatím patrně významněji neovlivnil</w:t>
            </w:r>
            <w:r w:rsidRPr="00D766A7">
              <w:rPr>
                <w:rStyle w:val="Znakapoznpodarou"/>
                <w:spacing w:val="-5"/>
              </w:rPr>
              <w:footnoteReference w:id="78"/>
            </w:r>
            <w:r w:rsidRPr="00D766A7">
              <w:rPr>
                <w:spacing w:val="-5"/>
              </w:rPr>
              <w:t xml:space="preserve">. Růst mezd v celé ekonomice </w:t>
            </w:r>
            <w:r w:rsidRPr="00D766A7">
              <w:rPr>
                <w:color w:val="0D0D0D" w:themeColor="text1" w:themeTint="F2"/>
                <w:spacing w:val="-5"/>
              </w:rPr>
              <w:t>byl tlumen</w:t>
            </w:r>
            <w:r w:rsidRPr="00D766A7">
              <w:rPr>
                <w:spacing w:val="-5"/>
              </w:rPr>
              <w:t xml:space="preserve"> nastavením platových tarifů v rozpočtové sféře (zmrazení či jen velmi mírný růst u většiny skupin pracovníků). Vysoká inflační očekávání se zatím ve mzdové oblasti projevovala nejednoznačně. Vedla sice k rostoucímu tlaku zaměstnanců na svižnější mzdový růst, ten ovšem narážel na stále obtížnější situaci zaměstnavatelů. Tlak na růst nemzdových výrobních nákladů vlivem citelného navýšení cen téměř veškerých </w:t>
            </w:r>
            <w:proofErr w:type="spellStart"/>
            <w:r w:rsidRPr="00D766A7">
              <w:rPr>
                <w:spacing w:val="-5"/>
              </w:rPr>
              <w:t>mezivstupů</w:t>
            </w:r>
            <w:proofErr w:type="spellEnd"/>
            <w:r w:rsidRPr="00D766A7">
              <w:rPr>
                <w:spacing w:val="-5"/>
              </w:rPr>
              <w:t xml:space="preserve"> v posledních čtvrtletích citelně zesílil a byl ještě umocněn </w:t>
            </w:r>
            <w:r>
              <w:rPr>
                <w:spacing w:val="-5"/>
              </w:rPr>
              <w:t xml:space="preserve">zhoršenými ekonomickými výhledy, </w:t>
            </w:r>
            <w:r w:rsidRPr="00D766A7">
              <w:rPr>
                <w:spacing w:val="-5"/>
              </w:rPr>
              <w:lastRenderedPageBreak/>
              <w:t xml:space="preserve">nejistotami ohledně budoucího vývoje cen i vládní podpory podnikům v oblasti energií. Situace firem se značně lišila, a to i v rámci jednotlivých odvětví. Některé podniky s příznivou hospodářskou situací mohly </w:t>
            </w:r>
            <w:r>
              <w:rPr>
                <w:spacing w:val="-5"/>
              </w:rPr>
              <w:t xml:space="preserve">zaměstnancům </w:t>
            </w:r>
            <w:r w:rsidRPr="00D766A7">
              <w:rPr>
                <w:spacing w:val="-5"/>
              </w:rPr>
              <w:t>částečně kompenzovat vysoký růst životních nákladů formou mimořádných odměn.</w:t>
            </w:r>
          </w:p>
        </w:tc>
      </w:tr>
      <w:tr w:rsidR="001F6483" w:rsidRPr="00B43216" w14:paraId="6CF921C4" w14:textId="77777777" w:rsidTr="00594D20">
        <w:trPr>
          <w:trHeight w:val="671"/>
        </w:trPr>
        <w:tc>
          <w:tcPr>
            <w:tcW w:w="1636" w:type="dxa"/>
            <w:shd w:val="clear" w:color="auto" w:fill="auto"/>
            <w:tcMar>
              <w:left w:w="0" w:type="dxa"/>
            </w:tcMar>
          </w:tcPr>
          <w:p w14:paraId="6C20C3E0" w14:textId="77777777" w:rsidR="001F6483" w:rsidRDefault="001F6483" w:rsidP="00594D20">
            <w:pPr>
              <w:pStyle w:val="Marginlie"/>
              <w:rPr>
                <w:spacing w:val="-4"/>
              </w:rPr>
            </w:pPr>
            <w:r>
              <w:rPr>
                <w:spacing w:val="-4"/>
              </w:rPr>
              <w:lastRenderedPageBreak/>
              <w:t xml:space="preserve">Nejnižší mzdový růst zaznamenaly ve </w:t>
            </w:r>
            <w:r>
              <w:rPr>
                <w:spacing w:val="-4"/>
              </w:rPr>
              <w:br/>
              <w:t xml:space="preserve">3. čtvrtletí zdravotní </w:t>
            </w:r>
            <w:r>
              <w:rPr>
                <w:spacing w:val="-4"/>
              </w:rPr>
              <w:br/>
              <w:t>a sociální péče spolu s veřejnou správou, obranou a sociálním zabezpečením.</w:t>
            </w:r>
          </w:p>
          <w:p w14:paraId="400765F5" w14:textId="77777777" w:rsidR="001F6483" w:rsidRDefault="001F6483" w:rsidP="00594D20">
            <w:pPr>
              <w:pStyle w:val="Marginlie"/>
              <w:rPr>
                <w:spacing w:val="-4"/>
              </w:rPr>
            </w:pPr>
          </w:p>
          <w:p w14:paraId="76DF2BF6" w14:textId="77777777" w:rsidR="001F6483" w:rsidRDefault="001F6483" w:rsidP="00594D20">
            <w:pPr>
              <w:pStyle w:val="Marginlie"/>
              <w:rPr>
                <w:spacing w:val="-4"/>
              </w:rPr>
            </w:pPr>
          </w:p>
          <w:p w14:paraId="6AA672E7" w14:textId="77777777" w:rsidR="001F6483" w:rsidRDefault="001F6483" w:rsidP="00594D20">
            <w:pPr>
              <w:pStyle w:val="Marginlie"/>
              <w:rPr>
                <w:spacing w:val="-4"/>
              </w:rPr>
            </w:pPr>
          </w:p>
          <w:p w14:paraId="0E92EF8C" w14:textId="77777777" w:rsidR="001F6483" w:rsidRDefault="001F6483" w:rsidP="00594D20">
            <w:pPr>
              <w:pStyle w:val="Marginlie"/>
              <w:rPr>
                <w:spacing w:val="-4"/>
              </w:rPr>
            </w:pPr>
          </w:p>
          <w:p w14:paraId="35FC895A" w14:textId="77777777" w:rsidR="001F6483" w:rsidRDefault="001F6483" w:rsidP="00594D20">
            <w:pPr>
              <w:pStyle w:val="Marginlie"/>
              <w:rPr>
                <w:spacing w:val="-4"/>
              </w:rPr>
            </w:pPr>
            <w:r>
              <w:rPr>
                <w:spacing w:val="-4"/>
              </w:rPr>
              <w:t>V tržním segmentu služeb rostly průměrné výdělky nejvíce v dopravě a ve skladování.</w:t>
            </w:r>
          </w:p>
          <w:p w14:paraId="342E2414" w14:textId="77777777" w:rsidR="001F6483" w:rsidRDefault="001F6483" w:rsidP="00594D20">
            <w:pPr>
              <w:pStyle w:val="Marginlie"/>
              <w:rPr>
                <w:spacing w:val="-4"/>
              </w:rPr>
            </w:pPr>
          </w:p>
          <w:p w14:paraId="692AD9B2" w14:textId="77777777" w:rsidR="001F6483" w:rsidRDefault="001F6483" w:rsidP="00594D20">
            <w:pPr>
              <w:pStyle w:val="Marginlie"/>
              <w:rPr>
                <w:spacing w:val="-4"/>
              </w:rPr>
            </w:pPr>
          </w:p>
          <w:p w14:paraId="2BEE77FA" w14:textId="77777777" w:rsidR="001F6483" w:rsidRDefault="001F6483" w:rsidP="00594D20">
            <w:pPr>
              <w:pStyle w:val="Marginlie"/>
              <w:rPr>
                <w:spacing w:val="-4"/>
              </w:rPr>
            </w:pPr>
          </w:p>
          <w:p w14:paraId="767D8463" w14:textId="77777777" w:rsidR="001F6483" w:rsidRDefault="001F6483" w:rsidP="00594D20">
            <w:pPr>
              <w:pStyle w:val="Marginlie"/>
              <w:rPr>
                <w:spacing w:val="-4"/>
              </w:rPr>
            </w:pPr>
            <w:r>
              <w:rPr>
                <w:spacing w:val="-4"/>
              </w:rPr>
              <w:t xml:space="preserve">I přes solidní mzdovou dynamiku v letošním roce zůstává výše průměrných mezd v průmyslu pod úrovní celé ekonomiky. </w:t>
            </w:r>
          </w:p>
          <w:p w14:paraId="484CD09C" w14:textId="77777777" w:rsidR="001F6483" w:rsidRDefault="001F6483" w:rsidP="00594D20">
            <w:pPr>
              <w:pStyle w:val="Marginlie"/>
              <w:rPr>
                <w:spacing w:val="-4"/>
              </w:rPr>
            </w:pPr>
          </w:p>
        </w:tc>
        <w:tc>
          <w:tcPr>
            <w:tcW w:w="205" w:type="dxa"/>
            <w:shd w:val="clear" w:color="auto" w:fill="auto"/>
            <w:tcMar>
              <w:left w:w="0" w:type="dxa"/>
            </w:tcMar>
          </w:tcPr>
          <w:p w14:paraId="45EBDA3F" w14:textId="77777777" w:rsidR="001F6483" w:rsidRPr="00B43216" w:rsidRDefault="001F6483" w:rsidP="00594D20">
            <w:pPr>
              <w:pStyle w:val="Textpoznpodarou"/>
              <w:spacing w:line="276" w:lineRule="auto"/>
              <w:jc w:val="both"/>
              <w:rPr>
                <w:spacing w:val="-4"/>
              </w:rPr>
            </w:pPr>
          </w:p>
        </w:tc>
        <w:tc>
          <w:tcPr>
            <w:tcW w:w="7833" w:type="dxa"/>
            <w:shd w:val="clear" w:color="auto" w:fill="auto"/>
            <w:tcMar>
              <w:left w:w="0" w:type="dxa"/>
            </w:tcMar>
          </w:tcPr>
          <w:p w14:paraId="04207A1B" w14:textId="77777777" w:rsidR="001F6483" w:rsidRPr="00D766A7" w:rsidRDefault="001F6483" w:rsidP="00594D20">
            <w:pPr>
              <w:spacing w:after="220"/>
              <w:rPr>
                <w:spacing w:val="-5"/>
              </w:rPr>
            </w:pPr>
            <w:r>
              <w:rPr>
                <w:spacing w:val="-5"/>
              </w:rPr>
              <w:t>Mzdový růst byl od počátku letošního roku tlumen nízkou mzdovou dynamikou odvětví s významnou rolí státu</w:t>
            </w:r>
            <w:r>
              <w:rPr>
                <w:rStyle w:val="Znakapoznpodarou"/>
                <w:spacing w:val="-5"/>
              </w:rPr>
              <w:footnoteReference w:id="79"/>
            </w:r>
            <w:r>
              <w:rPr>
                <w:spacing w:val="-5"/>
              </w:rPr>
              <w:t xml:space="preserve">. V nich ve 3. čtvrtletí hrubá mzda nominálně vzrostla o meziročních 1,3 %, primárně vlivem úsporných opatření (bez vlivu těchto odvětví by mzdový růst </w:t>
            </w:r>
            <w:r>
              <w:rPr>
                <w:spacing w:val="-5"/>
              </w:rPr>
              <w:br/>
              <w:t xml:space="preserve">v ekonomice dosáhl 7,7 %). Nejméně rostly průměrné výdělky ve zdravotní a sociální péči (+0,6 %), přesto však byly stále v rámci veřejných služeb nejvyšší (44,6 tis. hrubého měsíčně) a úroveň celé ekonomiky převyšovaly zhruba o desetinu (obdobně jako ve 3. čtvrtletí 2019). Slabý růst průměrných výdělků zaznamenalo i odvětví veřejné správy, obrany a sociálního zabezpečení (+0,9 %), při zohlednění mírného poklesu evidenčního počtu zaměstnanců se jednalo o jediné odvětví, kde objem vyplacených mezd nevzrostl (−0,2 %). Rychleji se mzdy zvýšily v kulturních, zábavních a rekreačních činnostech (+5,0 %), i tak zůstává jejich výše dlouhodobě podprůměrná. Většina odvětví tržního segmentu služeb zatím profitovala </w:t>
            </w:r>
            <w:r>
              <w:rPr>
                <w:spacing w:val="-5"/>
              </w:rPr>
              <w:br/>
              <w:t xml:space="preserve">z </w:t>
            </w:r>
            <w:proofErr w:type="spellStart"/>
            <w:r w:rsidRPr="00464BF5">
              <w:rPr>
                <w:spacing w:val="-6"/>
              </w:rPr>
              <w:t>pokrizového</w:t>
            </w:r>
            <w:proofErr w:type="spellEnd"/>
            <w:r w:rsidRPr="00464BF5">
              <w:rPr>
                <w:spacing w:val="-6"/>
              </w:rPr>
              <w:t xml:space="preserve"> oživení poptávky</w:t>
            </w:r>
            <w:r>
              <w:rPr>
                <w:spacing w:val="-6"/>
              </w:rPr>
              <w:t>. V dopravě a skladování mzdy v průměru posílily o 9,1 %. V obchodě byla sice mzdová dynamika mírnější (6,9 %), svižně zde naopak přibývala zaměstnanecká místa (o</w:t>
            </w:r>
            <w:r>
              <w:rPr>
                <w:spacing w:val="-5"/>
              </w:rPr>
              <w:t> </w:t>
            </w:r>
            <w:r>
              <w:rPr>
                <w:spacing w:val="-6"/>
              </w:rPr>
              <w:t>2,2</w:t>
            </w:r>
            <w:r>
              <w:rPr>
                <w:spacing w:val="-5"/>
              </w:rPr>
              <w:t> </w:t>
            </w:r>
            <w:r>
              <w:rPr>
                <w:spacing w:val="-6"/>
              </w:rPr>
              <w:t>%). Nadprůměrný mzdový růst byl patrný i v ubytování, stravování a pohostinství (7,7 %), mzdová úroveň zde ale dosáhla pouze tří pětin hladiny celé ekonomiky. V odvětvích s tradičně nejvyšší mzdovou úrovní – finančnictví a ICT růst výdělků shodně mírně převyšoval 8 %. Objem vyplacených mezd ale vzrostl svižněji v oblasti ICT (díky vyšší zaměstnanosti). Ve zpracovatelském průmyslu si zaměstnanci v průměru polepšili o 7,8 %</w:t>
            </w:r>
            <w:r>
              <w:rPr>
                <w:rStyle w:val="Znakapoznpodarou"/>
                <w:spacing w:val="-6"/>
              </w:rPr>
              <w:footnoteReference w:id="80"/>
            </w:r>
            <w:r>
              <w:rPr>
                <w:spacing w:val="-6"/>
              </w:rPr>
              <w:t xml:space="preserve">. Průměrná měsíční výše mezd v celém průmyslu (38,6 tis.) se nacházela mírně pod úrovní národního hospodářství (což platí nepřetržitě od poloviny roku 2019). </w:t>
            </w:r>
          </w:p>
        </w:tc>
      </w:tr>
      <w:tr w:rsidR="001F6483" w:rsidRPr="00191C35" w14:paraId="0205B343" w14:textId="77777777" w:rsidTr="00594D20">
        <w:trPr>
          <w:trHeight w:val="145"/>
        </w:trPr>
        <w:tc>
          <w:tcPr>
            <w:tcW w:w="1636" w:type="dxa"/>
            <w:shd w:val="clear" w:color="auto" w:fill="auto"/>
            <w:tcMar>
              <w:left w:w="0" w:type="dxa"/>
            </w:tcMar>
          </w:tcPr>
          <w:p w14:paraId="2C9152BE" w14:textId="77777777" w:rsidR="001F6483" w:rsidRDefault="001F6483" w:rsidP="00594D20">
            <w:pPr>
              <w:pStyle w:val="Marginlie"/>
              <w:spacing w:after="120"/>
            </w:pPr>
          </w:p>
        </w:tc>
        <w:tc>
          <w:tcPr>
            <w:tcW w:w="205" w:type="dxa"/>
            <w:shd w:val="clear" w:color="auto" w:fill="auto"/>
            <w:tcMar>
              <w:left w:w="0" w:type="dxa"/>
            </w:tcMar>
          </w:tcPr>
          <w:p w14:paraId="5E200449" w14:textId="77777777" w:rsidR="001F6483" w:rsidRPr="00B43216" w:rsidRDefault="001F6483" w:rsidP="00594D20">
            <w:pPr>
              <w:pStyle w:val="Textpoznpodarou"/>
              <w:spacing w:after="120"/>
              <w:jc w:val="both"/>
              <w:rPr>
                <w:spacing w:val="-4"/>
              </w:rPr>
            </w:pPr>
          </w:p>
        </w:tc>
        <w:tc>
          <w:tcPr>
            <w:tcW w:w="7833" w:type="dxa"/>
            <w:shd w:val="clear" w:color="auto" w:fill="auto"/>
            <w:tcMar>
              <w:left w:w="0" w:type="dxa"/>
            </w:tcMar>
          </w:tcPr>
          <w:p w14:paraId="0D514661" w14:textId="77777777" w:rsidR="001F6483" w:rsidRPr="00716203" w:rsidRDefault="001F6483" w:rsidP="00594D20">
            <w:pPr>
              <w:spacing w:after="0"/>
              <w:rPr>
                <w:spacing w:val="-4"/>
              </w:rPr>
            </w:pPr>
            <w:r>
              <w:rPr>
                <w:b/>
                <w:spacing w:val="-4"/>
              </w:rPr>
              <w:t>Graf č. 15</w:t>
            </w:r>
            <w:r w:rsidRPr="003E01D3">
              <w:rPr>
                <w:b/>
                <w:spacing w:val="-4"/>
              </w:rPr>
              <w:t xml:space="preserve">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1F6483" w:rsidRPr="00191C35" w14:paraId="6016AF76" w14:textId="77777777" w:rsidTr="00594D20">
        <w:tblPrEx>
          <w:tblCellMar>
            <w:left w:w="70" w:type="dxa"/>
            <w:right w:w="70" w:type="dxa"/>
          </w:tblCellMar>
        </w:tblPrEx>
        <w:trPr>
          <w:trHeight w:val="145"/>
        </w:trPr>
        <w:tc>
          <w:tcPr>
            <w:tcW w:w="1636" w:type="dxa"/>
            <w:shd w:val="clear" w:color="auto" w:fill="auto"/>
          </w:tcPr>
          <w:p w14:paraId="2FBAB169" w14:textId="77777777" w:rsidR="001F6483" w:rsidRDefault="001F6483" w:rsidP="00594D20">
            <w:pPr>
              <w:pStyle w:val="Marginlie"/>
              <w:spacing w:after="120"/>
            </w:pPr>
          </w:p>
        </w:tc>
        <w:tc>
          <w:tcPr>
            <w:tcW w:w="205" w:type="dxa"/>
            <w:shd w:val="clear" w:color="auto" w:fill="auto"/>
          </w:tcPr>
          <w:p w14:paraId="2834D919" w14:textId="77777777" w:rsidR="001F6483" w:rsidRPr="00B43216" w:rsidRDefault="001F6483" w:rsidP="00594D20">
            <w:pPr>
              <w:pStyle w:val="Textpoznpodarou"/>
              <w:spacing w:after="120"/>
              <w:jc w:val="both"/>
              <w:rPr>
                <w:spacing w:val="-4"/>
              </w:rPr>
            </w:pPr>
          </w:p>
        </w:tc>
        <w:tc>
          <w:tcPr>
            <w:tcW w:w="7833" w:type="dxa"/>
            <w:shd w:val="clear" w:color="auto" w:fill="auto"/>
          </w:tcPr>
          <w:p w14:paraId="0E79574C" w14:textId="77777777" w:rsidR="001F6483" w:rsidRPr="003E01D3" w:rsidRDefault="001F6483" w:rsidP="00594D20">
            <w:pPr>
              <w:spacing w:after="0"/>
              <w:rPr>
                <w:b/>
                <w:spacing w:val="-4"/>
              </w:rPr>
            </w:pPr>
            <w:r>
              <w:rPr>
                <w:noProof/>
              </w:rPr>
              <w:drawing>
                <wp:inline distT="0" distB="0" distL="0" distR="0" wp14:anchorId="0BD9F46E" wp14:editId="4382D563">
                  <wp:extent cx="4885055" cy="3534770"/>
                  <wp:effectExtent l="0" t="0" r="0" b="889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F6483" w:rsidRPr="00191C35" w14:paraId="381FD5A6" w14:textId="77777777" w:rsidTr="00594D20">
        <w:trPr>
          <w:trHeight w:val="145"/>
        </w:trPr>
        <w:tc>
          <w:tcPr>
            <w:tcW w:w="1636" w:type="dxa"/>
            <w:shd w:val="clear" w:color="auto" w:fill="auto"/>
            <w:tcMar>
              <w:left w:w="0" w:type="dxa"/>
            </w:tcMar>
          </w:tcPr>
          <w:p w14:paraId="61562C30" w14:textId="77777777" w:rsidR="001F6483" w:rsidRDefault="001F6483" w:rsidP="00594D20">
            <w:pPr>
              <w:pStyle w:val="Marginlie"/>
              <w:spacing w:after="120"/>
            </w:pPr>
          </w:p>
        </w:tc>
        <w:tc>
          <w:tcPr>
            <w:tcW w:w="205" w:type="dxa"/>
            <w:shd w:val="clear" w:color="auto" w:fill="auto"/>
            <w:tcMar>
              <w:left w:w="0" w:type="dxa"/>
            </w:tcMar>
          </w:tcPr>
          <w:p w14:paraId="41EA23F9" w14:textId="77777777" w:rsidR="001F6483" w:rsidRPr="00B43216" w:rsidRDefault="001F6483" w:rsidP="00594D20">
            <w:pPr>
              <w:pStyle w:val="Textpoznpodarou"/>
              <w:spacing w:after="120"/>
              <w:jc w:val="both"/>
              <w:rPr>
                <w:spacing w:val="-4"/>
              </w:rPr>
            </w:pPr>
          </w:p>
        </w:tc>
        <w:tc>
          <w:tcPr>
            <w:tcW w:w="7833" w:type="dxa"/>
            <w:shd w:val="clear" w:color="auto" w:fill="auto"/>
            <w:tcMar>
              <w:left w:w="0" w:type="dxa"/>
            </w:tcMar>
          </w:tcPr>
          <w:p w14:paraId="2A451ABF" w14:textId="06173059" w:rsidR="001F6483" w:rsidRPr="00F6560A" w:rsidRDefault="001F6483" w:rsidP="001F6483">
            <w:pPr>
              <w:tabs>
                <w:tab w:val="right" w:pos="7683"/>
              </w:tabs>
              <w:spacing w:after="0"/>
              <w:rPr>
                <w:noProof/>
                <w:sz w:val="14"/>
                <w:szCs w:val="14"/>
              </w:rPr>
            </w:pPr>
            <w:r>
              <w:rPr>
                <w:bCs/>
                <w:sz w:val="14"/>
                <w:szCs w:val="14"/>
              </w:rPr>
              <w:t xml:space="preserve">Poznámka: Údaje jsou uvedeny za jednotlivá pololetí. </w:t>
            </w:r>
            <w:r w:rsidRPr="00F6560A">
              <w:rPr>
                <w:bCs/>
                <w:sz w:val="14"/>
                <w:szCs w:val="14"/>
              </w:rPr>
              <w:t>*Zahrnuje odvětví s významnou rolí státu: Veřejná správa a obrana, povinné sociální zabezpečení; Vzdělávání; Zdravotní a sociální péče; Kulturní, zábavní a rekreační činnosti.</w:t>
            </w:r>
            <w:r w:rsidRPr="00F6560A">
              <w:rPr>
                <w:bCs/>
                <w:sz w:val="14"/>
                <w:szCs w:val="14"/>
              </w:rPr>
              <w:tab/>
            </w:r>
            <w:r w:rsidRPr="00F6560A">
              <w:rPr>
                <w:rFonts w:cs="Arial"/>
                <w:color w:val="0D0D0D" w:themeColor="text1" w:themeTint="F2"/>
                <w:spacing w:val="-2"/>
                <w:sz w:val="14"/>
                <w:szCs w:val="14"/>
              </w:rPr>
              <w:t>Zdroj: ČSÚ</w:t>
            </w:r>
          </w:p>
        </w:tc>
      </w:tr>
    </w:tbl>
    <w:p w14:paraId="367FC5D9" w14:textId="37B1CCCE" w:rsidR="00E41131" w:rsidRDefault="00E41131" w:rsidP="00D21B36">
      <w:pPr>
        <w:pStyle w:val="Nadpis11"/>
        <w:spacing w:after="120"/>
      </w:pPr>
      <w:bookmarkStart w:id="35" w:name="_Toc121993823"/>
      <w:r>
        <w:lastRenderedPageBreak/>
        <w:t>7. Měnové podmínky</w:t>
      </w:r>
      <w:bookmarkEnd w:id="33"/>
      <w:bookmarkEnd w:id="35"/>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E41131" w:rsidRPr="0037004A" w14:paraId="49759FD2" w14:textId="77777777" w:rsidTr="002036E6">
        <w:trPr>
          <w:trHeight w:val="145"/>
        </w:trPr>
        <w:tc>
          <w:tcPr>
            <w:tcW w:w="1802" w:type="dxa"/>
          </w:tcPr>
          <w:p w14:paraId="5ED5EBEC" w14:textId="77777777" w:rsidR="00E41131" w:rsidRDefault="00E41131" w:rsidP="002036E6">
            <w:pPr>
              <w:pStyle w:val="Marginlie"/>
              <w:rPr>
                <w:lang w:eastAsia="en-US"/>
              </w:rPr>
            </w:pPr>
            <w:proofErr w:type="spellStart"/>
            <w:r>
              <w:rPr>
                <w:lang w:eastAsia="en-US"/>
              </w:rPr>
              <w:t>Měnověpolitické</w:t>
            </w:r>
            <w:proofErr w:type="spellEnd"/>
            <w:r>
              <w:rPr>
                <w:lang w:eastAsia="en-US"/>
              </w:rPr>
              <w:t xml:space="preserve"> sazby ve 3. čtvrtletí setrvávaly na konstantní úrovni.</w:t>
            </w:r>
          </w:p>
        </w:tc>
        <w:tc>
          <w:tcPr>
            <w:tcW w:w="229" w:type="dxa"/>
          </w:tcPr>
          <w:p w14:paraId="4FC8B19F" w14:textId="77777777" w:rsidR="00E41131" w:rsidRDefault="00E41131" w:rsidP="002036E6">
            <w:pPr>
              <w:pStyle w:val="Textpoznpodarou"/>
              <w:jc w:val="both"/>
              <w:rPr>
                <w:spacing w:val="-4"/>
                <w:lang w:eastAsia="en-US"/>
              </w:rPr>
            </w:pPr>
          </w:p>
        </w:tc>
        <w:tc>
          <w:tcPr>
            <w:tcW w:w="7610" w:type="dxa"/>
          </w:tcPr>
          <w:p w14:paraId="61530863" w14:textId="77777777" w:rsidR="00E41131" w:rsidRPr="0037004A" w:rsidRDefault="00E41131" w:rsidP="002036E6">
            <w:pPr>
              <w:rPr>
                <w:spacing w:val="-2"/>
                <w:lang w:eastAsia="en-US"/>
              </w:rPr>
            </w:pPr>
            <w:r>
              <w:rPr>
                <w:spacing w:val="-2"/>
                <w:lang w:eastAsia="en-US"/>
              </w:rPr>
              <w:t xml:space="preserve">Ve 3. čtvrtletí 2022 se již dál nezvyšovaly </w:t>
            </w:r>
            <w:proofErr w:type="spellStart"/>
            <w:r>
              <w:rPr>
                <w:spacing w:val="-2"/>
                <w:lang w:eastAsia="en-US"/>
              </w:rPr>
              <w:t>měnověpolitické</w:t>
            </w:r>
            <w:proofErr w:type="spellEnd"/>
            <w:r>
              <w:rPr>
                <w:spacing w:val="-2"/>
                <w:lang w:eastAsia="en-US"/>
              </w:rPr>
              <w:t xml:space="preserve"> úrokové sazby. Dvoutýdenní </w:t>
            </w:r>
            <w:proofErr w:type="spellStart"/>
            <w:r>
              <w:rPr>
                <w:spacing w:val="-2"/>
                <w:lang w:eastAsia="en-US"/>
              </w:rPr>
              <w:t>repo</w:t>
            </w:r>
            <w:proofErr w:type="spellEnd"/>
            <w:r>
              <w:rPr>
                <w:spacing w:val="-2"/>
                <w:lang w:eastAsia="en-US"/>
              </w:rPr>
              <w:t xml:space="preserve"> sazba tak setrvala na 7,00 %</w:t>
            </w:r>
            <w:r w:rsidRPr="0037004A">
              <w:rPr>
                <w:rStyle w:val="Znakapoznpodarou"/>
                <w:spacing w:val="-2"/>
                <w:lang w:eastAsia="en-US"/>
              </w:rPr>
              <w:footnoteReference w:id="81"/>
            </w:r>
            <w:r>
              <w:rPr>
                <w:spacing w:val="-2"/>
                <w:lang w:eastAsia="en-US"/>
              </w:rPr>
              <w:t xml:space="preserve">, diskontní sazba na 6,00 % a lombardní na 8,00 %. Na vývoji kurzu koruny vůči euru byly patrné intervence proti oslabení, které ČNB provádí od poloviny letošního května. Kurz vůči euru se tak výrazněji nevychyloval (jen slabě posílil oproti 2. čtvrtletí o </w:t>
            </w:r>
            <w:proofErr w:type="gramStart"/>
            <w:r>
              <w:rPr>
                <w:spacing w:val="-2"/>
                <w:lang w:eastAsia="en-US"/>
              </w:rPr>
              <w:t>0,3%</w:t>
            </w:r>
            <w:proofErr w:type="gramEnd"/>
            <w:r>
              <w:rPr>
                <w:spacing w:val="-2"/>
                <w:lang w:eastAsia="en-US"/>
              </w:rPr>
              <w:t xml:space="preserve">) a dosáhl průměru 24,57 CZK/EUR za 3. čtvrtletí. Meziročně byl kurz silnější o 3,6 %. Naopak kurz koruny vůči dolaru pokračoval v trendu výrazného oslabování. Průměrný kurz koruny vůči dolaru ve 3. čtvrtletí dosáhl 24,4 CZK/USD a mezičtvrtletně tak oslabil o 5,4 %. Meziročně byl slabší o 12,8 %. Kurz koruny vůči dolaru oslaboval v průběhu celého čtvrtletí a v srpnu poprvé od prosince 2002 překonal nominální kurz vůči euru. Na počátku července dolarový kurz dosahoval 23,75 CZK/USD a kvartál zakončil na 25,18 CZK/USD.   </w:t>
            </w:r>
          </w:p>
        </w:tc>
      </w:tr>
      <w:tr w:rsidR="00E41131" w14:paraId="5F63245C" w14:textId="77777777" w:rsidTr="002036E6">
        <w:trPr>
          <w:trHeight w:val="145"/>
        </w:trPr>
        <w:tc>
          <w:tcPr>
            <w:tcW w:w="1802" w:type="dxa"/>
          </w:tcPr>
          <w:p w14:paraId="40811DAC" w14:textId="77777777" w:rsidR="00E41131" w:rsidRDefault="00E41131" w:rsidP="002036E6">
            <w:pPr>
              <w:pStyle w:val="Marginlie"/>
              <w:rPr>
                <w:lang w:eastAsia="en-US"/>
              </w:rPr>
            </w:pPr>
            <w:r>
              <w:rPr>
                <w:lang w:eastAsia="en-US"/>
              </w:rPr>
              <w:t>Rostly úrokové sazby mezibankovního trhu.</w:t>
            </w:r>
          </w:p>
        </w:tc>
        <w:tc>
          <w:tcPr>
            <w:tcW w:w="229" w:type="dxa"/>
          </w:tcPr>
          <w:p w14:paraId="345C15EB" w14:textId="77777777" w:rsidR="00E41131" w:rsidRDefault="00E41131" w:rsidP="002036E6">
            <w:pPr>
              <w:pStyle w:val="Textpoznpodarou"/>
              <w:jc w:val="both"/>
              <w:rPr>
                <w:spacing w:val="-4"/>
                <w:lang w:eastAsia="en-US"/>
              </w:rPr>
            </w:pPr>
          </w:p>
        </w:tc>
        <w:tc>
          <w:tcPr>
            <w:tcW w:w="7610" w:type="dxa"/>
          </w:tcPr>
          <w:p w14:paraId="4BC1A852" w14:textId="77777777" w:rsidR="00E41131" w:rsidRDefault="00E41131" w:rsidP="002036E6">
            <w:pPr>
              <w:rPr>
                <w:spacing w:val="-1"/>
                <w:lang w:eastAsia="en-US"/>
              </w:rPr>
            </w:pPr>
            <w:r>
              <w:rPr>
                <w:spacing w:val="-1"/>
                <w:lang w:eastAsia="en-US"/>
              </w:rPr>
              <w:t>Spolu s </w:t>
            </w:r>
            <w:proofErr w:type="spellStart"/>
            <w:r>
              <w:rPr>
                <w:spacing w:val="-1"/>
                <w:lang w:eastAsia="en-US"/>
              </w:rPr>
              <w:t>měnověpolitickými</w:t>
            </w:r>
            <w:proofErr w:type="spellEnd"/>
            <w:r>
              <w:rPr>
                <w:spacing w:val="-1"/>
                <w:lang w:eastAsia="en-US"/>
              </w:rPr>
              <w:t xml:space="preserve"> sazbami stagnovaly i úrokové sazby mezibankovního trhu. Ty po zvýšení </w:t>
            </w:r>
            <w:proofErr w:type="spellStart"/>
            <w:r>
              <w:rPr>
                <w:spacing w:val="-1"/>
                <w:lang w:eastAsia="en-US"/>
              </w:rPr>
              <w:t>repo</w:t>
            </w:r>
            <w:proofErr w:type="spellEnd"/>
            <w:r>
              <w:rPr>
                <w:spacing w:val="-1"/>
                <w:lang w:eastAsia="en-US"/>
              </w:rPr>
              <w:t xml:space="preserve"> sazby na konci června reagovaly v červenci navýšením, ale následně se už nehýbaly. Tříměsíční sazba PRIBOR tak ke konci září dosahovala 7,25 % a zvýšila se v průběhu 3. kvartálu o 0,61 p. b.</w:t>
            </w:r>
            <w:r>
              <w:rPr>
                <w:rStyle w:val="Znakapoznpodarou"/>
                <w:spacing w:val="-1"/>
                <w:lang w:eastAsia="en-US"/>
              </w:rPr>
              <w:footnoteReference w:id="82"/>
            </w:r>
            <w:r>
              <w:rPr>
                <w:spacing w:val="-1"/>
                <w:lang w:eastAsia="en-US"/>
              </w:rPr>
              <w:t xml:space="preserve"> Obdobný byl vývoj u dalších typů sazeb. Výnosy dluhopisů se z červnových maxim během letních měsíců snižovaly a přes opětovné zářijové navýšení končily 3. čtvrtletí níže, než začínaly. Úrokové sazby na dluhopisech s krátkodobou splatností ke konci září dosahovaly 5,9 % a byly nižší o 0,36 p. b., ty se střednědobou splatností byly úročeny 5,06 % (−0,43 p. b.) a dlouhodobé dluhopisy měly průměrnou sazbu 4,72 % (−0,4 p. b.).</w:t>
            </w:r>
          </w:p>
        </w:tc>
      </w:tr>
      <w:tr w:rsidR="00E41131" w14:paraId="40871959" w14:textId="77777777" w:rsidTr="002036E6">
        <w:trPr>
          <w:trHeight w:val="145"/>
        </w:trPr>
        <w:tc>
          <w:tcPr>
            <w:tcW w:w="1802" w:type="dxa"/>
            <w:hideMark/>
          </w:tcPr>
          <w:p w14:paraId="7976BDB4" w14:textId="77777777" w:rsidR="00E41131" w:rsidRDefault="00E41131" w:rsidP="002036E6">
            <w:pPr>
              <w:pStyle w:val="Marginlie"/>
              <w:rPr>
                <w:lang w:eastAsia="en-US"/>
              </w:rPr>
            </w:pPr>
            <w:r>
              <w:rPr>
                <w:lang w:eastAsia="en-US"/>
              </w:rPr>
              <w:t>Zvyšovalo se úročení klientských vkladů včetně běžných účtů.</w:t>
            </w:r>
          </w:p>
        </w:tc>
        <w:tc>
          <w:tcPr>
            <w:tcW w:w="229" w:type="dxa"/>
          </w:tcPr>
          <w:p w14:paraId="5B588BE3" w14:textId="77777777" w:rsidR="00E41131" w:rsidRDefault="00E41131" w:rsidP="002036E6">
            <w:pPr>
              <w:pStyle w:val="Textpoznpodarou"/>
              <w:jc w:val="both"/>
              <w:rPr>
                <w:spacing w:val="-4"/>
                <w:lang w:eastAsia="en-US"/>
              </w:rPr>
            </w:pPr>
          </w:p>
        </w:tc>
        <w:tc>
          <w:tcPr>
            <w:tcW w:w="7610" w:type="dxa"/>
          </w:tcPr>
          <w:p w14:paraId="6EFB7A13" w14:textId="77777777" w:rsidR="00E41131" w:rsidRDefault="00E41131" w:rsidP="002036E6">
            <w:pPr>
              <w:rPr>
                <w:spacing w:val="-3"/>
                <w:lang w:eastAsia="en-US"/>
              </w:rPr>
            </w:pPr>
            <w:r>
              <w:rPr>
                <w:spacing w:val="-3"/>
                <w:lang w:eastAsia="en-US"/>
              </w:rPr>
              <w:t xml:space="preserve">Úrokové sazby klientských účtů se dál zvyšovaly. Nejmarkantnější to bylo u vkladů s dohodnutou splatností, kde se úročení celkově zvýšilo o 0,74 p. b., a ke konci září dosahovalo průměru 6,08 %. Posun vzhůru se ale dotkl i úrokových sazeb jednodenních vkladů, které zahrnují některé typy spořicích účtů (o 0,3 p. b. na průměrnou hodnotu 1,07 %). U běžných účtů se průměrné úročení zdvojnásobilo na 0,16 %, což je nejvíce od konce června 2014. Nefinanční podniky už dříve mohly využít vyšších sazeb na běžných účtech, než měly domácnosti, a také v průběhu 3. čtvrtletí zde úročení vzrostlo o 0,18 p. b. na 0,88 %. Vklady s dohodnutou splatností nefinančních podniků byly ke konci září v průměru úročeny 6,45 %, což představuje nárůst o 0,65 p. b. Dál pokračoval velmi netypický odliv finančních prostředků z netermínovaných vkladů. Meziročně poklesl jejich objem o více než desetinu a za 3. čtvrtletí se snížil o 3,2 %, což je 139,6 mld. korun. Naopak se navyšoval objem termínovaných vkladů (meziročně o 79,2 %, za 3. čtvrtletí došlo k </w:t>
            </w:r>
            <w:proofErr w:type="gramStart"/>
            <w:r>
              <w:rPr>
                <w:spacing w:val="-3"/>
                <w:lang w:eastAsia="en-US"/>
              </w:rPr>
              <w:t>11,0%</w:t>
            </w:r>
            <w:proofErr w:type="gramEnd"/>
            <w:r>
              <w:rPr>
                <w:spacing w:val="-3"/>
                <w:lang w:eastAsia="en-US"/>
              </w:rPr>
              <w:t xml:space="preserve"> přírůstku, což odpovídá 216,4 mld. korun). Z pohledu jednotlivých sektorů je patrné prudké zpomalování meziročního nárůstu objemu vkladů domácností</w:t>
            </w:r>
            <w:r>
              <w:rPr>
                <w:rStyle w:val="Znakapoznpodarou"/>
                <w:spacing w:val="-3"/>
                <w:lang w:eastAsia="en-US"/>
              </w:rPr>
              <w:footnoteReference w:id="83"/>
            </w:r>
            <w:r>
              <w:rPr>
                <w:spacing w:val="-3"/>
                <w:lang w:eastAsia="en-US"/>
              </w:rPr>
              <w:t>. O více než čtvrtinu meziročně vzrostly vklady finančních institucí a také vládních institucí. To souvisí s navýšením vládního dluhu nad skutečnou potřebu financování, ke kterému došlo ve 2. čtvrtletí. Vládní instituce získané prostředky uložily ve formě oběživa a vkladů.</w:t>
            </w:r>
          </w:p>
        </w:tc>
      </w:tr>
      <w:tr w:rsidR="00E41131" w14:paraId="0D979AB3" w14:textId="77777777" w:rsidTr="002036E6">
        <w:trPr>
          <w:trHeight w:val="145"/>
        </w:trPr>
        <w:tc>
          <w:tcPr>
            <w:tcW w:w="1802" w:type="dxa"/>
          </w:tcPr>
          <w:p w14:paraId="19E43B48" w14:textId="77777777" w:rsidR="00E41131" w:rsidRDefault="00E41131" w:rsidP="002036E6">
            <w:pPr>
              <w:pStyle w:val="Marginlie"/>
              <w:rPr>
                <w:lang w:eastAsia="en-US"/>
              </w:rPr>
            </w:pPr>
            <w:r>
              <w:rPr>
                <w:lang w:eastAsia="en-US"/>
              </w:rPr>
              <w:t>Na hypotečním trhu dál pokračovalo zpomalování.</w:t>
            </w:r>
          </w:p>
        </w:tc>
        <w:tc>
          <w:tcPr>
            <w:tcW w:w="229" w:type="dxa"/>
          </w:tcPr>
          <w:p w14:paraId="63C30BBA" w14:textId="77777777" w:rsidR="00E41131" w:rsidRDefault="00E41131" w:rsidP="002036E6">
            <w:pPr>
              <w:pStyle w:val="Textpoznpodarou"/>
              <w:jc w:val="both"/>
              <w:rPr>
                <w:spacing w:val="-4"/>
                <w:lang w:eastAsia="en-US"/>
              </w:rPr>
            </w:pPr>
          </w:p>
        </w:tc>
        <w:tc>
          <w:tcPr>
            <w:tcW w:w="7610" w:type="dxa"/>
          </w:tcPr>
          <w:p w14:paraId="4CA5BEDA" w14:textId="77777777" w:rsidR="00E41131" w:rsidRDefault="00E41131" w:rsidP="002036E6">
            <w:pPr>
              <w:rPr>
                <w:lang w:eastAsia="en-US"/>
              </w:rPr>
            </w:pPr>
            <w:r>
              <w:rPr>
                <w:lang w:eastAsia="en-US"/>
              </w:rPr>
              <w:t xml:space="preserve">Náklady na úvěry pro domácnosti se také dál zvyšovaly. Průměrná úroková sazba úvěrů na spotřebu do konce září navýšila o 0,86 p. b. a dosáhla 9,7 %, což je nejvíce od prosince 2016. Také se zdražovaly úvěry na bydlení. Průměrné úročení úvěru na nákup bytové nemovitosti vzrostlo o 0,46 p. b. na 4,89 %. V závislosti na fixaci se přitom sazba pohybovala od 4,19 % pro fixace mezi 5 a 10 lety přes 5,13 % u nejoblíbenější fixace mezi 1 a 5 lety až po 6,25 % u krátkodobých úvěrů s fixací do 1 roku. Zvyšující se úrokové sazby i všeobecná nejistota ohledně dalšího ekonomického vývoje se podepsaly i na růstu objemu poskytnutých úvěrů. Objem úvěrů na spotřebu byl ke konci </w:t>
            </w:r>
            <w:r>
              <w:rPr>
                <w:lang w:eastAsia="en-US"/>
              </w:rPr>
              <w:lastRenderedPageBreak/>
              <w:t>září meziročně vyšší o 6,1 %. Přírůstek tak zpomalil. Jeho výše je srovnatelná s konjunkturním obdobím 2018–2019 s tím rozdílem, že aktuálně výrazně zaostává za prudkým růstem cenové hladiny. Objem úvěrů poskytnutých na bydlení byl ke konci září meziročně vyšší o 6,8 %. Z toho samotné hypoteční úvěry vzrostly o 7,0 %, což bylo nejméně od března 2015. Nové hypoteční úvěry</w:t>
            </w:r>
            <w:r>
              <w:rPr>
                <w:rStyle w:val="Znakapoznpodarou"/>
                <w:lang w:eastAsia="en-US"/>
              </w:rPr>
              <w:footnoteReference w:id="84"/>
            </w:r>
            <w:r>
              <w:rPr>
                <w:lang w:eastAsia="en-US"/>
              </w:rPr>
              <w:t xml:space="preserve"> ke konci 3. čtvrtletí dosahovaly přibližně třetiny úrovně ze září 2021. Zatímco nové úvěry se propadly na 18 % loňské úrovně a refinancované úvěry na 14,9 %, ostatní nová ujednání dosahovala dvou třetin loňského objemu. To ukazuje na pokračující aktualizace smluv uzavřených během hypotečního boomu v posledních letech, tentokrát ale s výrazně vyššími sazbami.  </w:t>
            </w:r>
          </w:p>
        </w:tc>
      </w:tr>
      <w:tr w:rsidR="00E41131" w14:paraId="58ED442A" w14:textId="77777777" w:rsidTr="002036E6">
        <w:trPr>
          <w:trHeight w:val="145"/>
        </w:trPr>
        <w:tc>
          <w:tcPr>
            <w:tcW w:w="1802" w:type="dxa"/>
          </w:tcPr>
          <w:p w14:paraId="0C166EEA" w14:textId="77777777" w:rsidR="00E41131" w:rsidRDefault="00E41131" w:rsidP="002036E6">
            <w:pPr>
              <w:pStyle w:val="Marginlie"/>
              <w:rPr>
                <w:lang w:eastAsia="en-US"/>
              </w:rPr>
            </w:pPr>
            <w:r>
              <w:rPr>
                <w:lang w:eastAsia="en-US"/>
              </w:rPr>
              <w:lastRenderedPageBreak/>
              <w:t xml:space="preserve">Klesl objem korunových úvěrů a pohledávek týkajících se nefinančních podniků. </w:t>
            </w:r>
          </w:p>
        </w:tc>
        <w:tc>
          <w:tcPr>
            <w:tcW w:w="229" w:type="dxa"/>
          </w:tcPr>
          <w:p w14:paraId="53A9CF17" w14:textId="77777777" w:rsidR="00E41131" w:rsidRDefault="00E41131" w:rsidP="002036E6">
            <w:pPr>
              <w:pStyle w:val="Textpoznpodarou"/>
              <w:jc w:val="both"/>
              <w:rPr>
                <w:spacing w:val="-4"/>
                <w:lang w:eastAsia="en-US"/>
              </w:rPr>
            </w:pPr>
          </w:p>
        </w:tc>
        <w:tc>
          <w:tcPr>
            <w:tcW w:w="7610" w:type="dxa"/>
          </w:tcPr>
          <w:p w14:paraId="347A7528" w14:textId="77777777" w:rsidR="00E41131" w:rsidRDefault="00E41131" w:rsidP="002036E6">
            <w:pPr>
              <w:rPr>
                <w:lang w:eastAsia="en-US"/>
              </w:rPr>
            </w:pPr>
            <w:r>
              <w:rPr>
                <w:lang w:eastAsia="en-US"/>
              </w:rPr>
              <w:t>Úvěry pro nefinanční podniky do 7,5 milionu korun byly ke konci září průměrně úročeny 8,2 %. To je mezičtvrtletně více o 1,2 p. b. a meziročně o 4,43 p. b. Úvěry mezi 7,5 a 30 miliony byly v září úročeny 7,21 % (+0,65 p. b. mezičtvrtletně a +4,27 p. b. meziročně). Největší úvěry nad 30 milionů měly průměrnou úrokovou sazbu ve výši 8,53 % (+0,38 p. b. mezičtvrtletně a +6,79 p. b. meziročně). Celkový objem úvěrů a pohledávek týkajících se nefinančních podniků byl ke konci září meziročně vyšší o 7,9 %. Zatímco úvěry v korunách se ale propadly o 10,8 %, ty denominované v cizích měnách se zvýšily o 45,5 %</w:t>
            </w:r>
            <w:r>
              <w:rPr>
                <w:rStyle w:val="Znakapoznpodarou"/>
                <w:lang w:eastAsia="en-US"/>
              </w:rPr>
              <w:footnoteReference w:id="85"/>
            </w:r>
            <w:r>
              <w:rPr>
                <w:lang w:eastAsia="en-US"/>
              </w:rPr>
              <w:t xml:space="preserve">. Půjčky v cizí měně tvořily ke konci září 44,8 % úvěrů a pohledávek. Z hlediska jednotlivých odvětví nejvíce meziročně narůstal objem úvěrů poskytnutých v peněžnictví a pojišťovnictví (19,8 %), ve velkoobchodě, maloobchodě a opravách a údržbě motorových vozidel (19,0 %) a ve veřejné správě a obraně, povinném sociálním zabezpečení, vzdělávání, zdravotní a sociální péči (10,7 %). </w:t>
            </w:r>
          </w:p>
        </w:tc>
      </w:tr>
      <w:tr w:rsidR="00E41131" w14:paraId="28A168D5" w14:textId="77777777" w:rsidTr="002036E6">
        <w:trPr>
          <w:trHeight w:val="304"/>
        </w:trPr>
        <w:tc>
          <w:tcPr>
            <w:tcW w:w="1802" w:type="dxa"/>
            <w:vMerge w:val="restart"/>
          </w:tcPr>
          <w:p w14:paraId="215CE7C9" w14:textId="77777777" w:rsidR="00E41131" w:rsidRDefault="00E41131" w:rsidP="002036E6">
            <w:pPr>
              <w:pStyle w:val="Marginlie"/>
              <w:rPr>
                <w:lang w:eastAsia="en-US"/>
              </w:rPr>
            </w:pPr>
          </w:p>
        </w:tc>
        <w:tc>
          <w:tcPr>
            <w:tcW w:w="229" w:type="dxa"/>
            <w:vMerge w:val="restart"/>
          </w:tcPr>
          <w:p w14:paraId="0434CC69" w14:textId="77777777" w:rsidR="00E41131" w:rsidRDefault="00E41131" w:rsidP="002036E6">
            <w:pPr>
              <w:pStyle w:val="Textpoznpodarou"/>
              <w:jc w:val="both"/>
              <w:rPr>
                <w:spacing w:val="-4"/>
                <w:lang w:eastAsia="en-US"/>
              </w:rPr>
            </w:pPr>
          </w:p>
        </w:tc>
        <w:tc>
          <w:tcPr>
            <w:tcW w:w="7610" w:type="dxa"/>
            <w:hideMark/>
          </w:tcPr>
          <w:p w14:paraId="78928912" w14:textId="77777777" w:rsidR="00E41131" w:rsidRPr="00D721B4" w:rsidRDefault="00E41131" w:rsidP="002036E6">
            <w:pPr>
              <w:spacing w:after="0"/>
              <w:rPr>
                <w:szCs w:val="20"/>
                <w:lang w:eastAsia="en-US"/>
              </w:rPr>
            </w:pPr>
            <w:r>
              <w:rPr>
                <w:rFonts w:cs="Arial"/>
                <w:b/>
                <w:bCs/>
                <w:color w:val="000000"/>
                <w:szCs w:val="20"/>
                <w:lang w:eastAsia="en-US"/>
              </w:rPr>
              <w:t>Graf č. 16</w:t>
            </w:r>
            <w:r w:rsidRPr="00D721B4">
              <w:rPr>
                <w:rFonts w:cs="Arial"/>
                <w:b/>
                <w:bCs/>
                <w:color w:val="000000"/>
                <w:szCs w:val="20"/>
                <w:lang w:eastAsia="en-US"/>
              </w:rPr>
              <w:t xml:space="preserve"> </w:t>
            </w:r>
            <w:r w:rsidRPr="00D721B4">
              <w:rPr>
                <w:b/>
                <w:spacing w:val="-4"/>
                <w:szCs w:val="20"/>
                <w:lang w:eastAsia="en-US"/>
              </w:rPr>
              <w:t xml:space="preserve">Tržní úrokové sazby </w:t>
            </w:r>
            <w:r w:rsidRPr="00D721B4">
              <w:rPr>
                <w:bCs/>
                <w:spacing w:val="-4"/>
                <w:szCs w:val="20"/>
                <w:lang w:eastAsia="en-US"/>
              </w:rPr>
              <w:t>(v</w:t>
            </w:r>
            <w:r>
              <w:rPr>
                <w:bCs/>
                <w:spacing w:val="-4"/>
                <w:szCs w:val="20"/>
                <w:lang w:eastAsia="en-US"/>
              </w:rPr>
              <w:t> %</w:t>
            </w:r>
            <w:r w:rsidRPr="00D721B4">
              <w:rPr>
                <w:bCs/>
                <w:spacing w:val="-4"/>
                <w:szCs w:val="20"/>
                <w:lang w:eastAsia="en-US"/>
              </w:rPr>
              <w:t>)</w:t>
            </w:r>
          </w:p>
        </w:tc>
      </w:tr>
      <w:tr w:rsidR="00E41131" w14:paraId="430D1863" w14:textId="77777777" w:rsidTr="002036E6">
        <w:tblPrEx>
          <w:tblCellMar>
            <w:left w:w="70" w:type="dxa"/>
            <w:right w:w="70" w:type="dxa"/>
          </w:tblCellMar>
        </w:tblPrEx>
        <w:trPr>
          <w:trHeight w:val="170"/>
        </w:trPr>
        <w:tc>
          <w:tcPr>
            <w:tcW w:w="1802" w:type="dxa"/>
            <w:vMerge/>
            <w:vAlign w:val="center"/>
            <w:hideMark/>
          </w:tcPr>
          <w:p w14:paraId="533F7F6E" w14:textId="77777777" w:rsidR="00E41131" w:rsidRDefault="00E41131" w:rsidP="002036E6">
            <w:pPr>
              <w:spacing w:after="0" w:line="240" w:lineRule="auto"/>
              <w:jc w:val="left"/>
              <w:rPr>
                <w:spacing w:val="-2"/>
                <w:sz w:val="16"/>
                <w:szCs w:val="16"/>
                <w:lang w:eastAsia="en-US"/>
              </w:rPr>
            </w:pPr>
          </w:p>
        </w:tc>
        <w:tc>
          <w:tcPr>
            <w:tcW w:w="229" w:type="dxa"/>
            <w:vMerge/>
            <w:vAlign w:val="center"/>
            <w:hideMark/>
          </w:tcPr>
          <w:p w14:paraId="460886D0" w14:textId="77777777" w:rsidR="00E41131" w:rsidRDefault="00E41131" w:rsidP="002036E6">
            <w:pPr>
              <w:spacing w:after="0" w:line="240" w:lineRule="auto"/>
              <w:jc w:val="left"/>
              <w:rPr>
                <w:rFonts w:eastAsia="Calibri"/>
                <w:spacing w:val="-4"/>
                <w:szCs w:val="20"/>
                <w:lang w:eastAsia="en-US"/>
              </w:rPr>
            </w:pPr>
          </w:p>
        </w:tc>
        <w:tc>
          <w:tcPr>
            <w:tcW w:w="7610" w:type="dxa"/>
            <w:hideMark/>
          </w:tcPr>
          <w:p w14:paraId="5028A9F6" w14:textId="77777777" w:rsidR="00E41131" w:rsidRDefault="00E41131" w:rsidP="002036E6">
            <w:pPr>
              <w:spacing w:after="0"/>
              <w:rPr>
                <w:sz w:val="14"/>
                <w:szCs w:val="14"/>
                <w:lang w:eastAsia="en-US"/>
              </w:rPr>
            </w:pPr>
            <w:r>
              <w:rPr>
                <w:noProof/>
              </w:rPr>
              <w:drawing>
                <wp:inline distT="0" distB="0" distL="0" distR="0" wp14:anchorId="28A847A2" wp14:editId="5AD0D5BC">
                  <wp:extent cx="4737600" cy="3553200"/>
                  <wp:effectExtent l="0" t="0" r="6350" b="0"/>
                  <wp:docPr id="34" name="Graf 34">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E41131" w14:paraId="6B76C125" w14:textId="77777777" w:rsidTr="002036E6">
        <w:trPr>
          <w:trHeight w:val="170"/>
        </w:trPr>
        <w:tc>
          <w:tcPr>
            <w:tcW w:w="0" w:type="auto"/>
            <w:vMerge/>
            <w:vAlign w:val="center"/>
            <w:hideMark/>
          </w:tcPr>
          <w:p w14:paraId="686D5585" w14:textId="77777777" w:rsidR="00E41131" w:rsidRDefault="00E41131" w:rsidP="002036E6">
            <w:pPr>
              <w:spacing w:after="0" w:line="240" w:lineRule="auto"/>
              <w:jc w:val="left"/>
              <w:rPr>
                <w:spacing w:val="-2"/>
                <w:sz w:val="16"/>
                <w:szCs w:val="16"/>
                <w:lang w:eastAsia="en-US"/>
              </w:rPr>
            </w:pPr>
          </w:p>
        </w:tc>
        <w:tc>
          <w:tcPr>
            <w:tcW w:w="0" w:type="auto"/>
            <w:vMerge/>
            <w:vAlign w:val="center"/>
            <w:hideMark/>
          </w:tcPr>
          <w:p w14:paraId="4576BB10" w14:textId="77777777" w:rsidR="00E41131" w:rsidRDefault="00E41131" w:rsidP="002036E6">
            <w:pPr>
              <w:spacing w:after="0" w:line="240" w:lineRule="auto"/>
              <w:jc w:val="left"/>
              <w:rPr>
                <w:rFonts w:eastAsia="Calibri"/>
                <w:spacing w:val="-4"/>
                <w:szCs w:val="20"/>
                <w:lang w:eastAsia="en-US"/>
              </w:rPr>
            </w:pPr>
          </w:p>
        </w:tc>
        <w:tc>
          <w:tcPr>
            <w:tcW w:w="7610" w:type="dxa"/>
            <w:hideMark/>
          </w:tcPr>
          <w:p w14:paraId="76F3364B" w14:textId="77777777" w:rsidR="00E41131" w:rsidRDefault="00E41131" w:rsidP="002036E6">
            <w:pPr>
              <w:spacing w:after="0"/>
              <w:rPr>
                <w:sz w:val="14"/>
                <w:szCs w:val="14"/>
                <w:lang w:eastAsia="en-US"/>
              </w:rPr>
            </w:pPr>
            <w:r>
              <w:rPr>
                <w:sz w:val="14"/>
                <w:szCs w:val="14"/>
                <w:lang w:eastAsia="en-US"/>
              </w:rPr>
              <w:t>Zdroj: ČNB</w:t>
            </w:r>
          </w:p>
        </w:tc>
      </w:tr>
    </w:tbl>
    <w:p w14:paraId="72EBB9B1" w14:textId="77777777" w:rsidR="00A30EA4" w:rsidRDefault="00A30EA4" w:rsidP="00A30EA4">
      <w:pPr>
        <w:pStyle w:val="Nadpis11"/>
      </w:pPr>
      <w:bookmarkStart w:id="36" w:name="_Toc121993824"/>
      <w:r w:rsidRPr="00787441">
        <w:rPr>
          <w:szCs w:val="32"/>
        </w:rPr>
        <w:lastRenderedPageBreak/>
        <w:t>8</w:t>
      </w:r>
      <w:r>
        <w:t>. </w:t>
      </w:r>
      <w:r w:rsidRPr="009110F7">
        <w:t>Státní rozpočet</w:t>
      </w:r>
      <w:bookmarkEnd w:id="36"/>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A30EA4" w:rsidRPr="003C07E6" w14:paraId="182F37A6" w14:textId="77777777" w:rsidTr="00275E43">
        <w:trPr>
          <w:trHeight w:val="145"/>
        </w:trPr>
        <w:tc>
          <w:tcPr>
            <w:tcW w:w="1780" w:type="dxa"/>
            <w:shd w:val="clear" w:color="auto" w:fill="auto"/>
            <w:tcMar>
              <w:left w:w="0" w:type="dxa"/>
            </w:tcMar>
          </w:tcPr>
          <w:p w14:paraId="583FB97B" w14:textId="77777777" w:rsidR="00A30EA4" w:rsidRPr="00980316" w:rsidRDefault="00A30EA4" w:rsidP="00275E43">
            <w:pPr>
              <w:pStyle w:val="Marginlie"/>
              <w:rPr>
                <w:spacing w:val="-5"/>
              </w:rPr>
            </w:pPr>
            <w:r w:rsidRPr="00980316">
              <w:rPr>
                <w:spacing w:val="-5"/>
              </w:rPr>
              <w:t xml:space="preserve">Schodek rozpočtu se během roku výrazně prohluboval. Nebývale silný cenový růst i </w:t>
            </w:r>
            <w:r>
              <w:rPr>
                <w:spacing w:val="-5"/>
              </w:rPr>
              <w:t xml:space="preserve">potřeba </w:t>
            </w:r>
            <w:r w:rsidRPr="00980316">
              <w:rPr>
                <w:spacing w:val="-5"/>
              </w:rPr>
              <w:t>řešení přímých dopadů válk</w:t>
            </w:r>
            <w:r>
              <w:rPr>
                <w:spacing w:val="-5"/>
              </w:rPr>
              <w:t>y na Ukrajině vyústily v</w:t>
            </w:r>
            <w:r w:rsidRPr="00980316">
              <w:rPr>
                <w:spacing w:val="-5"/>
              </w:rPr>
              <w:t> </w:t>
            </w:r>
            <w:r>
              <w:rPr>
                <w:spacing w:val="-5"/>
              </w:rPr>
              <w:t>mimořádné výdaje</w:t>
            </w:r>
            <w:r w:rsidRPr="00980316">
              <w:rPr>
                <w:spacing w:val="-5"/>
              </w:rPr>
              <w:t xml:space="preserve"> SR.</w:t>
            </w:r>
          </w:p>
        </w:tc>
        <w:tc>
          <w:tcPr>
            <w:tcW w:w="219" w:type="dxa"/>
            <w:shd w:val="clear" w:color="auto" w:fill="auto"/>
            <w:tcMar>
              <w:left w:w="0" w:type="dxa"/>
            </w:tcMar>
          </w:tcPr>
          <w:p w14:paraId="1FBB7907" w14:textId="77777777" w:rsidR="00A30EA4" w:rsidRDefault="00A30EA4" w:rsidP="00275E43">
            <w:pPr>
              <w:pStyle w:val="Textpoznpodarou"/>
              <w:jc w:val="both"/>
              <w:rPr>
                <w:spacing w:val="-4"/>
              </w:rPr>
            </w:pPr>
          </w:p>
        </w:tc>
        <w:tc>
          <w:tcPr>
            <w:tcW w:w="7670" w:type="dxa"/>
            <w:shd w:val="clear" w:color="auto" w:fill="auto"/>
            <w:tcMar>
              <w:left w:w="0" w:type="dxa"/>
            </w:tcMar>
          </w:tcPr>
          <w:p w14:paraId="761ED71C" w14:textId="77777777" w:rsidR="00A30EA4" w:rsidRDefault="00A30EA4" w:rsidP="00275E43">
            <w:pPr>
              <w:spacing w:after="220"/>
              <w:rPr>
                <w:spacing w:val="-4"/>
              </w:rPr>
            </w:pPr>
            <w:r>
              <w:rPr>
                <w:spacing w:val="-4"/>
              </w:rPr>
              <w:t xml:space="preserve">V úhrnu za tři letošní čtvrtletí vykázal </w:t>
            </w:r>
            <w:r w:rsidRPr="00A92514">
              <w:rPr>
                <w:spacing w:val="-4"/>
              </w:rPr>
              <w:t>tuzemský státní rozpočet (SR)</w:t>
            </w:r>
            <w:r w:rsidRPr="00A92514">
              <w:rPr>
                <w:rStyle w:val="Znakapoznpodarou"/>
                <w:spacing w:val="-4"/>
              </w:rPr>
              <w:footnoteReference w:id="86"/>
            </w:r>
            <w:r>
              <w:rPr>
                <w:spacing w:val="-4"/>
              </w:rPr>
              <w:t xml:space="preserve"> výrazný deficit v hodnotě 270,9 mld. korun, který již skoro vystoupal na celoroční úroveň schválenou v původní verzi zákona o rozpočtu</w:t>
            </w:r>
            <w:r>
              <w:rPr>
                <w:rStyle w:val="Znakapoznpodarou"/>
                <w:spacing w:val="-4"/>
              </w:rPr>
              <w:footnoteReference w:id="87"/>
            </w:r>
            <w:r>
              <w:rPr>
                <w:spacing w:val="-4"/>
              </w:rPr>
              <w:t xml:space="preserve">. Deficitní hospodaření přetrvávalo čtvrtý rok v řadě, letošní dosažený výsledek byl však oproti loňskému rekordnímu schodku o 55 mld. korun nižší. Stalo se tak díky příznivějšímu hospodaření SR v 1. čtvrtletí, kdy deficit nepřesáhl 60 mld. korun. Tehdy již na rozdíl od počátku loňského roku nebyla vlivem protipandemických restrikcí omezena ekonomická aktivita a citelně tak poklesla potřeba finanční pomoci postiženým podnikům i domácnostem. Během roku 2022 došlo vlivem </w:t>
            </w:r>
            <w:r w:rsidRPr="00A92514">
              <w:rPr>
                <w:spacing w:val="-4"/>
              </w:rPr>
              <w:t xml:space="preserve">zvýšeného geopolitického napětí </w:t>
            </w:r>
            <w:r>
              <w:rPr>
                <w:spacing w:val="-4"/>
              </w:rPr>
              <w:t>k razantní akceleraci růstu cen energií i paliv. Nárůst cen pak postupně prostoupil celou tuzemskou ekonomikou a nasměroval ji na sestupnou fázi hospodářského cyklu. Tyto vlivy se zatím negativně projevily především na výdajové straně SR – zejména vyššími sociálními transfery (vč. výdajů spojených</w:t>
            </w:r>
            <w:r w:rsidRPr="00A92514">
              <w:rPr>
                <w:spacing w:val="-4"/>
              </w:rPr>
              <w:t xml:space="preserve"> s uprchlickou vlnou z</w:t>
            </w:r>
            <w:r>
              <w:rPr>
                <w:spacing w:val="-4"/>
              </w:rPr>
              <w:t> </w:t>
            </w:r>
            <w:r w:rsidRPr="00A92514">
              <w:rPr>
                <w:spacing w:val="-4"/>
              </w:rPr>
              <w:t>Ukrajiny</w:t>
            </w:r>
            <w:r>
              <w:rPr>
                <w:spacing w:val="-4"/>
              </w:rPr>
              <w:t xml:space="preserve">), úhradami nákladů na energie, nákladnějším běžným provozem státu či prodražováním plánovaných investic. </w:t>
            </w:r>
          </w:p>
        </w:tc>
      </w:tr>
      <w:tr w:rsidR="00A30EA4" w:rsidRPr="003C07E6" w14:paraId="442C7158" w14:textId="77777777" w:rsidTr="00275E43">
        <w:trPr>
          <w:trHeight w:val="145"/>
        </w:trPr>
        <w:tc>
          <w:tcPr>
            <w:tcW w:w="1780" w:type="dxa"/>
            <w:shd w:val="clear" w:color="auto" w:fill="auto"/>
            <w:tcMar>
              <w:left w:w="0" w:type="dxa"/>
            </w:tcMar>
          </w:tcPr>
          <w:p w14:paraId="66769320" w14:textId="77777777" w:rsidR="00A30EA4" w:rsidRDefault="00A30EA4" w:rsidP="00275E43">
            <w:pPr>
              <w:pStyle w:val="Marginlie"/>
            </w:pPr>
            <w:r>
              <w:t>Tempo růstu celkového daňového inkasa ve 3.</w:t>
            </w:r>
            <w:r w:rsidRPr="00980316">
              <w:rPr>
                <w:spacing w:val="-5"/>
              </w:rPr>
              <w:t> </w:t>
            </w:r>
            <w:r>
              <w:t xml:space="preserve">čtvrtletí zvolnilo. Pokles nedaňových </w:t>
            </w:r>
            <w:r>
              <w:br/>
            </w:r>
            <w:proofErr w:type="gramStart"/>
            <w:r>
              <w:t>a</w:t>
            </w:r>
            <w:r w:rsidRPr="00980316">
              <w:rPr>
                <w:spacing w:val="-5"/>
              </w:rPr>
              <w:t> </w:t>
            </w:r>
            <w:r>
              <w:t xml:space="preserve"> kapitálových</w:t>
            </w:r>
            <w:proofErr w:type="gramEnd"/>
            <w:r>
              <w:t xml:space="preserve"> příjmů pokračoval.</w:t>
            </w:r>
          </w:p>
        </w:tc>
        <w:tc>
          <w:tcPr>
            <w:tcW w:w="219" w:type="dxa"/>
            <w:shd w:val="clear" w:color="auto" w:fill="auto"/>
            <w:tcMar>
              <w:left w:w="0" w:type="dxa"/>
            </w:tcMar>
          </w:tcPr>
          <w:p w14:paraId="6DF718D3" w14:textId="77777777" w:rsidR="00A30EA4" w:rsidRDefault="00A30EA4" w:rsidP="00275E43">
            <w:pPr>
              <w:pStyle w:val="Textpoznpodarou"/>
              <w:jc w:val="both"/>
              <w:rPr>
                <w:spacing w:val="-4"/>
              </w:rPr>
            </w:pPr>
          </w:p>
        </w:tc>
        <w:tc>
          <w:tcPr>
            <w:tcW w:w="7670" w:type="dxa"/>
            <w:shd w:val="clear" w:color="auto" w:fill="auto"/>
            <w:tcMar>
              <w:left w:w="0" w:type="dxa"/>
            </w:tcMar>
          </w:tcPr>
          <w:p w14:paraId="3B804D90" w14:textId="77777777" w:rsidR="00A30EA4" w:rsidRPr="004B3C23" w:rsidRDefault="00A30EA4" w:rsidP="00275E43">
            <w:pPr>
              <w:spacing w:after="220"/>
              <w:rPr>
                <w:spacing w:val="-4"/>
              </w:rPr>
            </w:pPr>
            <w:r w:rsidRPr="004B3C23">
              <w:rPr>
                <w:spacing w:val="-4"/>
                <w:szCs w:val="16"/>
              </w:rPr>
              <w:t xml:space="preserve">Celkové příjmy SR se </w:t>
            </w:r>
            <w:r>
              <w:rPr>
                <w:spacing w:val="-4"/>
                <w:szCs w:val="16"/>
              </w:rPr>
              <w:t xml:space="preserve">za </w:t>
            </w:r>
            <w:r w:rsidRPr="004B3C23">
              <w:rPr>
                <w:spacing w:val="-4"/>
                <w:szCs w:val="16"/>
              </w:rPr>
              <w:t xml:space="preserve">1. až 3. čtvrtletí meziročně zvýšily o 8,2 % (resp. 89 mld. korun). </w:t>
            </w:r>
            <w:r w:rsidRPr="004B3C23">
              <w:rPr>
                <w:spacing w:val="-4"/>
              </w:rPr>
              <w:t xml:space="preserve">Přispělo k tomu znatelné posílení výrazné většiny významných daňových příjmů (primárně DPH a pojistného na sociální zabezpečení). Naproti tomu nedaňové a kapitálové příjmy byly meziročně nižší (o 11,8 %, </w:t>
            </w:r>
            <w:r>
              <w:rPr>
                <w:spacing w:val="-4"/>
              </w:rPr>
              <w:t xml:space="preserve">resp. o </w:t>
            </w:r>
            <w:r w:rsidRPr="004B3C23">
              <w:rPr>
                <w:spacing w:val="-4"/>
              </w:rPr>
              <w:t>16 mld. koru</w:t>
            </w:r>
            <w:r>
              <w:rPr>
                <w:spacing w:val="-4"/>
              </w:rPr>
              <w:t>n). Stály za tím hlavně</w:t>
            </w:r>
            <w:r w:rsidRPr="004B3C23">
              <w:rPr>
                <w:spacing w:val="-4"/>
              </w:rPr>
              <w:t xml:space="preserve"> nižší prostředky z rozpočtu EU, jejichž objem nedosáhl ani poloviny letošní celoroční rozpočtově očekávané výše</w:t>
            </w:r>
            <w:r w:rsidRPr="004B3C23">
              <w:rPr>
                <w:rStyle w:val="Znakapoznpodarou"/>
                <w:spacing w:val="-4"/>
              </w:rPr>
              <w:footnoteReference w:id="88"/>
            </w:r>
            <w:r w:rsidRPr="004B3C23">
              <w:rPr>
                <w:spacing w:val="-4"/>
              </w:rPr>
              <w:t>. Mimo to scházely SR také loňské mimořádné výnosy z aukce rádiových kmitočtů (5,6 mld. korun). Celostátní daňové inkaso (bez pojistného), které letos ve 2. čtvrtletí poprvé výrazněji překonalo odpovídající předpandemickou úroveň (z roku 2019), vzrostlo v úhrnu za tři čtvrtletí meziročně o 15,4 %. V</w:t>
            </w:r>
            <w:r>
              <w:rPr>
                <w:spacing w:val="-4"/>
              </w:rPr>
              <w:t>e</w:t>
            </w:r>
            <w:r w:rsidRPr="004B3C23">
              <w:rPr>
                <w:spacing w:val="-4"/>
              </w:rPr>
              <w:t xml:space="preserve"> 3. kvartálu již </w:t>
            </w:r>
            <w:r>
              <w:rPr>
                <w:spacing w:val="-4"/>
              </w:rPr>
              <w:t xml:space="preserve">však </w:t>
            </w:r>
            <w:r w:rsidRPr="004B3C23">
              <w:rPr>
                <w:spacing w:val="-4"/>
              </w:rPr>
              <w:t xml:space="preserve">růstové tempo nedosahovalo ani 10 %, </w:t>
            </w:r>
            <w:r>
              <w:rPr>
                <w:spacing w:val="-4"/>
              </w:rPr>
              <w:t>přestože</w:t>
            </w:r>
            <w:r w:rsidRPr="004B3C23">
              <w:rPr>
                <w:spacing w:val="-4"/>
              </w:rPr>
              <w:t xml:space="preserve"> inkasu </w:t>
            </w:r>
            <w:r>
              <w:rPr>
                <w:spacing w:val="-4"/>
              </w:rPr>
              <w:t>(zejména</w:t>
            </w:r>
            <w:r w:rsidRPr="004B3C23">
              <w:rPr>
                <w:spacing w:val="-4"/>
              </w:rPr>
              <w:t xml:space="preserve"> u nepřímých daní) pomáhal silný růst cen v ekonomice.</w:t>
            </w:r>
          </w:p>
        </w:tc>
      </w:tr>
      <w:tr w:rsidR="00A30EA4" w:rsidRPr="003C07E6" w14:paraId="4BEA80AB" w14:textId="77777777" w:rsidTr="00275E43">
        <w:trPr>
          <w:trHeight w:val="145"/>
        </w:trPr>
        <w:tc>
          <w:tcPr>
            <w:tcW w:w="1780" w:type="dxa"/>
            <w:shd w:val="clear" w:color="auto" w:fill="auto"/>
            <w:tcMar>
              <w:left w:w="0" w:type="dxa"/>
            </w:tcMar>
          </w:tcPr>
          <w:p w14:paraId="78050340" w14:textId="77777777" w:rsidR="00A30EA4" w:rsidRDefault="00A30EA4" w:rsidP="00275E43">
            <w:pPr>
              <w:pStyle w:val="Marginlie"/>
            </w:pPr>
            <w:r>
              <w:t xml:space="preserve">Ve skokovém růstu inkasa DPH se promítá zejména silný růst spotřebitelských cen. Opačně začíná stále více působit vliv oslabující spotřeby domácností.  </w:t>
            </w:r>
          </w:p>
        </w:tc>
        <w:tc>
          <w:tcPr>
            <w:tcW w:w="219" w:type="dxa"/>
            <w:shd w:val="clear" w:color="auto" w:fill="auto"/>
            <w:tcMar>
              <w:left w:w="0" w:type="dxa"/>
            </w:tcMar>
          </w:tcPr>
          <w:p w14:paraId="735A969F" w14:textId="77777777" w:rsidR="00A30EA4" w:rsidRDefault="00A30EA4" w:rsidP="00275E43">
            <w:pPr>
              <w:pStyle w:val="Textpoznpodarou"/>
              <w:jc w:val="both"/>
              <w:rPr>
                <w:spacing w:val="-4"/>
              </w:rPr>
            </w:pPr>
          </w:p>
        </w:tc>
        <w:tc>
          <w:tcPr>
            <w:tcW w:w="7670" w:type="dxa"/>
            <w:shd w:val="clear" w:color="auto" w:fill="auto"/>
            <w:tcMar>
              <w:left w:w="0" w:type="dxa"/>
            </w:tcMar>
          </w:tcPr>
          <w:p w14:paraId="75515303" w14:textId="77777777" w:rsidR="00A30EA4" w:rsidRPr="00A62FEE" w:rsidRDefault="00A30EA4" w:rsidP="00275E43">
            <w:pPr>
              <w:spacing w:after="220"/>
              <w:rPr>
                <w:spacing w:val="-4"/>
              </w:rPr>
            </w:pPr>
            <w:r w:rsidRPr="00A62FEE">
              <w:rPr>
                <w:spacing w:val="-4"/>
              </w:rPr>
              <w:t>K posílení příjmů SR přispěl v 1. až 3. čtvrtletí nejvíce výběr váhově dominantní daně – DPH,</w:t>
            </w:r>
            <w:r>
              <w:rPr>
                <w:spacing w:val="-4"/>
              </w:rPr>
              <w:t xml:space="preserve"> –</w:t>
            </w:r>
            <w:r w:rsidRPr="00A62FEE">
              <w:rPr>
                <w:spacing w:val="-4"/>
              </w:rPr>
              <w:t xml:space="preserve"> jenž byl meziročně vyšší o 18,3 %</w:t>
            </w:r>
            <w:r w:rsidRPr="00A62FEE">
              <w:rPr>
                <w:rStyle w:val="Znakapoznpodarou"/>
                <w:spacing w:val="-4"/>
              </w:rPr>
              <w:footnoteReference w:id="89"/>
            </w:r>
            <w:r w:rsidRPr="00A62FEE">
              <w:rPr>
                <w:spacing w:val="-4"/>
              </w:rPr>
              <w:t xml:space="preserve"> (resp. 38,3 mld. korun). Ve skokovém nárůstu výběru se zčásti odráží nižší srovnávací základna (vlivem omezení obchodu a služeb v lednu až dubnu loňského roku), zásadně je ale ovlivněn cenovou akcelerací váhově významných položek spotřebního koše. Na druhou stranu </w:t>
            </w:r>
            <w:r>
              <w:rPr>
                <w:spacing w:val="-4"/>
              </w:rPr>
              <w:t xml:space="preserve">se začíná stále více projevovat </w:t>
            </w:r>
            <w:r w:rsidRPr="00A62FEE">
              <w:rPr>
                <w:spacing w:val="-4"/>
              </w:rPr>
              <w:t>i</w:t>
            </w:r>
            <w:r>
              <w:rPr>
                <w:spacing w:val="-4"/>
              </w:rPr>
              <w:t> </w:t>
            </w:r>
            <w:r w:rsidRPr="00A62FEE">
              <w:rPr>
                <w:spacing w:val="-4"/>
              </w:rPr>
              <w:t xml:space="preserve">dopad postupného útlumu spotřeby domácností. </w:t>
            </w:r>
            <w:r>
              <w:rPr>
                <w:spacing w:val="-4"/>
              </w:rPr>
              <w:t>Ve</w:t>
            </w:r>
            <w:r w:rsidRPr="00A62FEE">
              <w:rPr>
                <w:spacing w:val="-4"/>
              </w:rPr>
              <w:t xml:space="preserve"> 2. čtvrtletí vybral stát na DPH mez</w:t>
            </w:r>
            <w:r>
              <w:rPr>
                <w:spacing w:val="-4"/>
              </w:rPr>
              <w:t>iročně o</w:t>
            </w:r>
            <w:r w:rsidRPr="00A62FEE">
              <w:rPr>
                <w:spacing w:val="-4"/>
              </w:rPr>
              <w:t> </w:t>
            </w:r>
            <w:r>
              <w:rPr>
                <w:spacing w:val="-4"/>
              </w:rPr>
              <w:t>23</w:t>
            </w:r>
            <w:r w:rsidRPr="00A62FEE">
              <w:rPr>
                <w:spacing w:val="-4"/>
              </w:rPr>
              <w:t> %</w:t>
            </w:r>
            <w:r>
              <w:rPr>
                <w:spacing w:val="-4"/>
              </w:rPr>
              <w:t xml:space="preserve"> více</w:t>
            </w:r>
            <w:r w:rsidRPr="00A62FEE">
              <w:rPr>
                <w:spacing w:val="-4"/>
              </w:rPr>
              <w:t>, v následujícím kvartálu již jen o necelých 11 %</w:t>
            </w:r>
            <w:r>
              <w:rPr>
                <w:spacing w:val="-4"/>
              </w:rPr>
              <w:t xml:space="preserve"> více</w:t>
            </w:r>
            <w:r w:rsidRPr="00A62FEE">
              <w:rPr>
                <w:rStyle w:val="Znakapoznpodarou"/>
                <w:spacing w:val="-4"/>
              </w:rPr>
              <w:footnoteReference w:id="90"/>
            </w:r>
            <w:r w:rsidRPr="00A62FEE">
              <w:rPr>
                <w:spacing w:val="-4"/>
              </w:rPr>
              <w:t>. Negativně, avšak řádově méně, působilo letos na inkaso i prominutí DPH na vybrané komodity (např. vakcíny, respirátory).</w:t>
            </w:r>
          </w:p>
        </w:tc>
      </w:tr>
      <w:tr w:rsidR="00A30EA4" w:rsidRPr="003C07E6" w14:paraId="1E3D0AF0" w14:textId="77777777" w:rsidTr="00275E43">
        <w:trPr>
          <w:trHeight w:val="145"/>
        </w:trPr>
        <w:tc>
          <w:tcPr>
            <w:tcW w:w="1780" w:type="dxa"/>
            <w:shd w:val="clear" w:color="auto" w:fill="auto"/>
            <w:tcMar>
              <w:left w:w="0" w:type="dxa"/>
            </w:tcMar>
          </w:tcPr>
          <w:p w14:paraId="7E56ED38" w14:textId="77777777" w:rsidR="00A30EA4" w:rsidRPr="002A2B53" w:rsidRDefault="00A30EA4" w:rsidP="00275E43">
            <w:pPr>
              <w:pStyle w:val="Marginlie"/>
              <w:rPr>
                <w:spacing w:val="-4"/>
              </w:rPr>
            </w:pPr>
            <w:r w:rsidRPr="002A2B53">
              <w:rPr>
                <w:spacing w:val="-4"/>
              </w:rPr>
              <w:t xml:space="preserve">Výběr spotřebních daní rostl mírněji a </w:t>
            </w:r>
            <w:r>
              <w:rPr>
                <w:spacing w:val="-4"/>
              </w:rPr>
              <w:t xml:space="preserve">zaostal </w:t>
            </w:r>
            <w:r w:rsidRPr="002A2B53">
              <w:rPr>
                <w:spacing w:val="-4"/>
              </w:rPr>
              <w:t>za rozpočtovým očekáváním i předpandemickou úrovní</w:t>
            </w:r>
            <w:r>
              <w:rPr>
                <w:spacing w:val="-4"/>
              </w:rPr>
              <w:t>.</w:t>
            </w:r>
          </w:p>
        </w:tc>
        <w:tc>
          <w:tcPr>
            <w:tcW w:w="219" w:type="dxa"/>
            <w:shd w:val="clear" w:color="auto" w:fill="auto"/>
            <w:tcMar>
              <w:left w:w="0" w:type="dxa"/>
            </w:tcMar>
          </w:tcPr>
          <w:p w14:paraId="67D77A06" w14:textId="77777777" w:rsidR="00A30EA4" w:rsidRDefault="00A30EA4" w:rsidP="00275E43">
            <w:pPr>
              <w:pStyle w:val="Textpoznpodarou"/>
              <w:jc w:val="both"/>
              <w:rPr>
                <w:spacing w:val="-4"/>
              </w:rPr>
            </w:pPr>
          </w:p>
        </w:tc>
        <w:tc>
          <w:tcPr>
            <w:tcW w:w="7670" w:type="dxa"/>
            <w:shd w:val="clear" w:color="auto" w:fill="auto"/>
            <w:tcMar>
              <w:left w:w="0" w:type="dxa"/>
            </w:tcMar>
          </w:tcPr>
          <w:p w14:paraId="50711B9C" w14:textId="77777777" w:rsidR="00A30EA4" w:rsidRPr="000A56DA" w:rsidRDefault="00A30EA4" w:rsidP="00275E43">
            <w:pPr>
              <w:spacing w:after="220"/>
              <w:rPr>
                <w:spacing w:val="-4"/>
              </w:rPr>
            </w:pPr>
            <w:r w:rsidRPr="000A56DA">
              <w:rPr>
                <w:spacing w:val="-4"/>
              </w:rPr>
              <w:t xml:space="preserve">Ze spotřebních daní (vč. energetických) získal zatím letos SR meziročně o 8,5 % více. Toto inkaso tak zatím jako u jediné váhově významnější daňové položky zcela nenaplňuje rozpočtová očekávání, nepatrně nižší je stále i ve srovnání s 1. až 3. čtvrtletím 2019. K růstu inkasa letos nejvíce pomáhá vyšší výběr daně z tabákových výrobků (+13,1 %, </w:t>
            </w:r>
            <w:r>
              <w:rPr>
                <w:spacing w:val="-4"/>
              </w:rPr>
              <w:br/>
              <w:t>5,2 mld. korun),</w:t>
            </w:r>
            <w:r w:rsidRPr="000A56DA">
              <w:rPr>
                <w:spacing w:val="-4"/>
              </w:rPr>
              <w:t xml:space="preserve"> podpořený zejména pokračujícím navýšením daňové sazby, z menší části i zrušením protipandemických restrikcí. Výběr spotřebních daní rostl i díky vyšším sazbám odvodů ze starších solárních elektráren. Inkaso klíčové spotřební daně – z minerálních olejů – se od počátku roku zvýšilo jen </w:t>
            </w:r>
            <w:r>
              <w:rPr>
                <w:spacing w:val="-4"/>
              </w:rPr>
              <w:t xml:space="preserve">o </w:t>
            </w:r>
            <w:r w:rsidRPr="000A56DA">
              <w:rPr>
                <w:spacing w:val="-4"/>
              </w:rPr>
              <w:t xml:space="preserve">1,8 %, z toho ve 3. čtvrtletí kleslo o 13,7 %. V pozadí stály jak nižší letní spotřeba nafty i benzínu (i vlivem rekordně vysokých cen), tak dopady </w:t>
            </w:r>
            <w:r w:rsidRPr="000A56DA">
              <w:rPr>
                <w:spacing w:val="-4"/>
              </w:rPr>
              <w:lastRenderedPageBreak/>
              <w:t>snížené sazby daně</w:t>
            </w:r>
            <w:r w:rsidRPr="000A56DA">
              <w:rPr>
                <w:rStyle w:val="Znakapoznpodarou"/>
                <w:spacing w:val="-4"/>
              </w:rPr>
              <w:footnoteReference w:id="91"/>
            </w:r>
            <w:r w:rsidRPr="000A56DA">
              <w:rPr>
                <w:spacing w:val="-4"/>
              </w:rPr>
              <w:t>. Naopak ink</w:t>
            </w:r>
            <w:r>
              <w:rPr>
                <w:spacing w:val="-4"/>
              </w:rPr>
              <w:t>aso ostatních</w:t>
            </w:r>
            <w:r w:rsidRPr="000A56DA">
              <w:rPr>
                <w:spacing w:val="-4"/>
              </w:rPr>
              <w:t xml:space="preserve"> </w:t>
            </w:r>
            <w:r>
              <w:rPr>
                <w:spacing w:val="-4"/>
              </w:rPr>
              <w:t>(</w:t>
            </w:r>
            <w:r w:rsidRPr="000A56DA">
              <w:rPr>
                <w:spacing w:val="-4"/>
              </w:rPr>
              <w:t>váhově spíše okrajových</w:t>
            </w:r>
            <w:r>
              <w:rPr>
                <w:spacing w:val="-4"/>
              </w:rPr>
              <w:t>) spotřebních daní rostlo i v letní turistické sezóně</w:t>
            </w:r>
            <w:r w:rsidRPr="000A56DA">
              <w:rPr>
                <w:spacing w:val="-4"/>
              </w:rPr>
              <w:t xml:space="preserve">. Výběr daně z piva za tři čtvrtletí meziročně posílil o 7,4 %, přesto za úrovní z roku 2019 stále mírně zaostával. To neplatilo o výběru daně z lihu, jemuž </w:t>
            </w:r>
            <w:r>
              <w:rPr>
                <w:spacing w:val="-4"/>
              </w:rPr>
              <w:t>pomohlo hlavně</w:t>
            </w:r>
            <w:r w:rsidRPr="000A56DA">
              <w:rPr>
                <w:spacing w:val="-4"/>
              </w:rPr>
              <w:t xml:space="preserve"> navýšení sazby daně (v roce 2020), ale i letošní mírný růst inkasa (2,9 %).</w:t>
            </w:r>
          </w:p>
        </w:tc>
      </w:tr>
      <w:tr w:rsidR="00A30EA4" w:rsidRPr="003C07E6" w14:paraId="16CCC3BC" w14:textId="77777777" w:rsidTr="00275E43">
        <w:trPr>
          <w:trHeight w:val="145"/>
        </w:trPr>
        <w:tc>
          <w:tcPr>
            <w:tcW w:w="1780" w:type="dxa"/>
            <w:shd w:val="clear" w:color="auto" w:fill="auto"/>
            <w:tcMar>
              <w:left w:w="0" w:type="dxa"/>
            </w:tcMar>
          </w:tcPr>
          <w:p w14:paraId="26D955CE" w14:textId="77777777" w:rsidR="00A30EA4" w:rsidRDefault="00A30EA4" w:rsidP="00275E43">
            <w:pPr>
              <w:pStyle w:val="Marginlie"/>
            </w:pPr>
            <w:r>
              <w:lastRenderedPageBreak/>
              <w:t>Inkaso daně z příjmů právnických osob díky vysoké červnové platbě meziročně výrazně vzrostlo.</w:t>
            </w:r>
          </w:p>
        </w:tc>
        <w:tc>
          <w:tcPr>
            <w:tcW w:w="219" w:type="dxa"/>
            <w:shd w:val="clear" w:color="auto" w:fill="auto"/>
            <w:tcMar>
              <w:left w:w="0" w:type="dxa"/>
            </w:tcMar>
          </w:tcPr>
          <w:p w14:paraId="7ABD97A6" w14:textId="77777777" w:rsidR="00A30EA4" w:rsidRDefault="00A30EA4" w:rsidP="00275E43">
            <w:pPr>
              <w:pStyle w:val="Textpoznpodarou"/>
              <w:jc w:val="both"/>
              <w:rPr>
                <w:spacing w:val="-4"/>
              </w:rPr>
            </w:pPr>
          </w:p>
        </w:tc>
        <w:tc>
          <w:tcPr>
            <w:tcW w:w="7670" w:type="dxa"/>
            <w:shd w:val="clear" w:color="auto" w:fill="auto"/>
            <w:tcMar>
              <w:left w:w="0" w:type="dxa"/>
            </w:tcMar>
          </w:tcPr>
          <w:p w14:paraId="566FB703" w14:textId="77777777" w:rsidR="00A30EA4" w:rsidRDefault="00A30EA4" w:rsidP="00275E43">
            <w:pPr>
              <w:spacing w:after="220"/>
              <w:rPr>
                <w:spacing w:val="-4"/>
              </w:rPr>
            </w:pPr>
            <w:r w:rsidRPr="00A92514">
              <w:rPr>
                <w:spacing w:val="-4"/>
              </w:rPr>
              <w:t>Příjem SR z korporátní daně</w:t>
            </w:r>
            <w:r>
              <w:rPr>
                <w:spacing w:val="-4"/>
              </w:rPr>
              <w:t xml:space="preserve"> letos meziročně svižně vzrostl (+16,4 %), a to </w:t>
            </w:r>
            <w:r w:rsidRPr="00A92514">
              <w:rPr>
                <w:spacing w:val="-4"/>
              </w:rPr>
              <w:t>především díky vysokému červnovému inkasu (zahrnující čtvrtletní i pololetní zálohy na dani a část úhrady daně za rok 2021</w:t>
            </w:r>
            <w:r>
              <w:rPr>
                <w:spacing w:val="-4"/>
              </w:rPr>
              <w:t>). Inkaso za tři čtvrtletí</w:t>
            </w:r>
            <w:r w:rsidRPr="00A92514">
              <w:rPr>
                <w:spacing w:val="-4"/>
              </w:rPr>
              <w:t xml:space="preserve"> významně předčilo rozpočtové očekávání, neboť </w:t>
            </w:r>
            <w:r>
              <w:rPr>
                <w:spacing w:val="-4"/>
              </w:rPr>
              <w:t>již takřka</w:t>
            </w:r>
            <w:r w:rsidRPr="00A92514">
              <w:rPr>
                <w:spacing w:val="-4"/>
              </w:rPr>
              <w:t xml:space="preserve"> </w:t>
            </w:r>
            <w:r>
              <w:rPr>
                <w:spacing w:val="-4"/>
              </w:rPr>
              <w:t>dosáhlo</w:t>
            </w:r>
            <w:r w:rsidRPr="00A92514">
              <w:rPr>
                <w:spacing w:val="-4"/>
              </w:rPr>
              <w:t xml:space="preserve"> očekávaného celoro</w:t>
            </w:r>
            <w:r>
              <w:rPr>
                <w:spacing w:val="-4"/>
              </w:rPr>
              <w:t>čního objemu a dokládalo příznivé</w:t>
            </w:r>
            <w:r w:rsidRPr="00A92514">
              <w:rPr>
                <w:spacing w:val="-4"/>
              </w:rPr>
              <w:t xml:space="preserve"> hospodářské výsledky </w:t>
            </w:r>
            <w:r>
              <w:rPr>
                <w:spacing w:val="-4"/>
              </w:rPr>
              <w:t>některých</w:t>
            </w:r>
            <w:r w:rsidRPr="00A92514">
              <w:rPr>
                <w:spacing w:val="-4"/>
              </w:rPr>
              <w:t xml:space="preserve"> velkých podniků</w:t>
            </w:r>
            <w:r>
              <w:rPr>
                <w:spacing w:val="-4"/>
              </w:rPr>
              <w:t xml:space="preserve"> (např. v oblasti energetiky či obchodu)</w:t>
            </w:r>
            <w:r w:rsidRPr="00A92514">
              <w:rPr>
                <w:spacing w:val="-4"/>
              </w:rPr>
              <w:t xml:space="preserve">. </w:t>
            </w:r>
            <w:r>
              <w:rPr>
                <w:spacing w:val="-4"/>
              </w:rPr>
              <w:t xml:space="preserve">Na výši inkasa měly ovšem vliv i dílčí </w:t>
            </w:r>
            <w:r w:rsidRPr="00A92514">
              <w:rPr>
                <w:spacing w:val="-4"/>
              </w:rPr>
              <w:t>legislativní úpravy</w:t>
            </w:r>
            <w:r w:rsidRPr="00A92514">
              <w:rPr>
                <w:rStyle w:val="Znakapoznpodarou"/>
                <w:spacing w:val="-4"/>
              </w:rPr>
              <w:footnoteReference w:id="92"/>
            </w:r>
            <w:r w:rsidRPr="00A92514">
              <w:rPr>
                <w:spacing w:val="-4"/>
              </w:rPr>
              <w:t>.</w:t>
            </w:r>
          </w:p>
        </w:tc>
      </w:tr>
      <w:tr w:rsidR="00A30EA4" w:rsidRPr="00F704D2" w14:paraId="73852D56" w14:textId="77777777" w:rsidTr="00275E43">
        <w:trPr>
          <w:trHeight w:val="170"/>
        </w:trPr>
        <w:tc>
          <w:tcPr>
            <w:tcW w:w="1780" w:type="dxa"/>
            <w:vMerge w:val="restart"/>
            <w:shd w:val="clear" w:color="auto" w:fill="auto"/>
            <w:tcMar>
              <w:left w:w="0" w:type="dxa"/>
            </w:tcMar>
          </w:tcPr>
          <w:p w14:paraId="487DCE60" w14:textId="77777777" w:rsidR="00A30EA4" w:rsidRDefault="00A30EA4" w:rsidP="00275E43">
            <w:pPr>
              <w:pStyle w:val="Marginlie"/>
            </w:pPr>
          </w:p>
        </w:tc>
        <w:tc>
          <w:tcPr>
            <w:tcW w:w="219" w:type="dxa"/>
            <w:vMerge w:val="restart"/>
            <w:shd w:val="clear" w:color="auto" w:fill="auto"/>
            <w:tcMar>
              <w:left w:w="0" w:type="dxa"/>
            </w:tcMar>
          </w:tcPr>
          <w:p w14:paraId="1D6312DE" w14:textId="77777777" w:rsidR="00A30EA4" w:rsidRDefault="00A30EA4" w:rsidP="00275E43">
            <w:pPr>
              <w:pStyle w:val="Textpoznpodarou"/>
              <w:jc w:val="both"/>
              <w:rPr>
                <w:spacing w:val="-4"/>
              </w:rPr>
            </w:pPr>
          </w:p>
        </w:tc>
        <w:tc>
          <w:tcPr>
            <w:tcW w:w="7670" w:type="dxa"/>
            <w:shd w:val="clear" w:color="auto" w:fill="auto"/>
            <w:tcMar>
              <w:left w:w="0" w:type="dxa"/>
            </w:tcMar>
          </w:tcPr>
          <w:p w14:paraId="7CD787E4" w14:textId="77777777" w:rsidR="00A30EA4" w:rsidRPr="00B80CE9" w:rsidRDefault="00A30EA4" w:rsidP="00275E43">
            <w:pPr>
              <w:spacing w:after="0" w:line="240" w:lineRule="auto"/>
              <w:rPr>
                <w:rFonts w:cs="Arial"/>
                <w:bCs/>
              </w:rPr>
            </w:pPr>
            <w:r w:rsidRPr="00A66749">
              <w:rPr>
                <w:rFonts w:cs="Arial"/>
                <w:b/>
                <w:bCs/>
                <w:color w:val="000000"/>
                <w:spacing w:val="-4"/>
                <w:szCs w:val="20"/>
              </w:rPr>
              <w:t>Graf č. 16 Příspěvek dílčích příjmů k</w:t>
            </w:r>
            <w:r>
              <w:rPr>
                <w:rFonts w:cs="Arial"/>
                <w:b/>
                <w:bCs/>
                <w:color w:val="000000"/>
                <w:spacing w:val="-4"/>
                <w:szCs w:val="20"/>
              </w:rPr>
              <w:t> </w:t>
            </w:r>
            <w:r w:rsidRPr="00A66749">
              <w:rPr>
                <w:rFonts w:cs="Arial"/>
                <w:b/>
                <w:bCs/>
                <w:color w:val="000000"/>
                <w:spacing w:val="-4"/>
                <w:szCs w:val="20"/>
              </w:rPr>
              <w:t xml:space="preserve">růstu </w:t>
            </w:r>
            <w:r w:rsidRPr="00A66749">
              <w:rPr>
                <w:rFonts w:cs="Arial"/>
                <w:b/>
                <w:bCs/>
                <w:spacing w:val="-4"/>
                <w:szCs w:val="20"/>
              </w:rPr>
              <w:t>celostátního</w:t>
            </w:r>
            <w:r w:rsidRPr="00A66749">
              <w:rPr>
                <w:rFonts w:cs="Arial"/>
                <w:b/>
                <w:bCs/>
                <w:spacing w:val="-4"/>
              </w:rPr>
              <w:t xml:space="preserve"> daňového inkasa* </w:t>
            </w:r>
            <w:r w:rsidRPr="00A66749">
              <w:rPr>
                <w:rFonts w:cs="Arial"/>
                <w:bCs/>
                <w:spacing w:val="-4"/>
              </w:rPr>
              <w:t>(</w:t>
            </w:r>
            <w:r w:rsidRPr="00A66749">
              <w:rPr>
                <w:spacing w:val="-4"/>
              </w:rPr>
              <w:t>meziročně</w:t>
            </w:r>
            <w:r w:rsidRPr="00A66749">
              <w:rPr>
                <w:bCs/>
                <w:spacing w:val="-4"/>
              </w:rPr>
              <w:t xml:space="preserve"> v p.</w:t>
            </w:r>
            <w:r>
              <w:rPr>
                <w:bCs/>
                <w:spacing w:val="-4"/>
              </w:rPr>
              <w:t> </w:t>
            </w:r>
            <w:r w:rsidRPr="00A66749">
              <w:rPr>
                <w:bCs/>
                <w:spacing w:val="-4"/>
              </w:rPr>
              <w:t xml:space="preserve">b.) </w:t>
            </w:r>
            <w:r w:rsidRPr="00A66749">
              <w:rPr>
                <w:rFonts w:cs="Arial"/>
                <w:b/>
                <w:bCs/>
                <w:spacing w:val="-4"/>
              </w:rPr>
              <w:t>a saldo státn</w:t>
            </w:r>
            <w:r>
              <w:rPr>
                <w:rFonts w:cs="Arial"/>
                <w:b/>
                <w:bCs/>
                <w:spacing w:val="-4"/>
              </w:rPr>
              <w:t>ího rozpočtu v rámci 1.</w:t>
            </w:r>
            <w:r>
              <w:rPr>
                <w:rFonts w:cs="Arial"/>
                <w:b/>
                <w:bCs/>
                <w:spacing w:val="-2"/>
              </w:rPr>
              <w:t xml:space="preserve"> až 3. čtvrtlet</w:t>
            </w:r>
            <w:r w:rsidRPr="009E555E">
              <w:rPr>
                <w:rFonts w:cs="Arial"/>
                <w:b/>
                <w:bCs/>
                <w:spacing w:val="-2"/>
              </w:rPr>
              <w:t>í</w:t>
            </w:r>
            <w:r w:rsidRPr="00A66749">
              <w:rPr>
                <w:spacing w:val="-4"/>
              </w:rPr>
              <w:t xml:space="preserve"> </w:t>
            </w:r>
            <w:r w:rsidRPr="00A66749">
              <w:rPr>
                <w:rFonts w:cs="Arial"/>
                <w:bCs/>
                <w:spacing w:val="-4"/>
              </w:rPr>
              <w:t>(v mld. korun, pravá osa)</w:t>
            </w:r>
          </w:p>
        </w:tc>
      </w:tr>
      <w:tr w:rsidR="00A30EA4" w14:paraId="7E83C684" w14:textId="77777777" w:rsidTr="00275E43">
        <w:tblPrEx>
          <w:tblCellMar>
            <w:left w:w="70" w:type="dxa"/>
            <w:right w:w="70" w:type="dxa"/>
          </w:tblCellMar>
        </w:tblPrEx>
        <w:trPr>
          <w:trHeight w:val="170"/>
        </w:trPr>
        <w:tc>
          <w:tcPr>
            <w:tcW w:w="1780" w:type="dxa"/>
            <w:vMerge/>
            <w:shd w:val="clear" w:color="auto" w:fill="auto"/>
          </w:tcPr>
          <w:p w14:paraId="572931A7" w14:textId="77777777" w:rsidR="00A30EA4" w:rsidRDefault="00A30EA4" w:rsidP="00275E43">
            <w:pPr>
              <w:pStyle w:val="Marginlie"/>
            </w:pPr>
          </w:p>
        </w:tc>
        <w:tc>
          <w:tcPr>
            <w:tcW w:w="219" w:type="dxa"/>
            <w:vMerge/>
            <w:shd w:val="clear" w:color="auto" w:fill="auto"/>
          </w:tcPr>
          <w:p w14:paraId="6262C5C8" w14:textId="77777777" w:rsidR="00A30EA4" w:rsidRDefault="00A30EA4" w:rsidP="00275E43">
            <w:pPr>
              <w:pStyle w:val="Textpoznpodarou"/>
              <w:jc w:val="both"/>
              <w:rPr>
                <w:spacing w:val="-4"/>
              </w:rPr>
            </w:pPr>
          </w:p>
        </w:tc>
        <w:tc>
          <w:tcPr>
            <w:tcW w:w="7670" w:type="dxa"/>
            <w:shd w:val="clear" w:color="auto" w:fill="auto"/>
          </w:tcPr>
          <w:p w14:paraId="024A7C00" w14:textId="77777777" w:rsidR="00A30EA4" w:rsidRPr="0067514E" w:rsidRDefault="00A30EA4" w:rsidP="00275E43">
            <w:pPr>
              <w:spacing w:after="0"/>
              <w:rPr>
                <w:spacing w:val="-6"/>
              </w:rPr>
            </w:pPr>
            <w:r>
              <w:rPr>
                <w:noProof/>
              </w:rPr>
              <w:drawing>
                <wp:inline distT="0" distB="0" distL="0" distR="0" wp14:anchorId="03F0C931" wp14:editId="476307CF">
                  <wp:extent cx="4781550" cy="3255818"/>
                  <wp:effectExtent l="0" t="0" r="0" b="190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30EA4" w:rsidRPr="007B3A78" w14:paraId="6A3AE0AE" w14:textId="77777777" w:rsidTr="00275E43">
        <w:trPr>
          <w:trHeight w:val="170"/>
        </w:trPr>
        <w:tc>
          <w:tcPr>
            <w:tcW w:w="1780" w:type="dxa"/>
            <w:vMerge/>
            <w:shd w:val="clear" w:color="auto" w:fill="auto"/>
            <w:tcMar>
              <w:left w:w="0" w:type="dxa"/>
            </w:tcMar>
          </w:tcPr>
          <w:p w14:paraId="2063B0D7" w14:textId="77777777" w:rsidR="00A30EA4" w:rsidRDefault="00A30EA4" w:rsidP="00275E43">
            <w:pPr>
              <w:pStyle w:val="Marginlie"/>
            </w:pPr>
          </w:p>
        </w:tc>
        <w:tc>
          <w:tcPr>
            <w:tcW w:w="219" w:type="dxa"/>
            <w:vMerge/>
            <w:shd w:val="clear" w:color="auto" w:fill="auto"/>
            <w:tcMar>
              <w:left w:w="0" w:type="dxa"/>
            </w:tcMar>
          </w:tcPr>
          <w:p w14:paraId="2B83EE77" w14:textId="77777777" w:rsidR="00A30EA4" w:rsidRDefault="00A30EA4" w:rsidP="00275E43">
            <w:pPr>
              <w:pStyle w:val="Textpoznpodarou"/>
              <w:jc w:val="both"/>
              <w:rPr>
                <w:spacing w:val="-4"/>
              </w:rPr>
            </w:pPr>
          </w:p>
        </w:tc>
        <w:tc>
          <w:tcPr>
            <w:tcW w:w="7670" w:type="dxa"/>
            <w:shd w:val="clear" w:color="auto" w:fill="auto"/>
            <w:tcMar>
              <w:left w:w="0" w:type="dxa"/>
            </w:tcMar>
          </w:tcPr>
          <w:p w14:paraId="7F601435" w14:textId="77777777" w:rsidR="00A30EA4" w:rsidRDefault="00A30EA4" w:rsidP="00275E43">
            <w:pPr>
              <w:tabs>
                <w:tab w:val="right" w:pos="7683"/>
              </w:tabs>
              <w:spacing w:after="0" w:line="240" w:lineRule="auto"/>
              <w:jc w:val="left"/>
              <w:rPr>
                <w:spacing w:val="-2"/>
                <w:sz w:val="14"/>
                <w:szCs w:val="14"/>
              </w:rPr>
            </w:pPr>
            <w:r>
              <w:rPr>
                <w:spacing w:val="-2"/>
                <w:sz w:val="14"/>
                <w:szCs w:val="14"/>
              </w:rPr>
              <w:t>Poznámka: Údaje očištěné o vliv prostředků z EU a Finančních mechanismů jsou k dispozici od roku 2013.</w:t>
            </w:r>
          </w:p>
          <w:p w14:paraId="23F43250" w14:textId="77777777" w:rsidR="00A30EA4" w:rsidRPr="00E52D45" w:rsidRDefault="00A30EA4" w:rsidP="00275E43">
            <w:pPr>
              <w:tabs>
                <w:tab w:val="right" w:pos="7683"/>
              </w:tabs>
              <w:spacing w:line="240" w:lineRule="auto"/>
              <w:jc w:val="left"/>
              <w:rPr>
                <w:spacing w:val="-2"/>
                <w:sz w:val="14"/>
                <w:szCs w:val="14"/>
              </w:rPr>
            </w:pPr>
            <w:r>
              <w:rPr>
                <w:spacing w:val="-2"/>
                <w:sz w:val="14"/>
                <w:szCs w:val="14"/>
              </w:rPr>
              <w:t>* Zahrnuje d</w:t>
            </w:r>
            <w:r w:rsidRPr="00A66749">
              <w:rPr>
                <w:spacing w:val="-2"/>
                <w:sz w:val="14"/>
                <w:szCs w:val="14"/>
              </w:rPr>
              <w:t>aňové příjmy bez pojistného na sociální zabezpečení.</w:t>
            </w:r>
            <w:r>
              <w:rPr>
                <w:spacing w:val="-2"/>
                <w:sz w:val="14"/>
                <w:szCs w:val="14"/>
              </w:rPr>
              <w:tab/>
            </w:r>
            <w:r w:rsidRPr="00A66749">
              <w:rPr>
                <w:spacing w:val="-2"/>
                <w:sz w:val="14"/>
                <w:szCs w:val="14"/>
              </w:rPr>
              <w:t>Zdroj: MF ČR</w:t>
            </w:r>
          </w:p>
        </w:tc>
      </w:tr>
      <w:tr w:rsidR="00A30EA4" w:rsidRPr="007B3A78" w14:paraId="2E161B7E" w14:textId="77777777" w:rsidTr="00275E43">
        <w:trPr>
          <w:trHeight w:val="170"/>
        </w:trPr>
        <w:tc>
          <w:tcPr>
            <w:tcW w:w="1780" w:type="dxa"/>
            <w:shd w:val="clear" w:color="auto" w:fill="auto"/>
            <w:tcMar>
              <w:left w:w="0" w:type="dxa"/>
            </w:tcMar>
          </w:tcPr>
          <w:p w14:paraId="6FCA6733" w14:textId="77777777" w:rsidR="00A30EA4" w:rsidRDefault="00A30EA4" w:rsidP="00275E43">
            <w:pPr>
              <w:pStyle w:val="Marginlie"/>
            </w:pPr>
            <w:r>
              <w:t>Svižný růst výběru daně z příjmů od fyzických osob odrážel rychlé zotavení trhu práce. Vlivem legislativních úprav však výběr citelně zaostával za předpandemickou úrovní.</w:t>
            </w:r>
          </w:p>
        </w:tc>
        <w:tc>
          <w:tcPr>
            <w:tcW w:w="219" w:type="dxa"/>
            <w:shd w:val="clear" w:color="auto" w:fill="auto"/>
            <w:tcMar>
              <w:left w:w="0" w:type="dxa"/>
            </w:tcMar>
          </w:tcPr>
          <w:p w14:paraId="42E5F043" w14:textId="77777777" w:rsidR="00A30EA4" w:rsidRDefault="00A30EA4" w:rsidP="00275E43">
            <w:pPr>
              <w:pStyle w:val="Textpoznpodarou"/>
              <w:jc w:val="both"/>
              <w:rPr>
                <w:spacing w:val="-4"/>
              </w:rPr>
            </w:pPr>
          </w:p>
        </w:tc>
        <w:tc>
          <w:tcPr>
            <w:tcW w:w="7670" w:type="dxa"/>
            <w:shd w:val="clear" w:color="auto" w:fill="auto"/>
            <w:tcMar>
              <w:left w:w="0" w:type="dxa"/>
            </w:tcMar>
          </w:tcPr>
          <w:p w14:paraId="0A3F0100" w14:textId="77777777" w:rsidR="00A30EA4" w:rsidRPr="00A92514" w:rsidRDefault="00A30EA4" w:rsidP="00354502">
            <w:pPr>
              <w:rPr>
                <w:spacing w:val="-4"/>
              </w:rPr>
            </w:pPr>
            <w:r>
              <w:rPr>
                <w:spacing w:val="-4"/>
              </w:rPr>
              <w:t xml:space="preserve">Z inkasa </w:t>
            </w:r>
            <w:r w:rsidRPr="00FF192C">
              <w:rPr>
                <w:spacing w:val="-4"/>
              </w:rPr>
              <w:t>daně z příjmů od fyzických osob (DPFO</w:t>
            </w:r>
            <w:r>
              <w:rPr>
                <w:spacing w:val="-4"/>
              </w:rPr>
              <w:t xml:space="preserve">) plynulo do SR </w:t>
            </w:r>
            <w:r w:rsidRPr="00FF192C">
              <w:rPr>
                <w:spacing w:val="-4"/>
              </w:rPr>
              <w:t>meziročně</w:t>
            </w:r>
            <w:r>
              <w:rPr>
                <w:spacing w:val="-4"/>
              </w:rPr>
              <w:t xml:space="preserve"> o 14,2 % více, což souviselo především s vyšší zaměstnaností a svižným</w:t>
            </w:r>
            <w:r w:rsidRPr="00FF192C">
              <w:rPr>
                <w:spacing w:val="-4"/>
              </w:rPr>
              <w:t xml:space="preserve"> nominální</w:t>
            </w:r>
            <w:r>
              <w:rPr>
                <w:spacing w:val="-4"/>
              </w:rPr>
              <w:t>m růstem</w:t>
            </w:r>
            <w:r w:rsidRPr="00FF192C">
              <w:rPr>
                <w:spacing w:val="-4"/>
              </w:rPr>
              <w:t xml:space="preserve"> průměrných </w:t>
            </w:r>
            <w:r w:rsidRPr="00E341B7">
              <w:rPr>
                <w:spacing w:val="-6"/>
              </w:rPr>
              <w:t>mezd v soukromé sféře. Výplata kompenzačního bonusu (na pomoc drobným podnikatelům)</w:t>
            </w:r>
            <w:r w:rsidRPr="00FF192C">
              <w:rPr>
                <w:spacing w:val="-4"/>
              </w:rPr>
              <w:t xml:space="preserve"> sice stále negativně ovlivňovala výběr DPFO, ale </w:t>
            </w:r>
            <w:r>
              <w:rPr>
                <w:spacing w:val="-4"/>
              </w:rPr>
              <w:t xml:space="preserve">v </w:t>
            </w:r>
            <w:r w:rsidRPr="00FF192C">
              <w:rPr>
                <w:spacing w:val="-4"/>
              </w:rPr>
              <w:t>menší míře než vloni</w:t>
            </w:r>
            <w:r>
              <w:rPr>
                <w:spacing w:val="-4"/>
              </w:rPr>
              <w:t xml:space="preserve"> </w:t>
            </w:r>
            <w:r>
              <w:rPr>
                <w:spacing w:val="-4"/>
              </w:rPr>
              <w:br/>
              <w:t>(-9,5 mld. korun)</w:t>
            </w:r>
            <w:r w:rsidRPr="00FF192C">
              <w:rPr>
                <w:spacing w:val="-4"/>
              </w:rPr>
              <w:t>. Naopak jiné legislativní úpravy (pokračující zvyšování</w:t>
            </w:r>
            <w:r>
              <w:rPr>
                <w:spacing w:val="-4"/>
              </w:rPr>
              <w:t xml:space="preserve"> daňové slevy na poplatníka, v</w:t>
            </w:r>
            <w:r w:rsidRPr="00FF192C">
              <w:rPr>
                <w:spacing w:val="-4"/>
              </w:rPr>
              <w:t>yšší daňové zvýhodnění na děti</w:t>
            </w:r>
            <w:r>
              <w:rPr>
                <w:spacing w:val="-4"/>
              </w:rPr>
              <w:t xml:space="preserve"> či zrušení stropu na uplatnění daňového bonusu</w:t>
            </w:r>
            <w:r w:rsidRPr="00FF192C">
              <w:rPr>
                <w:spacing w:val="-4"/>
              </w:rPr>
              <w:t xml:space="preserve">) </w:t>
            </w:r>
            <w:r>
              <w:rPr>
                <w:spacing w:val="-4"/>
              </w:rPr>
              <w:t>brzdily v úhrnu letos tempo růstu výběru</w:t>
            </w:r>
            <w:r w:rsidRPr="00FF192C">
              <w:rPr>
                <w:spacing w:val="-4"/>
              </w:rPr>
              <w:t xml:space="preserve"> daně intenzivněji.</w:t>
            </w:r>
            <w:r>
              <w:rPr>
                <w:spacing w:val="-4"/>
              </w:rPr>
              <w:t xml:space="preserve"> K růstu inkasa DPFO přispěla nejvíce váhově dominantní daň placená</w:t>
            </w:r>
            <w:r w:rsidRPr="00ED755B">
              <w:rPr>
                <w:spacing w:val="-4"/>
              </w:rPr>
              <w:t xml:space="preserve"> plátci (za zaměstnance)</w:t>
            </w:r>
            <w:r>
              <w:rPr>
                <w:spacing w:val="-4"/>
              </w:rPr>
              <w:t>, jejíž výběr meziročně vzrostl o 8,6 %</w:t>
            </w:r>
            <w:r>
              <w:rPr>
                <w:rStyle w:val="Znakapoznpodarou"/>
                <w:spacing w:val="-4"/>
              </w:rPr>
              <w:footnoteReference w:id="93"/>
            </w:r>
            <w:r>
              <w:rPr>
                <w:spacing w:val="-4"/>
              </w:rPr>
              <w:t xml:space="preserve">. Dynamičtěji vzrostlo inkaso ostatních příjmových daní od fyzických osob – u daně placené </w:t>
            </w:r>
            <w:r w:rsidRPr="007A2948">
              <w:rPr>
                <w:spacing w:val="-4"/>
              </w:rPr>
              <w:t>poplatníky (za osoby podávající přiznání)</w:t>
            </w:r>
            <w:r>
              <w:rPr>
                <w:spacing w:val="-4"/>
              </w:rPr>
              <w:t xml:space="preserve"> díky loňskému hospodářskému oživení i úpravě sazby daně pro vysoké příjmy, u srážkové daně vlivem </w:t>
            </w:r>
            <w:r>
              <w:rPr>
                <w:spacing w:val="-4"/>
              </w:rPr>
              <w:lastRenderedPageBreak/>
              <w:t>růstu úrokových sazeb na vkladech i navýšení počtu osob pracujících formou dohod (související i se zapojením ukrajinských uprchlíků na tuzemský pracovní trh).</w:t>
            </w:r>
          </w:p>
        </w:tc>
      </w:tr>
      <w:tr w:rsidR="00A30EA4" w:rsidRPr="007B3A78" w14:paraId="2B94838B" w14:textId="77777777" w:rsidTr="00275E43">
        <w:trPr>
          <w:trHeight w:val="170"/>
        </w:trPr>
        <w:tc>
          <w:tcPr>
            <w:tcW w:w="1780" w:type="dxa"/>
            <w:shd w:val="clear" w:color="auto" w:fill="auto"/>
            <w:tcMar>
              <w:left w:w="0" w:type="dxa"/>
            </w:tcMar>
          </w:tcPr>
          <w:p w14:paraId="212976FC" w14:textId="77777777" w:rsidR="00A30EA4" w:rsidRDefault="00A30EA4" w:rsidP="00275E43">
            <w:pPr>
              <w:pStyle w:val="Marginlie"/>
            </w:pPr>
            <w:r>
              <w:lastRenderedPageBreak/>
              <w:t xml:space="preserve">Zatímco na počátku roku byly výdaje SR tlumeny rozpočtovým provizoriem, následně došlo k fiskální expanzi související s dopady pádivé inflace </w:t>
            </w:r>
            <w:r>
              <w:br/>
              <w:t>i válkou na Ukrajině.</w:t>
            </w:r>
          </w:p>
        </w:tc>
        <w:tc>
          <w:tcPr>
            <w:tcW w:w="219" w:type="dxa"/>
            <w:shd w:val="clear" w:color="auto" w:fill="auto"/>
            <w:tcMar>
              <w:left w:w="0" w:type="dxa"/>
            </w:tcMar>
          </w:tcPr>
          <w:p w14:paraId="4EC65C97" w14:textId="77777777" w:rsidR="00A30EA4" w:rsidRDefault="00A30EA4" w:rsidP="00275E43">
            <w:pPr>
              <w:pStyle w:val="Textpoznpodarou"/>
              <w:jc w:val="both"/>
              <w:rPr>
                <w:spacing w:val="-4"/>
              </w:rPr>
            </w:pPr>
          </w:p>
        </w:tc>
        <w:tc>
          <w:tcPr>
            <w:tcW w:w="7670" w:type="dxa"/>
            <w:shd w:val="clear" w:color="auto" w:fill="auto"/>
            <w:tcMar>
              <w:left w:w="0" w:type="dxa"/>
            </w:tcMar>
          </w:tcPr>
          <w:p w14:paraId="2ADAEBCB" w14:textId="77777777" w:rsidR="00A30EA4" w:rsidRPr="00862F80" w:rsidRDefault="00A30EA4" w:rsidP="00275E43">
            <w:pPr>
              <w:spacing w:after="200"/>
              <w:rPr>
                <w:color w:val="0D0D0D" w:themeColor="text1" w:themeTint="F2"/>
                <w:spacing w:val="-4"/>
              </w:rPr>
            </w:pPr>
            <w:r w:rsidRPr="00862F80">
              <w:rPr>
                <w:color w:val="0D0D0D" w:themeColor="text1" w:themeTint="F2"/>
                <w:spacing w:val="-4"/>
              </w:rPr>
              <w:t>Celkové výdaje SR se za 1. až 3. čtvrtletí meziročně mírně zvýšily (+2,4 %), k čemuž přispěly jak běžné výdaje (+20,3 mld. korun), tak investice (+13,2 mld.). Čerpání výdajů během dosavadní části roku vykazovalo větší nerovnoměrnost. Zatímco v 1. čtvrtletí ho limitoval režim rozpočtového provizoria</w:t>
            </w:r>
            <w:r w:rsidRPr="00862F80">
              <w:rPr>
                <w:rStyle w:val="Znakapoznpodarou"/>
                <w:color w:val="0D0D0D" w:themeColor="text1" w:themeTint="F2"/>
                <w:spacing w:val="-4"/>
              </w:rPr>
              <w:footnoteReference w:id="94"/>
            </w:r>
            <w:r w:rsidRPr="00862F80">
              <w:rPr>
                <w:color w:val="0D0D0D" w:themeColor="text1" w:themeTint="F2"/>
                <w:spacing w:val="-4"/>
              </w:rPr>
              <w:t xml:space="preserve">, v následujícím období vyvstala potřeba mimořádných výdajů souvisejících s válečným konfliktem na Ukrajině (zahraniční pomoc, výdaje na integraci uprchlíků v Česku, krizový management v oblasti státních hmotných rezerv). Vedle toho stimulovaly fiskální expanzi dopady akcelerující inflace v Česku </w:t>
            </w:r>
            <w:r>
              <w:rPr>
                <w:color w:val="0D0D0D" w:themeColor="text1" w:themeTint="F2"/>
                <w:spacing w:val="-4"/>
              </w:rPr>
              <w:br/>
            </w:r>
            <w:r w:rsidRPr="00862F80">
              <w:rPr>
                <w:color w:val="0D0D0D" w:themeColor="text1" w:themeTint="F2"/>
                <w:spacing w:val="-4"/>
              </w:rPr>
              <w:t>i letního strmého růstu cen energií na světových trzích, které vyústily v potřebu valorizace důchodů i dalších sociálních dávek či zavedení úsporného energetického tarifu na pomoc domácnostem. Tyto výdaje spolu s doznívajícími fiskálními dopady pandemie (zejména v oblasti zdravotnictví) přispěly k tomu, že celkové běžné výdaje SR byly letos ve srovnání s rokem 2019 vyšší o 28 % (z toho v samotném 2. čtvrtletí o 39 %).</w:t>
            </w:r>
          </w:p>
        </w:tc>
      </w:tr>
      <w:tr w:rsidR="00A30EA4" w:rsidRPr="007B3A78" w14:paraId="05940570" w14:textId="77777777" w:rsidTr="00275E43">
        <w:trPr>
          <w:trHeight w:val="170"/>
        </w:trPr>
        <w:tc>
          <w:tcPr>
            <w:tcW w:w="1780" w:type="dxa"/>
            <w:shd w:val="clear" w:color="auto" w:fill="auto"/>
            <w:tcMar>
              <w:left w:w="0" w:type="dxa"/>
            </w:tcMar>
          </w:tcPr>
          <w:p w14:paraId="7B873932" w14:textId="77777777" w:rsidR="00A30EA4" w:rsidRDefault="00A30EA4" w:rsidP="00275E43">
            <w:pPr>
              <w:pStyle w:val="Marginlie"/>
            </w:pPr>
            <w:r>
              <w:t>Ve vyšších běžných výdajích se letos výrazně promítla trojí valorizace důchodů.</w:t>
            </w:r>
          </w:p>
        </w:tc>
        <w:tc>
          <w:tcPr>
            <w:tcW w:w="219" w:type="dxa"/>
            <w:shd w:val="clear" w:color="auto" w:fill="auto"/>
            <w:tcMar>
              <w:left w:w="0" w:type="dxa"/>
            </w:tcMar>
          </w:tcPr>
          <w:p w14:paraId="0DAA1ADE" w14:textId="77777777" w:rsidR="00A30EA4" w:rsidRDefault="00A30EA4" w:rsidP="00275E43">
            <w:pPr>
              <w:pStyle w:val="Textpoznpodarou"/>
              <w:jc w:val="both"/>
              <w:rPr>
                <w:spacing w:val="-4"/>
              </w:rPr>
            </w:pPr>
          </w:p>
        </w:tc>
        <w:tc>
          <w:tcPr>
            <w:tcW w:w="7670" w:type="dxa"/>
            <w:shd w:val="clear" w:color="auto" w:fill="auto"/>
            <w:tcMar>
              <w:left w:w="0" w:type="dxa"/>
            </w:tcMar>
          </w:tcPr>
          <w:p w14:paraId="51D5791C" w14:textId="77777777" w:rsidR="00A30EA4" w:rsidRPr="00862F80" w:rsidRDefault="00A30EA4" w:rsidP="00275E43">
            <w:pPr>
              <w:spacing w:after="200"/>
              <w:rPr>
                <w:spacing w:val="-4"/>
                <w:szCs w:val="20"/>
              </w:rPr>
            </w:pPr>
            <w:r w:rsidRPr="00862F80">
              <w:rPr>
                <w:color w:val="0D0D0D" w:themeColor="text1" w:themeTint="F2"/>
                <w:spacing w:val="-4"/>
              </w:rPr>
              <w:t>Meziroční růst běžných výdajů byl letos poháněn zejména sílícími prostředky na sociální dávky. Ty vzrostly za tři čtvrtletí o 9,6 %, resp. 50 mld. kor</w:t>
            </w:r>
            <w:r>
              <w:rPr>
                <w:color w:val="0D0D0D" w:themeColor="text1" w:themeTint="F2"/>
                <w:spacing w:val="-4"/>
              </w:rPr>
              <w:t>un (z toho</w:t>
            </w:r>
            <w:r w:rsidRPr="00862F80">
              <w:rPr>
                <w:color w:val="0D0D0D" w:themeColor="text1" w:themeTint="F2"/>
                <w:spacing w:val="-4"/>
              </w:rPr>
              <w:t xml:space="preserve"> ve 3. kvartálu o 16,9 %). </w:t>
            </w:r>
            <w:r>
              <w:rPr>
                <w:color w:val="0D0D0D" w:themeColor="text1" w:themeTint="F2"/>
                <w:spacing w:val="-4"/>
              </w:rPr>
              <w:t>Zásadní roli</w:t>
            </w:r>
            <w:r w:rsidRPr="00862F80">
              <w:rPr>
                <w:color w:val="0D0D0D" w:themeColor="text1" w:themeTint="F2"/>
                <w:spacing w:val="-4"/>
              </w:rPr>
              <w:t xml:space="preserve"> mělo navý</w:t>
            </w:r>
            <w:r>
              <w:rPr>
                <w:color w:val="0D0D0D" w:themeColor="text1" w:themeTint="F2"/>
                <w:spacing w:val="-4"/>
              </w:rPr>
              <w:t xml:space="preserve">šení výdajů na důchody o 9,2 % </w:t>
            </w:r>
            <w:r w:rsidRPr="00A62FEE">
              <w:rPr>
                <w:spacing w:val="-4"/>
              </w:rPr>
              <w:t>–</w:t>
            </w:r>
            <w:r>
              <w:rPr>
                <w:spacing w:val="-4"/>
              </w:rPr>
              <w:t xml:space="preserve"> </w:t>
            </w:r>
            <w:r w:rsidRPr="00862F80">
              <w:rPr>
                <w:spacing w:val="-4"/>
                <w:szCs w:val="20"/>
              </w:rPr>
              <w:t xml:space="preserve">srovnatelným tempem přitom </w:t>
            </w:r>
            <w:r>
              <w:rPr>
                <w:spacing w:val="-4"/>
                <w:szCs w:val="20"/>
              </w:rPr>
              <w:t xml:space="preserve">rostly </w:t>
            </w:r>
            <w:r w:rsidRPr="00862F80">
              <w:rPr>
                <w:spacing w:val="-4"/>
                <w:szCs w:val="20"/>
              </w:rPr>
              <w:t>naposledy v krizovém roce 2009. Od ledna do září se letos uskutečnila trojí zákonná valorizace důchodů</w:t>
            </w:r>
            <w:r w:rsidRPr="00862F80">
              <w:rPr>
                <w:rStyle w:val="Znakapoznpodarou"/>
                <w:spacing w:val="-4"/>
                <w:szCs w:val="20"/>
              </w:rPr>
              <w:footnoteReference w:id="95"/>
            </w:r>
            <w:r w:rsidRPr="00862F80">
              <w:rPr>
                <w:spacing w:val="-4"/>
                <w:szCs w:val="20"/>
              </w:rPr>
              <w:t xml:space="preserve">. Počet příjemců důchodů třetím rokem </w:t>
            </w:r>
            <w:r>
              <w:rPr>
                <w:spacing w:val="-4"/>
                <w:szCs w:val="20"/>
              </w:rPr>
              <w:t xml:space="preserve">v </w:t>
            </w:r>
            <w:r w:rsidRPr="00862F80">
              <w:rPr>
                <w:spacing w:val="-4"/>
                <w:szCs w:val="20"/>
              </w:rPr>
              <w:t xml:space="preserve">řadě klesal, v úhrnu byl oproti </w:t>
            </w:r>
            <w:r w:rsidRPr="00791977">
              <w:rPr>
                <w:spacing w:val="-6"/>
                <w:szCs w:val="20"/>
              </w:rPr>
              <w:t xml:space="preserve">září 2019 nižší o 1,7 %, hlavně vlivem zvýšené úmrtnosti. </w:t>
            </w:r>
            <w:r w:rsidRPr="00791977">
              <w:rPr>
                <w:spacing w:val="-6"/>
              </w:rPr>
              <w:t>Dobrá kondice trhu práce se odrazila</w:t>
            </w:r>
            <w:r w:rsidRPr="00862F80">
              <w:rPr>
                <w:spacing w:val="-4"/>
              </w:rPr>
              <w:t xml:space="preserve"> v pokračujícím růstu příjmů </w:t>
            </w:r>
            <w:r w:rsidRPr="00862F80">
              <w:rPr>
                <w:rFonts w:cs="Arial"/>
                <w:color w:val="0D0D0D" w:themeColor="text1" w:themeTint="F2"/>
                <w:spacing w:val="-4"/>
              </w:rPr>
              <w:t>důchodového pojištění (+6,1 %). Deficit důchodového účtu</w:t>
            </w:r>
            <w:r w:rsidRPr="00862F80">
              <w:rPr>
                <w:rStyle w:val="Znakapoznpodarou"/>
                <w:color w:val="0D0D0D" w:themeColor="text1" w:themeTint="F2"/>
                <w:spacing w:val="-4"/>
              </w:rPr>
              <w:footnoteReference w:id="96"/>
            </w:r>
            <w:r w:rsidRPr="00862F80">
              <w:rPr>
                <w:rFonts w:cs="Arial"/>
                <w:color w:val="0D0D0D" w:themeColor="text1" w:themeTint="F2"/>
                <w:spacing w:val="-4"/>
              </w:rPr>
              <w:t xml:space="preserve"> se přesto meziročně citelně prohloubil (na 15,5 mld. korun) a</w:t>
            </w:r>
            <w:r w:rsidRPr="00862F80">
              <w:rPr>
                <w:spacing w:val="-4"/>
                <w:szCs w:val="20"/>
              </w:rPr>
              <w:t> </w:t>
            </w:r>
            <w:r w:rsidRPr="00862F80">
              <w:rPr>
                <w:rFonts w:cs="Arial"/>
                <w:color w:val="0D0D0D" w:themeColor="text1" w:themeTint="F2"/>
                <w:spacing w:val="-4"/>
              </w:rPr>
              <w:t xml:space="preserve">přetrvával již třetím rokem v řadě. </w:t>
            </w:r>
          </w:p>
        </w:tc>
      </w:tr>
      <w:tr w:rsidR="00A30EA4" w:rsidRPr="007B3A78" w14:paraId="256DE563" w14:textId="77777777" w:rsidTr="00275E43">
        <w:trPr>
          <w:trHeight w:val="170"/>
        </w:trPr>
        <w:tc>
          <w:tcPr>
            <w:tcW w:w="1780" w:type="dxa"/>
            <w:shd w:val="clear" w:color="auto" w:fill="auto"/>
            <w:tcMar>
              <w:left w:w="0" w:type="dxa"/>
            </w:tcMar>
          </w:tcPr>
          <w:p w14:paraId="1AA13A22" w14:textId="77777777" w:rsidR="00A30EA4" w:rsidRDefault="00A30EA4" w:rsidP="00275E43">
            <w:pPr>
              <w:pStyle w:val="Marginlie"/>
            </w:pPr>
            <w:r>
              <w:t xml:space="preserve">Ostatní sociální dávky rostly také svižně. Souviselo to s pomocí uprchlíkům i s vyšším čerpáním státní sociální podpory. </w:t>
            </w:r>
          </w:p>
          <w:p w14:paraId="363FF6C8" w14:textId="77777777" w:rsidR="00A30EA4" w:rsidRDefault="00A30EA4" w:rsidP="00275E43">
            <w:pPr>
              <w:pStyle w:val="Marginlie"/>
            </w:pPr>
          </w:p>
          <w:p w14:paraId="4EEB149F" w14:textId="77777777" w:rsidR="00A30EA4" w:rsidRDefault="00A30EA4" w:rsidP="00275E43">
            <w:pPr>
              <w:pStyle w:val="Marginlie"/>
            </w:pPr>
          </w:p>
          <w:p w14:paraId="2B82F9EB" w14:textId="77777777" w:rsidR="00A30EA4" w:rsidRDefault="00A30EA4" w:rsidP="00275E43">
            <w:pPr>
              <w:pStyle w:val="Marginlie"/>
            </w:pPr>
          </w:p>
          <w:p w14:paraId="5ABA8443" w14:textId="77777777" w:rsidR="00A30EA4" w:rsidRDefault="00A30EA4" w:rsidP="00275E43">
            <w:pPr>
              <w:pStyle w:val="Marginlie"/>
            </w:pPr>
            <w:r>
              <w:t>Dávky nemocenského pojištění se snížily, přesto stále převyšovaly příjmy z pojistného.</w:t>
            </w:r>
          </w:p>
        </w:tc>
        <w:tc>
          <w:tcPr>
            <w:tcW w:w="219" w:type="dxa"/>
            <w:shd w:val="clear" w:color="auto" w:fill="auto"/>
            <w:tcMar>
              <w:left w:w="0" w:type="dxa"/>
            </w:tcMar>
          </w:tcPr>
          <w:p w14:paraId="4070DAA7" w14:textId="77777777" w:rsidR="00A30EA4" w:rsidRDefault="00A30EA4" w:rsidP="00275E43">
            <w:pPr>
              <w:pStyle w:val="Textpoznpodarou"/>
              <w:jc w:val="both"/>
              <w:rPr>
                <w:spacing w:val="-4"/>
              </w:rPr>
            </w:pPr>
          </w:p>
        </w:tc>
        <w:tc>
          <w:tcPr>
            <w:tcW w:w="7670" w:type="dxa"/>
            <w:shd w:val="clear" w:color="auto" w:fill="auto"/>
            <w:tcMar>
              <w:left w:w="0" w:type="dxa"/>
            </w:tcMar>
          </w:tcPr>
          <w:p w14:paraId="44810A1D" w14:textId="77777777" w:rsidR="00A30EA4" w:rsidRPr="008F62A2" w:rsidRDefault="00A30EA4" w:rsidP="00275E43">
            <w:pPr>
              <w:spacing w:after="200"/>
              <w:rPr>
                <w:color w:val="0D0D0D" w:themeColor="text1" w:themeTint="F2"/>
                <w:spacing w:val="-5"/>
              </w:rPr>
            </w:pPr>
            <w:r>
              <w:rPr>
                <w:rFonts w:cs="Arial"/>
                <w:color w:val="0D0D0D" w:themeColor="text1" w:themeTint="F2"/>
                <w:spacing w:val="-5"/>
              </w:rPr>
              <w:t xml:space="preserve">Na vyšších výdajích SR se letos (na rozdíl od loňského roku) významně podílely </w:t>
            </w:r>
            <w:r>
              <w:rPr>
                <w:rFonts w:cs="Arial"/>
                <w:color w:val="0D0D0D" w:themeColor="text1" w:themeTint="F2"/>
                <w:spacing w:val="-5"/>
              </w:rPr>
              <w:br/>
              <w:t xml:space="preserve">i nedůchodové sociální dávky, jež za tři čtvrtletí meziročně vzrostly o více než desetinu. Zásadní roli zde sehrály vyšší výplaty </w:t>
            </w:r>
            <w:r>
              <w:rPr>
                <w:spacing w:val="-4"/>
              </w:rPr>
              <w:t xml:space="preserve">mimořádné okamžité pomoci </w:t>
            </w:r>
            <w:r w:rsidRPr="00792C18">
              <w:rPr>
                <w:spacing w:val="-4"/>
              </w:rPr>
              <w:t>zahrnující zejména humanitární dávku</w:t>
            </w:r>
            <w:r>
              <w:rPr>
                <w:spacing w:val="-4"/>
              </w:rPr>
              <w:t xml:space="preserve"> uprchlíkům z Ukrajiny (6,7</w:t>
            </w:r>
            <w:r w:rsidRPr="00792C18">
              <w:rPr>
                <w:spacing w:val="-4"/>
              </w:rPr>
              <w:t xml:space="preserve"> mld. korun</w:t>
            </w:r>
            <w:r>
              <w:rPr>
                <w:spacing w:val="-4"/>
              </w:rPr>
              <w:t>), nárůst objemu příspěvků na péči (+2,7 mld.)</w:t>
            </w:r>
            <w:r>
              <w:rPr>
                <w:rStyle w:val="Znakapoznpodarou"/>
                <w:spacing w:val="-4"/>
              </w:rPr>
              <w:footnoteReference w:id="97"/>
            </w:r>
            <w:r>
              <w:rPr>
                <w:spacing w:val="-4"/>
              </w:rPr>
              <w:t xml:space="preserve"> a také dávek státní sociální podpory (SSP, +4,7 mld.). Tyto dávky rostly primárně vlivem výplaty jednorázového příspěvku na dítě</w:t>
            </w:r>
            <w:r>
              <w:rPr>
                <w:rStyle w:val="Znakapoznpodarou"/>
                <w:spacing w:val="-4"/>
              </w:rPr>
              <w:footnoteReference w:id="98"/>
            </w:r>
            <w:r>
              <w:rPr>
                <w:spacing w:val="-4"/>
              </w:rPr>
              <w:t>, přídavků na dítě (díky rozšíření počtu příjemců s nárokem na dávku) a příspěvků na bydlení (vlivem zvýšení nákladů uznatelných pro výplatu). Opačně působil mírný pokles čerpání u váhově dominantní položky SSP – rodičovských příspěvků (-1,8 mld. korun). O řád méně „uspořil“ SR také na dávkách v nezaměstnanosti (v samotném 3. čtvrtletí 2022 ale jejich čerpání již meziročně mírně rostlo, podobně jako u příspěvků na živobytí). Zásadní zlepšení epidemické situace vyústilo v</w:t>
            </w:r>
            <w:r w:rsidRPr="009D0086">
              <w:rPr>
                <w:spacing w:val="-4"/>
              </w:rPr>
              <w:t xml:space="preserve"> pokles výplaty ošetřovného (-2,6 mld. korun) a nemocenského (-0,7 mld.)</w:t>
            </w:r>
            <w:r>
              <w:rPr>
                <w:spacing w:val="-4"/>
              </w:rPr>
              <w:t>, oproti 1. až 3. čtvrtletí 2019 ovšem SR vydal na těchto dávkách o čtvrtinu více</w:t>
            </w:r>
            <w:r>
              <w:rPr>
                <w:rStyle w:val="Znakapoznpodarou"/>
                <w:spacing w:val="-4"/>
              </w:rPr>
              <w:footnoteReference w:id="99"/>
            </w:r>
            <w:r>
              <w:rPr>
                <w:spacing w:val="-4"/>
              </w:rPr>
              <w:t>.</w:t>
            </w:r>
          </w:p>
        </w:tc>
      </w:tr>
      <w:tr w:rsidR="00A30EA4" w:rsidRPr="008266F0" w14:paraId="7C1049E8" w14:textId="77777777" w:rsidTr="00275E43">
        <w:trPr>
          <w:trHeight w:val="145"/>
        </w:trPr>
        <w:tc>
          <w:tcPr>
            <w:tcW w:w="1780" w:type="dxa"/>
            <w:shd w:val="clear" w:color="auto" w:fill="auto"/>
            <w:tcMar>
              <w:left w:w="0" w:type="dxa"/>
            </w:tcMar>
          </w:tcPr>
          <w:p w14:paraId="0405BB32" w14:textId="77777777" w:rsidR="00A30EA4" w:rsidRDefault="00A30EA4" w:rsidP="00275E43">
            <w:pPr>
              <w:pStyle w:val="Marginlie"/>
            </w:pPr>
            <w:r>
              <w:t>Výdaje na neinvestiční nákupy státu výrazně posílily.</w:t>
            </w:r>
          </w:p>
        </w:tc>
        <w:tc>
          <w:tcPr>
            <w:tcW w:w="219" w:type="dxa"/>
            <w:shd w:val="clear" w:color="auto" w:fill="auto"/>
            <w:tcMar>
              <w:left w:w="0" w:type="dxa"/>
            </w:tcMar>
          </w:tcPr>
          <w:p w14:paraId="6AEB116D" w14:textId="77777777" w:rsidR="00A30EA4" w:rsidRDefault="00A30EA4" w:rsidP="00275E43">
            <w:pPr>
              <w:pStyle w:val="Textpoznpodarou"/>
              <w:jc w:val="both"/>
              <w:rPr>
                <w:spacing w:val="-4"/>
              </w:rPr>
            </w:pPr>
          </w:p>
        </w:tc>
        <w:tc>
          <w:tcPr>
            <w:tcW w:w="7670" w:type="dxa"/>
            <w:shd w:val="clear" w:color="auto" w:fill="auto"/>
            <w:tcMar>
              <w:left w:w="0" w:type="dxa"/>
            </w:tcMar>
          </w:tcPr>
          <w:p w14:paraId="57087F81" w14:textId="77777777" w:rsidR="00A30EA4" w:rsidRPr="00AB5EA8" w:rsidRDefault="00A30EA4" w:rsidP="00A30EA4">
            <w:pPr>
              <w:rPr>
                <w:spacing w:val="-5"/>
              </w:rPr>
            </w:pPr>
            <w:r w:rsidRPr="00AB5EA8">
              <w:rPr>
                <w:spacing w:val="-5"/>
              </w:rPr>
              <w:t>Mimo oblast sociálních dávek přispěly k růstu celkových běžných výdajů nejvíce neinvestiční nákupy státu (+28 %, resp. 13,9 mld. korun), u</w:t>
            </w:r>
            <w:r w:rsidRPr="00AB5EA8">
              <w:rPr>
                <w:color w:val="0D0D0D" w:themeColor="text1" w:themeTint="F2"/>
                <w:spacing w:val="-5"/>
              </w:rPr>
              <w:t> </w:t>
            </w:r>
            <w:r w:rsidRPr="00AB5EA8">
              <w:rPr>
                <w:spacing w:val="-5"/>
              </w:rPr>
              <w:t xml:space="preserve">nichž se projevily vyšší výdaje na </w:t>
            </w:r>
            <w:r w:rsidRPr="00AB5EA8">
              <w:rPr>
                <w:color w:val="0D0D0D" w:themeColor="text1" w:themeTint="F2"/>
                <w:spacing w:val="-5"/>
              </w:rPr>
              <w:t xml:space="preserve">posilování státních hmotných rezerv (primárně zemního plynu), úhrada starších nákladů České poště, rostoucí ceny za spotřebované energie či </w:t>
            </w:r>
            <w:r w:rsidRPr="00AB5EA8">
              <w:rPr>
                <w:spacing w:val="-5"/>
              </w:rPr>
              <w:t xml:space="preserve">vyšší potřeba nákupu léků a zdravotnického </w:t>
            </w:r>
            <w:r w:rsidRPr="00AB5EA8">
              <w:rPr>
                <w:spacing w:val="-5"/>
              </w:rPr>
              <w:lastRenderedPageBreak/>
              <w:t>materiálu. SR letos více zatížily i dočasně zvýšené platby za tzv. státní pojištěnce (+7,2 mld. korun %)</w:t>
            </w:r>
            <w:r w:rsidRPr="00AB5EA8">
              <w:rPr>
                <w:rStyle w:val="Znakapoznpodarou"/>
                <w:spacing w:val="-5"/>
              </w:rPr>
              <w:footnoteReference w:id="100"/>
            </w:r>
            <w:r w:rsidRPr="00AB5EA8">
              <w:rPr>
                <w:spacing w:val="-5"/>
              </w:rPr>
              <w:t>. Mírněji, ale dlouhodobě rostou i povinné odvody ČR do rozpočtu EU.</w:t>
            </w:r>
          </w:p>
        </w:tc>
      </w:tr>
      <w:tr w:rsidR="00A30EA4" w:rsidRPr="008266F0" w14:paraId="56A0BACE" w14:textId="77777777" w:rsidTr="00275E43">
        <w:trPr>
          <w:trHeight w:val="145"/>
        </w:trPr>
        <w:tc>
          <w:tcPr>
            <w:tcW w:w="1780" w:type="dxa"/>
            <w:shd w:val="clear" w:color="auto" w:fill="auto"/>
            <w:tcMar>
              <w:left w:w="0" w:type="dxa"/>
            </w:tcMar>
          </w:tcPr>
          <w:p w14:paraId="17F04584" w14:textId="77777777" w:rsidR="00A30EA4" w:rsidRDefault="00A30EA4" w:rsidP="00275E43">
            <w:pPr>
              <w:pStyle w:val="Marginlie"/>
            </w:pPr>
            <w:r>
              <w:lastRenderedPageBreak/>
              <w:t>Rozpočtově očekávaný propad běžných transferů podnikatelům souvisel s útlumem záchranných programů za pandemie.</w:t>
            </w:r>
          </w:p>
          <w:p w14:paraId="77A792B8" w14:textId="77777777" w:rsidR="00A30EA4" w:rsidRDefault="00A30EA4" w:rsidP="00275E43">
            <w:pPr>
              <w:pStyle w:val="Marginlie"/>
            </w:pPr>
          </w:p>
          <w:p w14:paraId="72B49EC4" w14:textId="77777777" w:rsidR="00A30EA4" w:rsidRDefault="00A30EA4" w:rsidP="00275E43">
            <w:pPr>
              <w:pStyle w:val="Marginlie"/>
            </w:pPr>
          </w:p>
          <w:p w14:paraId="163BC436" w14:textId="77777777" w:rsidR="00A30EA4" w:rsidRDefault="00A30EA4" w:rsidP="00275E43">
            <w:pPr>
              <w:pStyle w:val="Marginlie"/>
            </w:pPr>
          </w:p>
          <w:p w14:paraId="0DE2FA9A" w14:textId="77777777" w:rsidR="00A30EA4" w:rsidRDefault="00A30EA4" w:rsidP="00275E43">
            <w:pPr>
              <w:pStyle w:val="Marginlie"/>
            </w:pPr>
          </w:p>
          <w:p w14:paraId="57B49526" w14:textId="77777777" w:rsidR="00A30EA4" w:rsidRDefault="00A30EA4" w:rsidP="00275E43">
            <w:pPr>
              <w:pStyle w:val="Marginlie"/>
            </w:pPr>
          </w:p>
          <w:p w14:paraId="45CABD47" w14:textId="77777777" w:rsidR="00A30EA4" w:rsidRDefault="00A30EA4" w:rsidP="00275E43">
            <w:pPr>
              <w:pStyle w:val="Marginlie"/>
            </w:pPr>
          </w:p>
          <w:p w14:paraId="0DCC2AE8" w14:textId="77777777" w:rsidR="00A30EA4" w:rsidRDefault="00A30EA4" w:rsidP="00275E43">
            <w:pPr>
              <w:pStyle w:val="Marginlie"/>
            </w:pPr>
          </w:p>
          <w:p w14:paraId="6C96BF26" w14:textId="77777777" w:rsidR="00A30EA4" w:rsidRDefault="00A30EA4" w:rsidP="00275E43">
            <w:pPr>
              <w:pStyle w:val="Marginlie"/>
            </w:pPr>
            <w:r>
              <w:t xml:space="preserve">Běžné transfery územním rozpočtům shodně jako výdaje na platy v organizačních složkách státu stagnovaly. </w:t>
            </w:r>
          </w:p>
        </w:tc>
        <w:tc>
          <w:tcPr>
            <w:tcW w:w="219" w:type="dxa"/>
            <w:shd w:val="clear" w:color="auto" w:fill="auto"/>
            <w:tcMar>
              <w:left w:w="0" w:type="dxa"/>
            </w:tcMar>
          </w:tcPr>
          <w:p w14:paraId="6E300FD6" w14:textId="77777777" w:rsidR="00A30EA4" w:rsidRDefault="00A30EA4" w:rsidP="00275E43">
            <w:pPr>
              <w:pStyle w:val="Textpoznpodarou"/>
              <w:jc w:val="both"/>
              <w:rPr>
                <w:spacing w:val="-4"/>
              </w:rPr>
            </w:pPr>
          </w:p>
        </w:tc>
        <w:tc>
          <w:tcPr>
            <w:tcW w:w="7670" w:type="dxa"/>
            <w:shd w:val="clear" w:color="auto" w:fill="auto"/>
            <w:tcMar>
              <w:left w:w="0" w:type="dxa"/>
            </w:tcMar>
          </w:tcPr>
          <w:p w14:paraId="44DC6879" w14:textId="77777777" w:rsidR="00A30EA4" w:rsidRPr="00D94406" w:rsidRDefault="00A30EA4" w:rsidP="00275E43">
            <w:pPr>
              <w:spacing w:after="210"/>
              <w:rPr>
                <w:color w:val="0D0D0D" w:themeColor="text1" w:themeTint="F2"/>
                <w:spacing w:val="-5"/>
              </w:rPr>
            </w:pPr>
            <w:r w:rsidRPr="00D94406">
              <w:rPr>
                <w:color w:val="0D0D0D" w:themeColor="text1" w:themeTint="F2"/>
                <w:spacing w:val="-5"/>
              </w:rPr>
              <w:t xml:space="preserve">Ve směru poklesu běžných výdajů dle očekávání výrazně působily neinvestiční transfery podnikatelům, jež dosáhly za tři čtvrtletí jen 60 % loňské úrovně a propadly o 41 mld. korun. Projevil se zde zásadní útlum záchranných programů pro podniky zasažené dopady pandemie, dílčí vliv měla také redukce zálohových dotací na obnovitelné zdroje energie </w:t>
            </w:r>
            <w:r w:rsidRPr="00D94406">
              <w:rPr>
                <w:color w:val="0D0D0D" w:themeColor="text1" w:themeTint="F2"/>
                <w:spacing w:val="-5"/>
              </w:rPr>
              <w:br/>
              <w:t>(−3,8 mld. korun). Opačně působily nové dotace na úspory energie (tzv. energetický tarif, sloužící jako pomoc domácnostem) vyplacené letos v září (17,4 mld. korun).</w:t>
            </w:r>
            <w:r>
              <w:rPr>
                <w:color w:val="0D0D0D" w:themeColor="text1" w:themeTint="F2"/>
                <w:spacing w:val="-5"/>
              </w:rPr>
              <w:t xml:space="preserve"> Snížení dotací</w:t>
            </w:r>
            <w:r w:rsidRPr="00D94406">
              <w:rPr>
                <w:color w:val="0D0D0D" w:themeColor="text1" w:themeTint="F2"/>
                <w:spacing w:val="-5"/>
              </w:rPr>
              <w:t xml:space="preserve"> příspěvkovým organizacím (-6,9 %) lze vysvětlit vyšší loňskou základnou ovlivněnou výplatou mimořádných odměn zdravotníkům. S ústupem pandemie souvisel rovněž pokles dotací neziskovým organizacím (-10,9 %), zejména v oblasti školství a sportu.</w:t>
            </w:r>
            <w:r>
              <w:rPr>
                <w:color w:val="0D0D0D" w:themeColor="text1" w:themeTint="F2"/>
                <w:spacing w:val="-5"/>
              </w:rPr>
              <w:t xml:space="preserve"> Snížily se i</w:t>
            </w:r>
            <w:r w:rsidRPr="00D94406">
              <w:rPr>
                <w:color w:val="0D0D0D" w:themeColor="text1" w:themeTint="F2"/>
                <w:spacing w:val="-5"/>
              </w:rPr>
              <w:t> neinvestiční transfery státním fondům (13,4 %), především vlivem nižší potřeby krytí deficitu Státnímu fondu dopravní infrastruktury. Obje</w:t>
            </w:r>
            <w:r>
              <w:rPr>
                <w:color w:val="0D0D0D" w:themeColor="text1" w:themeTint="F2"/>
                <w:spacing w:val="-5"/>
              </w:rPr>
              <w:t>mově významné běžné transfery krajům a</w:t>
            </w:r>
            <w:r w:rsidRPr="00D94406">
              <w:rPr>
                <w:color w:val="0D0D0D" w:themeColor="text1" w:themeTint="F2"/>
                <w:spacing w:val="-5"/>
              </w:rPr>
              <w:t> obcím stagnovaly, neboť mírný růst platových tarifů pedagogů základních a středních škol (+2 %) byl kompenzov</w:t>
            </w:r>
            <w:r>
              <w:rPr>
                <w:color w:val="0D0D0D" w:themeColor="text1" w:themeTint="F2"/>
                <w:spacing w:val="-5"/>
              </w:rPr>
              <w:t>án snížením prostředků na sociální služ</w:t>
            </w:r>
            <w:r w:rsidRPr="00D94406">
              <w:rPr>
                <w:color w:val="0D0D0D" w:themeColor="text1" w:themeTint="F2"/>
                <w:spacing w:val="-5"/>
              </w:rPr>
              <w:t>b</w:t>
            </w:r>
            <w:r>
              <w:rPr>
                <w:color w:val="0D0D0D" w:themeColor="text1" w:themeTint="F2"/>
                <w:spacing w:val="-5"/>
              </w:rPr>
              <w:t>y či lůžkovou péči</w:t>
            </w:r>
            <w:r w:rsidRPr="00D94406">
              <w:rPr>
                <w:color w:val="0D0D0D" w:themeColor="text1" w:themeTint="F2"/>
                <w:spacing w:val="-5"/>
              </w:rPr>
              <w:t xml:space="preserve"> (související s loňskými mimořádnými odměnami). Výdaje na platy v organizačních složkách státu v souladu s rozpočtovým očekáváním druhým rokem v řadě fakticky stagnovaly. </w:t>
            </w:r>
          </w:p>
        </w:tc>
      </w:tr>
      <w:tr w:rsidR="00A30EA4" w:rsidRPr="00F704D2" w14:paraId="6C7927E9" w14:textId="77777777" w:rsidTr="00275E43">
        <w:trPr>
          <w:trHeight w:val="170"/>
        </w:trPr>
        <w:tc>
          <w:tcPr>
            <w:tcW w:w="1780" w:type="dxa"/>
            <w:vMerge w:val="restart"/>
            <w:shd w:val="clear" w:color="auto" w:fill="auto"/>
            <w:tcMar>
              <w:left w:w="0" w:type="dxa"/>
            </w:tcMar>
          </w:tcPr>
          <w:p w14:paraId="6F2B4A4C" w14:textId="77777777" w:rsidR="00A30EA4" w:rsidRDefault="00A30EA4" w:rsidP="00275E43">
            <w:pPr>
              <w:pStyle w:val="Marginlie"/>
            </w:pPr>
          </w:p>
        </w:tc>
        <w:tc>
          <w:tcPr>
            <w:tcW w:w="219" w:type="dxa"/>
            <w:vMerge w:val="restart"/>
            <w:shd w:val="clear" w:color="auto" w:fill="auto"/>
            <w:tcMar>
              <w:left w:w="0" w:type="dxa"/>
            </w:tcMar>
          </w:tcPr>
          <w:p w14:paraId="6ACE412A" w14:textId="77777777" w:rsidR="00A30EA4" w:rsidRDefault="00A30EA4" w:rsidP="00275E43">
            <w:pPr>
              <w:pStyle w:val="Textpoznpodarou"/>
              <w:jc w:val="both"/>
              <w:rPr>
                <w:spacing w:val="-4"/>
              </w:rPr>
            </w:pPr>
          </w:p>
        </w:tc>
        <w:tc>
          <w:tcPr>
            <w:tcW w:w="7670" w:type="dxa"/>
            <w:shd w:val="clear" w:color="auto" w:fill="auto"/>
            <w:tcMar>
              <w:left w:w="0" w:type="dxa"/>
            </w:tcMar>
          </w:tcPr>
          <w:p w14:paraId="05A6D655" w14:textId="77777777" w:rsidR="00A30EA4" w:rsidRPr="0033093B" w:rsidRDefault="00A30EA4" w:rsidP="00275E43">
            <w:pPr>
              <w:spacing w:after="20" w:line="240" w:lineRule="auto"/>
              <w:jc w:val="left"/>
              <w:rPr>
                <w:rFonts w:cs="Arial"/>
                <w:bCs/>
                <w:spacing w:val="-3"/>
              </w:rPr>
            </w:pPr>
            <w:r w:rsidRPr="0033093B">
              <w:rPr>
                <w:b/>
                <w:spacing w:val="-3"/>
              </w:rPr>
              <w:t>Graf č. </w:t>
            </w:r>
            <w:proofErr w:type="gramStart"/>
            <w:r w:rsidRPr="0033093B">
              <w:rPr>
                <w:b/>
                <w:spacing w:val="-3"/>
              </w:rPr>
              <w:t xml:space="preserve">17  </w:t>
            </w:r>
            <w:r w:rsidRPr="0033093B">
              <w:rPr>
                <w:rFonts w:cs="Arial"/>
                <w:b/>
                <w:bCs/>
                <w:spacing w:val="-3"/>
              </w:rPr>
              <w:t>Vybrané</w:t>
            </w:r>
            <w:proofErr w:type="gramEnd"/>
            <w:r w:rsidRPr="0033093B">
              <w:rPr>
                <w:rFonts w:cs="Arial"/>
                <w:b/>
                <w:bCs/>
                <w:spacing w:val="-3"/>
              </w:rPr>
              <w:t xml:space="preserve"> výdaje státního rozpočtu v rámci 1. až 3. čtvrtletí</w:t>
            </w:r>
            <w:r w:rsidRPr="0033093B">
              <w:rPr>
                <w:spacing w:val="-3"/>
              </w:rPr>
              <w:t xml:space="preserve"> </w:t>
            </w:r>
            <w:r w:rsidRPr="0033093B">
              <w:rPr>
                <w:rFonts w:cs="Arial"/>
                <w:bCs/>
                <w:spacing w:val="-3"/>
              </w:rPr>
              <w:t>(v mld. korun)</w:t>
            </w:r>
          </w:p>
        </w:tc>
      </w:tr>
      <w:tr w:rsidR="00A30EA4" w14:paraId="37C44A21" w14:textId="77777777" w:rsidTr="00275E43">
        <w:tblPrEx>
          <w:tblCellMar>
            <w:left w:w="70" w:type="dxa"/>
            <w:right w:w="70" w:type="dxa"/>
          </w:tblCellMar>
        </w:tblPrEx>
        <w:trPr>
          <w:trHeight w:val="170"/>
        </w:trPr>
        <w:tc>
          <w:tcPr>
            <w:tcW w:w="1780" w:type="dxa"/>
            <w:vMerge/>
            <w:shd w:val="clear" w:color="auto" w:fill="auto"/>
          </w:tcPr>
          <w:p w14:paraId="7EFCF5D9" w14:textId="77777777" w:rsidR="00A30EA4" w:rsidRDefault="00A30EA4" w:rsidP="00275E43">
            <w:pPr>
              <w:pStyle w:val="Marginlie"/>
            </w:pPr>
          </w:p>
        </w:tc>
        <w:tc>
          <w:tcPr>
            <w:tcW w:w="219" w:type="dxa"/>
            <w:vMerge/>
            <w:shd w:val="clear" w:color="auto" w:fill="auto"/>
          </w:tcPr>
          <w:p w14:paraId="49708EBA" w14:textId="77777777" w:rsidR="00A30EA4" w:rsidRDefault="00A30EA4" w:rsidP="00275E43">
            <w:pPr>
              <w:pStyle w:val="Textpoznpodarou"/>
              <w:jc w:val="both"/>
              <w:rPr>
                <w:spacing w:val="-4"/>
              </w:rPr>
            </w:pPr>
          </w:p>
        </w:tc>
        <w:tc>
          <w:tcPr>
            <w:tcW w:w="7670" w:type="dxa"/>
            <w:shd w:val="clear" w:color="auto" w:fill="auto"/>
          </w:tcPr>
          <w:p w14:paraId="7E204A03" w14:textId="77777777" w:rsidR="00A30EA4" w:rsidRPr="0067514E" w:rsidRDefault="00A30EA4" w:rsidP="00275E43">
            <w:pPr>
              <w:spacing w:after="0"/>
              <w:rPr>
                <w:spacing w:val="-6"/>
              </w:rPr>
            </w:pPr>
            <w:r>
              <w:rPr>
                <w:noProof/>
              </w:rPr>
              <w:drawing>
                <wp:inline distT="0" distB="0" distL="0" distR="0" wp14:anchorId="3D2F7414" wp14:editId="608501F9">
                  <wp:extent cx="4768850" cy="3160166"/>
                  <wp:effectExtent l="0" t="0" r="0" b="254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30EA4" w:rsidRPr="00343AC1" w14:paraId="6E6FA375" w14:textId="77777777" w:rsidTr="00275E43">
        <w:trPr>
          <w:trHeight w:val="170"/>
        </w:trPr>
        <w:tc>
          <w:tcPr>
            <w:tcW w:w="1780" w:type="dxa"/>
            <w:vMerge/>
            <w:shd w:val="clear" w:color="auto" w:fill="auto"/>
            <w:tcMar>
              <w:left w:w="0" w:type="dxa"/>
            </w:tcMar>
          </w:tcPr>
          <w:p w14:paraId="005CA357" w14:textId="77777777" w:rsidR="00A30EA4" w:rsidRDefault="00A30EA4" w:rsidP="00275E43">
            <w:pPr>
              <w:pStyle w:val="Marginlie"/>
            </w:pPr>
          </w:p>
        </w:tc>
        <w:tc>
          <w:tcPr>
            <w:tcW w:w="219" w:type="dxa"/>
            <w:vMerge/>
            <w:shd w:val="clear" w:color="auto" w:fill="auto"/>
            <w:tcMar>
              <w:left w:w="0" w:type="dxa"/>
            </w:tcMar>
          </w:tcPr>
          <w:p w14:paraId="7CF301CA" w14:textId="77777777" w:rsidR="00A30EA4" w:rsidRDefault="00A30EA4" w:rsidP="00275E43">
            <w:pPr>
              <w:pStyle w:val="Textpoznpodarou"/>
              <w:jc w:val="both"/>
              <w:rPr>
                <w:spacing w:val="-4"/>
              </w:rPr>
            </w:pPr>
          </w:p>
        </w:tc>
        <w:tc>
          <w:tcPr>
            <w:tcW w:w="7670" w:type="dxa"/>
            <w:shd w:val="clear" w:color="auto" w:fill="auto"/>
            <w:tcMar>
              <w:left w:w="0" w:type="dxa"/>
            </w:tcMar>
          </w:tcPr>
          <w:p w14:paraId="1198A3A4" w14:textId="77777777" w:rsidR="00A30EA4" w:rsidRPr="008F2BE2" w:rsidRDefault="00A30EA4" w:rsidP="00275E43">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27CA72D1" w14:textId="77777777" w:rsidR="00A30EA4" w:rsidRPr="008F2BE2" w:rsidRDefault="00A30EA4" w:rsidP="00275E43">
            <w:pPr>
              <w:pStyle w:val="Textpoznpodarou"/>
              <w:rPr>
                <w:spacing w:val="-4"/>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Jsou zde obsaženy i dávky </w:t>
            </w:r>
            <w:r w:rsidRPr="00FB6649">
              <w:rPr>
                <w:spacing w:val="-4"/>
                <w:sz w:val="14"/>
                <w:szCs w:val="14"/>
              </w:rPr>
              <w:t>humanitární pomoc</w:t>
            </w:r>
            <w:r>
              <w:rPr>
                <w:spacing w:val="-4"/>
                <w:sz w:val="14"/>
                <w:szCs w:val="14"/>
              </w:rPr>
              <w:t>i poskytnuté občanům Ukrajiny.</w:t>
            </w:r>
          </w:p>
          <w:p w14:paraId="1CA38429" w14:textId="77777777" w:rsidR="00A30EA4" w:rsidRDefault="00A30EA4" w:rsidP="00275E43">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4811D044" w14:textId="77777777" w:rsidR="00A30EA4" w:rsidRPr="00D94406" w:rsidRDefault="00A30EA4" w:rsidP="00275E43">
            <w:pPr>
              <w:pStyle w:val="Textpoznpodarou"/>
              <w:spacing w:after="160"/>
              <w:rPr>
                <w:sz w:val="16"/>
                <w:szCs w:val="16"/>
              </w:rPr>
            </w:pPr>
            <w:r>
              <w:rPr>
                <w:spacing w:val="-4"/>
                <w:sz w:val="14"/>
                <w:szCs w:val="14"/>
              </w:rPr>
              <w:t xml:space="preserve">*****Vyjadřuje saldo </w:t>
            </w:r>
            <w:r w:rsidRPr="00DB31A1">
              <w:rPr>
                <w:spacing w:val="-4"/>
                <w:sz w:val="14"/>
                <w:szCs w:val="14"/>
              </w:rPr>
              <w:t>rozpočtové kapitoly Státní dluh.</w:t>
            </w:r>
            <w:r>
              <w:rPr>
                <w:spacing w:val="-4"/>
                <w:sz w:val="14"/>
                <w:szCs w:val="14"/>
              </w:rPr>
              <w:t xml:space="preserve">                                                                                                 </w:t>
            </w:r>
            <w:r w:rsidRPr="000F45E7">
              <w:rPr>
                <w:spacing w:val="-4"/>
                <w:sz w:val="14"/>
                <w:szCs w:val="14"/>
              </w:rPr>
              <w:t>Zdroj: MF ČR, MPSV</w:t>
            </w:r>
          </w:p>
        </w:tc>
      </w:tr>
    </w:tbl>
    <w:p w14:paraId="4BDEA8C7" w14:textId="77777777" w:rsidR="00A30EA4" w:rsidRDefault="00A30EA4" w:rsidP="00A30EA4">
      <w:pPr>
        <w:pStyle w:val="Nadpis11"/>
        <w:rPr>
          <w:b w:val="0"/>
          <w:sz w:val="2"/>
          <w:szCs w:val="2"/>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A30EA4" w:rsidRPr="004B2C92" w14:paraId="08DEE461" w14:textId="77777777" w:rsidTr="00275E43">
        <w:trPr>
          <w:trHeight w:val="145"/>
        </w:trPr>
        <w:tc>
          <w:tcPr>
            <w:tcW w:w="1780" w:type="dxa"/>
            <w:shd w:val="clear" w:color="auto" w:fill="auto"/>
            <w:tcMar>
              <w:left w:w="0" w:type="dxa"/>
            </w:tcMar>
          </w:tcPr>
          <w:p w14:paraId="37FDBC13" w14:textId="77777777" w:rsidR="00A30EA4" w:rsidRDefault="00A30EA4" w:rsidP="00275E43">
            <w:pPr>
              <w:pStyle w:val="Marginlie"/>
              <w:rPr>
                <w:spacing w:val="-4"/>
              </w:rPr>
            </w:pPr>
            <w:r w:rsidRPr="00915669">
              <w:rPr>
                <w:spacing w:val="-4"/>
              </w:rPr>
              <w:t xml:space="preserve">Svižný růst investic souvisel s výdaji </w:t>
            </w:r>
            <w:r>
              <w:rPr>
                <w:spacing w:val="-4"/>
              </w:rPr>
              <w:t>na dopravní infrastrukturu</w:t>
            </w:r>
            <w:r w:rsidRPr="00915669">
              <w:rPr>
                <w:spacing w:val="-4"/>
              </w:rPr>
              <w:t xml:space="preserve"> </w:t>
            </w:r>
            <w:r>
              <w:rPr>
                <w:spacing w:val="-4"/>
              </w:rPr>
              <w:br/>
            </w:r>
            <w:proofErr w:type="gramStart"/>
            <w:r w:rsidRPr="00915669">
              <w:rPr>
                <w:spacing w:val="-4"/>
              </w:rPr>
              <w:t>i  životní</w:t>
            </w:r>
            <w:proofErr w:type="gramEnd"/>
            <w:r w:rsidRPr="00915669">
              <w:rPr>
                <w:spacing w:val="-4"/>
              </w:rPr>
              <w:t xml:space="preserve"> prostředí. </w:t>
            </w:r>
          </w:p>
          <w:p w14:paraId="1C250051" w14:textId="77777777" w:rsidR="00A30EA4" w:rsidRDefault="00A30EA4" w:rsidP="00275E43">
            <w:pPr>
              <w:pStyle w:val="Marginlie"/>
              <w:rPr>
                <w:spacing w:val="-4"/>
              </w:rPr>
            </w:pPr>
          </w:p>
          <w:p w14:paraId="5289EDFB" w14:textId="77777777" w:rsidR="00A30EA4" w:rsidRDefault="00A30EA4" w:rsidP="00275E43">
            <w:pPr>
              <w:pStyle w:val="Marginlie"/>
              <w:rPr>
                <w:spacing w:val="-4"/>
              </w:rPr>
            </w:pPr>
          </w:p>
          <w:p w14:paraId="107B85C3" w14:textId="77777777" w:rsidR="00A30EA4" w:rsidRDefault="00A30EA4" w:rsidP="00275E43">
            <w:pPr>
              <w:pStyle w:val="Marginlie"/>
              <w:rPr>
                <w:spacing w:val="-4"/>
              </w:rPr>
            </w:pPr>
          </w:p>
          <w:p w14:paraId="6DC73991" w14:textId="77777777" w:rsidR="00A30EA4" w:rsidRDefault="00A30EA4" w:rsidP="00275E43">
            <w:pPr>
              <w:pStyle w:val="Marginlie"/>
              <w:rPr>
                <w:spacing w:val="-4"/>
              </w:rPr>
            </w:pPr>
          </w:p>
          <w:p w14:paraId="0EF86491" w14:textId="77777777" w:rsidR="00A30EA4" w:rsidRDefault="00A30EA4" w:rsidP="00275E43">
            <w:pPr>
              <w:pStyle w:val="Marginlie"/>
              <w:rPr>
                <w:spacing w:val="-4"/>
              </w:rPr>
            </w:pPr>
            <w:r w:rsidRPr="00915669">
              <w:rPr>
                <w:spacing w:val="-4"/>
              </w:rPr>
              <w:t>Čerpání investic zatí</w:t>
            </w:r>
            <w:r>
              <w:rPr>
                <w:spacing w:val="-4"/>
              </w:rPr>
              <w:t>m výrazněji</w:t>
            </w:r>
            <w:r w:rsidRPr="00915669">
              <w:rPr>
                <w:spacing w:val="-4"/>
              </w:rPr>
              <w:t xml:space="preserve"> zaostávalo za rozpočtovým očekáváním, </w:t>
            </w:r>
            <w:r w:rsidRPr="00915669">
              <w:rPr>
                <w:spacing w:val="-4"/>
              </w:rPr>
              <w:lastRenderedPageBreak/>
              <w:t>zejména u společných projektů ČR a EU.</w:t>
            </w:r>
          </w:p>
        </w:tc>
        <w:tc>
          <w:tcPr>
            <w:tcW w:w="219" w:type="dxa"/>
            <w:shd w:val="clear" w:color="auto" w:fill="auto"/>
            <w:tcMar>
              <w:left w:w="0" w:type="dxa"/>
            </w:tcMar>
          </w:tcPr>
          <w:p w14:paraId="6A36CFF0" w14:textId="77777777" w:rsidR="00A30EA4" w:rsidRDefault="00A30EA4" w:rsidP="00275E43">
            <w:pPr>
              <w:pStyle w:val="Textpoznpodarou"/>
              <w:jc w:val="both"/>
              <w:rPr>
                <w:spacing w:val="-4"/>
              </w:rPr>
            </w:pPr>
          </w:p>
        </w:tc>
        <w:tc>
          <w:tcPr>
            <w:tcW w:w="7670" w:type="dxa"/>
            <w:shd w:val="clear" w:color="auto" w:fill="auto"/>
            <w:tcMar>
              <w:left w:w="0" w:type="dxa"/>
            </w:tcMar>
          </w:tcPr>
          <w:p w14:paraId="53D40C0B" w14:textId="77777777" w:rsidR="00A30EA4" w:rsidRDefault="00A30EA4" w:rsidP="00A30EA4">
            <w:pPr>
              <w:rPr>
                <w:color w:val="0D0D0D" w:themeColor="text1" w:themeTint="F2"/>
                <w:spacing w:val="-4"/>
              </w:rPr>
            </w:pPr>
            <w:r w:rsidRPr="001B70C7">
              <w:rPr>
                <w:color w:val="0D0D0D" w:themeColor="text1" w:themeTint="F2"/>
                <w:spacing w:val="-4"/>
              </w:rPr>
              <w:t>Kapitálové výdaje SR v 1. až 3. čtvrtletí meziročně posílily o významných 13,2 %. Na růstu se z</w:t>
            </w:r>
            <w:r>
              <w:rPr>
                <w:color w:val="0D0D0D" w:themeColor="text1" w:themeTint="F2"/>
                <w:spacing w:val="-4"/>
              </w:rPr>
              <w:t>ásadně podílely transfery</w:t>
            </w:r>
            <w:r w:rsidRPr="001B70C7">
              <w:rPr>
                <w:color w:val="0D0D0D" w:themeColor="text1" w:themeTint="F2"/>
                <w:spacing w:val="-4"/>
              </w:rPr>
              <w:t xml:space="preserve"> státním fondům (zejména Fon</w:t>
            </w:r>
            <w:r>
              <w:rPr>
                <w:color w:val="0D0D0D" w:themeColor="text1" w:themeTint="F2"/>
                <w:spacing w:val="-4"/>
              </w:rPr>
              <w:t xml:space="preserve">du dopravní infrastruktury </w:t>
            </w:r>
            <w:r>
              <w:rPr>
                <w:color w:val="0D0D0D" w:themeColor="text1" w:themeTint="F2"/>
                <w:spacing w:val="-4"/>
                <w:lang w:val="en-US"/>
              </w:rPr>
              <w:t>[</w:t>
            </w:r>
            <w:r>
              <w:rPr>
                <w:color w:val="0D0D0D" w:themeColor="text1" w:themeTint="F2"/>
                <w:spacing w:val="-4"/>
              </w:rPr>
              <w:t>+9,7</w:t>
            </w:r>
            <w:r w:rsidRPr="001B70C7">
              <w:rPr>
                <w:color w:val="0D0D0D" w:themeColor="text1" w:themeTint="F2"/>
                <w:spacing w:val="-4"/>
              </w:rPr>
              <w:t> mld. korun</w:t>
            </w:r>
            <w:r>
              <w:rPr>
                <w:color w:val="0D0D0D" w:themeColor="text1" w:themeTint="F2"/>
                <w:spacing w:val="-4"/>
              </w:rPr>
              <w:t>]</w:t>
            </w:r>
            <w:r w:rsidRPr="001B70C7">
              <w:rPr>
                <w:color w:val="0D0D0D" w:themeColor="text1" w:themeTint="F2"/>
                <w:spacing w:val="-4"/>
              </w:rPr>
              <w:t xml:space="preserve"> a Fondu životního prostředí), vzrostly i investiční nákupy hmotného majetku (+3,4 mld.). Z hlediska zdroje financování přispěly k růstu nejvíce investice na projekty z výhradně národních zdrojů (+10 mld. korun, na rekordní</w:t>
            </w:r>
            <w:r>
              <w:rPr>
                <w:color w:val="0D0D0D" w:themeColor="text1" w:themeTint="F2"/>
                <w:spacing w:val="-4"/>
              </w:rPr>
              <w:t>ch 53,3 mld.), vzrostly ovšem i</w:t>
            </w:r>
            <w:r w:rsidRPr="001B70C7">
              <w:rPr>
                <w:color w:val="0D0D0D" w:themeColor="text1" w:themeTint="F2"/>
                <w:spacing w:val="-4"/>
              </w:rPr>
              <w:t xml:space="preserve"> výdaje na společné projekty ČR a EU (+5,3 mld. korun, na 57,3 mld.). Zejména </w:t>
            </w:r>
            <w:r>
              <w:rPr>
                <w:color w:val="0D0D0D" w:themeColor="text1" w:themeTint="F2"/>
                <w:spacing w:val="-4"/>
              </w:rPr>
              <w:br/>
            </w:r>
            <w:r w:rsidRPr="001B70C7">
              <w:rPr>
                <w:color w:val="0D0D0D" w:themeColor="text1" w:themeTint="F2"/>
                <w:spacing w:val="-4"/>
              </w:rPr>
              <w:t xml:space="preserve">u nich je však míra plnění (ve vazbě na schválený rozpočet) zatím slabší, což může souviset s režimem rozpočtového provizoria v 1. čtvrtletí 2022, který zvýraznil tradičně pomalejší </w:t>
            </w:r>
            <w:r w:rsidRPr="001B70C7">
              <w:rPr>
                <w:color w:val="0D0D0D" w:themeColor="text1" w:themeTint="F2"/>
                <w:spacing w:val="-4"/>
              </w:rPr>
              <w:lastRenderedPageBreak/>
              <w:t>náběh investic na počátku roku. Na konci září bylo dosud čerpáno jen 55 %</w:t>
            </w:r>
            <w:r w:rsidRPr="001B70C7">
              <w:rPr>
                <w:rStyle w:val="Znakapoznpodarou"/>
                <w:color w:val="0D0D0D" w:themeColor="text1" w:themeTint="F2"/>
                <w:spacing w:val="-4"/>
              </w:rPr>
              <w:footnoteReference w:id="101"/>
            </w:r>
            <w:r w:rsidRPr="001B70C7">
              <w:rPr>
                <w:color w:val="0D0D0D" w:themeColor="text1" w:themeTint="F2"/>
                <w:spacing w:val="-4"/>
              </w:rPr>
              <w:t xml:space="preserve"> celoročního očekávaného objemu všech investic ze SR</w:t>
            </w:r>
            <w:r w:rsidRPr="001B70C7">
              <w:rPr>
                <w:rStyle w:val="Znakapoznpodarou"/>
                <w:color w:val="0D0D0D" w:themeColor="text1" w:themeTint="F2"/>
                <w:spacing w:val="-4"/>
              </w:rPr>
              <w:footnoteReference w:id="102"/>
            </w:r>
            <w:r w:rsidRPr="001B70C7">
              <w:rPr>
                <w:color w:val="0D0D0D" w:themeColor="text1" w:themeTint="F2"/>
                <w:spacing w:val="-4"/>
              </w:rPr>
              <w:t>. Celkové investice tvořily za tři čtvrtletí</w:t>
            </w:r>
            <w:r>
              <w:rPr>
                <w:color w:val="0D0D0D" w:themeColor="text1" w:themeTint="F2"/>
                <w:spacing w:val="-4"/>
              </w:rPr>
              <w:t xml:space="preserve"> necelých 8 % všech</w:t>
            </w:r>
            <w:r w:rsidRPr="001B70C7">
              <w:rPr>
                <w:color w:val="0D0D0D" w:themeColor="text1" w:themeTint="F2"/>
                <w:spacing w:val="-4"/>
              </w:rPr>
              <w:t xml:space="preserve"> výdajů SR, což korespondovalo s dlouhodobým průměrem.</w:t>
            </w:r>
          </w:p>
        </w:tc>
      </w:tr>
      <w:tr w:rsidR="00A30EA4" w:rsidRPr="004B2C92" w14:paraId="3C1C6D75" w14:textId="77777777" w:rsidTr="00275E43">
        <w:trPr>
          <w:trHeight w:val="145"/>
        </w:trPr>
        <w:tc>
          <w:tcPr>
            <w:tcW w:w="1780" w:type="dxa"/>
            <w:shd w:val="clear" w:color="auto" w:fill="auto"/>
            <w:tcMar>
              <w:left w:w="0" w:type="dxa"/>
            </w:tcMar>
          </w:tcPr>
          <w:p w14:paraId="69EC23AB" w14:textId="77777777" w:rsidR="00A30EA4" w:rsidRDefault="00A30EA4" w:rsidP="00275E43">
            <w:pPr>
              <w:pStyle w:val="Marginlie"/>
              <w:rPr>
                <w:spacing w:val="-4"/>
              </w:rPr>
            </w:pPr>
            <w:r>
              <w:rPr>
                <w:spacing w:val="-4"/>
              </w:rPr>
              <w:lastRenderedPageBreak/>
              <w:t>Letošní nárůst státního dluhu se blíží rekordní dynamice z roku 2020. Na rozdíl od předchozích let vyústil ve vyšší vnitřní, ale i vnější zadluženost.</w:t>
            </w:r>
          </w:p>
          <w:p w14:paraId="23214D6F" w14:textId="77777777" w:rsidR="00A30EA4" w:rsidRDefault="00A30EA4" w:rsidP="00275E43">
            <w:pPr>
              <w:pStyle w:val="Marginlie"/>
              <w:rPr>
                <w:spacing w:val="-4"/>
              </w:rPr>
            </w:pPr>
          </w:p>
        </w:tc>
        <w:tc>
          <w:tcPr>
            <w:tcW w:w="219" w:type="dxa"/>
            <w:shd w:val="clear" w:color="auto" w:fill="auto"/>
            <w:tcMar>
              <w:left w:w="0" w:type="dxa"/>
            </w:tcMar>
          </w:tcPr>
          <w:p w14:paraId="4FA46DE5" w14:textId="77777777" w:rsidR="00A30EA4" w:rsidRDefault="00A30EA4" w:rsidP="00275E43">
            <w:pPr>
              <w:pStyle w:val="Textpoznpodarou"/>
              <w:jc w:val="both"/>
              <w:rPr>
                <w:spacing w:val="-4"/>
              </w:rPr>
            </w:pPr>
          </w:p>
        </w:tc>
        <w:tc>
          <w:tcPr>
            <w:tcW w:w="7670" w:type="dxa"/>
            <w:shd w:val="clear" w:color="auto" w:fill="auto"/>
            <w:tcMar>
              <w:left w:w="0" w:type="dxa"/>
            </w:tcMar>
          </w:tcPr>
          <w:p w14:paraId="7218CA79" w14:textId="77777777" w:rsidR="00A30EA4" w:rsidRPr="004E6908" w:rsidRDefault="00A30EA4" w:rsidP="00275E43">
            <w:pPr>
              <w:spacing w:after="220"/>
              <w:rPr>
                <w:spacing w:val="-4"/>
              </w:rPr>
            </w:pPr>
            <w:r>
              <w:rPr>
                <w:color w:val="0D0D0D" w:themeColor="text1" w:themeTint="F2"/>
                <w:spacing w:val="-4"/>
              </w:rPr>
              <w:t>Hluboký rozpočtový schodek se promítl do vysoké výpůjční potřeby státu</w:t>
            </w:r>
            <w:r>
              <w:rPr>
                <w:spacing w:val="-4"/>
              </w:rPr>
              <w:t>. Státní dluh vystoupal letos na konci září na 2 890,4 mld. korun,</w:t>
            </w:r>
            <w:r w:rsidRPr="0009441E">
              <w:rPr>
                <w:spacing w:val="-4"/>
              </w:rPr>
              <w:t xml:space="preserve"> </w:t>
            </w:r>
            <w:r>
              <w:rPr>
                <w:spacing w:val="-4"/>
              </w:rPr>
              <w:t>když meziročně vzrostl o</w:t>
            </w:r>
            <w:r>
              <w:rPr>
                <w:color w:val="0D0D0D" w:themeColor="text1" w:themeTint="F2"/>
                <w:spacing w:val="-5"/>
              </w:rPr>
              <w:t> </w:t>
            </w:r>
            <w:r>
              <w:rPr>
                <w:spacing w:val="-4"/>
              </w:rPr>
              <w:t>23,8</w:t>
            </w:r>
            <w:r w:rsidRPr="001B70C7">
              <w:rPr>
                <w:color w:val="0D0D0D" w:themeColor="text1" w:themeTint="F2"/>
                <w:spacing w:val="-4"/>
              </w:rPr>
              <w:t> </w:t>
            </w:r>
            <w:r>
              <w:rPr>
                <w:spacing w:val="-4"/>
              </w:rPr>
              <w:t>%</w:t>
            </w:r>
            <w:r w:rsidRPr="0009441E">
              <w:rPr>
                <w:spacing w:val="-4"/>
              </w:rPr>
              <w:t>.</w:t>
            </w:r>
            <w:r>
              <w:rPr>
                <w:spacing w:val="-4"/>
              </w:rPr>
              <w:t xml:space="preserve"> </w:t>
            </w:r>
            <w:r w:rsidRPr="0009441E">
              <w:rPr>
                <w:spacing w:val="-4"/>
              </w:rPr>
              <w:t xml:space="preserve">Od počátku </w:t>
            </w:r>
            <w:r>
              <w:rPr>
                <w:spacing w:val="-4"/>
              </w:rPr>
              <w:t>roku se dluh navýšil o 424,6 mld., což se těšně přiblížilo rekordnímu přírůstku ze shodného období roku 2020. Stát letos za tři čtvrtletí emitoval na domácím trhu korunové dluhopisy (se splatností nad 1 rok) ve výši 390 mld. korun, čímž pokryl veškeré letošní splátky dluhu a předfinancoval významnou část očekávaného rozpočtového schodku za celý rok 2022. Emisní činnost pomocí tohoto nástroje přesto nedosáhla intenzity z let 2020 ani 2021. Stát si letos naopak vypůjčil podstatně více od domácností (emise dluhopisů dosáhla 43 mld. korun) a intenzivněji rovněž využíval krátkodobých dluhových nástrojů (pokladničních poukázek i zápůjček na eurovém peněžním trhu). Vlivem toho poprvé od roku 2013 významně vzrostla vnější zadluženost ČR (+55 % meziročně, na 254 mld. korun). Přestože od poloviny loňského roku až do letošního léta docházelo k silnému růstu úrokových sazeb na tuzemských státních dluhopisech, čisté výdaje na obsluhu státního dluhu se meziročně mírně snížily (o 7 %, na 32,2 mld. korun)</w:t>
            </w:r>
            <w:r>
              <w:rPr>
                <w:rStyle w:val="Znakapoznpodarou"/>
                <w:spacing w:val="-4"/>
              </w:rPr>
              <w:footnoteReference w:id="103"/>
            </w:r>
            <w:r>
              <w:rPr>
                <w:spacing w:val="-4"/>
              </w:rPr>
              <w:t xml:space="preserve">.  </w:t>
            </w:r>
          </w:p>
        </w:tc>
      </w:tr>
      <w:tr w:rsidR="00A30EA4" w:rsidRPr="000F45E7" w14:paraId="1A44511A" w14:textId="77777777" w:rsidTr="00275E43">
        <w:trPr>
          <w:trHeight w:val="145"/>
        </w:trPr>
        <w:tc>
          <w:tcPr>
            <w:tcW w:w="1780" w:type="dxa"/>
            <w:shd w:val="clear" w:color="auto" w:fill="auto"/>
            <w:tcMar>
              <w:left w:w="0" w:type="dxa"/>
            </w:tcMar>
          </w:tcPr>
          <w:p w14:paraId="299FF1C1" w14:textId="77777777" w:rsidR="00A30EA4" w:rsidRPr="0058030F" w:rsidRDefault="00A30EA4" w:rsidP="00275E43">
            <w:pPr>
              <w:pStyle w:val="Marginlie"/>
              <w:rPr>
                <w:spacing w:val="-4"/>
              </w:rPr>
            </w:pPr>
            <w:r>
              <w:rPr>
                <w:spacing w:val="-4"/>
              </w:rPr>
              <w:t>Pololetní s</w:t>
            </w:r>
            <w:r w:rsidRPr="0058030F">
              <w:rPr>
                <w:spacing w:val="-4"/>
              </w:rPr>
              <w:t>chodek hospodaření sektoru vládních institucí</w:t>
            </w:r>
            <w:r>
              <w:rPr>
                <w:spacing w:val="-4"/>
              </w:rPr>
              <w:t xml:space="preserve"> v ČR se meziročně zmenšil o více než</w:t>
            </w:r>
            <w:r w:rsidRPr="0058030F">
              <w:rPr>
                <w:spacing w:val="-4"/>
              </w:rPr>
              <w:t xml:space="preserve"> polovinu, přesto zůstal hluboký. </w:t>
            </w:r>
          </w:p>
          <w:p w14:paraId="780A4131" w14:textId="77777777" w:rsidR="00A30EA4" w:rsidRPr="0058030F" w:rsidRDefault="00A30EA4" w:rsidP="00275E43">
            <w:pPr>
              <w:pStyle w:val="Marginlie"/>
              <w:rPr>
                <w:spacing w:val="-4"/>
              </w:rPr>
            </w:pPr>
          </w:p>
          <w:p w14:paraId="3C73EAF7" w14:textId="77777777" w:rsidR="00A30EA4" w:rsidRPr="0058030F" w:rsidRDefault="00A30EA4" w:rsidP="00275E43">
            <w:pPr>
              <w:pStyle w:val="Marginlie"/>
              <w:rPr>
                <w:spacing w:val="-4"/>
              </w:rPr>
            </w:pPr>
          </w:p>
          <w:p w14:paraId="4609CA71" w14:textId="77777777" w:rsidR="00A30EA4" w:rsidRPr="0058030F" w:rsidRDefault="00A30EA4" w:rsidP="00275E43">
            <w:pPr>
              <w:pStyle w:val="Marginlie"/>
              <w:rPr>
                <w:spacing w:val="-4"/>
              </w:rPr>
            </w:pPr>
          </w:p>
          <w:p w14:paraId="00A81A2F" w14:textId="77777777" w:rsidR="00A30EA4" w:rsidRPr="0058030F" w:rsidRDefault="00A30EA4" w:rsidP="00275E43">
            <w:pPr>
              <w:pStyle w:val="Marginlie"/>
              <w:rPr>
                <w:spacing w:val="-4"/>
              </w:rPr>
            </w:pPr>
          </w:p>
          <w:p w14:paraId="4C013B57" w14:textId="77777777" w:rsidR="00A30EA4" w:rsidRPr="0058030F" w:rsidRDefault="00A30EA4" w:rsidP="00275E43">
            <w:pPr>
              <w:pStyle w:val="Marginlie"/>
              <w:rPr>
                <w:spacing w:val="-4"/>
              </w:rPr>
            </w:pPr>
          </w:p>
          <w:p w14:paraId="664E5045" w14:textId="77777777" w:rsidR="00A30EA4" w:rsidRDefault="00A30EA4" w:rsidP="00275E43">
            <w:pPr>
              <w:pStyle w:val="Marginlie"/>
              <w:rPr>
                <w:spacing w:val="-4"/>
              </w:rPr>
            </w:pPr>
          </w:p>
          <w:p w14:paraId="656A604C" w14:textId="77777777" w:rsidR="00A30EA4" w:rsidRDefault="00A30EA4" w:rsidP="00275E43">
            <w:pPr>
              <w:pStyle w:val="Marginlie"/>
              <w:rPr>
                <w:spacing w:val="-4"/>
              </w:rPr>
            </w:pPr>
          </w:p>
          <w:p w14:paraId="3CFD3FC4" w14:textId="77777777" w:rsidR="00A30EA4" w:rsidRDefault="00A30EA4" w:rsidP="00275E43">
            <w:pPr>
              <w:pStyle w:val="Marginlie"/>
              <w:rPr>
                <w:spacing w:val="-4"/>
              </w:rPr>
            </w:pPr>
          </w:p>
          <w:p w14:paraId="5A841B37" w14:textId="77777777" w:rsidR="00A30EA4" w:rsidRDefault="00A30EA4" w:rsidP="00275E43">
            <w:pPr>
              <w:pStyle w:val="Marginlie"/>
              <w:rPr>
                <w:spacing w:val="-4"/>
              </w:rPr>
            </w:pPr>
          </w:p>
          <w:p w14:paraId="19150518" w14:textId="77777777" w:rsidR="00A30EA4" w:rsidRDefault="00A30EA4" w:rsidP="00275E43">
            <w:pPr>
              <w:pStyle w:val="Marginlie"/>
              <w:rPr>
                <w:spacing w:val="-4"/>
              </w:rPr>
            </w:pPr>
          </w:p>
          <w:p w14:paraId="567123B6" w14:textId="77777777" w:rsidR="00A30EA4" w:rsidRPr="0058030F" w:rsidRDefault="00A30EA4" w:rsidP="00275E43">
            <w:pPr>
              <w:pStyle w:val="Marginlie"/>
              <w:rPr>
                <w:spacing w:val="-4"/>
              </w:rPr>
            </w:pPr>
          </w:p>
          <w:p w14:paraId="4D73ED96" w14:textId="77777777" w:rsidR="00A30EA4" w:rsidRPr="0058030F" w:rsidRDefault="00A30EA4" w:rsidP="00275E43">
            <w:pPr>
              <w:pStyle w:val="Marginlie"/>
              <w:rPr>
                <w:spacing w:val="-4"/>
              </w:rPr>
            </w:pPr>
          </w:p>
          <w:p w14:paraId="736E5F9E" w14:textId="77777777" w:rsidR="00A30EA4" w:rsidRPr="0058030F" w:rsidRDefault="00A30EA4" w:rsidP="00275E43">
            <w:pPr>
              <w:pStyle w:val="Marginlie"/>
              <w:rPr>
                <w:spacing w:val="-4"/>
              </w:rPr>
            </w:pPr>
            <w:r>
              <w:rPr>
                <w:spacing w:val="-4"/>
              </w:rPr>
              <w:t>Růst míry zadlužení</w:t>
            </w:r>
            <w:r w:rsidRPr="0058030F">
              <w:rPr>
                <w:spacing w:val="-4"/>
              </w:rPr>
              <w:t xml:space="preserve"> </w:t>
            </w:r>
            <w:r>
              <w:rPr>
                <w:spacing w:val="-4"/>
              </w:rPr>
              <w:t xml:space="preserve">sektoru </w:t>
            </w:r>
            <w:r w:rsidRPr="0058030F">
              <w:rPr>
                <w:spacing w:val="-4"/>
              </w:rPr>
              <w:t>v</w:t>
            </w:r>
            <w:r>
              <w:rPr>
                <w:spacing w:val="-4"/>
              </w:rPr>
              <w:t>ládních institucí v ČR zmírnil, převážně ale vlivem svižného růstu cen v ekonomice.</w:t>
            </w:r>
          </w:p>
        </w:tc>
        <w:tc>
          <w:tcPr>
            <w:tcW w:w="219" w:type="dxa"/>
            <w:shd w:val="clear" w:color="auto" w:fill="auto"/>
            <w:tcMar>
              <w:left w:w="0" w:type="dxa"/>
            </w:tcMar>
          </w:tcPr>
          <w:p w14:paraId="6C571F37" w14:textId="77777777" w:rsidR="00A30EA4" w:rsidRDefault="00A30EA4" w:rsidP="00275E43">
            <w:pPr>
              <w:pStyle w:val="Textpoznpodarou"/>
              <w:jc w:val="both"/>
              <w:rPr>
                <w:spacing w:val="-4"/>
              </w:rPr>
            </w:pPr>
          </w:p>
        </w:tc>
        <w:tc>
          <w:tcPr>
            <w:tcW w:w="7670" w:type="dxa"/>
            <w:shd w:val="clear" w:color="auto" w:fill="auto"/>
            <w:tcMar>
              <w:left w:w="0" w:type="dxa"/>
            </w:tcMar>
          </w:tcPr>
          <w:p w14:paraId="655573B2" w14:textId="77777777" w:rsidR="00A30EA4" w:rsidRPr="00006754" w:rsidRDefault="00A30EA4" w:rsidP="00275E43">
            <w:pPr>
              <w:spacing w:after="220"/>
              <w:rPr>
                <w:spacing w:val="-3"/>
              </w:rPr>
            </w:pPr>
            <w:r w:rsidRPr="00006754">
              <w:rPr>
                <w:color w:val="0D0D0D" w:themeColor="text1" w:themeTint="F2"/>
                <w:spacing w:val="-3"/>
              </w:rPr>
              <w:t>Sektor vládních institucí (VI) v ČR hospodařil v 1. pololetí 2022</w:t>
            </w:r>
            <w:r w:rsidRPr="00006754">
              <w:rPr>
                <w:rStyle w:val="Znakapoznpodarou"/>
                <w:color w:val="0D0D0D" w:themeColor="text1" w:themeTint="F2"/>
                <w:spacing w:val="-3"/>
              </w:rPr>
              <w:footnoteReference w:id="104"/>
            </w:r>
            <w:r w:rsidRPr="00006754">
              <w:rPr>
                <w:color w:val="0D0D0D" w:themeColor="text1" w:themeTint="F2"/>
                <w:spacing w:val="-3"/>
                <w:vertAlign w:val="superscript"/>
              </w:rPr>
              <w:t xml:space="preserve"> </w:t>
            </w:r>
            <w:r w:rsidRPr="00006754">
              <w:rPr>
                <w:color w:val="0D0D0D" w:themeColor="text1" w:themeTint="F2"/>
                <w:spacing w:val="-3"/>
              </w:rPr>
              <w:t>se schodkem 71,5 mld. korun</w:t>
            </w:r>
            <w:r w:rsidRPr="00006754">
              <w:rPr>
                <w:rStyle w:val="Znakapoznpodarou"/>
                <w:color w:val="0D0D0D" w:themeColor="text1" w:themeTint="F2"/>
                <w:spacing w:val="-3"/>
              </w:rPr>
              <w:footnoteReference w:id="105"/>
            </w:r>
            <w:r w:rsidRPr="00006754">
              <w:rPr>
                <w:color w:val="0D0D0D" w:themeColor="text1" w:themeTint="F2"/>
                <w:spacing w:val="-3"/>
              </w:rPr>
              <w:t>. Za deficitem stál nepříznivý vývoj na počátku roku, ve 2. kvartálu bylo saldo nepatrně přebytkové (+0,5 mld. korun), poprvé od 3. čtvrtletí 2019</w:t>
            </w:r>
            <w:r w:rsidRPr="00006754">
              <w:rPr>
                <w:rStyle w:val="Znakapoznpodarou"/>
                <w:color w:val="0D0D0D" w:themeColor="text1" w:themeTint="F2"/>
                <w:spacing w:val="-3"/>
              </w:rPr>
              <w:footnoteReference w:id="106"/>
            </w:r>
            <w:r>
              <w:rPr>
                <w:color w:val="0D0D0D" w:themeColor="text1" w:themeTint="F2"/>
                <w:spacing w:val="-3"/>
              </w:rPr>
              <w:t>. Pololetní schodek se</w:t>
            </w:r>
            <w:r w:rsidRPr="00006754">
              <w:rPr>
                <w:color w:val="0D0D0D" w:themeColor="text1" w:themeTint="F2"/>
                <w:spacing w:val="-3"/>
              </w:rPr>
              <w:t xml:space="preserve"> </w:t>
            </w:r>
            <w:r>
              <w:rPr>
                <w:color w:val="0D0D0D" w:themeColor="text1" w:themeTint="F2"/>
                <w:spacing w:val="-3"/>
              </w:rPr>
              <w:t>letos meziročně o 100 mld. snížil</w:t>
            </w:r>
            <w:r w:rsidRPr="00006754">
              <w:rPr>
                <w:color w:val="0D0D0D" w:themeColor="text1" w:themeTint="F2"/>
                <w:spacing w:val="-3"/>
              </w:rPr>
              <w:t xml:space="preserve">. </w:t>
            </w:r>
            <w:r w:rsidRPr="00006754">
              <w:rPr>
                <w:spacing w:val="-3"/>
              </w:rPr>
              <w:t>Ke zlepšení ho</w:t>
            </w:r>
            <w:r>
              <w:rPr>
                <w:spacing w:val="-3"/>
              </w:rPr>
              <w:t>spodaření pomohlo významné posíle</w:t>
            </w:r>
            <w:r w:rsidRPr="00006754">
              <w:rPr>
                <w:spacing w:val="-3"/>
              </w:rPr>
              <w:t>ní</w:t>
            </w:r>
            <w:r>
              <w:rPr>
                <w:spacing w:val="-3"/>
              </w:rPr>
              <w:t xml:space="preserve"> celkových příjmů (+12 %). To souviselo se slabší loňskou základnou</w:t>
            </w:r>
            <w:r w:rsidRPr="00006754">
              <w:rPr>
                <w:spacing w:val="-3"/>
              </w:rPr>
              <w:t xml:space="preserve"> (vlivem proti</w:t>
            </w:r>
            <w:r>
              <w:rPr>
                <w:spacing w:val="-3"/>
              </w:rPr>
              <w:t>-</w:t>
            </w:r>
            <w:r w:rsidRPr="00006754">
              <w:rPr>
                <w:spacing w:val="-3"/>
              </w:rPr>
              <w:t>pandemických restrikcí), pok</w:t>
            </w:r>
            <w:r>
              <w:rPr>
                <w:spacing w:val="-3"/>
              </w:rPr>
              <w:t>račujícím hospodářským růstem a navyšováním</w:t>
            </w:r>
            <w:r w:rsidRPr="00006754">
              <w:rPr>
                <w:spacing w:val="-3"/>
              </w:rPr>
              <w:t xml:space="preserve"> cenové hladiny v ekonomice (které se odrazilo v nárůstu daňových příjmů, zejména DPH – </w:t>
            </w:r>
            <w:proofErr w:type="gramStart"/>
            <w:r w:rsidRPr="00006754">
              <w:rPr>
                <w:spacing w:val="-3"/>
              </w:rPr>
              <w:t>o  22</w:t>
            </w:r>
            <w:proofErr w:type="gramEnd"/>
            <w:r w:rsidRPr="00006754">
              <w:rPr>
                <w:spacing w:val="-3"/>
              </w:rPr>
              <w:t> %). Rostly ovšem všechny příjmové položky</w:t>
            </w:r>
            <w:r>
              <w:rPr>
                <w:spacing w:val="-3"/>
              </w:rPr>
              <w:t>,</w:t>
            </w:r>
            <w:r w:rsidRPr="00006754">
              <w:rPr>
                <w:spacing w:val="-3"/>
              </w:rPr>
              <w:t xml:space="preserve"> vyjma kapitálových transferů. Tempo růstu celkových výdajů kleslo na nejnižší úroveň za posledních šest let (3 %). Ústup pandemie </w:t>
            </w:r>
            <w:r>
              <w:rPr>
                <w:spacing w:val="-3"/>
              </w:rPr>
              <w:t>omezil potřebu mimořádných transfer</w:t>
            </w:r>
            <w:r w:rsidRPr="00006754">
              <w:rPr>
                <w:spacing w:val="-3"/>
              </w:rPr>
              <w:t xml:space="preserve">ů, což se promítlo v oblasti dotací i výdajů na platy v sektoru VI. Na druhou stranu pádivá inflace vedla k vyšší </w:t>
            </w:r>
            <w:proofErr w:type="spellStart"/>
            <w:r w:rsidRPr="00006754">
              <w:rPr>
                <w:spacing w:val="-3"/>
              </w:rPr>
              <w:t>mezispotřebě</w:t>
            </w:r>
            <w:proofErr w:type="spellEnd"/>
            <w:r w:rsidRPr="00006754">
              <w:rPr>
                <w:spacing w:val="-3"/>
              </w:rPr>
              <w:t>, zesílené nákupy plynu k růstu zásob,</w:t>
            </w:r>
            <w:r>
              <w:rPr>
                <w:spacing w:val="-3"/>
              </w:rPr>
              <w:t xml:space="preserve"> dále</w:t>
            </w:r>
            <w:r w:rsidRPr="00006754">
              <w:rPr>
                <w:spacing w:val="-3"/>
              </w:rPr>
              <w:t xml:space="preserve"> </w:t>
            </w:r>
            <w:r>
              <w:rPr>
                <w:spacing w:val="-3"/>
              </w:rPr>
              <w:t>se svižně</w:t>
            </w:r>
            <w:r w:rsidRPr="00006754">
              <w:rPr>
                <w:spacing w:val="-3"/>
              </w:rPr>
              <w:t xml:space="preserve"> navýšily také naturální sociální transfery (+14 </w:t>
            </w:r>
            <w:r>
              <w:rPr>
                <w:spacing w:val="-3"/>
              </w:rPr>
              <w:t>%) a</w:t>
            </w:r>
            <w:r>
              <w:rPr>
                <w:spacing w:val="-4"/>
              </w:rPr>
              <w:t> </w:t>
            </w:r>
            <w:r w:rsidRPr="00006754">
              <w:rPr>
                <w:spacing w:val="-3"/>
              </w:rPr>
              <w:t xml:space="preserve">mírně zrychlil i růst investičních výdajů (a to i na úrovni místních rozpočtů). Místní vládní instituce hospodařily celkově tradičně </w:t>
            </w:r>
            <w:r>
              <w:rPr>
                <w:spacing w:val="-3"/>
              </w:rPr>
              <w:t xml:space="preserve">s </w:t>
            </w:r>
            <w:r w:rsidRPr="00006754">
              <w:rPr>
                <w:spacing w:val="-3"/>
              </w:rPr>
              <w:t xml:space="preserve">přebytkem – ten druhý rok v řadě posílil (na 68,7 mld. korun). Kladného salda dosáhly </w:t>
            </w:r>
            <w:r>
              <w:rPr>
                <w:spacing w:val="-3"/>
              </w:rPr>
              <w:t>v</w:t>
            </w:r>
            <w:r w:rsidRPr="00006754">
              <w:rPr>
                <w:spacing w:val="-3"/>
              </w:rPr>
              <w:t xml:space="preserve"> 1. pololetí </w:t>
            </w:r>
            <w:r>
              <w:rPr>
                <w:spacing w:val="-3"/>
              </w:rPr>
              <w:t xml:space="preserve">2022 </w:t>
            </w:r>
            <w:r w:rsidRPr="00006754">
              <w:rPr>
                <w:spacing w:val="-3"/>
              </w:rPr>
              <w:t xml:space="preserve">i zdravotní pojišťovny (10,7 mld. korun), </w:t>
            </w:r>
            <w:r>
              <w:rPr>
                <w:spacing w:val="-3"/>
              </w:rPr>
              <w:t xml:space="preserve">ten </w:t>
            </w:r>
            <w:r w:rsidRPr="00006754">
              <w:rPr>
                <w:spacing w:val="-3"/>
              </w:rPr>
              <w:t>se ale</w:t>
            </w:r>
            <w:r>
              <w:rPr>
                <w:spacing w:val="-3"/>
              </w:rPr>
              <w:t xml:space="preserve"> meziročně</w:t>
            </w:r>
            <w:r w:rsidRPr="00006754">
              <w:rPr>
                <w:spacing w:val="-3"/>
              </w:rPr>
              <w:t xml:space="preserve"> mírně snížil. Nominální konsolidovaný dluh celého sektoru VI čítal na konci letošního 2. čtvrtletí 2 793,7 mld. korun a meziročně </w:t>
            </w:r>
            <w:r>
              <w:rPr>
                <w:spacing w:val="-3"/>
              </w:rPr>
              <w:t>vzrostl</w:t>
            </w:r>
            <w:r w:rsidRPr="00006754">
              <w:rPr>
                <w:spacing w:val="-3"/>
              </w:rPr>
              <w:t xml:space="preserve"> o 11 % (obdobně </w:t>
            </w:r>
            <w:r w:rsidRPr="007257D0">
              <w:rPr>
                <w:spacing w:val="-4"/>
              </w:rPr>
              <w:t xml:space="preserve">jako ve shodném období roku 2021). Míra zadlužení se </w:t>
            </w:r>
            <w:r>
              <w:rPr>
                <w:spacing w:val="-4"/>
              </w:rPr>
              <w:t xml:space="preserve">oproti tomu </w:t>
            </w:r>
            <w:r w:rsidRPr="007257D0">
              <w:rPr>
                <w:spacing w:val="-4"/>
              </w:rPr>
              <w:t>navýšila vlivem svižného růstu</w:t>
            </w:r>
            <w:r w:rsidRPr="007257D0">
              <w:rPr>
                <w:spacing w:val="-6"/>
              </w:rPr>
              <w:t xml:space="preserve"> nominálního HDP mírněji – z</w:t>
            </w:r>
            <w:r>
              <w:rPr>
                <w:spacing w:val="-6"/>
              </w:rPr>
              <w:t>e</w:t>
            </w:r>
            <w:r w:rsidRPr="007257D0">
              <w:rPr>
                <w:spacing w:val="-6"/>
              </w:rPr>
              <w:t> 42,6 % HDP na 43,5 %. Tempo růstu míry zadlužení zvolňovalo.</w:t>
            </w:r>
          </w:p>
        </w:tc>
      </w:tr>
      <w:tr w:rsidR="00A30EA4" w:rsidRPr="000F45E7" w14:paraId="540EDDBA" w14:textId="77777777" w:rsidTr="00275E43">
        <w:trPr>
          <w:trHeight w:val="145"/>
        </w:trPr>
        <w:tc>
          <w:tcPr>
            <w:tcW w:w="1780" w:type="dxa"/>
            <w:shd w:val="clear" w:color="auto" w:fill="auto"/>
            <w:tcMar>
              <w:left w:w="0" w:type="dxa"/>
            </w:tcMar>
          </w:tcPr>
          <w:p w14:paraId="49E81954" w14:textId="77777777" w:rsidR="00A30EA4" w:rsidRPr="0058030F" w:rsidRDefault="00A30EA4" w:rsidP="00275E43">
            <w:pPr>
              <w:pStyle w:val="Marginlie"/>
              <w:rPr>
                <w:spacing w:val="-4"/>
              </w:rPr>
            </w:pPr>
            <w:r w:rsidRPr="0058030F">
              <w:rPr>
                <w:spacing w:val="-4"/>
              </w:rPr>
              <w:t>Schodek hospodaření sektoru vlád</w:t>
            </w:r>
            <w:r>
              <w:rPr>
                <w:spacing w:val="-4"/>
              </w:rPr>
              <w:t>ních institucí v EU poklesl šestý</w:t>
            </w:r>
            <w:r w:rsidRPr="0058030F">
              <w:rPr>
                <w:spacing w:val="-4"/>
              </w:rPr>
              <w:t xml:space="preserve"> kvartál v řadě, a to na nejnižší hodnotu od počátku pandemie.</w:t>
            </w:r>
          </w:p>
        </w:tc>
        <w:tc>
          <w:tcPr>
            <w:tcW w:w="219" w:type="dxa"/>
            <w:shd w:val="clear" w:color="auto" w:fill="auto"/>
            <w:tcMar>
              <w:left w:w="0" w:type="dxa"/>
            </w:tcMar>
          </w:tcPr>
          <w:p w14:paraId="68207EE9" w14:textId="77777777" w:rsidR="00A30EA4" w:rsidRDefault="00A30EA4" w:rsidP="00275E43">
            <w:pPr>
              <w:pStyle w:val="Textpoznpodarou"/>
              <w:jc w:val="both"/>
              <w:rPr>
                <w:spacing w:val="-4"/>
              </w:rPr>
            </w:pPr>
          </w:p>
        </w:tc>
        <w:tc>
          <w:tcPr>
            <w:tcW w:w="7670" w:type="dxa"/>
            <w:shd w:val="clear" w:color="auto" w:fill="auto"/>
            <w:tcMar>
              <w:left w:w="0" w:type="dxa"/>
            </w:tcMar>
          </w:tcPr>
          <w:p w14:paraId="41B190DA" w14:textId="77777777" w:rsidR="00A30EA4" w:rsidRPr="0058030F" w:rsidRDefault="00A30EA4" w:rsidP="00275E43">
            <w:pPr>
              <w:spacing w:after="220"/>
              <w:rPr>
                <w:color w:val="0D0D0D" w:themeColor="text1" w:themeTint="F2"/>
                <w:spacing w:val="-4"/>
              </w:rPr>
            </w:pPr>
            <w:proofErr w:type="spellStart"/>
            <w:r w:rsidRPr="0058030F">
              <w:rPr>
                <w:color w:val="0D0D0D" w:themeColor="text1" w:themeTint="F2"/>
                <w:spacing w:val="-4"/>
              </w:rPr>
              <w:t>Pokrizové</w:t>
            </w:r>
            <w:proofErr w:type="spellEnd"/>
            <w:r w:rsidRPr="0058030F">
              <w:rPr>
                <w:color w:val="0D0D0D" w:themeColor="text1" w:themeTint="F2"/>
                <w:spacing w:val="-4"/>
              </w:rPr>
              <w:t xml:space="preserve"> oživení ekonomiky spolu s výrazným útlumem mimořádných veřejných výdajů spojených s pandemií se postupně odrážejí ve zlepšeném hospodaření sektoru vládních institucí v zemích EU</w:t>
            </w:r>
            <w:r>
              <w:rPr>
                <w:color w:val="0D0D0D" w:themeColor="text1" w:themeTint="F2"/>
                <w:spacing w:val="-4"/>
              </w:rPr>
              <w:t xml:space="preserve"> i eurozóny</w:t>
            </w:r>
            <w:r w:rsidRPr="0058030F">
              <w:rPr>
                <w:color w:val="0D0D0D" w:themeColor="text1" w:themeTint="F2"/>
                <w:spacing w:val="-4"/>
              </w:rPr>
              <w:t>. Deficit hospodaření sektoru VI v Un</w:t>
            </w:r>
            <w:r>
              <w:rPr>
                <w:color w:val="0D0D0D" w:themeColor="text1" w:themeTint="F2"/>
                <w:spacing w:val="-4"/>
              </w:rPr>
              <w:t>ii se mezikvartálně snížil pošesté</w:t>
            </w:r>
            <w:r w:rsidRPr="0058030F">
              <w:rPr>
                <w:color w:val="0D0D0D" w:themeColor="text1" w:themeTint="F2"/>
                <w:spacing w:val="-4"/>
              </w:rPr>
              <w:t xml:space="preserve"> v řadě</w:t>
            </w:r>
            <w:r>
              <w:rPr>
                <w:color w:val="0D0D0D" w:themeColor="text1" w:themeTint="F2"/>
                <w:spacing w:val="-4"/>
              </w:rPr>
              <w:t xml:space="preserve"> a v letošním 2. čtvrtletí činil 1,8</w:t>
            </w:r>
            <w:r w:rsidRPr="0058030F">
              <w:rPr>
                <w:color w:val="0D0D0D" w:themeColor="text1" w:themeTint="F2"/>
                <w:spacing w:val="-4"/>
              </w:rPr>
              <w:t xml:space="preserve"> % HDP (nejméně od konce roku 2019)</w:t>
            </w:r>
            <w:r w:rsidRPr="00006754">
              <w:rPr>
                <w:rStyle w:val="Znakapoznpodarou"/>
                <w:color w:val="0D0D0D" w:themeColor="text1" w:themeTint="F2"/>
                <w:spacing w:val="-4"/>
              </w:rPr>
              <w:footnoteReference w:id="107"/>
            </w:r>
            <w:r w:rsidRPr="0058030F">
              <w:rPr>
                <w:color w:val="0D0D0D" w:themeColor="text1" w:themeTint="F2"/>
                <w:spacing w:val="-4"/>
              </w:rPr>
              <w:t xml:space="preserve">. Relativní schodek byl tak </w:t>
            </w:r>
            <w:r>
              <w:rPr>
                <w:color w:val="0D0D0D" w:themeColor="text1" w:themeTint="F2"/>
                <w:spacing w:val="-4"/>
              </w:rPr>
              <w:t xml:space="preserve">mírně nižší než v Česku (−2,3 % HDP), kde byl trend snižování schodků ve 2. polovině loňského roku dočasně zastaven. Přebytek hospodaření </w:t>
            </w:r>
            <w:r>
              <w:rPr>
                <w:color w:val="0D0D0D" w:themeColor="text1" w:themeTint="F2"/>
                <w:spacing w:val="-4"/>
              </w:rPr>
              <w:lastRenderedPageBreak/>
              <w:t>ve 2. čtvrtletí 2022 hlásila třetina států EU – zejména Portugalsko (3,0 % HDP), Nizozemsko a Švédsko (shodně 2,4 %). Na druhou stranu třetinu zemí stále sužoval deficit hlubší než 3</w:t>
            </w:r>
            <w:r w:rsidRPr="0058030F">
              <w:rPr>
                <w:color w:val="0D0D0D" w:themeColor="text1" w:themeTint="F2"/>
                <w:spacing w:val="-4"/>
              </w:rPr>
              <w:t> </w:t>
            </w:r>
            <w:r>
              <w:rPr>
                <w:color w:val="0D0D0D" w:themeColor="text1" w:themeTint="F2"/>
                <w:spacing w:val="-4"/>
              </w:rPr>
              <w:t xml:space="preserve">% HDP – ve Španělsku, Francii a Belgii dosahoval okolo 4 % HDP, o moc lépe na tom nebyly ani Maďarsko a Slovensko. </w:t>
            </w:r>
          </w:p>
        </w:tc>
      </w:tr>
      <w:tr w:rsidR="00A30EA4" w:rsidRPr="00D52ED2" w14:paraId="23677736" w14:textId="77777777" w:rsidTr="00275E43">
        <w:trPr>
          <w:trHeight w:val="145"/>
        </w:trPr>
        <w:tc>
          <w:tcPr>
            <w:tcW w:w="1780" w:type="dxa"/>
            <w:shd w:val="clear" w:color="auto" w:fill="auto"/>
            <w:tcMar>
              <w:left w:w="0" w:type="dxa"/>
            </w:tcMar>
          </w:tcPr>
          <w:p w14:paraId="595CFCF0" w14:textId="77777777" w:rsidR="00A30EA4" w:rsidRDefault="00A30EA4" w:rsidP="00275E43">
            <w:pPr>
              <w:pStyle w:val="Marginlie"/>
              <w:rPr>
                <w:spacing w:val="-4"/>
              </w:rPr>
            </w:pPr>
            <w:r w:rsidRPr="0058030F">
              <w:rPr>
                <w:spacing w:val="-4"/>
              </w:rPr>
              <w:lastRenderedPageBreak/>
              <w:t>Míra zadlužení v EU se po loňském absolutním vrcholu začala mírně snižovat. Pozitivní posun zaznamenaly téměř všechny členské státy.</w:t>
            </w:r>
          </w:p>
          <w:p w14:paraId="5F607141" w14:textId="77777777" w:rsidR="00A30EA4" w:rsidRDefault="00A30EA4" w:rsidP="00275E43">
            <w:pPr>
              <w:pStyle w:val="Marginlie"/>
              <w:rPr>
                <w:spacing w:val="-4"/>
              </w:rPr>
            </w:pPr>
            <w:r>
              <w:rPr>
                <w:spacing w:val="-4"/>
              </w:rPr>
              <w:t>V Česku ale zadluženost meziročně mírně vzrostla.</w:t>
            </w:r>
          </w:p>
          <w:p w14:paraId="11E5C44D" w14:textId="77777777" w:rsidR="00A30EA4" w:rsidRDefault="00A30EA4" w:rsidP="00275E43">
            <w:pPr>
              <w:pStyle w:val="Marginlie"/>
              <w:rPr>
                <w:spacing w:val="-4"/>
              </w:rPr>
            </w:pPr>
          </w:p>
          <w:p w14:paraId="36A870DA" w14:textId="77777777" w:rsidR="00A30EA4" w:rsidRDefault="00A30EA4" w:rsidP="00275E43">
            <w:pPr>
              <w:pStyle w:val="Marginlie"/>
              <w:rPr>
                <w:spacing w:val="-4"/>
              </w:rPr>
            </w:pPr>
          </w:p>
          <w:p w14:paraId="76FE1B7B" w14:textId="77777777" w:rsidR="00A30EA4" w:rsidRDefault="00A30EA4" w:rsidP="00275E43">
            <w:pPr>
              <w:pStyle w:val="Marginlie"/>
              <w:rPr>
                <w:spacing w:val="-4"/>
              </w:rPr>
            </w:pPr>
          </w:p>
          <w:p w14:paraId="0D71380B" w14:textId="77777777" w:rsidR="00A30EA4" w:rsidRDefault="00A30EA4" w:rsidP="00275E43">
            <w:pPr>
              <w:pStyle w:val="Marginlie"/>
              <w:rPr>
                <w:spacing w:val="-4"/>
              </w:rPr>
            </w:pPr>
          </w:p>
          <w:p w14:paraId="4B7FC94C" w14:textId="77777777" w:rsidR="00A30EA4" w:rsidRPr="0058030F" w:rsidRDefault="00A30EA4" w:rsidP="00275E43">
            <w:pPr>
              <w:pStyle w:val="Marginlie"/>
              <w:rPr>
                <w:spacing w:val="-4"/>
              </w:rPr>
            </w:pPr>
            <w:r>
              <w:rPr>
                <w:spacing w:val="-4"/>
              </w:rPr>
              <w:t>Snížit zadluženost pod úroveň minima z poslední konjunktury zatím zvládly jen Irsko, Švédsko a Dánsko.</w:t>
            </w:r>
          </w:p>
          <w:p w14:paraId="005A5782" w14:textId="77777777" w:rsidR="00A30EA4" w:rsidRPr="0058030F" w:rsidRDefault="00A30EA4" w:rsidP="00275E43">
            <w:pPr>
              <w:pStyle w:val="Marginlie"/>
              <w:rPr>
                <w:spacing w:val="-4"/>
              </w:rPr>
            </w:pPr>
          </w:p>
        </w:tc>
        <w:tc>
          <w:tcPr>
            <w:tcW w:w="219" w:type="dxa"/>
            <w:shd w:val="clear" w:color="auto" w:fill="auto"/>
            <w:tcMar>
              <w:left w:w="0" w:type="dxa"/>
            </w:tcMar>
          </w:tcPr>
          <w:p w14:paraId="24DBC31C" w14:textId="77777777" w:rsidR="00A30EA4" w:rsidRDefault="00A30EA4" w:rsidP="00275E43">
            <w:pPr>
              <w:pStyle w:val="Textpoznpodarou"/>
              <w:jc w:val="both"/>
              <w:rPr>
                <w:spacing w:val="-4"/>
              </w:rPr>
            </w:pPr>
          </w:p>
        </w:tc>
        <w:tc>
          <w:tcPr>
            <w:tcW w:w="7670" w:type="dxa"/>
            <w:shd w:val="clear" w:color="auto" w:fill="auto"/>
            <w:tcMar>
              <w:left w:w="0" w:type="dxa"/>
            </w:tcMar>
          </w:tcPr>
          <w:p w14:paraId="1DD8DB72" w14:textId="77777777" w:rsidR="00A30EA4" w:rsidRPr="0058030F" w:rsidRDefault="00A30EA4" w:rsidP="00275E43">
            <w:pPr>
              <w:spacing w:after="0"/>
              <w:rPr>
                <w:color w:val="0D0D0D" w:themeColor="text1" w:themeTint="F2"/>
                <w:spacing w:val="-4"/>
              </w:rPr>
            </w:pPr>
            <w:r>
              <w:rPr>
                <w:color w:val="0D0D0D" w:themeColor="text1" w:themeTint="F2"/>
                <w:spacing w:val="-4"/>
              </w:rPr>
              <w:t>Míra zadlužení sektoru VI v EU</w:t>
            </w:r>
            <w:r w:rsidRPr="0058030F">
              <w:rPr>
                <w:color w:val="0D0D0D" w:themeColor="text1" w:themeTint="F2"/>
                <w:spacing w:val="-4"/>
              </w:rPr>
              <w:t>, která na počátku loňského roku vystoupala na historicky nejvyšší úroveň</w:t>
            </w:r>
            <w:r>
              <w:rPr>
                <w:color w:val="0D0D0D" w:themeColor="text1" w:themeTint="F2"/>
                <w:spacing w:val="-4"/>
              </w:rPr>
              <w:t>, činila letos na konci 2</w:t>
            </w:r>
            <w:r w:rsidRPr="0058030F">
              <w:rPr>
                <w:color w:val="0D0D0D" w:themeColor="text1" w:themeTint="F2"/>
                <w:spacing w:val="-4"/>
              </w:rPr>
              <w:t xml:space="preserve">. čtvrtletí </w:t>
            </w:r>
            <w:r>
              <w:rPr>
                <w:color w:val="0D0D0D" w:themeColor="text1" w:themeTint="F2"/>
                <w:spacing w:val="-4"/>
              </w:rPr>
              <w:t>86,4 % HDP a meziročně se snížila o</w:t>
            </w:r>
            <w:r w:rsidRPr="0058030F">
              <w:rPr>
                <w:color w:val="0D0D0D" w:themeColor="text1" w:themeTint="F2"/>
                <w:spacing w:val="-4"/>
              </w:rPr>
              <w:t> </w:t>
            </w:r>
            <w:r>
              <w:rPr>
                <w:color w:val="0D0D0D" w:themeColor="text1" w:themeTint="F2"/>
                <w:spacing w:val="-4"/>
              </w:rPr>
              <w:t>4,</w:t>
            </w:r>
            <w:proofErr w:type="gramStart"/>
            <w:r>
              <w:rPr>
                <w:color w:val="0D0D0D" w:themeColor="text1" w:themeTint="F2"/>
                <w:spacing w:val="-4"/>
              </w:rPr>
              <w:t>1  p.</w:t>
            </w:r>
            <w:proofErr w:type="gramEnd"/>
            <w:r>
              <w:rPr>
                <w:color w:val="0D0D0D" w:themeColor="text1" w:themeTint="F2"/>
                <w:spacing w:val="-4"/>
              </w:rPr>
              <w:t xml:space="preserve">  b. (když klesala třetí kvartál v řadě). Největší redukci zaznamenaly některé dlouhodobě vysoce zadlužené státy – Řecko (25 p. b.) a Kypr (14 p. b.), ale také část tradičně fiskálně stabilizovaných zemí (Irsko, Dánsko). Zadluženost se zvýšila pouze ve čtyřech členských státech – v Česku, na Slovensku, v Maďarsku a v Rumunsku (vždy ale</w:t>
            </w:r>
            <w:r w:rsidRPr="0058030F">
              <w:rPr>
                <w:color w:val="0D0D0D" w:themeColor="text1" w:themeTint="F2"/>
                <w:spacing w:val="-4"/>
              </w:rPr>
              <w:t xml:space="preserve"> došlo jen k mírnému navýšení</w:t>
            </w:r>
            <w:r>
              <w:rPr>
                <w:color w:val="0D0D0D" w:themeColor="text1" w:themeTint="F2"/>
                <w:spacing w:val="-4"/>
              </w:rPr>
              <w:t>, maximálně do 1,5 p. b.</w:t>
            </w:r>
            <w:r w:rsidRPr="0058030F">
              <w:rPr>
                <w:color w:val="0D0D0D" w:themeColor="text1" w:themeTint="F2"/>
                <w:spacing w:val="-4"/>
              </w:rPr>
              <w:t>). Oproti nejnižší úrovni zadlužení z éry předpan</w:t>
            </w:r>
            <w:r>
              <w:rPr>
                <w:color w:val="0D0D0D" w:themeColor="text1" w:themeTint="F2"/>
                <w:spacing w:val="-4"/>
              </w:rPr>
              <w:t>demické konjunktury (období 2015</w:t>
            </w:r>
            <w:r w:rsidRPr="0058030F">
              <w:rPr>
                <w:color w:val="0D0D0D" w:themeColor="text1" w:themeTint="F2"/>
                <w:spacing w:val="-4"/>
              </w:rPr>
              <w:t xml:space="preserve"> až 2019</w:t>
            </w:r>
            <w:r>
              <w:rPr>
                <w:color w:val="0D0D0D" w:themeColor="text1" w:themeTint="F2"/>
                <w:spacing w:val="-4"/>
              </w:rPr>
              <w:t>) byl letos dluh v Unii vyšší o 8,</w:t>
            </w:r>
            <w:proofErr w:type="gramStart"/>
            <w:r>
              <w:rPr>
                <w:color w:val="0D0D0D" w:themeColor="text1" w:themeTint="F2"/>
                <w:spacing w:val="-4"/>
              </w:rPr>
              <w:t>9</w:t>
            </w:r>
            <w:r w:rsidRPr="0058030F">
              <w:rPr>
                <w:color w:val="0D0D0D" w:themeColor="text1" w:themeTint="F2"/>
                <w:spacing w:val="-4"/>
              </w:rPr>
              <w:t xml:space="preserve">  p.</w:t>
            </w:r>
            <w:proofErr w:type="gramEnd"/>
            <w:r>
              <w:rPr>
                <w:color w:val="0D0D0D" w:themeColor="text1" w:themeTint="F2"/>
                <w:spacing w:val="-4"/>
              </w:rPr>
              <w:t> </w:t>
            </w:r>
            <w:r w:rsidRPr="0058030F">
              <w:rPr>
                <w:color w:val="0D0D0D" w:themeColor="text1" w:themeTint="F2"/>
                <w:spacing w:val="-4"/>
              </w:rPr>
              <w:t>b., v </w:t>
            </w:r>
            <w:r>
              <w:rPr>
                <w:color w:val="0D0D0D" w:themeColor="text1" w:themeTint="F2"/>
                <w:spacing w:val="-4"/>
              </w:rPr>
              <w:t>nejpostiženějších státech (</w:t>
            </w:r>
            <w:r w:rsidRPr="0058030F">
              <w:rPr>
                <w:color w:val="0D0D0D" w:themeColor="text1" w:themeTint="F2"/>
                <w:spacing w:val="-4"/>
              </w:rPr>
              <w:t>Itálie</w:t>
            </w:r>
            <w:r>
              <w:rPr>
                <w:color w:val="0D0D0D" w:themeColor="text1" w:themeTint="F2"/>
                <w:spacing w:val="-4"/>
              </w:rPr>
              <w:t>, Španělsko, Francie) až v rozmezí 16 až 18 p. b. Nadprůměrný nárůst zasáhl i Česko (</w:t>
            </w:r>
            <w:r w:rsidRPr="0058030F">
              <w:rPr>
                <w:color w:val="0D0D0D" w:themeColor="text1" w:themeTint="F2"/>
                <w:spacing w:val="-4"/>
              </w:rPr>
              <w:t>13</w:t>
            </w:r>
            <w:r>
              <w:rPr>
                <w:color w:val="0D0D0D" w:themeColor="text1" w:themeTint="F2"/>
                <w:spacing w:val="-4"/>
              </w:rPr>
              <w:t>,5 p. b.) a dále Slovensko, Maďarsko i Rakousko (shodně okolo 12 p. b.).</w:t>
            </w:r>
            <w:r w:rsidRPr="0058030F">
              <w:rPr>
                <w:color w:val="0D0D0D" w:themeColor="text1" w:themeTint="F2"/>
                <w:spacing w:val="-4"/>
              </w:rPr>
              <w:t xml:space="preserve"> </w:t>
            </w:r>
            <w:r>
              <w:rPr>
                <w:color w:val="0D0D0D" w:themeColor="text1" w:themeTint="F2"/>
                <w:spacing w:val="-4"/>
              </w:rPr>
              <w:t xml:space="preserve">Naopak </w:t>
            </w:r>
            <w:proofErr w:type="gramStart"/>
            <w:r w:rsidRPr="0058030F">
              <w:rPr>
                <w:color w:val="0D0D0D" w:themeColor="text1" w:themeTint="F2"/>
                <w:spacing w:val="-4"/>
              </w:rPr>
              <w:t>lé</w:t>
            </w:r>
            <w:r>
              <w:rPr>
                <w:color w:val="0D0D0D" w:themeColor="text1" w:themeTint="F2"/>
                <w:spacing w:val="-4"/>
              </w:rPr>
              <w:t>pe</w:t>
            </w:r>
            <w:proofErr w:type="gramEnd"/>
            <w:r>
              <w:rPr>
                <w:color w:val="0D0D0D" w:themeColor="text1" w:themeTint="F2"/>
                <w:spacing w:val="-4"/>
              </w:rPr>
              <w:t xml:space="preserve"> než před pandemií na tom byly jen Irsko (o 5,6 p. b.) a též Dánsko se Švédskem (shodně 1,8 p. b) –</w:t>
            </w:r>
            <w:r w:rsidRPr="0058030F">
              <w:rPr>
                <w:color w:val="0D0D0D" w:themeColor="text1" w:themeTint="F2"/>
                <w:spacing w:val="-4"/>
              </w:rPr>
              <w:t xml:space="preserve"> obě země si tak upevnily svou pozici mezi nejméně zadluženými ekonomikami</w:t>
            </w:r>
            <w:r>
              <w:rPr>
                <w:color w:val="0D0D0D" w:themeColor="text1" w:themeTint="F2"/>
                <w:spacing w:val="-4"/>
              </w:rPr>
              <w:t xml:space="preserve"> Unie</w:t>
            </w:r>
            <w:r w:rsidRPr="0058030F">
              <w:rPr>
                <w:color w:val="0D0D0D" w:themeColor="text1" w:themeTint="F2"/>
                <w:spacing w:val="-4"/>
              </w:rPr>
              <w:t xml:space="preserve">. </w:t>
            </w:r>
            <w:r>
              <w:rPr>
                <w:color w:val="0D0D0D" w:themeColor="text1" w:themeTint="F2"/>
                <w:spacing w:val="-4"/>
              </w:rPr>
              <w:t>Dosažená míra zadlužení řadila Česko ve 2. čtvrtletí 2022 na osmou nejlepší pozici v EU a v rámci středoevropského regionu byla stále zřetelně nejnižší.</w:t>
            </w:r>
          </w:p>
        </w:tc>
      </w:tr>
    </w:tbl>
    <w:p w14:paraId="53552171" w14:textId="77777777" w:rsidR="00A30EA4" w:rsidRPr="00E42054" w:rsidRDefault="00A30EA4" w:rsidP="00A30EA4">
      <w:pPr>
        <w:pStyle w:val="Nadpis11"/>
        <w:rPr>
          <w:b w:val="0"/>
          <w:sz w:val="2"/>
          <w:szCs w:val="2"/>
        </w:rPr>
      </w:pPr>
    </w:p>
    <w:p w14:paraId="5BAB8EA3" w14:textId="6926CA10" w:rsidR="000663F0" w:rsidRPr="00E42054" w:rsidRDefault="000663F0" w:rsidP="00A30EA4">
      <w:pPr>
        <w:pStyle w:val="Nadpis11"/>
        <w:rPr>
          <w:b w:val="0"/>
          <w:sz w:val="2"/>
          <w:szCs w:val="2"/>
        </w:rPr>
      </w:pPr>
    </w:p>
    <w:sectPr w:rsidR="000663F0" w:rsidRPr="00E42054" w:rsidSect="00A03B10">
      <w:headerReference w:type="even" r:id="rId28"/>
      <w:headerReference w:type="default" r:id="rId29"/>
      <w:footerReference w:type="even" r:id="rId30"/>
      <w:footerReference w:type="default" r:id="rId31"/>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9558" w14:textId="77777777" w:rsidR="00665501" w:rsidRDefault="00665501" w:rsidP="00E71A58">
      <w:r>
        <w:separator/>
      </w:r>
    </w:p>
  </w:endnote>
  <w:endnote w:type="continuationSeparator" w:id="0">
    <w:p w14:paraId="1D4B7205" w14:textId="77777777" w:rsidR="00665501" w:rsidRDefault="00665501"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1E100CD2" w:rsidR="00275E43" w:rsidRPr="00932443" w:rsidRDefault="00275E43"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42902">
      <w:rPr>
        <w:szCs w:val="16"/>
      </w:rPr>
      <w:t>20</w:t>
    </w:r>
    <w:r w:rsidRPr="00932443">
      <w:rPr>
        <w:szCs w:val="16"/>
      </w:rPr>
      <w:fldChar w:fldCharType="end"/>
    </w:r>
    <w:r w:rsidRPr="00932443">
      <w:rPr>
        <w:szCs w:val="16"/>
      </w:rPr>
      <w:tab/>
    </w:r>
    <w:r>
      <w:rPr>
        <w:szCs w:val="16"/>
      </w:rPr>
      <w:t>1. až 3. čtvrtletí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720FC4B9" w:rsidR="00275E43" w:rsidRPr="00932443" w:rsidRDefault="00275E43" w:rsidP="00FA6CB6">
    <w:pPr>
      <w:pStyle w:val="Zpat"/>
      <w:rPr>
        <w:szCs w:val="16"/>
      </w:rPr>
    </w:pPr>
    <w:r w:rsidRPr="00FA6CB6">
      <w:rPr>
        <w:szCs w:val="16"/>
      </w:rPr>
      <w:tab/>
    </w:r>
    <w:r>
      <w:rPr>
        <w:szCs w:val="16"/>
      </w:rPr>
      <w:t>1. až 3. čtvrtletí 202</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42902">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C823" w14:textId="77777777" w:rsidR="00665501" w:rsidRDefault="00665501" w:rsidP="00A21B4D">
      <w:pPr>
        <w:spacing w:after="0"/>
      </w:pPr>
      <w:r>
        <w:separator/>
      </w:r>
    </w:p>
  </w:footnote>
  <w:footnote w:type="continuationSeparator" w:id="0">
    <w:p w14:paraId="01B4EBFF" w14:textId="77777777" w:rsidR="00665501" w:rsidRDefault="00665501" w:rsidP="00E71A58">
      <w:r>
        <w:continuationSeparator/>
      </w:r>
    </w:p>
  </w:footnote>
  <w:footnote w:id="1">
    <w:p w14:paraId="67B01825" w14:textId="77777777" w:rsidR="00323A8E" w:rsidRDefault="00323A8E" w:rsidP="00323A8E">
      <w:pPr>
        <w:pStyle w:val="Textpoznpodarou"/>
        <w:rPr>
          <w:spacing w:val="-2"/>
          <w:sz w:val="16"/>
          <w:szCs w:val="16"/>
        </w:rPr>
      </w:pPr>
      <w:r>
        <w:rPr>
          <w:rStyle w:val="Znakapoznpodarou"/>
          <w:spacing w:val="-2"/>
          <w:sz w:val="16"/>
          <w:szCs w:val="16"/>
        </w:rPr>
        <w:footnoteRef/>
      </w:r>
      <w:r>
        <w:rPr>
          <w:spacing w:val="-2"/>
          <w:sz w:val="16"/>
          <w:szCs w:val="16"/>
        </w:rPr>
        <w:t xml:space="preserve"> Data o HDP, hrubé přidané hodnotě a jejich složkách jsou vyjádřena ve stálých cenách a v očištění o sezónní a kalendářní vlivy.</w:t>
      </w:r>
    </w:p>
  </w:footnote>
  <w:footnote w:id="2">
    <w:p w14:paraId="699B3FD2" w14:textId="77777777" w:rsidR="00323A8E" w:rsidRDefault="00323A8E" w:rsidP="00323A8E">
      <w:pPr>
        <w:pStyle w:val="Textpoznpodarou"/>
        <w:rPr>
          <w:sz w:val="16"/>
          <w:szCs w:val="16"/>
        </w:rPr>
      </w:pPr>
      <w:r>
        <w:rPr>
          <w:rStyle w:val="Znakapoznpodarou"/>
          <w:sz w:val="16"/>
          <w:szCs w:val="16"/>
        </w:rPr>
        <w:footnoteRef/>
      </w:r>
      <w:r>
        <w:rPr>
          <w:sz w:val="16"/>
          <w:szCs w:val="16"/>
        </w:rPr>
        <w:t xml:space="preserve"> Podle metodiky čtvrtletních národních účtů (vývoz a dovoz v ocenění FOB/FOB).</w:t>
      </w:r>
    </w:p>
  </w:footnote>
  <w:footnote w:id="3">
    <w:p w14:paraId="03EC4936" w14:textId="77777777" w:rsidR="00323A8E" w:rsidRDefault="00323A8E" w:rsidP="00323A8E">
      <w:pPr>
        <w:pStyle w:val="Textpoznpodarou"/>
        <w:jc w:val="both"/>
        <w:rPr>
          <w:sz w:val="16"/>
          <w:szCs w:val="16"/>
        </w:rPr>
      </w:pPr>
      <w:r>
        <w:rPr>
          <w:rStyle w:val="Znakapoznpodarou"/>
          <w:spacing w:val="-2"/>
          <w:sz w:val="16"/>
          <w:szCs w:val="16"/>
        </w:rPr>
        <w:footnoteRef/>
      </w:r>
      <w:r>
        <w:rPr>
          <w:spacing w:val="-2"/>
          <w:sz w:val="16"/>
          <w:szCs w:val="16"/>
        </w:rPr>
        <w:t xml:space="preserve"> Údaje o zaměstnanosti jsou uvedeny v pojetí národních účtů a očištěny o sezónní vlivy.</w:t>
      </w:r>
    </w:p>
  </w:footnote>
  <w:footnote w:id="4">
    <w:p w14:paraId="603C66DF" w14:textId="77777777" w:rsidR="00275E43" w:rsidRPr="000348AF" w:rsidRDefault="00275E43" w:rsidP="00E41131">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ke 2. 12. 202</w:t>
      </w:r>
      <w:r>
        <w:rPr>
          <w:sz w:val="16"/>
          <w:szCs w:val="16"/>
        </w:rPr>
        <w:t>2</w:t>
      </w:r>
      <w:r w:rsidRPr="000348AF">
        <w:rPr>
          <w:sz w:val="16"/>
          <w:szCs w:val="16"/>
        </w:rPr>
        <w:t>.</w:t>
      </w:r>
    </w:p>
  </w:footnote>
  <w:footnote w:id="5">
    <w:p w14:paraId="08435F11" w14:textId="72A36F05" w:rsidR="00275E43" w:rsidRPr="001E74E3" w:rsidRDefault="00275E43" w:rsidP="00E41131">
      <w:pPr>
        <w:pStyle w:val="Textpoznpodarou"/>
        <w:rPr>
          <w:sz w:val="16"/>
          <w:szCs w:val="16"/>
        </w:rPr>
      </w:pPr>
      <w:r w:rsidRPr="001E74E3">
        <w:rPr>
          <w:rStyle w:val="Znakapoznpodarou"/>
          <w:sz w:val="16"/>
          <w:szCs w:val="16"/>
        </w:rPr>
        <w:footnoteRef/>
      </w:r>
      <w:r w:rsidRPr="001E74E3">
        <w:rPr>
          <w:sz w:val="16"/>
          <w:szCs w:val="16"/>
        </w:rPr>
        <w:t xml:space="preserve"> Data za </w:t>
      </w:r>
      <w:r>
        <w:rPr>
          <w:sz w:val="16"/>
          <w:szCs w:val="16"/>
        </w:rPr>
        <w:t xml:space="preserve">Bulharsko a Řecko </w:t>
      </w:r>
      <w:r w:rsidRPr="001E74E3">
        <w:rPr>
          <w:sz w:val="16"/>
          <w:szCs w:val="16"/>
        </w:rPr>
        <w:t>nebyla dostupná.</w:t>
      </w:r>
    </w:p>
  </w:footnote>
  <w:footnote w:id="6">
    <w:p w14:paraId="1BA2D1CA" w14:textId="77777777" w:rsidR="00275E43" w:rsidRPr="005F75B1" w:rsidRDefault="00275E43" w:rsidP="00E41131">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7">
    <w:p w14:paraId="5056F837" w14:textId="77777777" w:rsidR="00275E43" w:rsidRDefault="00275E43" w:rsidP="00E41131">
      <w:pPr>
        <w:pStyle w:val="Textpoznpodarou"/>
      </w:pPr>
      <w:r w:rsidRPr="009C6EA8">
        <w:rPr>
          <w:rStyle w:val="Znakapoznpodarou"/>
          <w:sz w:val="16"/>
          <w:szCs w:val="16"/>
        </w:rPr>
        <w:footnoteRef/>
      </w:r>
      <w:r w:rsidRPr="009C6EA8">
        <w:rPr>
          <w:sz w:val="16"/>
          <w:szCs w:val="16"/>
        </w:rPr>
        <w:t xml:space="preserve"> </w:t>
      </w:r>
      <w:r>
        <w:rPr>
          <w:sz w:val="16"/>
          <w:szCs w:val="16"/>
        </w:rPr>
        <w:t>Zaměstnanost v</w:t>
      </w:r>
      <w:r w:rsidRPr="009C6EA8">
        <w:rPr>
          <w:sz w:val="16"/>
          <w:szCs w:val="16"/>
        </w:rPr>
        <w:t> pojetí národních účtů</w:t>
      </w:r>
      <w:r>
        <w:rPr>
          <w:sz w:val="16"/>
          <w:szCs w:val="16"/>
        </w:rPr>
        <w:t xml:space="preserve"> (osoby)</w:t>
      </w:r>
      <w:r w:rsidRPr="009C6EA8">
        <w:rPr>
          <w:sz w:val="16"/>
          <w:szCs w:val="16"/>
        </w:rPr>
        <w:t xml:space="preserve">, </w:t>
      </w:r>
      <w:r>
        <w:rPr>
          <w:sz w:val="16"/>
          <w:szCs w:val="16"/>
        </w:rPr>
        <w:t xml:space="preserve">údaj je </w:t>
      </w:r>
      <w:r w:rsidRPr="009C6EA8">
        <w:rPr>
          <w:sz w:val="16"/>
          <w:szCs w:val="16"/>
        </w:rPr>
        <w:t>sezónně očištěn</w:t>
      </w:r>
      <w:r w:rsidRPr="00004BA8">
        <w:rPr>
          <w:sz w:val="16"/>
        </w:rPr>
        <w:t>.</w:t>
      </w:r>
    </w:p>
  </w:footnote>
  <w:footnote w:id="8">
    <w:p w14:paraId="337D3AE9" w14:textId="77777777" w:rsidR="00275E43" w:rsidRPr="00771972" w:rsidRDefault="00275E43" w:rsidP="00E41131">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6649C9D2" w14:textId="77777777" w:rsidR="00275E43" w:rsidRPr="0053191D" w:rsidRDefault="00275E43" w:rsidP="00E41131">
      <w:pPr>
        <w:pStyle w:val="Textpoznpodarou"/>
        <w:rPr>
          <w:sz w:val="16"/>
          <w:szCs w:val="16"/>
        </w:rPr>
      </w:pPr>
      <w:r w:rsidRPr="0053191D">
        <w:rPr>
          <w:rStyle w:val="Znakapoznpodarou"/>
          <w:sz w:val="16"/>
          <w:szCs w:val="16"/>
        </w:rPr>
        <w:footnoteRef/>
      </w:r>
      <w:r w:rsidRPr="0053191D">
        <w:rPr>
          <w:sz w:val="16"/>
          <w:szCs w:val="16"/>
        </w:rPr>
        <w:t xml:space="preserve"> Tato sekce zahrnuje činnosti organizací sdružujících osoby za účelem prosazování společných zájmů, opravy počítačů a výrobků pro osobní potřebu a převážně pro domácnost a řadu jiných osobních služeb</w:t>
      </w:r>
      <w:r>
        <w:rPr>
          <w:sz w:val="16"/>
          <w:szCs w:val="16"/>
        </w:rPr>
        <w:t xml:space="preserve"> (kosmetické, </w:t>
      </w:r>
      <w:proofErr w:type="gramStart"/>
      <w:r>
        <w:rPr>
          <w:sz w:val="16"/>
          <w:szCs w:val="16"/>
        </w:rPr>
        <w:t>kadeřnické,</w:t>
      </w:r>
      <w:proofErr w:type="gramEnd"/>
      <w:r>
        <w:rPr>
          <w:sz w:val="16"/>
          <w:szCs w:val="16"/>
        </w:rPr>
        <w:t xml:space="preserve"> apod.).</w:t>
      </w:r>
    </w:p>
  </w:footnote>
  <w:footnote w:id="10">
    <w:p w14:paraId="37D05A93" w14:textId="77777777" w:rsidR="00275E43" w:rsidRPr="009C6EA8" w:rsidRDefault="00275E43" w:rsidP="00E41131">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1">
    <w:p w14:paraId="4F2F98B6" w14:textId="77777777" w:rsidR="00275E43" w:rsidRPr="00954992" w:rsidRDefault="00275E43" w:rsidP="00E41131">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2">
    <w:p w14:paraId="700259C0" w14:textId="77777777" w:rsidR="00275E43" w:rsidRPr="004831F6" w:rsidRDefault="00275E43" w:rsidP="00E41131">
      <w:pPr>
        <w:pStyle w:val="Textpoznpodarou"/>
        <w:rPr>
          <w:sz w:val="16"/>
          <w:szCs w:val="16"/>
        </w:rPr>
      </w:pPr>
      <w:r w:rsidRPr="004831F6">
        <w:rPr>
          <w:rStyle w:val="Znakapoznpodarou"/>
          <w:sz w:val="16"/>
          <w:szCs w:val="16"/>
        </w:rPr>
        <w:footnoteRef/>
      </w:r>
      <w:r w:rsidRPr="004831F6">
        <w:rPr>
          <w:sz w:val="16"/>
          <w:szCs w:val="16"/>
        </w:rPr>
        <w:t xml:space="preserve"> Změna zásob</w:t>
      </w:r>
      <w:r>
        <w:rPr>
          <w:sz w:val="16"/>
          <w:szCs w:val="16"/>
        </w:rPr>
        <w:t xml:space="preserve"> (v běžných cenách a sezónně očištěná)</w:t>
      </w:r>
      <w:r w:rsidRPr="004831F6">
        <w:rPr>
          <w:sz w:val="16"/>
          <w:szCs w:val="16"/>
        </w:rPr>
        <w:t xml:space="preserve"> dosáhla</w:t>
      </w:r>
      <w:r>
        <w:rPr>
          <w:sz w:val="16"/>
          <w:szCs w:val="16"/>
        </w:rPr>
        <w:t xml:space="preserve"> ve 3. čtvrtletí 111,5 mld. korun. Ve stálých cenách ale ukazatel jen mírně překonal loňskou úroveň.</w:t>
      </w:r>
    </w:p>
  </w:footnote>
  <w:footnote w:id="13">
    <w:p w14:paraId="253A2093" w14:textId="77777777" w:rsidR="00275E43" w:rsidRPr="00167B30" w:rsidRDefault="00275E43" w:rsidP="00E41131">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 xml:space="preserve">. Bilance zahraničního obchodu v běžných cenách </w:t>
      </w:r>
      <w:r>
        <w:rPr>
          <w:sz w:val="16"/>
          <w:szCs w:val="16"/>
        </w:rPr>
        <w:br/>
        <w:t>a po sezónním očištění.</w:t>
      </w:r>
    </w:p>
  </w:footnote>
  <w:footnote w:id="14">
    <w:p w14:paraId="6BBF76A0" w14:textId="77777777" w:rsidR="00F052D2" w:rsidRPr="007163BD" w:rsidRDefault="00F052D2" w:rsidP="00F052D2">
      <w:pPr>
        <w:pStyle w:val="Textpoznpodarou"/>
        <w:jc w:val="both"/>
        <w:rPr>
          <w:rFonts w:cs="Arial"/>
          <w:color w:val="0D0D0D" w:themeColor="text1" w:themeTint="F2"/>
          <w:spacing w:val="-2"/>
          <w:sz w:val="16"/>
          <w:szCs w:val="16"/>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Údaje o HPH jsou vyjádřeny ve stálých cenách a v očištění o sezónní a kalendářní vlivy.</w:t>
      </w:r>
    </w:p>
  </w:footnote>
  <w:footnote w:id="15">
    <w:p w14:paraId="2B36CFF0" w14:textId="77777777" w:rsidR="00F052D2" w:rsidRDefault="00F052D2" w:rsidP="00F052D2">
      <w:pPr>
        <w:pStyle w:val="Textpoznpodarou"/>
      </w:pPr>
      <w:r w:rsidRPr="007163BD">
        <w:rPr>
          <w:rStyle w:val="Znakapoznpodarou"/>
          <w:sz w:val="16"/>
          <w:szCs w:val="16"/>
        </w:rPr>
        <w:footnoteRef/>
      </w:r>
      <w:r w:rsidRPr="007163BD">
        <w:rPr>
          <w:sz w:val="16"/>
          <w:szCs w:val="16"/>
        </w:rPr>
        <w:t xml:space="preserve"> Zahrnuje kulturní</w:t>
      </w:r>
      <w:r w:rsidRPr="003B5B59">
        <w:rPr>
          <w:sz w:val="16"/>
          <w:szCs w:val="16"/>
        </w:rPr>
        <w:t xml:space="preserve">, zábavní a rekreační činnosti a 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 domácnost).</w:t>
      </w:r>
    </w:p>
  </w:footnote>
  <w:footnote w:id="16">
    <w:p w14:paraId="70D3EEBF" w14:textId="77777777" w:rsidR="00F052D2" w:rsidRPr="008C6019" w:rsidRDefault="00F052D2" w:rsidP="00F052D2">
      <w:pPr>
        <w:pStyle w:val="Textpoznpodarou"/>
        <w:rPr>
          <w:sz w:val="16"/>
          <w:szCs w:val="16"/>
        </w:rPr>
      </w:pPr>
      <w:r w:rsidRPr="008C6019">
        <w:rPr>
          <w:rStyle w:val="Znakapoznpodarou"/>
          <w:sz w:val="16"/>
          <w:szCs w:val="16"/>
        </w:rPr>
        <w:footnoteRef/>
      </w:r>
      <w:r w:rsidRPr="008C6019">
        <w:rPr>
          <w:sz w:val="16"/>
          <w:szCs w:val="16"/>
        </w:rPr>
        <w:t xml:space="preserve"> Pro zjednodušení </w:t>
      </w:r>
      <w:r>
        <w:rPr>
          <w:sz w:val="16"/>
          <w:szCs w:val="16"/>
        </w:rPr>
        <w:t>jsou zde zahrnuta</w:t>
      </w:r>
      <w:r w:rsidRPr="008C6019">
        <w:rPr>
          <w:sz w:val="16"/>
          <w:szCs w:val="16"/>
        </w:rPr>
        <w:t xml:space="preserve"> odvětví veřejná správa a obrana, vzdělávání, zdravotní a sociální péče.</w:t>
      </w:r>
    </w:p>
  </w:footnote>
  <w:footnote w:id="17">
    <w:p w14:paraId="0D7AF6F2" w14:textId="77777777" w:rsidR="00F052D2" w:rsidRPr="002F02F1" w:rsidRDefault="00F052D2" w:rsidP="00F052D2">
      <w:pPr>
        <w:pStyle w:val="Textpoznpodarou"/>
        <w:rPr>
          <w:sz w:val="16"/>
          <w:szCs w:val="16"/>
        </w:rPr>
      </w:pPr>
      <w:r w:rsidRPr="002F02F1">
        <w:rPr>
          <w:rStyle w:val="Znakapoznpodarou"/>
          <w:sz w:val="16"/>
          <w:szCs w:val="16"/>
        </w:rPr>
        <w:footnoteRef/>
      </w:r>
      <w:r w:rsidRPr="002F02F1">
        <w:rPr>
          <w:sz w:val="16"/>
          <w:szCs w:val="16"/>
        </w:rPr>
        <w:t xml:space="preserve"> Podle posledního odhadu k 15. září 2022.</w:t>
      </w:r>
    </w:p>
  </w:footnote>
  <w:footnote w:id="18">
    <w:p w14:paraId="41606892" w14:textId="77777777" w:rsidR="00F052D2" w:rsidRPr="00F052D2" w:rsidRDefault="00F052D2" w:rsidP="00F052D2">
      <w:pPr>
        <w:pStyle w:val="Textpoznpodarou"/>
        <w:rPr>
          <w:spacing w:val="-5"/>
          <w:sz w:val="16"/>
          <w:szCs w:val="16"/>
        </w:rPr>
      </w:pPr>
      <w:r w:rsidRPr="00F052D2">
        <w:rPr>
          <w:rStyle w:val="Znakapoznpodarou"/>
          <w:spacing w:val="-5"/>
          <w:sz w:val="16"/>
          <w:szCs w:val="16"/>
        </w:rPr>
        <w:footnoteRef/>
      </w:r>
      <w:r w:rsidRPr="00F052D2">
        <w:rPr>
          <w:spacing w:val="-5"/>
          <w:sz w:val="16"/>
          <w:szCs w:val="16"/>
        </w:rPr>
        <w:t xml:space="preserve"> Ta v roce 2022 celkově (vč. kukuřice) dosáhla 8,17 mil. tun. Průměr sklizní z předchozích pěti let překonala o 6,4 %, desetiletý průměr o 4,8 %.</w:t>
      </w:r>
    </w:p>
  </w:footnote>
  <w:footnote w:id="19">
    <w:p w14:paraId="2A988DE5" w14:textId="77777777" w:rsidR="00F052D2" w:rsidRPr="002F02F1" w:rsidRDefault="00F052D2" w:rsidP="00F052D2">
      <w:pPr>
        <w:pStyle w:val="Textpoznpodarou"/>
        <w:rPr>
          <w:sz w:val="16"/>
          <w:szCs w:val="16"/>
        </w:rPr>
      </w:pPr>
      <w:r w:rsidRPr="002F02F1">
        <w:rPr>
          <w:rStyle w:val="Znakapoznpodarou"/>
          <w:sz w:val="16"/>
          <w:szCs w:val="16"/>
        </w:rPr>
        <w:footnoteRef/>
      </w:r>
      <w:r w:rsidRPr="002F02F1">
        <w:rPr>
          <w:sz w:val="16"/>
          <w:szCs w:val="16"/>
        </w:rPr>
        <w:t xml:space="preserve"> Jeho sklizeň </w:t>
      </w:r>
      <w:r>
        <w:rPr>
          <w:sz w:val="16"/>
          <w:szCs w:val="16"/>
        </w:rPr>
        <w:t>meziročně propadla o 48 %. Loňská úroda</w:t>
      </w:r>
      <w:r w:rsidRPr="002F02F1">
        <w:rPr>
          <w:sz w:val="16"/>
          <w:szCs w:val="16"/>
        </w:rPr>
        <w:t xml:space="preserve"> (</w:t>
      </w:r>
      <w:r>
        <w:rPr>
          <w:sz w:val="16"/>
          <w:szCs w:val="16"/>
        </w:rPr>
        <w:t>8,3 tis. tun) byla v Česku ovšem nejvyšší po roce 1996.</w:t>
      </w:r>
    </w:p>
  </w:footnote>
  <w:footnote w:id="20">
    <w:p w14:paraId="39885066" w14:textId="77777777" w:rsidR="00F052D2" w:rsidRPr="004744B4" w:rsidRDefault="00F052D2" w:rsidP="00F052D2">
      <w:pPr>
        <w:pStyle w:val="Textpoznpodarou"/>
        <w:rPr>
          <w:sz w:val="16"/>
          <w:szCs w:val="16"/>
        </w:rPr>
      </w:pPr>
      <w:r w:rsidRPr="004744B4">
        <w:rPr>
          <w:rStyle w:val="Znakapoznpodarou"/>
          <w:sz w:val="16"/>
          <w:szCs w:val="16"/>
        </w:rPr>
        <w:footnoteRef/>
      </w:r>
      <w:r>
        <w:rPr>
          <w:sz w:val="16"/>
          <w:szCs w:val="16"/>
        </w:rPr>
        <w:t xml:space="preserve"> Ten</w:t>
      </w:r>
      <w:r w:rsidRPr="004744B4">
        <w:rPr>
          <w:sz w:val="16"/>
          <w:szCs w:val="16"/>
        </w:rPr>
        <w:t xml:space="preserve"> se vlivem silného cenového růstu</w:t>
      </w:r>
      <w:r>
        <w:rPr>
          <w:sz w:val="16"/>
          <w:szCs w:val="16"/>
        </w:rPr>
        <w:t xml:space="preserve"> projevil</w:t>
      </w:r>
      <w:r w:rsidRPr="004744B4">
        <w:rPr>
          <w:sz w:val="16"/>
          <w:szCs w:val="16"/>
        </w:rPr>
        <w:t xml:space="preserve"> v zahraničním obchodu ČR až s odstupem. Hodnota vývozu produktů lesnictví a těžby dřeva ve 3. čtvrtletí 2022 meziročně propadla o 27 % a zaznamenala první pokles od konce roku 2017. </w:t>
      </w:r>
    </w:p>
  </w:footnote>
  <w:footnote w:id="21">
    <w:p w14:paraId="3D813A76" w14:textId="77777777" w:rsidR="00F052D2" w:rsidRPr="00E04667" w:rsidRDefault="00F052D2" w:rsidP="00F052D2">
      <w:pPr>
        <w:spacing w:after="0" w:line="240" w:lineRule="auto"/>
        <w:rPr>
          <w:rFonts w:cs="Arial"/>
          <w:color w:val="0D0D0D" w:themeColor="text1" w:themeTint="F2"/>
          <w:spacing w:val="-2"/>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color w:val="0D0D0D" w:themeColor="text1" w:themeTint="F2"/>
          <w:spacing w:val="-2"/>
          <w:sz w:val="16"/>
          <w:szCs w:val="16"/>
        </w:rPr>
        <w:t>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tempa pak také o vliv sezónnosti.</w:t>
      </w:r>
    </w:p>
  </w:footnote>
  <w:footnote w:id="22">
    <w:p w14:paraId="21AC9FCE" w14:textId="77777777" w:rsidR="00F052D2" w:rsidRPr="00E4073A" w:rsidRDefault="00F052D2" w:rsidP="00F052D2">
      <w:pPr>
        <w:spacing w:after="0" w:line="240" w:lineRule="auto"/>
        <w:jc w:val="left"/>
        <w:rPr>
          <w:spacing w:val="-4"/>
          <w:sz w:val="16"/>
          <w:szCs w:val="16"/>
        </w:rPr>
      </w:pPr>
      <w:r w:rsidRPr="00E4073A">
        <w:rPr>
          <w:rStyle w:val="Znakapoznpodarou"/>
          <w:spacing w:val="-4"/>
          <w:sz w:val="16"/>
          <w:szCs w:val="16"/>
        </w:rPr>
        <w:footnoteRef/>
      </w:r>
      <w:r w:rsidRPr="00E4073A">
        <w:rPr>
          <w:spacing w:val="-4"/>
          <w:sz w:val="16"/>
          <w:szCs w:val="16"/>
        </w:rPr>
        <w:t xml:space="preserve"> Ve 3. čtvrtletí 2022 se prů</w:t>
      </w:r>
      <w:r>
        <w:rPr>
          <w:spacing w:val="-4"/>
          <w:sz w:val="16"/>
          <w:szCs w:val="16"/>
        </w:rPr>
        <w:t>myslová produkce nacházela o 0,5</w:t>
      </w:r>
      <w:r w:rsidRPr="00E4073A">
        <w:rPr>
          <w:spacing w:val="-4"/>
          <w:sz w:val="16"/>
          <w:szCs w:val="16"/>
        </w:rPr>
        <w:t xml:space="preserve"> % nad úrovní dříve rekordního období z 2. čtvrtletí 2019. Za svým vrcholem z éry předpandemické konjunktury (</w:t>
      </w:r>
      <w:r>
        <w:rPr>
          <w:spacing w:val="-4"/>
          <w:sz w:val="16"/>
          <w:szCs w:val="16"/>
        </w:rPr>
        <w:t>v letech</w:t>
      </w:r>
      <w:r w:rsidRPr="00E4073A">
        <w:rPr>
          <w:spacing w:val="-4"/>
          <w:sz w:val="16"/>
          <w:szCs w:val="16"/>
        </w:rPr>
        <w:t xml:space="preserve"> 2014 až 2019) ovšem více než dvě třetiny (z téměř třiceti) hlavních průmyslových oborů zaostaly. Šlo především o těžbu a úpravu uhlí (o 33 %), kožedělný </w:t>
      </w:r>
      <w:r>
        <w:rPr>
          <w:spacing w:val="-4"/>
          <w:sz w:val="16"/>
          <w:szCs w:val="16"/>
        </w:rPr>
        <w:t>a obuvnický průmysl (31</w:t>
      </w:r>
      <w:r w:rsidRPr="00E4073A">
        <w:rPr>
          <w:spacing w:val="-4"/>
          <w:sz w:val="16"/>
          <w:szCs w:val="16"/>
        </w:rPr>
        <w:t xml:space="preserve"> %), hutnictví (18 %) dřevozpracující prům</w:t>
      </w:r>
      <w:r>
        <w:rPr>
          <w:spacing w:val="-4"/>
          <w:sz w:val="16"/>
          <w:szCs w:val="16"/>
        </w:rPr>
        <w:t>ysl (18 %), textilní průmysl (13</w:t>
      </w:r>
      <w:r w:rsidRPr="00E4073A">
        <w:rPr>
          <w:spacing w:val="-4"/>
          <w:sz w:val="16"/>
          <w:szCs w:val="16"/>
        </w:rPr>
        <w:t xml:space="preserve"> %) a z významnějších oborů dále např. o chemický průmysl či výrobu počítačů, elektronických a optických přístrojů (shodně 10 %), kovodělný průmysl (7 %) a ene</w:t>
      </w:r>
      <w:r>
        <w:rPr>
          <w:spacing w:val="-4"/>
          <w:sz w:val="16"/>
          <w:szCs w:val="16"/>
        </w:rPr>
        <w:t>rgetiku (6</w:t>
      </w:r>
      <w:r w:rsidRPr="00E4073A">
        <w:rPr>
          <w:spacing w:val="-4"/>
          <w:sz w:val="16"/>
          <w:szCs w:val="16"/>
        </w:rPr>
        <w:t xml:space="preserve"> %). Předkrizovou úroveň </w:t>
      </w:r>
      <w:r>
        <w:rPr>
          <w:spacing w:val="-4"/>
          <w:sz w:val="16"/>
          <w:szCs w:val="16"/>
        </w:rPr>
        <w:t xml:space="preserve">naopak </w:t>
      </w:r>
      <w:r w:rsidRPr="00E4073A">
        <w:rPr>
          <w:spacing w:val="-4"/>
          <w:sz w:val="16"/>
          <w:szCs w:val="16"/>
        </w:rPr>
        <w:t>překonali</w:t>
      </w:r>
      <w:r>
        <w:rPr>
          <w:spacing w:val="-4"/>
          <w:sz w:val="16"/>
          <w:szCs w:val="16"/>
        </w:rPr>
        <w:t xml:space="preserve"> zejména výrobci motorových vozidel (o 7 %), elektrických zařízení (o 10 %), z</w:t>
      </w:r>
      <w:r w:rsidRPr="00E4073A">
        <w:rPr>
          <w:spacing w:val="-4"/>
          <w:sz w:val="16"/>
          <w:szCs w:val="16"/>
        </w:rPr>
        <w:t> menších oborů náležely do této kategorie zejména farmacie</w:t>
      </w:r>
      <w:r>
        <w:rPr>
          <w:spacing w:val="-4"/>
          <w:sz w:val="16"/>
          <w:szCs w:val="16"/>
        </w:rPr>
        <w:t xml:space="preserve"> (16 %) a papírenský průmysl (14</w:t>
      </w:r>
      <w:r w:rsidRPr="00E4073A">
        <w:rPr>
          <w:spacing w:val="-4"/>
          <w:sz w:val="16"/>
          <w:szCs w:val="16"/>
        </w:rPr>
        <w:t xml:space="preserve"> %).</w:t>
      </w:r>
    </w:p>
  </w:footnote>
  <w:footnote w:id="23">
    <w:p w14:paraId="767B5AA1" w14:textId="77777777" w:rsidR="00F052D2" w:rsidRPr="00E04667" w:rsidRDefault="00F052D2" w:rsidP="00F052D2">
      <w:pPr>
        <w:pStyle w:val="Textpoznpodarou"/>
        <w:rPr>
          <w:spacing w:val="-3"/>
          <w:sz w:val="16"/>
          <w:szCs w:val="16"/>
        </w:rPr>
      </w:pPr>
      <w:r w:rsidRPr="00E04667">
        <w:rPr>
          <w:rStyle w:val="Znakapoznpodarou"/>
          <w:spacing w:val="-3"/>
          <w:sz w:val="16"/>
          <w:szCs w:val="16"/>
        </w:rPr>
        <w:footnoteRef/>
      </w:r>
      <w:r>
        <w:rPr>
          <w:spacing w:val="-3"/>
          <w:sz w:val="16"/>
          <w:szCs w:val="16"/>
        </w:rPr>
        <w:t xml:space="preserve"> Dle údajů</w:t>
      </w:r>
      <w:r w:rsidRPr="00E04667">
        <w:rPr>
          <w:spacing w:val="-3"/>
          <w:sz w:val="16"/>
          <w:szCs w:val="16"/>
        </w:rPr>
        <w:t xml:space="preserve"> Sdružení automobilového průmyslu</w:t>
      </w:r>
      <w:r w:rsidRPr="00605998">
        <w:rPr>
          <w:spacing w:val="-3"/>
          <w:sz w:val="16"/>
          <w:szCs w:val="16"/>
        </w:rPr>
        <w:t xml:space="preserve"> </w:t>
      </w:r>
      <w:r>
        <w:rPr>
          <w:spacing w:val="-3"/>
          <w:sz w:val="16"/>
          <w:szCs w:val="16"/>
        </w:rPr>
        <w:t xml:space="preserve">letos výroba od května do září zpravidla </w:t>
      </w:r>
      <w:r w:rsidRPr="00E04667">
        <w:rPr>
          <w:spacing w:val="-3"/>
          <w:sz w:val="16"/>
          <w:szCs w:val="16"/>
        </w:rPr>
        <w:t>přesahovala hran</w:t>
      </w:r>
      <w:r>
        <w:rPr>
          <w:spacing w:val="-3"/>
          <w:sz w:val="16"/>
          <w:szCs w:val="16"/>
        </w:rPr>
        <w:t>ici 100 tis. osobních vozů.</w:t>
      </w:r>
      <w:r w:rsidRPr="00E04667">
        <w:rPr>
          <w:spacing w:val="-3"/>
          <w:sz w:val="16"/>
          <w:szCs w:val="16"/>
        </w:rPr>
        <w:t xml:space="preserve"> </w:t>
      </w:r>
      <w:r>
        <w:rPr>
          <w:spacing w:val="-3"/>
          <w:sz w:val="16"/>
          <w:szCs w:val="16"/>
        </w:rPr>
        <w:t xml:space="preserve">Tím </w:t>
      </w:r>
      <w:r w:rsidRPr="00E04667">
        <w:rPr>
          <w:spacing w:val="-3"/>
          <w:sz w:val="16"/>
          <w:szCs w:val="16"/>
        </w:rPr>
        <w:t>se tyto měsíce přiblížily úrovni stejného období let 2017 až 2019, kdy byla výroba automobilů v tuzemsku na vrcholu. V úhrnu za 1.</w:t>
      </w:r>
      <w:r w:rsidRPr="00E04667">
        <w:rPr>
          <w:rFonts w:cs="Arial"/>
          <w:color w:val="0D0D0D" w:themeColor="text1" w:themeTint="F2"/>
          <w:spacing w:val="-3"/>
          <w:sz w:val="16"/>
          <w:szCs w:val="16"/>
        </w:rPr>
        <w:t> </w:t>
      </w:r>
      <w:r w:rsidRPr="00E04667">
        <w:rPr>
          <w:spacing w:val="-3"/>
          <w:sz w:val="16"/>
          <w:szCs w:val="16"/>
        </w:rPr>
        <w:t xml:space="preserve">až 3. čtvrtletí 2022 dosáhla výroba osobních vozů 913 tis. (meziročně o 10 % více, ale proti roku 2018 o 14 % méně). </w:t>
      </w:r>
      <w:r>
        <w:rPr>
          <w:spacing w:val="-3"/>
          <w:sz w:val="16"/>
          <w:szCs w:val="16"/>
        </w:rPr>
        <w:t>V</w:t>
      </w:r>
      <w:r w:rsidRPr="00E04667">
        <w:rPr>
          <w:spacing w:val="-3"/>
          <w:sz w:val="16"/>
          <w:szCs w:val="16"/>
        </w:rPr>
        <w:t>íce než d</w:t>
      </w:r>
      <w:r>
        <w:rPr>
          <w:spacing w:val="-3"/>
          <w:sz w:val="16"/>
          <w:szCs w:val="16"/>
        </w:rPr>
        <w:t>esetina vyrobených osobních automobilů</w:t>
      </w:r>
      <w:r w:rsidRPr="00E04667">
        <w:rPr>
          <w:spacing w:val="-3"/>
          <w:sz w:val="16"/>
          <w:szCs w:val="16"/>
        </w:rPr>
        <w:t xml:space="preserve"> </w:t>
      </w:r>
      <w:r>
        <w:rPr>
          <w:spacing w:val="-3"/>
          <w:sz w:val="16"/>
          <w:szCs w:val="16"/>
        </w:rPr>
        <w:t>připadala na elektrická vozidla. Ta spolu s vozy s</w:t>
      </w:r>
      <w:r w:rsidRPr="00E04667">
        <w:rPr>
          <w:spacing w:val="-3"/>
          <w:sz w:val="16"/>
          <w:szCs w:val="16"/>
        </w:rPr>
        <w:t xml:space="preserve"> hybridní</w:t>
      </w:r>
      <w:r>
        <w:rPr>
          <w:spacing w:val="-3"/>
          <w:sz w:val="16"/>
          <w:szCs w:val="16"/>
        </w:rPr>
        <w:t>m</w:t>
      </w:r>
      <w:r w:rsidRPr="00E04667">
        <w:rPr>
          <w:spacing w:val="-3"/>
          <w:sz w:val="16"/>
          <w:szCs w:val="16"/>
        </w:rPr>
        <w:t xml:space="preserve"> pohon</w:t>
      </w:r>
      <w:r>
        <w:rPr>
          <w:spacing w:val="-3"/>
          <w:sz w:val="16"/>
          <w:szCs w:val="16"/>
        </w:rPr>
        <w:t>em</w:t>
      </w:r>
      <w:r w:rsidRPr="00E04667">
        <w:rPr>
          <w:spacing w:val="-3"/>
          <w:sz w:val="16"/>
          <w:szCs w:val="16"/>
        </w:rPr>
        <w:t xml:space="preserve"> t</w:t>
      </w:r>
      <w:r>
        <w:rPr>
          <w:spacing w:val="-3"/>
          <w:sz w:val="16"/>
          <w:szCs w:val="16"/>
        </w:rPr>
        <w:t>vořila</w:t>
      </w:r>
      <w:r w:rsidRPr="00E04667">
        <w:rPr>
          <w:spacing w:val="-3"/>
          <w:sz w:val="16"/>
          <w:szCs w:val="16"/>
        </w:rPr>
        <w:t xml:space="preserve"> již více než pětinu nově produkovaného vozového parku. Dařilo se i výrobcům ostatních motorových vozidel, letošní produkce u nich převyšovala předkrizovou úroveň.</w:t>
      </w:r>
    </w:p>
  </w:footnote>
  <w:footnote w:id="24">
    <w:p w14:paraId="7550C68D" w14:textId="77777777" w:rsidR="00F052D2" w:rsidRPr="00E04667" w:rsidRDefault="00F052D2" w:rsidP="00F052D2">
      <w:pPr>
        <w:pStyle w:val="Textpoznpodarou"/>
        <w:jc w:val="both"/>
        <w:rPr>
          <w:spacing w:val="-2"/>
          <w:sz w:val="16"/>
          <w:szCs w:val="16"/>
        </w:rPr>
      </w:pPr>
      <w:r w:rsidRPr="00E04667">
        <w:rPr>
          <w:rStyle w:val="Znakapoznpodarou"/>
          <w:spacing w:val="-2"/>
          <w:sz w:val="16"/>
          <w:szCs w:val="16"/>
        </w:rPr>
        <w:footnoteRef/>
      </w:r>
      <w:r w:rsidRPr="00E04667">
        <w:rPr>
          <w:spacing w:val="-2"/>
          <w:sz w:val="16"/>
          <w:szCs w:val="16"/>
        </w:rPr>
        <w:t xml:space="preserve"> Na počátku 2., 3.</w:t>
      </w:r>
      <w:r>
        <w:rPr>
          <w:spacing w:val="-2"/>
          <w:sz w:val="16"/>
          <w:szCs w:val="16"/>
        </w:rPr>
        <w:t xml:space="preserve"> i 4. čtvrtletí 2022 setrváva</w:t>
      </w:r>
      <w:r w:rsidRPr="00E04667">
        <w:rPr>
          <w:spacing w:val="-2"/>
          <w:sz w:val="16"/>
          <w:szCs w:val="16"/>
        </w:rPr>
        <w:t>lo mírně pod 80 %. Za poslední konj</w:t>
      </w:r>
      <w:r>
        <w:rPr>
          <w:spacing w:val="-2"/>
          <w:sz w:val="16"/>
          <w:szCs w:val="16"/>
        </w:rPr>
        <w:t>unktury ovšem obvykle</w:t>
      </w:r>
      <w:r w:rsidRPr="00E04667">
        <w:rPr>
          <w:spacing w:val="-2"/>
          <w:sz w:val="16"/>
          <w:szCs w:val="16"/>
        </w:rPr>
        <w:t xml:space="preserve"> přesahovalo 90 %.</w:t>
      </w:r>
    </w:p>
  </w:footnote>
  <w:footnote w:id="25">
    <w:p w14:paraId="36DDF700" w14:textId="77777777" w:rsidR="00F052D2" w:rsidRPr="000B5DC8" w:rsidRDefault="00F052D2" w:rsidP="00F052D2">
      <w:pPr>
        <w:pStyle w:val="Textpoznpodarou"/>
        <w:jc w:val="both"/>
        <w:rPr>
          <w:sz w:val="16"/>
          <w:szCs w:val="16"/>
        </w:rPr>
      </w:pPr>
      <w:r w:rsidRPr="00E04667">
        <w:rPr>
          <w:rStyle w:val="Znakapoznpodarou"/>
          <w:spacing w:val="-2"/>
          <w:sz w:val="16"/>
          <w:szCs w:val="16"/>
        </w:rPr>
        <w:footnoteRef/>
      </w:r>
      <w:r w:rsidRPr="00E04667">
        <w:rPr>
          <w:spacing w:val="-2"/>
          <w:sz w:val="16"/>
          <w:szCs w:val="16"/>
        </w:rPr>
        <w:t xml:space="preserve"> </w:t>
      </w:r>
      <w:r w:rsidRPr="00E04667">
        <w:rPr>
          <w:rFonts w:cs="Arial"/>
          <w:spacing w:val="-2"/>
          <w:sz w:val="16"/>
          <w:szCs w:val="16"/>
        </w:rPr>
        <w:t>Podniky mohly uvést více hlavních růstových bariér současně.</w:t>
      </w:r>
    </w:p>
  </w:footnote>
  <w:footnote w:id="26">
    <w:p w14:paraId="7C598480" w14:textId="77777777" w:rsidR="00F052D2" w:rsidRPr="00D85AE5" w:rsidRDefault="00F052D2" w:rsidP="00F052D2">
      <w:pPr>
        <w:pStyle w:val="Textpoznpodarou"/>
        <w:rPr>
          <w:spacing w:val="-4"/>
          <w:sz w:val="16"/>
          <w:szCs w:val="16"/>
        </w:rPr>
      </w:pPr>
      <w:r w:rsidRPr="00D85AE5">
        <w:rPr>
          <w:rStyle w:val="Znakapoznpodarou"/>
          <w:spacing w:val="-4"/>
          <w:sz w:val="16"/>
          <w:szCs w:val="16"/>
        </w:rPr>
        <w:footnoteRef/>
      </w:r>
      <w:r w:rsidRPr="00D85AE5">
        <w:rPr>
          <w:spacing w:val="-4"/>
          <w:sz w:val="16"/>
          <w:szCs w:val="16"/>
        </w:rPr>
        <w:t xml:space="preserve"> Tento faktor stále dominuje nad vlivem rostoucí poptávky po dřevě jako energetickém materiálu. Ta je v posledních čtvrtletích v Česku i</w:t>
      </w:r>
      <w:r>
        <w:rPr>
          <w:spacing w:val="-4"/>
          <w:sz w:val="16"/>
          <w:szCs w:val="16"/>
        </w:rPr>
        <w:t> </w:t>
      </w:r>
      <w:r w:rsidRPr="00D85AE5">
        <w:rPr>
          <w:spacing w:val="-4"/>
          <w:sz w:val="16"/>
          <w:szCs w:val="16"/>
        </w:rPr>
        <w:t xml:space="preserve">Evropě patrná a odráží se i v ceně této suroviny. Produkce dřevozpracujícího průmyslu v ČR ve 2. i 3. čtvrtletí 2022 mezikvartálně </w:t>
      </w:r>
      <w:r>
        <w:rPr>
          <w:spacing w:val="-4"/>
          <w:sz w:val="16"/>
          <w:szCs w:val="16"/>
        </w:rPr>
        <w:t>klesala</w:t>
      </w:r>
      <w:r w:rsidRPr="00D85AE5">
        <w:rPr>
          <w:spacing w:val="-4"/>
          <w:sz w:val="16"/>
          <w:szCs w:val="16"/>
        </w:rPr>
        <w:t>.</w:t>
      </w:r>
    </w:p>
  </w:footnote>
  <w:footnote w:id="27">
    <w:p w14:paraId="113D29F9" w14:textId="77777777" w:rsidR="00F052D2" w:rsidRPr="007B3454" w:rsidRDefault="00F052D2" w:rsidP="00F052D2">
      <w:pPr>
        <w:pStyle w:val="Textpoznpodarou"/>
        <w:rPr>
          <w:spacing w:val="-2"/>
          <w:sz w:val="16"/>
          <w:szCs w:val="16"/>
        </w:rPr>
      </w:pPr>
      <w:r w:rsidRPr="007B3454">
        <w:rPr>
          <w:rStyle w:val="Znakapoznpodarou"/>
          <w:spacing w:val="-2"/>
          <w:sz w:val="16"/>
          <w:szCs w:val="16"/>
        </w:rPr>
        <w:footnoteRef/>
      </w:r>
      <w:r w:rsidRPr="007B3454">
        <w:rPr>
          <w:spacing w:val="-2"/>
          <w:sz w:val="16"/>
          <w:szCs w:val="16"/>
        </w:rPr>
        <w:t xml:space="preserve"> Spotřeba plynu v ČR se letos za tři čtvrtletí meziročně snížila o 19,1 % (po zohlednění teplejší zimy o 15,4 %</w:t>
      </w:r>
      <w:r>
        <w:rPr>
          <w:spacing w:val="-2"/>
          <w:sz w:val="16"/>
          <w:szCs w:val="16"/>
        </w:rPr>
        <w:t xml:space="preserve"> klesla</w:t>
      </w:r>
      <w:r w:rsidRPr="007B3454">
        <w:rPr>
          <w:spacing w:val="-2"/>
          <w:sz w:val="16"/>
          <w:szCs w:val="16"/>
        </w:rPr>
        <w:t xml:space="preserve"> spotřeba ve všech měsících roku – nejvíce od dubna do července). Podíleli se na tom nejvíce velkoodběratelé, významně ale dosud letos snížily svou spotřebu i domácnosti (o 19 %) či maloodběratelé (</w:t>
      </w:r>
      <w:r>
        <w:rPr>
          <w:spacing w:val="-2"/>
          <w:sz w:val="16"/>
          <w:szCs w:val="16"/>
        </w:rPr>
        <w:t>−</w:t>
      </w:r>
      <w:r w:rsidRPr="007B3454">
        <w:rPr>
          <w:spacing w:val="-2"/>
          <w:sz w:val="16"/>
          <w:szCs w:val="16"/>
        </w:rPr>
        <w:t xml:space="preserve">13 %). Dle aktuálních údajů klesla letos za 1. pololetí celková hrubá výroba tepla o 8,4 %, především zásluhou nižšího využití zemního plynu a černého uhlí. Svižněji ubylo množství spotřebovaného tepla – v domácnostech o 16 %, </w:t>
      </w:r>
      <w:r>
        <w:rPr>
          <w:spacing w:val="-2"/>
          <w:sz w:val="16"/>
          <w:szCs w:val="16"/>
        </w:rPr>
        <w:t xml:space="preserve">v </w:t>
      </w:r>
      <w:r w:rsidRPr="007B3454">
        <w:rPr>
          <w:spacing w:val="-2"/>
          <w:sz w:val="16"/>
          <w:szCs w:val="16"/>
        </w:rPr>
        <w:t>průmyslu</w:t>
      </w:r>
      <w:r>
        <w:rPr>
          <w:spacing w:val="-2"/>
          <w:sz w:val="16"/>
          <w:szCs w:val="16"/>
        </w:rPr>
        <w:t xml:space="preserve"> o</w:t>
      </w:r>
      <w:r>
        <w:rPr>
          <w:sz w:val="16"/>
          <w:szCs w:val="16"/>
        </w:rPr>
        <w:t> </w:t>
      </w:r>
      <w:r w:rsidRPr="007B3454">
        <w:rPr>
          <w:spacing w:val="-2"/>
          <w:sz w:val="16"/>
          <w:szCs w:val="16"/>
        </w:rPr>
        <w:t>7,5 %, v obchodu, službách, školství, zdravotnictví v úhrnu o 18 %.</w:t>
      </w:r>
    </w:p>
  </w:footnote>
  <w:footnote w:id="28">
    <w:p w14:paraId="727FF884" w14:textId="77777777" w:rsidR="00F052D2" w:rsidRDefault="00F052D2" w:rsidP="00F052D2">
      <w:pPr>
        <w:pStyle w:val="Textpoznpodarou"/>
      </w:pPr>
      <w:r w:rsidRPr="00CD024D">
        <w:rPr>
          <w:rStyle w:val="Znakapoznpodarou"/>
          <w:sz w:val="16"/>
          <w:szCs w:val="16"/>
        </w:rPr>
        <w:footnoteRef/>
      </w:r>
      <w:r w:rsidRPr="00CD024D">
        <w:rPr>
          <w:sz w:val="16"/>
          <w:szCs w:val="16"/>
        </w:rPr>
        <w:t xml:space="preserve"> </w:t>
      </w:r>
      <w:r>
        <w:rPr>
          <w:sz w:val="16"/>
          <w:szCs w:val="16"/>
        </w:rPr>
        <w:t xml:space="preserve">V 1. až 3. čtvrtletí 2022 činila hrubá tuzemská výroba elektřiny 62,2 </w:t>
      </w:r>
      <w:proofErr w:type="spellStart"/>
      <w:r>
        <w:rPr>
          <w:sz w:val="16"/>
          <w:szCs w:val="16"/>
        </w:rPr>
        <w:t>TWh</w:t>
      </w:r>
      <w:proofErr w:type="spellEnd"/>
      <w:r>
        <w:rPr>
          <w:sz w:val="16"/>
          <w:szCs w:val="16"/>
        </w:rPr>
        <w:t xml:space="preserve"> (meziročně o 3,2 % více, ale oproti roku 2019 o 1,6 % méně). K meziročnímu růstu výroby přispěly i přes pokles svého instalovaného výkonu nejvíce tepelné (parní) elektrárny, a to především díky vyššímu využití uhlí. Mírně posílila i výroba v jaderných elektrárnách (+2,5 %). Naopak o 55 % propadla produkce v paroplynových elektrárnách a o skoro pětinu ve vodních a přečerpávacích elektrárnách. Celková hrubá tuzemská spotřeba elektřiny meziročně mírně klesla (o 1,5 %), a to zejména díky domácnostem (ty snížily spotřebu o 9 %) a nejvýznamnějším velkoodběratelům (−5 %). Spotřeba podnikatelů z řad maloodběratelů naproti tomu lehce posílila (+1 %, oproti roku 2019 byla ovšem o 2 % nižší).</w:t>
      </w:r>
    </w:p>
  </w:footnote>
  <w:footnote w:id="29">
    <w:p w14:paraId="326DCF99" w14:textId="77777777" w:rsidR="00F052D2" w:rsidRPr="004670E0" w:rsidRDefault="00F052D2" w:rsidP="00F052D2">
      <w:pPr>
        <w:pStyle w:val="Textpoznpodarou"/>
        <w:jc w:val="both"/>
        <w:rPr>
          <w:sz w:val="16"/>
          <w:szCs w:val="16"/>
        </w:rPr>
      </w:pPr>
      <w:r w:rsidRPr="000345CC">
        <w:rPr>
          <w:rStyle w:val="Znakapoznpodarou"/>
          <w:sz w:val="16"/>
          <w:szCs w:val="16"/>
        </w:rPr>
        <w:footnoteRef/>
      </w:r>
      <w:r w:rsidRPr="000345CC">
        <w:rPr>
          <w:sz w:val="16"/>
          <w:szCs w:val="16"/>
        </w:rPr>
        <w:t xml:space="preserve"> </w:t>
      </w:r>
      <w:r w:rsidRPr="000345CC">
        <w:rPr>
          <w:rFonts w:cs="Arial"/>
          <w:color w:val="0D0D0D" w:themeColor="text1" w:themeTint="F2"/>
          <w:spacing w:val="-2"/>
          <w:sz w:val="16"/>
          <w:szCs w:val="16"/>
        </w:rPr>
        <w:t>Meziroční tempa tržeb js</w:t>
      </w:r>
      <w:r>
        <w:rPr>
          <w:rFonts w:cs="Arial"/>
          <w:color w:val="0D0D0D" w:themeColor="text1" w:themeTint="F2"/>
          <w:spacing w:val="-2"/>
          <w:sz w:val="16"/>
          <w:szCs w:val="16"/>
        </w:rPr>
        <w:t>ou očištěna o kalendářní vlivy.</w:t>
      </w:r>
    </w:p>
  </w:footnote>
  <w:footnote w:id="30">
    <w:p w14:paraId="39C1ECEF" w14:textId="77777777" w:rsidR="00F052D2" w:rsidRPr="00FB58F4" w:rsidRDefault="00F052D2" w:rsidP="00F052D2">
      <w:pPr>
        <w:pStyle w:val="Textpoznpodarou"/>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dvanácti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w:t>
      </w:r>
    </w:p>
  </w:footnote>
  <w:footnote w:id="31">
    <w:p w14:paraId="5FAB6A2F" w14:textId="77777777" w:rsidR="00F052D2" w:rsidRPr="00052275" w:rsidRDefault="00F052D2" w:rsidP="00F052D2">
      <w:pPr>
        <w:pStyle w:val="Textpoznpodarou"/>
        <w:jc w:val="both"/>
        <w:rPr>
          <w:sz w:val="16"/>
          <w:szCs w:val="16"/>
        </w:rPr>
      </w:pPr>
      <w:r w:rsidRPr="00052275">
        <w:rPr>
          <w:rStyle w:val="Znakapoznpodarou"/>
          <w:rFonts w:cs="Arial"/>
          <w:color w:val="0D0D0D" w:themeColor="text1" w:themeTint="F2"/>
          <w:sz w:val="16"/>
          <w:szCs w:val="16"/>
        </w:rPr>
        <w:footnoteRef/>
      </w:r>
      <w:r w:rsidRPr="00052275">
        <w:rPr>
          <w:rFonts w:cs="Arial"/>
          <w:color w:val="0D0D0D" w:themeColor="text1" w:themeTint="F2"/>
          <w:sz w:val="16"/>
          <w:szCs w:val="16"/>
        </w:rPr>
        <w:t xml:space="preserve"> Údaje o stavební produkci jsou ve stálých cenách, meziroční tempa jsou očištěna o kalendářní vlivy, mezičtvrtletní též o vliv sezónnosti.</w:t>
      </w:r>
    </w:p>
  </w:footnote>
  <w:footnote w:id="32">
    <w:p w14:paraId="4E15735A"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Ještě v 1. čtvrtletí 2021 se stavebnictví částečně nacházelo v útlumu, </w:t>
      </w:r>
      <w:r w:rsidRPr="00376491">
        <w:rPr>
          <w:color w:val="0D0D0D" w:themeColor="text1" w:themeTint="F2"/>
          <w:spacing w:val="-4"/>
          <w:sz w:val="16"/>
          <w:szCs w:val="16"/>
        </w:rPr>
        <w:t xml:space="preserve">neboť tehdy pandemie kulminovala. </w:t>
      </w:r>
      <w:r w:rsidRPr="00376491">
        <w:rPr>
          <w:sz w:val="16"/>
          <w:szCs w:val="16"/>
        </w:rPr>
        <w:t>Z</w:t>
      </w:r>
      <w:r w:rsidRPr="00376491">
        <w:rPr>
          <w:color w:val="0D0D0D" w:themeColor="text1" w:themeTint="F2"/>
          <w:spacing w:val="-4"/>
          <w:sz w:val="16"/>
          <w:szCs w:val="16"/>
        </w:rPr>
        <w:t>výšená nemocnost, ztížený přeshraniční pohyb pracovníků, restrikce u celkové mobility obyvatel v tuzemsku i omezení výkonu stavebních úřadů významně limitovaly produkční možnosti stavebnictví. Během jara se ekonomika rychle začala vracet k normálu, což se odrazilo i v citelnějším oživení stavebnictví.</w:t>
      </w:r>
    </w:p>
  </w:footnote>
  <w:footnote w:id="33">
    <w:p w14:paraId="27F71B37"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Ze státního rozpočtu ČR bylo od ledna do září 2022 na investicích do Státního fondu dopravní infrastruktury vyplaceno přes </w:t>
      </w:r>
      <w:r w:rsidRPr="00376491">
        <w:rPr>
          <w:sz w:val="16"/>
          <w:szCs w:val="16"/>
        </w:rPr>
        <w:br/>
        <w:t xml:space="preserve">50 mld. korun, meziročně o čtvrtinu více. </w:t>
      </w:r>
    </w:p>
  </w:footnote>
  <w:footnote w:id="34">
    <w:p w14:paraId="4DDBC673" w14:textId="77777777" w:rsidR="00F052D2" w:rsidRPr="00376491" w:rsidRDefault="00F052D2" w:rsidP="00F052D2">
      <w:pPr>
        <w:pStyle w:val="Textpoznpodarou"/>
        <w:rPr>
          <w:spacing w:val="-2"/>
          <w:sz w:val="16"/>
          <w:szCs w:val="16"/>
        </w:rPr>
      </w:pPr>
      <w:r w:rsidRPr="00376491">
        <w:rPr>
          <w:rStyle w:val="Znakapoznpodarou"/>
          <w:spacing w:val="-2"/>
          <w:sz w:val="16"/>
          <w:szCs w:val="16"/>
        </w:rPr>
        <w:footnoteRef/>
      </w:r>
      <w:r w:rsidRPr="00376491">
        <w:rPr>
          <w:spacing w:val="-2"/>
          <w:sz w:val="16"/>
          <w:szCs w:val="16"/>
        </w:rPr>
        <w:t xml:space="preserve"> Meziroční růst cen materiálových vstupů pro výstavbu bytových budov dosáhl v letošním 2. čtvrtletí rekordních 30,5 % (o rok dříve „jen“ 6,1 %). V následujícím kvartálu se sice tempo již nezvyšovalo (poprvé po dvou letech), růst však zůstával stále velmi vysoký (24,4 %).</w:t>
      </w:r>
    </w:p>
  </w:footnote>
  <w:footnote w:id="35">
    <w:p w14:paraId="03590FD5" w14:textId="77777777" w:rsidR="00F052D2" w:rsidRPr="00376491" w:rsidRDefault="00F052D2" w:rsidP="00F052D2">
      <w:pPr>
        <w:pStyle w:val="Textpoznpodarou"/>
        <w:rPr>
          <w:spacing w:val="-2"/>
          <w:sz w:val="16"/>
          <w:szCs w:val="16"/>
        </w:rPr>
      </w:pPr>
      <w:r w:rsidRPr="00376491">
        <w:rPr>
          <w:rStyle w:val="Znakapoznpodarou"/>
          <w:spacing w:val="-2"/>
          <w:sz w:val="16"/>
          <w:szCs w:val="16"/>
        </w:rPr>
        <w:footnoteRef/>
      </w:r>
      <w:r w:rsidRPr="00376491">
        <w:rPr>
          <w:spacing w:val="-2"/>
          <w:sz w:val="16"/>
          <w:szCs w:val="16"/>
        </w:rPr>
        <w:t xml:space="preserve"> Dle odhadu podniků z počátku 4. čtvrtletí 2022 poskytovaly všechny dosud nerealizované zakázky stavebním firmám v Česku práci na dalších 9,1 měsíce. To bylo jen nepatrně méně než na konci loňského roku (9,8) či než na vrcholu předpandemické konjunktury (10,3).</w:t>
      </w:r>
    </w:p>
  </w:footnote>
  <w:footnote w:id="36">
    <w:p w14:paraId="0AC120FE" w14:textId="77777777" w:rsidR="00F052D2" w:rsidRPr="00376491" w:rsidRDefault="00F052D2" w:rsidP="00F052D2">
      <w:pPr>
        <w:pStyle w:val="Textpoznpodarou"/>
        <w:rPr>
          <w:sz w:val="16"/>
          <w:szCs w:val="16"/>
        </w:rPr>
      </w:pPr>
      <w:r w:rsidRPr="00376491">
        <w:rPr>
          <w:rStyle w:val="Znakapoznpodarou"/>
          <w:sz w:val="16"/>
          <w:szCs w:val="16"/>
        </w:rPr>
        <w:footnoteRef/>
      </w:r>
      <w:r w:rsidRPr="00376491">
        <w:rPr>
          <w:sz w:val="16"/>
          <w:szCs w:val="16"/>
        </w:rPr>
        <w:t xml:space="preserve"> Ten ve 3. čtvrtletí 2022 dosáhl meziročně 12,8 %, v úhrnu od počátku roku 12,3 %. </w:t>
      </w:r>
      <w:r w:rsidRPr="00376491">
        <w:rPr>
          <w:rFonts w:cs="Arial"/>
          <w:color w:val="0D0D0D" w:themeColor="text1" w:themeTint="F2"/>
          <w:spacing w:val="-6"/>
          <w:sz w:val="16"/>
          <w:szCs w:val="16"/>
        </w:rPr>
        <w:t>Cenové vlivy se významně promítly i do průměrné hodnoty nově uzavřené stavební zakázky – ta činila v 1. až 3. čtvrtletí 4,5 mil. korun a</w:t>
      </w:r>
      <w:r w:rsidRPr="00376491">
        <w:rPr>
          <w:color w:val="0D0D0D" w:themeColor="text1" w:themeTint="F2"/>
          <w:spacing w:val="-5"/>
          <w:sz w:val="16"/>
          <w:szCs w:val="16"/>
        </w:rPr>
        <w:t> </w:t>
      </w:r>
      <w:r w:rsidRPr="00376491">
        <w:rPr>
          <w:rFonts w:cs="Arial"/>
          <w:color w:val="0D0D0D" w:themeColor="text1" w:themeTint="F2"/>
          <w:spacing w:val="-6"/>
          <w:sz w:val="16"/>
          <w:szCs w:val="16"/>
        </w:rPr>
        <w:t>meziročně vzrostla o 17,9 %.</w:t>
      </w:r>
    </w:p>
  </w:footnote>
  <w:footnote w:id="37">
    <w:p w14:paraId="2E1B761C" w14:textId="77777777" w:rsidR="00F052D2" w:rsidRPr="00DE38E6" w:rsidRDefault="00F052D2" w:rsidP="00F052D2">
      <w:pPr>
        <w:spacing w:after="0" w:line="240" w:lineRule="auto"/>
        <w:jc w:val="left"/>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jsou očištěny o sezónní vlivy (včetně vlivu počtu pracovních dnů)</w:t>
      </w:r>
      <w:r w:rsidRPr="004A26AF">
        <w:rPr>
          <w:color w:val="0D0D0D" w:themeColor="text1" w:themeTint="F2"/>
          <w:sz w:val="16"/>
          <w:szCs w:val="16"/>
        </w:rPr>
        <w:t>.</w:t>
      </w:r>
    </w:p>
  </w:footnote>
  <w:footnote w:id="38">
    <w:p w14:paraId="6E8ECEBC" w14:textId="77777777" w:rsidR="00F052D2" w:rsidRPr="00906E0C" w:rsidRDefault="00F052D2" w:rsidP="00F052D2">
      <w:pPr>
        <w:pStyle w:val="Textpoznpodarou"/>
        <w:rPr>
          <w:sz w:val="16"/>
          <w:szCs w:val="16"/>
        </w:rPr>
      </w:pPr>
      <w:r w:rsidRPr="00906E0C">
        <w:rPr>
          <w:rStyle w:val="Znakapoznpodarou"/>
          <w:sz w:val="16"/>
          <w:szCs w:val="16"/>
        </w:rPr>
        <w:footnoteRef/>
      </w:r>
      <w:r w:rsidRPr="00906E0C">
        <w:rPr>
          <w:sz w:val="16"/>
          <w:szCs w:val="16"/>
        </w:rPr>
        <w:t xml:space="preserve"> Tržby v tomto odvětví se </w:t>
      </w:r>
      <w:r>
        <w:rPr>
          <w:sz w:val="16"/>
          <w:szCs w:val="16"/>
        </w:rPr>
        <w:t>ve 3. čtvrtletí mezikvartálně snížily o rovné 1</w:t>
      </w:r>
      <w:r w:rsidRPr="00906E0C">
        <w:rPr>
          <w:sz w:val="16"/>
          <w:szCs w:val="16"/>
        </w:rPr>
        <w:t xml:space="preserve"> %. Mírně klesaly jak v pozemní dopravě, tak ve skladování.</w:t>
      </w:r>
    </w:p>
  </w:footnote>
  <w:footnote w:id="39">
    <w:p w14:paraId="779DF5D5" w14:textId="7EF3F9F4" w:rsidR="00F052D2" w:rsidRPr="00025BDC" w:rsidRDefault="00F052D2" w:rsidP="00F052D2">
      <w:pPr>
        <w:pStyle w:val="Textpoznpodarou"/>
        <w:rPr>
          <w:spacing w:val="-4"/>
        </w:rPr>
      </w:pPr>
      <w:r w:rsidRPr="00025BDC">
        <w:rPr>
          <w:rStyle w:val="Znakapoznpodarou"/>
          <w:spacing w:val="-4"/>
          <w:sz w:val="16"/>
          <w:szCs w:val="16"/>
        </w:rPr>
        <w:footnoteRef/>
      </w:r>
      <w:r w:rsidRPr="00025BDC">
        <w:rPr>
          <w:spacing w:val="-4"/>
          <w:sz w:val="16"/>
          <w:szCs w:val="16"/>
        </w:rPr>
        <w:t xml:space="preserve"> Ve 3. čtvrtletí 2022 přijelo do hrom</w:t>
      </w:r>
      <w:r>
        <w:rPr>
          <w:spacing w:val="-4"/>
          <w:sz w:val="16"/>
          <w:szCs w:val="16"/>
        </w:rPr>
        <w:t>adných ubytovacích zařízení v Česku</w:t>
      </w:r>
      <w:r w:rsidRPr="00025BDC">
        <w:rPr>
          <w:spacing w:val="-4"/>
          <w:sz w:val="16"/>
          <w:szCs w:val="16"/>
        </w:rPr>
        <w:t xml:space="preserve"> 7,3 mil. hostů. Počet jejich přenocování za rekordní letní sezónou 2019 zaostal jen o 3</w:t>
      </w:r>
      <w:r>
        <w:rPr>
          <w:spacing w:val="-4"/>
          <w:sz w:val="16"/>
          <w:szCs w:val="16"/>
        </w:rPr>
        <w:t xml:space="preserve"> </w:t>
      </w:r>
      <w:r w:rsidRPr="00025BDC">
        <w:rPr>
          <w:spacing w:val="-4"/>
          <w:sz w:val="16"/>
          <w:szCs w:val="16"/>
        </w:rPr>
        <w:t>%. Poptávka hostů z Česka převyšuje předkrizovou úroveň již od půle loňského roku (letos v létě o</w:t>
      </w:r>
      <w:r w:rsidRPr="00025BDC">
        <w:rPr>
          <w:color w:val="0D0D0D" w:themeColor="text1" w:themeTint="F2"/>
          <w:spacing w:val="-4"/>
          <w:sz w:val="16"/>
          <w:szCs w:val="16"/>
        </w:rPr>
        <w:t> </w:t>
      </w:r>
      <w:r w:rsidRPr="00025BDC">
        <w:rPr>
          <w:spacing w:val="-4"/>
          <w:sz w:val="16"/>
          <w:szCs w:val="16"/>
        </w:rPr>
        <w:t>12</w:t>
      </w:r>
      <w:r w:rsidRPr="00025BDC">
        <w:rPr>
          <w:color w:val="0D0D0D" w:themeColor="text1" w:themeTint="F2"/>
          <w:spacing w:val="-4"/>
          <w:sz w:val="16"/>
          <w:szCs w:val="16"/>
        </w:rPr>
        <w:t> </w:t>
      </w:r>
      <w:r w:rsidRPr="00025BDC">
        <w:rPr>
          <w:spacing w:val="-4"/>
          <w:sz w:val="16"/>
          <w:szCs w:val="16"/>
        </w:rPr>
        <w:t>%). Meziročně sice zájem domácí klientely lehce opadl (napříč všemi kraji), ve 3. čtvrtletí 2021 byl ale díky přetrvávajícím bariérám cestování do ciziny rekordní (15,9 mil. přenocování). Poptávka zahraniční klientely se meziročně takřka zdvojnásobila, za letní sezónou z roku 2019 ale stále o čtvrtinu zaostávala. Citelně totiž chyběli hlavně hosté ze vzdálených asijských států – Číny a Tchaj-wanu (</w:t>
      </w:r>
      <w:r>
        <w:rPr>
          <w:spacing w:val="-4"/>
          <w:sz w:val="16"/>
          <w:szCs w:val="16"/>
        </w:rPr>
        <w:t>−</w:t>
      </w:r>
      <w:r w:rsidRPr="00025BDC">
        <w:rPr>
          <w:spacing w:val="-4"/>
          <w:sz w:val="16"/>
          <w:szCs w:val="16"/>
        </w:rPr>
        <w:t>94 %), Japonska (</w:t>
      </w:r>
      <w:r>
        <w:rPr>
          <w:spacing w:val="-4"/>
          <w:sz w:val="16"/>
          <w:szCs w:val="16"/>
        </w:rPr>
        <w:t>−</w:t>
      </w:r>
      <w:r w:rsidRPr="00025BDC">
        <w:rPr>
          <w:spacing w:val="-4"/>
          <w:sz w:val="16"/>
          <w:szCs w:val="16"/>
        </w:rPr>
        <w:t xml:space="preserve">84 %) a Jižní Korey </w:t>
      </w:r>
      <w:r>
        <w:rPr>
          <w:spacing w:val="-4"/>
          <w:sz w:val="16"/>
          <w:szCs w:val="16"/>
        </w:rPr>
        <w:br/>
      </w:r>
      <w:r w:rsidRPr="00025BDC">
        <w:rPr>
          <w:spacing w:val="-4"/>
          <w:sz w:val="16"/>
          <w:szCs w:val="16"/>
        </w:rPr>
        <w:t>(</w:t>
      </w:r>
      <w:r>
        <w:rPr>
          <w:spacing w:val="-4"/>
          <w:sz w:val="16"/>
          <w:szCs w:val="16"/>
        </w:rPr>
        <w:t>−</w:t>
      </w:r>
      <w:r w:rsidRPr="00025BDC">
        <w:rPr>
          <w:spacing w:val="-4"/>
          <w:sz w:val="16"/>
          <w:szCs w:val="16"/>
        </w:rPr>
        <w:t>77 %). Hluboký propad přetrvával vlivem geopolitického napětí též u ruské klientely (</w:t>
      </w:r>
      <w:r>
        <w:rPr>
          <w:spacing w:val="-4"/>
          <w:sz w:val="16"/>
          <w:szCs w:val="16"/>
        </w:rPr>
        <w:t>−</w:t>
      </w:r>
      <w:r w:rsidRPr="00025BDC">
        <w:rPr>
          <w:spacing w:val="-4"/>
          <w:sz w:val="16"/>
          <w:szCs w:val="16"/>
        </w:rPr>
        <w:t>89 %) – ta přitom v roce 2019 tvořila v Česku skoro desetinu celkové poptávky ze strany zahraničních hostů. Z dříve početné klientely letos v létě stále citelně scházeli také občané USA a Kanady (</w:t>
      </w:r>
      <w:r>
        <w:rPr>
          <w:spacing w:val="-4"/>
          <w:sz w:val="16"/>
          <w:szCs w:val="16"/>
        </w:rPr>
        <w:t>−</w:t>
      </w:r>
      <w:r w:rsidRPr="00025BDC">
        <w:rPr>
          <w:spacing w:val="-4"/>
          <w:sz w:val="16"/>
          <w:szCs w:val="16"/>
        </w:rPr>
        <w:t>37 %), Španělska (</w:t>
      </w:r>
      <w:r>
        <w:rPr>
          <w:spacing w:val="-4"/>
          <w:sz w:val="16"/>
          <w:szCs w:val="16"/>
        </w:rPr>
        <w:t>−</w:t>
      </w:r>
      <w:r w:rsidRPr="00025BDC">
        <w:rPr>
          <w:spacing w:val="-4"/>
          <w:sz w:val="16"/>
          <w:szCs w:val="16"/>
        </w:rPr>
        <w:t>40 %), Velké Británie (</w:t>
      </w:r>
      <w:r>
        <w:rPr>
          <w:spacing w:val="-4"/>
          <w:sz w:val="16"/>
          <w:szCs w:val="16"/>
        </w:rPr>
        <w:t>−</w:t>
      </w:r>
      <w:r w:rsidRPr="00025BDC">
        <w:rPr>
          <w:spacing w:val="-4"/>
          <w:sz w:val="16"/>
          <w:szCs w:val="16"/>
        </w:rPr>
        <w:t>32 %). Francie (</w:t>
      </w:r>
      <w:r>
        <w:rPr>
          <w:spacing w:val="-4"/>
          <w:sz w:val="16"/>
          <w:szCs w:val="16"/>
        </w:rPr>
        <w:t>−</w:t>
      </w:r>
      <w:r w:rsidRPr="00025BDC">
        <w:rPr>
          <w:spacing w:val="-4"/>
          <w:sz w:val="16"/>
          <w:szCs w:val="16"/>
        </w:rPr>
        <w:t>27 %) a Itálie (</w:t>
      </w:r>
      <w:r>
        <w:rPr>
          <w:spacing w:val="-4"/>
          <w:sz w:val="16"/>
          <w:szCs w:val="16"/>
        </w:rPr>
        <w:t>−</w:t>
      </w:r>
      <w:r w:rsidRPr="00025BDC">
        <w:rPr>
          <w:spacing w:val="-4"/>
          <w:sz w:val="16"/>
          <w:szCs w:val="16"/>
        </w:rPr>
        <w:t>26 %). Situaci tak za</w:t>
      </w:r>
      <w:r>
        <w:rPr>
          <w:spacing w:val="-4"/>
          <w:sz w:val="16"/>
          <w:szCs w:val="16"/>
        </w:rPr>
        <w:t>c</w:t>
      </w:r>
      <w:r w:rsidRPr="00025BDC">
        <w:rPr>
          <w:spacing w:val="-4"/>
          <w:sz w:val="16"/>
          <w:szCs w:val="16"/>
        </w:rPr>
        <w:t xml:space="preserve">hraňovali naši sousedé. Němců </w:t>
      </w:r>
      <w:r>
        <w:rPr>
          <w:spacing w:val="-4"/>
          <w:sz w:val="16"/>
          <w:szCs w:val="16"/>
        </w:rPr>
        <w:br/>
      </w:r>
      <w:r w:rsidRPr="00025BDC">
        <w:rPr>
          <w:spacing w:val="-4"/>
          <w:sz w:val="16"/>
          <w:szCs w:val="16"/>
        </w:rPr>
        <w:t>i Rakušanů přijelo srovnatelně jako ve 3. čtvrtletí 2019</w:t>
      </w:r>
      <w:r w:rsidR="001574FE">
        <w:rPr>
          <w:spacing w:val="-4"/>
          <w:sz w:val="16"/>
          <w:szCs w:val="16"/>
        </w:rPr>
        <w:t xml:space="preserve"> (582 tis., resp. 83</w:t>
      </w:r>
      <w:r w:rsidRPr="00025BDC">
        <w:rPr>
          <w:spacing w:val="-4"/>
          <w:sz w:val="16"/>
          <w:szCs w:val="16"/>
        </w:rPr>
        <w:t xml:space="preserve"> tis.), hostů z Polska či Slovenska dokonce lehce přibylo (+4 %, +15 %).</w:t>
      </w:r>
    </w:p>
  </w:footnote>
  <w:footnote w:id="40">
    <w:p w14:paraId="01ECF02F" w14:textId="77777777" w:rsidR="00F052D2" w:rsidRPr="00E04DF2" w:rsidRDefault="00F052D2" w:rsidP="00F052D2">
      <w:pPr>
        <w:pStyle w:val="Textpoznpodarou"/>
        <w:rPr>
          <w:spacing w:val="-5"/>
          <w:sz w:val="16"/>
          <w:szCs w:val="16"/>
        </w:rPr>
      </w:pPr>
      <w:r w:rsidRPr="00E04DF2">
        <w:rPr>
          <w:rStyle w:val="Znakapoznpodarou"/>
          <w:spacing w:val="-5"/>
          <w:sz w:val="16"/>
          <w:szCs w:val="16"/>
        </w:rPr>
        <w:footnoteRef/>
      </w:r>
      <w:r w:rsidRPr="00E04DF2">
        <w:rPr>
          <w:spacing w:val="-5"/>
          <w:sz w:val="16"/>
          <w:szCs w:val="16"/>
        </w:rPr>
        <w:t xml:space="preserve"> </w:t>
      </w:r>
      <w:r w:rsidRPr="00E04DF2">
        <w:rPr>
          <w:rFonts w:cs="Arial"/>
          <w:color w:val="0D0D0D" w:themeColor="text1" w:themeTint="F2"/>
          <w:spacing w:val="-5"/>
          <w:sz w:val="16"/>
          <w:szCs w:val="16"/>
        </w:rPr>
        <w:t xml:space="preserve">Lépe se vedlo segmentu filmové distribuce. Dle údajů </w:t>
      </w:r>
      <w:r w:rsidRPr="00E04DF2">
        <w:rPr>
          <w:spacing w:val="-5"/>
          <w:sz w:val="16"/>
          <w:szCs w:val="16"/>
        </w:rPr>
        <w:t>Unie filmových distributorů vzrostly v letošním 3. čtvrtletí tržby provozovatelů tuzemských kin meziročně o 6,8 %. V úhrnu od počátku roku byly vyšší o 165 % (loni od ledna do května kina prakticky nehrála), ve srovnání se stejným obdobím roku 2019 ale tržby o 16 % zaostávaly (návštěvnost dokonce o 22 %, avšak počet odehraných představení byl nižší jen o 3 %).</w:t>
      </w:r>
    </w:p>
  </w:footnote>
  <w:footnote w:id="41">
    <w:p w14:paraId="79C6DBAA" w14:textId="77777777" w:rsidR="00F052D2" w:rsidRPr="00EB7D87" w:rsidRDefault="00F052D2" w:rsidP="00F052D2">
      <w:pPr>
        <w:spacing w:after="0" w:line="240" w:lineRule="auto"/>
        <w:jc w:val="left"/>
        <w:rPr>
          <w:spacing w:val="-2"/>
        </w:rPr>
      </w:pPr>
      <w:r w:rsidRPr="00EB7D87">
        <w:rPr>
          <w:rStyle w:val="Znakapoznpodarou"/>
          <w:color w:val="0D0D0D" w:themeColor="text1" w:themeTint="F2"/>
          <w:spacing w:val="-2"/>
          <w:sz w:val="16"/>
          <w:szCs w:val="16"/>
        </w:rPr>
        <w:footnoteRef/>
      </w:r>
      <w:r w:rsidRPr="00EB7D87">
        <w:rPr>
          <w:color w:val="0D0D0D" w:themeColor="text1" w:themeTint="F2"/>
          <w:spacing w:val="-2"/>
          <w:sz w:val="16"/>
          <w:szCs w:val="16"/>
        </w:rPr>
        <w:t xml:space="preserve"> Všechna meziroční tempa tržeb za maloobchod jsou uvedena ve stálých cenách a očištěna o kalendářní vlivy, mezičtvrtletní </w:t>
      </w:r>
      <w:r>
        <w:rPr>
          <w:color w:val="0D0D0D" w:themeColor="text1" w:themeTint="F2"/>
          <w:spacing w:val="-2"/>
          <w:sz w:val="16"/>
          <w:szCs w:val="16"/>
        </w:rPr>
        <w:br/>
        <w:t>i meziměsíční</w:t>
      </w:r>
      <w:r w:rsidRPr="00EB7D87">
        <w:rPr>
          <w:color w:val="0D0D0D" w:themeColor="text1" w:themeTint="F2"/>
          <w:spacing w:val="-2"/>
          <w:sz w:val="16"/>
          <w:szCs w:val="16"/>
        </w:rPr>
        <w:t xml:space="preserve"> tempa jsou očištěna o sezónní vlivy (včetně vlivu počtu pracovních dnů). Maloobchod zahrnuje odvětví CZ-NACE 47.</w:t>
      </w:r>
    </w:p>
  </w:footnote>
  <w:footnote w:id="42">
    <w:p w14:paraId="5CE6097C" w14:textId="77777777" w:rsidR="00F052D2" w:rsidRPr="00AE771C" w:rsidRDefault="00F052D2" w:rsidP="00F052D2">
      <w:pPr>
        <w:pStyle w:val="Textpoznpodarou"/>
        <w:rPr>
          <w:sz w:val="16"/>
          <w:szCs w:val="16"/>
        </w:rPr>
      </w:pPr>
      <w:r w:rsidRPr="00AE771C">
        <w:rPr>
          <w:rStyle w:val="Znakapoznpodarou"/>
          <w:sz w:val="16"/>
          <w:szCs w:val="16"/>
        </w:rPr>
        <w:footnoteRef/>
      </w:r>
      <w:r w:rsidRPr="00AE771C">
        <w:rPr>
          <w:sz w:val="16"/>
          <w:szCs w:val="16"/>
        </w:rPr>
        <w:t xml:space="preserve"> To mohlo souviset s návratem občanů ze zahraničních dovolených i s výplatou </w:t>
      </w:r>
      <w:r w:rsidRPr="00AE771C">
        <w:rPr>
          <w:spacing w:val="-4"/>
          <w:sz w:val="16"/>
          <w:szCs w:val="16"/>
        </w:rPr>
        <w:t>jednorázového příspěvku</w:t>
      </w:r>
      <w:r>
        <w:rPr>
          <w:spacing w:val="-4"/>
          <w:sz w:val="16"/>
          <w:szCs w:val="16"/>
        </w:rPr>
        <w:t xml:space="preserve"> </w:t>
      </w:r>
      <w:r w:rsidRPr="00AE771C">
        <w:rPr>
          <w:sz w:val="16"/>
          <w:szCs w:val="16"/>
        </w:rPr>
        <w:t>(ve výši 5 tis. korun za každé dítě) rodinám</w:t>
      </w:r>
      <w:r>
        <w:rPr>
          <w:sz w:val="16"/>
          <w:szCs w:val="16"/>
        </w:rPr>
        <w:t xml:space="preserve"> se středními a nižšími příjmy </w:t>
      </w:r>
      <w:r w:rsidRPr="00AE771C">
        <w:rPr>
          <w:sz w:val="16"/>
          <w:szCs w:val="16"/>
        </w:rPr>
        <w:t>s cílem částečně kompenzovat rostoucí ceny energií, potravin a dalších potřeb. Od srpna do září bylo letos takto vyplaceno 5,7 mld. korun.</w:t>
      </w:r>
      <w:r>
        <w:rPr>
          <w:sz w:val="16"/>
          <w:szCs w:val="16"/>
        </w:rPr>
        <w:t xml:space="preserve"> V říjnu 2022 se maloobchodní tržby opět vrátily k meziměsíčnímu poklesu (−1,8 %).</w:t>
      </w:r>
    </w:p>
  </w:footnote>
  <w:footnote w:id="43">
    <w:p w14:paraId="0006CD37" w14:textId="77777777" w:rsidR="00F052D2" w:rsidRPr="001A735C" w:rsidRDefault="00F052D2" w:rsidP="00F052D2">
      <w:pPr>
        <w:pStyle w:val="Textpoznpodarou"/>
        <w:rPr>
          <w:sz w:val="16"/>
          <w:szCs w:val="16"/>
        </w:rPr>
      </w:pPr>
      <w:r w:rsidRPr="001A735C">
        <w:rPr>
          <w:rStyle w:val="Znakapoznpodarou"/>
          <w:sz w:val="16"/>
          <w:szCs w:val="16"/>
        </w:rPr>
        <w:footnoteRef/>
      </w:r>
      <w:r w:rsidRPr="001A735C">
        <w:rPr>
          <w:sz w:val="16"/>
          <w:szCs w:val="16"/>
        </w:rPr>
        <w:t xml:space="preserve"> Ten činil ve 2. čtvrtletí </w:t>
      </w:r>
      <w:r>
        <w:rPr>
          <w:sz w:val="16"/>
          <w:szCs w:val="16"/>
        </w:rPr>
        <w:t xml:space="preserve">2022 </w:t>
      </w:r>
      <w:r w:rsidRPr="001A735C">
        <w:rPr>
          <w:sz w:val="16"/>
          <w:szCs w:val="16"/>
        </w:rPr>
        <w:t>rekordních 6,4 %.</w:t>
      </w:r>
    </w:p>
  </w:footnote>
  <w:footnote w:id="44">
    <w:p w14:paraId="1FFB716D" w14:textId="77777777" w:rsidR="00F052D2" w:rsidRPr="00B00348" w:rsidRDefault="00F052D2" w:rsidP="00F052D2">
      <w:pPr>
        <w:pStyle w:val="Textpoznpodarou"/>
        <w:rPr>
          <w:sz w:val="16"/>
          <w:szCs w:val="16"/>
        </w:rPr>
      </w:pPr>
      <w:r w:rsidRPr="00B00348">
        <w:rPr>
          <w:rStyle w:val="Znakapoznpodarou"/>
          <w:sz w:val="16"/>
          <w:szCs w:val="16"/>
        </w:rPr>
        <w:footnoteRef/>
      </w:r>
      <w:r w:rsidRPr="00B00348">
        <w:rPr>
          <w:sz w:val="16"/>
          <w:szCs w:val="16"/>
        </w:rPr>
        <w:t xml:space="preserve"> Vedle toho </w:t>
      </w:r>
      <w:r w:rsidRPr="00B00348">
        <w:rPr>
          <w:rFonts w:cs="Arial"/>
          <w:color w:val="0D0D0D" w:themeColor="text1" w:themeTint="F2"/>
          <w:spacing w:val="-4"/>
          <w:sz w:val="16"/>
          <w:szCs w:val="16"/>
        </w:rPr>
        <w:t xml:space="preserve">obavy lidí z růstu cen, které byly na počátku jara rekordní, v létě a na podzim mírně opadly. Narůstaly ovšem obavy z růstu nezaměstnanosti. Větší část domácností tak patrně začala omezovat své zbytné výdaje, ale i běžné nákupy zboží zasaženého vysokým cenovým růstem. </w:t>
      </w:r>
      <w:r>
        <w:rPr>
          <w:rFonts w:cs="Arial"/>
          <w:color w:val="0D0D0D" w:themeColor="text1" w:themeTint="F2"/>
          <w:spacing w:val="-4"/>
          <w:sz w:val="16"/>
          <w:szCs w:val="16"/>
        </w:rPr>
        <w:t xml:space="preserve">V některých příhraničních regionech patrně docházelo k častějším výjezdům za nákupy do sousedních zemí, zejména do Polska. </w:t>
      </w:r>
      <w:r w:rsidRPr="00B00348">
        <w:rPr>
          <w:rFonts w:cs="Arial"/>
          <w:color w:val="0D0D0D" w:themeColor="text1" w:themeTint="F2"/>
          <w:spacing w:val="-4"/>
          <w:sz w:val="16"/>
          <w:szCs w:val="16"/>
        </w:rPr>
        <w:t xml:space="preserve">Domácnosti deklarovaly </w:t>
      </w:r>
      <w:r>
        <w:rPr>
          <w:rFonts w:cs="Arial"/>
          <w:color w:val="0D0D0D" w:themeColor="text1" w:themeTint="F2"/>
          <w:spacing w:val="-4"/>
          <w:sz w:val="16"/>
          <w:szCs w:val="16"/>
        </w:rPr>
        <w:t xml:space="preserve">výrazně </w:t>
      </w:r>
      <w:r w:rsidRPr="00B00348">
        <w:rPr>
          <w:rFonts w:cs="Arial"/>
          <w:color w:val="0D0D0D" w:themeColor="text1" w:themeTint="F2"/>
          <w:spacing w:val="-4"/>
          <w:sz w:val="16"/>
          <w:szCs w:val="16"/>
        </w:rPr>
        <w:t xml:space="preserve">menší ochotu k pořizování velkých nákupů (např. automobily, </w:t>
      </w:r>
      <w:r>
        <w:rPr>
          <w:rFonts w:cs="Arial"/>
          <w:color w:val="0D0D0D" w:themeColor="text1" w:themeTint="F2"/>
          <w:spacing w:val="-4"/>
          <w:sz w:val="16"/>
          <w:szCs w:val="16"/>
        </w:rPr>
        <w:t>pořízení</w:t>
      </w:r>
      <w:r w:rsidRPr="00B00348">
        <w:rPr>
          <w:rFonts w:cs="Arial"/>
          <w:color w:val="0D0D0D" w:themeColor="text1" w:themeTint="F2"/>
          <w:spacing w:val="-4"/>
          <w:sz w:val="16"/>
          <w:szCs w:val="16"/>
        </w:rPr>
        <w:t xml:space="preserve"> či modernizace bytu).</w:t>
      </w:r>
      <w:r>
        <w:rPr>
          <w:rFonts w:cs="Arial"/>
          <w:color w:val="0D0D0D" w:themeColor="text1" w:themeTint="F2"/>
          <w:spacing w:val="-4"/>
          <w:sz w:val="16"/>
          <w:szCs w:val="16"/>
        </w:rPr>
        <w:t xml:space="preserve"> </w:t>
      </w:r>
    </w:p>
  </w:footnote>
  <w:footnote w:id="45">
    <w:p w14:paraId="0C3B3027" w14:textId="77777777" w:rsidR="00F052D2" w:rsidRPr="00E95B69" w:rsidRDefault="00F052D2" w:rsidP="00F052D2">
      <w:pPr>
        <w:pStyle w:val="Textpoznpodarou"/>
        <w:rPr>
          <w:spacing w:val="-2"/>
          <w:sz w:val="16"/>
          <w:szCs w:val="16"/>
        </w:rPr>
      </w:pPr>
      <w:r w:rsidRPr="00E95B69">
        <w:rPr>
          <w:rStyle w:val="Znakapoznpodarou"/>
          <w:spacing w:val="-2"/>
          <w:sz w:val="16"/>
          <w:szCs w:val="16"/>
        </w:rPr>
        <w:footnoteRef/>
      </w:r>
      <w:r w:rsidRPr="00E95B69">
        <w:rPr>
          <w:spacing w:val="-2"/>
          <w:sz w:val="16"/>
          <w:szCs w:val="16"/>
        </w:rPr>
        <w:t xml:space="preserve"> Saldo důvěry v odvětví </w:t>
      </w:r>
      <w:r>
        <w:rPr>
          <w:spacing w:val="-2"/>
          <w:sz w:val="16"/>
          <w:szCs w:val="16"/>
        </w:rPr>
        <w:t>obchodu bylo letos v podzimních měsících</w:t>
      </w:r>
      <w:r w:rsidRPr="00E95B69">
        <w:rPr>
          <w:spacing w:val="-2"/>
          <w:sz w:val="16"/>
          <w:szCs w:val="16"/>
        </w:rPr>
        <w:t xml:space="preserve"> srovnatelné s úrovní z období těšně před </w:t>
      </w:r>
      <w:r>
        <w:rPr>
          <w:spacing w:val="-2"/>
          <w:sz w:val="16"/>
          <w:szCs w:val="16"/>
        </w:rPr>
        <w:t xml:space="preserve">nástupem pandemie. I přes </w:t>
      </w:r>
      <w:r w:rsidRPr="00E95B69">
        <w:rPr>
          <w:spacing w:val="-2"/>
          <w:sz w:val="16"/>
          <w:szCs w:val="16"/>
        </w:rPr>
        <w:t xml:space="preserve">zhoršení </w:t>
      </w:r>
      <w:r>
        <w:rPr>
          <w:spacing w:val="-2"/>
          <w:sz w:val="16"/>
          <w:szCs w:val="16"/>
        </w:rPr>
        <w:t>během léta</w:t>
      </w:r>
      <w:r w:rsidRPr="00E95B69">
        <w:rPr>
          <w:spacing w:val="-2"/>
          <w:sz w:val="16"/>
          <w:szCs w:val="16"/>
        </w:rPr>
        <w:t xml:space="preserve"> vnímaly podniky svou současnou ekonomickou situaci stále pozitivně a </w:t>
      </w:r>
      <w:r>
        <w:rPr>
          <w:spacing w:val="-2"/>
          <w:sz w:val="16"/>
          <w:szCs w:val="16"/>
        </w:rPr>
        <w:t xml:space="preserve">mírně </w:t>
      </w:r>
      <w:r w:rsidRPr="00E95B69">
        <w:rPr>
          <w:spacing w:val="-2"/>
          <w:sz w:val="16"/>
          <w:szCs w:val="16"/>
        </w:rPr>
        <w:t>příznivé byly i</w:t>
      </w:r>
      <w:r>
        <w:rPr>
          <w:spacing w:val="-2"/>
          <w:sz w:val="16"/>
          <w:szCs w:val="16"/>
        </w:rPr>
        <w:t xml:space="preserve"> výhledy na nejbližší pololetí. To stvrzuje i fakt, že o</w:t>
      </w:r>
      <w:r w:rsidRPr="00E95B69">
        <w:rPr>
          <w:spacing w:val="-2"/>
          <w:sz w:val="16"/>
          <w:szCs w:val="16"/>
        </w:rPr>
        <w:t xml:space="preserve">bchodníci </w:t>
      </w:r>
      <w:r>
        <w:rPr>
          <w:spacing w:val="-2"/>
          <w:sz w:val="16"/>
          <w:szCs w:val="16"/>
        </w:rPr>
        <w:t xml:space="preserve">stále </w:t>
      </w:r>
      <w:r w:rsidRPr="00E95B69">
        <w:rPr>
          <w:spacing w:val="-2"/>
          <w:sz w:val="16"/>
          <w:szCs w:val="16"/>
        </w:rPr>
        <w:t>pláno</w:t>
      </w:r>
      <w:r>
        <w:rPr>
          <w:spacing w:val="-2"/>
          <w:sz w:val="16"/>
          <w:szCs w:val="16"/>
        </w:rPr>
        <w:t>vali nábor nových zaměstnanců častěji než jejich propouštění.</w:t>
      </w:r>
    </w:p>
  </w:footnote>
  <w:footnote w:id="46">
    <w:p w14:paraId="55B30934" w14:textId="77777777" w:rsidR="00F052D2" w:rsidRPr="00E334E0" w:rsidRDefault="00F052D2" w:rsidP="00F052D2">
      <w:pPr>
        <w:pStyle w:val="Textpoznpodarou"/>
        <w:rPr>
          <w:sz w:val="16"/>
          <w:szCs w:val="16"/>
        </w:rPr>
      </w:pPr>
      <w:r w:rsidRPr="00E334E0">
        <w:rPr>
          <w:rStyle w:val="Znakapoznpodarou"/>
          <w:sz w:val="16"/>
          <w:szCs w:val="16"/>
        </w:rPr>
        <w:footnoteRef/>
      </w:r>
      <w:r w:rsidRPr="00E334E0">
        <w:rPr>
          <w:sz w:val="16"/>
          <w:szCs w:val="16"/>
        </w:rPr>
        <w:t xml:space="preserve"> Jejich </w:t>
      </w:r>
      <w:r>
        <w:rPr>
          <w:sz w:val="16"/>
          <w:szCs w:val="16"/>
        </w:rPr>
        <w:t xml:space="preserve">spotřební </w:t>
      </w:r>
      <w:r w:rsidRPr="00E334E0">
        <w:rPr>
          <w:sz w:val="16"/>
          <w:szCs w:val="16"/>
        </w:rPr>
        <w:t xml:space="preserve">výdaje vzrostly za tři letošní čtvrtletí meziročně skoro o polovinu (proti roku 2019 byly ovšem stále o více než 40 % nižší). Na celkových spotřebních výdajích domácností na území ČR se ve 3. čtvrtletí podílely 4 %. </w:t>
      </w:r>
    </w:p>
  </w:footnote>
  <w:footnote w:id="47">
    <w:p w14:paraId="50750334" w14:textId="77777777" w:rsidR="00F052D2" w:rsidRPr="002F594F" w:rsidRDefault="00F052D2" w:rsidP="00F052D2">
      <w:pPr>
        <w:pStyle w:val="Textpoznpodarou"/>
        <w:rPr>
          <w:sz w:val="16"/>
          <w:szCs w:val="16"/>
        </w:rPr>
      </w:pPr>
      <w:r w:rsidRPr="002F594F">
        <w:rPr>
          <w:rStyle w:val="Znakapoznpodarou"/>
          <w:sz w:val="16"/>
          <w:szCs w:val="16"/>
        </w:rPr>
        <w:footnoteRef/>
      </w:r>
      <w:r w:rsidRPr="002F594F">
        <w:rPr>
          <w:sz w:val="16"/>
          <w:szCs w:val="16"/>
        </w:rPr>
        <w:t xml:space="preserve"> Zahrnují zejména prodejny s textilem, koberci, nábytkem, elektrospotřebiči, elektronikou, železářským zbožím a potřeby pro kutily.</w:t>
      </w:r>
    </w:p>
  </w:footnote>
  <w:footnote w:id="48">
    <w:p w14:paraId="3408D0A3" w14:textId="77777777" w:rsidR="00F052D2" w:rsidRPr="00F970FB" w:rsidRDefault="00F052D2" w:rsidP="00F052D2">
      <w:pPr>
        <w:pStyle w:val="Textpoznpodarou"/>
        <w:rPr>
          <w:sz w:val="16"/>
          <w:szCs w:val="16"/>
        </w:rPr>
      </w:pPr>
      <w:r w:rsidRPr="00F970FB">
        <w:rPr>
          <w:rStyle w:val="Znakapoznpodarou"/>
          <w:sz w:val="16"/>
          <w:szCs w:val="16"/>
        </w:rPr>
        <w:footnoteRef/>
      </w:r>
      <w:r w:rsidRPr="00F970FB">
        <w:rPr>
          <w:sz w:val="16"/>
          <w:szCs w:val="16"/>
        </w:rPr>
        <w:t xml:space="preserve"> Poptávku </w:t>
      </w:r>
      <w:r>
        <w:rPr>
          <w:sz w:val="16"/>
          <w:szCs w:val="16"/>
        </w:rPr>
        <w:t xml:space="preserve">patrně </w:t>
      </w:r>
      <w:r w:rsidRPr="00F970FB">
        <w:rPr>
          <w:sz w:val="16"/>
          <w:szCs w:val="16"/>
        </w:rPr>
        <w:t xml:space="preserve">stimuloval (vedle stále ne zcela vyřešené pandemické situace) i relativně nízký cenový růst tohoto sortimentu. </w:t>
      </w:r>
    </w:p>
  </w:footnote>
  <w:footnote w:id="49">
    <w:p w14:paraId="5138C286" w14:textId="77777777" w:rsidR="00F052D2" w:rsidRPr="00EF7210" w:rsidRDefault="00F052D2" w:rsidP="00F052D2">
      <w:pPr>
        <w:pStyle w:val="Textpoznpodarou"/>
        <w:rPr>
          <w:sz w:val="16"/>
          <w:szCs w:val="16"/>
        </w:rPr>
      </w:pPr>
      <w:r w:rsidRPr="00EF7210">
        <w:rPr>
          <w:rStyle w:val="Znakapoznpodarou"/>
          <w:sz w:val="16"/>
          <w:szCs w:val="16"/>
        </w:rPr>
        <w:footnoteRef/>
      </w:r>
      <w:r w:rsidRPr="00EF7210">
        <w:rPr>
          <w:sz w:val="16"/>
          <w:szCs w:val="16"/>
        </w:rPr>
        <w:t xml:space="preserve"> V potravinářských řetězcích (s ročním obratem nad</w:t>
      </w:r>
      <w:r>
        <w:rPr>
          <w:sz w:val="16"/>
          <w:szCs w:val="16"/>
        </w:rPr>
        <w:t xml:space="preserve"> 15 mld. korun</w:t>
      </w:r>
      <w:r w:rsidRPr="00EF7210">
        <w:rPr>
          <w:sz w:val="16"/>
          <w:szCs w:val="16"/>
        </w:rPr>
        <w:t xml:space="preserve">) </w:t>
      </w:r>
      <w:r>
        <w:rPr>
          <w:sz w:val="16"/>
          <w:szCs w:val="16"/>
        </w:rPr>
        <w:t xml:space="preserve">v </w:t>
      </w:r>
      <w:r w:rsidRPr="00EF7210">
        <w:rPr>
          <w:sz w:val="16"/>
          <w:szCs w:val="16"/>
        </w:rPr>
        <w:t xml:space="preserve">1. až 3. čtvrtletí 2022 patrně reálně meziročně klesly tržby ve většině hlavních sortimentních skupin. </w:t>
      </w:r>
      <w:r>
        <w:rPr>
          <w:sz w:val="16"/>
          <w:szCs w:val="16"/>
        </w:rPr>
        <w:t>U alkoholických nápojů byl registrován drobný pokles dokonce i v běžných cenách (−0,3 %). Prodej pohonných hmot (PHM) v řetězcích ale vzrostl (nominálně o 47 %, růst spotřebitelských cen PHM v celé ekonomice činil 38 %). Tržby za prodej PHM ovšem tvořily pouze 2,3 % celkových tržeb za zboží v řetězcích.</w:t>
      </w:r>
    </w:p>
  </w:footnote>
  <w:footnote w:id="50">
    <w:p w14:paraId="098B6932" w14:textId="77777777" w:rsidR="00F052D2" w:rsidRPr="00E95B69" w:rsidRDefault="00F052D2" w:rsidP="00F052D2">
      <w:pPr>
        <w:pStyle w:val="Textpoznpodarou"/>
        <w:rPr>
          <w:spacing w:val="-5"/>
          <w:sz w:val="16"/>
          <w:szCs w:val="16"/>
        </w:rPr>
      </w:pPr>
      <w:r w:rsidRPr="00E95B69">
        <w:rPr>
          <w:rStyle w:val="Znakapoznpodarou"/>
          <w:spacing w:val="-5"/>
          <w:sz w:val="16"/>
          <w:szCs w:val="16"/>
        </w:rPr>
        <w:footnoteRef/>
      </w:r>
      <w:r w:rsidRPr="00E95B69">
        <w:rPr>
          <w:spacing w:val="-5"/>
          <w:sz w:val="16"/>
          <w:szCs w:val="16"/>
        </w:rPr>
        <w:t xml:space="preserve"> N</w:t>
      </w:r>
      <w:r>
        <w:rPr>
          <w:spacing w:val="-5"/>
          <w:sz w:val="16"/>
          <w:szCs w:val="16"/>
        </w:rPr>
        <w:t>ižší spotřeba PHM souvisela s ce</w:t>
      </w:r>
      <w:r w:rsidRPr="00E95B69">
        <w:rPr>
          <w:spacing w:val="-5"/>
          <w:sz w:val="16"/>
          <w:szCs w:val="16"/>
        </w:rPr>
        <w:t xml:space="preserve">novou eskalací </w:t>
      </w:r>
      <w:r>
        <w:rPr>
          <w:spacing w:val="-5"/>
          <w:sz w:val="16"/>
          <w:szCs w:val="16"/>
        </w:rPr>
        <w:t>podpořenou</w:t>
      </w:r>
      <w:r w:rsidRPr="00E95B69">
        <w:rPr>
          <w:spacing w:val="-5"/>
          <w:sz w:val="16"/>
          <w:szCs w:val="16"/>
        </w:rPr>
        <w:t xml:space="preserve"> válkou na Ukrajině. </w:t>
      </w:r>
      <w:r w:rsidRPr="00E95B69">
        <w:rPr>
          <w:spacing w:val="-6"/>
          <w:sz w:val="16"/>
          <w:szCs w:val="16"/>
        </w:rPr>
        <w:t>Tržby za PHM v běžnýc</w:t>
      </w:r>
      <w:r>
        <w:rPr>
          <w:spacing w:val="-6"/>
          <w:sz w:val="16"/>
          <w:szCs w:val="16"/>
        </w:rPr>
        <w:t>h cenách vzrostly meziročně ve 2.</w:t>
      </w:r>
      <w:r>
        <w:rPr>
          <w:sz w:val="16"/>
          <w:szCs w:val="16"/>
        </w:rPr>
        <w:t> </w:t>
      </w:r>
      <w:r>
        <w:rPr>
          <w:spacing w:val="-6"/>
          <w:sz w:val="16"/>
          <w:szCs w:val="16"/>
        </w:rPr>
        <w:t>čtvrtletí o 38 %, ve 3. čtvrtletí o 20 %.</w:t>
      </w:r>
    </w:p>
  </w:footnote>
  <w:footnote w:id="51">
    <w:p w14:paraId="4948B517" w14:textId="77777777" w:rsidR="00275E43" w:rsidRPr="004E0CF8" w:rsidRDefault="00275E43" w:rsidP="00050541">
      <w:pPr>
        <w:pStyle w:val="Textpoznpodarou"/>
        <w:rPr>
          <w:sz w:val="16"/>
          <w:szCs w:val="16"/>
        </w:rPr>
      </w:pPr>
      <w:r w:rsidRPr="004E0CF8">
        <w:rPr>
          <w:rStyle w:val="Znakapoznpodarou"/>
          <w:sz w:val="16"/>
          <w:szCs w:val="16"/>
        </w:rPr>
        <w:footnoteRef/>
      </w:r>
      <w:r w:rsidRPr="004E0CF8">
        <w:rPr>
          <w:sz w:val="16"/>
          <w:szCs w:val="16"/>
        </w:rPr>
        <w:t xml:space="preserve"> Není-li uvedeno jinak, jsou všechny údaje sezónně neočištěné a v běžných cenách.</w:t>
      </w:r>
    </w:p>
  </w:footnote>
  <w:footnote w:id="52">
    <w:p w14:paraId="05581956" w14:textId="77777777" w:rsidR="00275E43" w:rsidRPr="00DE472F" w:rsidRDefault="00275E43" w:rsidP="00050541">
      <w:pPr>
        <w:pStyle w:val="Textpoznpodarou"/>
        <w:rPr>
          <w:sz w:val="16"/>
          <w:szCs w:val="16"/>
        </w:rPr>
      </w:pPr>
      <w:r w:rsidRPr="00DE472F">
        <w:rPr>
          <w:rStyle w:val="Znakapoznpodarou"/>
          <w:sz w:val="16"/>
          <w:szCs w:val="16"/>
        </w:rPr>
        <w:footnoteRef/>
      </w:r>
      <w:r w:rsidRPr="00DE472F">
        <w:rPr>
          <w:sz w:val="16"/>
          <w:szCs w:val="16"/>
        </w:rPr>
        <w:t xml:space="preserve"> Meziroční nárůst hodnoty vývozu elektřiny, plynu, páry a klimatizovaného vzduchu na Slovensko dosáhl </w:t>
      </w:r>
      <w:r>
        <w:rPr>
          <w:sz w:val="16"/>
          <w:szCs w:val="16"/>
        </w:rPr>
        <w:t>5,1</w:t>
      </w:r>
      <w:r w:rsidRPr="00DE472F">
        <w:rPr>
          <w:sz w:val="16"/>
          <w:szCs w:val="16"/>
        </w:rPr>
        <w:t xml:space="preserve"> mld. korun a do Německa </w:t>
      </w:r>
      <w:r>
        <w:rPr>
          <w:sz w:val="16"/>
          <w:szCs w:val="16"/>
        </w:rPr>
        <w:t>16,5</w:t>
      </w:r>
      <w:r w:rsidRPr="00DE472F">
        <w:rPr>
          <w:sz w:val="16"/>
          <w:szCs w:val="16"/>
        </w:rPr>
        <w:t xml:space="preserve"> mld.    </w:t>
      </w:r>
    </w:p>
  </w:footnote>
  <w:footnote w:id="53">
    <w:p w14:paraId="489FB2D1" w14:textId="77777777" w:rsidR="00275E43" w:rsidRPr="00114669" w:rsidRDefault="00275E43" w:rsidP="00E41131">
      <w:pPr>
        <w:pStyle w:val="Textpoznpodarou"/>
        <w:rPr>
          <w:sz w:val="16"/>
          <w:szCs w:val="16"/>
        </w:rPr>
      </w:pPr>
      <w:r w:rsidRPr="000A4298">
        <w:rPr>
          <w:rStyle w:val="Znakapoznpodarou"/>
          <w:sz w:val="16"/>
          <w:szCs w:val="16"/>
        </w:rPr>
        <w:footnoteRef/>
      </w:r>
      <w:r>
        <w:rPr>
          <w:sz w:val="16"/>
          <w:szCs w:val="16"/>
        </w:rPr>
        <w:t xml:space="preserve"> I</w:t>
      </w:r>
      <w:r w:rsidRPr="000A4298">
        <w:rPr>
          <w:sz w:val="16"/>
          <w:szCs w:val="16"/>
        </w:rPr>
        <w:t>mputované nájemné vyjadřuje náklady vlastnického bydlení.</w:t>
      </w:r>
      <w:r>
        <w:rPr>
          <w:sz w:val="16"/>
          <w:szCs w:val="16"/>
        </w:rPr>
        <w:t xml:space="preserve"> Kromě samotných cen bydlení zahrnuje i náklady na výstavbu a renovace a další poplatky. Více na:</w:t>
      </w:r>
      <w:r w:rsidRPr="000A4298">
        <w:rPr>
          <w:sz w:val="16"/>
          <w:szCs w:val="16"/>
        </w:rPr>
        <w:t xml:space="preserve"> </w:t>
      </w:r>
      <w:hyperlink r:id="rId1" w:history="1">
        <w:r w:rsidRPr="000A4298">
          <w:rPr>
            <w:rStyle w:val="Hypertextovodkaz"/>
            <w:sz w:val="16"/>
            <w:szCs w:val="16"/>
          </w:rPr>
          <w:t>https://www.czso.cz/csu/czso/metodicka-poznamka-k-indexu-spotrebitelskych-cen-imputovane-najemne</w:t>
        </w:r>
      </w:hyperlink>
      <w:r>
        <w:rPr>
          <w:rStyle w:val="Hypertextovodkaz"/>
          <w:sz w:val="16"/>
          <w:szCs w:val="16"/>
          <w:u w:val="none"/>
        </w:rPr>
        <w:t>.</w:t>
      </w:r>
    </w:p>
  </w:footnote>
  <w:footnote w:id="54">
    <w:p w14:paraId="319BE2A7" w14:textId="77777777" w:rsidR="00275E43" w:rsidRPr="00720921" w:rsidRDefault="00275E43" w:rsidP="00E41131">
      <w:pPr>
        <w:pStyle w:val="Textpoznpodarou"/>
        <w:rPr>
          <w:sz w:val="16"/>
          <w:szCs w:val="16"/>
        </w:rPr>
      </w:pPr>
      <w:r w:rsidRPr="00720921">
        <w:rPr>
          <w:rStyle w:val="Znakapoznpodarou"/>
          <w:sz w:val="16"/>
          <w:szCs w:val="16"/>
        </w:rPr>
        <w:footnoteRef/>
      </w:r>
      <w:r w:rsidRPr="00720921">
        <w:rPr>
          <w:sz w:val="16"/>
          <w:szCs w:val="16"/>
        </w:rPr>
        <w:t xml:space="preserve"> Zahrnuje služby osobní péče</w:t>
      </w:r>
      <w:r>
        <w:rPr>
          <w:sz w:val="16"/>
          <w:szCs w:val="16"/>
        </w:rPr>
        <w:t xml:space="preserve"> a osobní potřeby a doplňky</w:t>
      </w:r>
      <w:r w:rsidRPr="00720921">
        <w:rPr>
          <w:sz w:val="16"/>
          <w:szCs w:val="16"/>
        </w:rPr>
        <w:t xml:space="preserve">, sociální péči, pojištění a další finanční </w:t>
      </w:r>
      <w:proofErr w:type="gramStart"/>
      <w:r w:rsidRPr="00720921">
        <w:rPr>
          <w:sz w:val="16"/>
          <w:szCs w:val="16"/>
        </w:rPr>
        <w:t>služby,</w:t>
      </w:r>
      <w:proofErr w:type="gramEnd"/>
      <w:r w:rsidRPr="00720921">
        <w:rPr>
          <w:sz w:val="16"/>
          <w:szCs w:val="16"/>
        </w:rPr>
        <w:t xml:space="preserve"> apod.</w:t>
      </w:r>
    </w:p>
  </w:footnote>
  <w:footnote w:id="55">
    <w:p w14:paraId="4452FBA2" w14:textId="77777777" w:rsidR="00275E43" w:rsidRPr="00C055FA" w:rsidRDefault="00275E43" w:rsidP="00E41131">
      <w:pPr>
        <w:pStyle w:val="Textpoznpodarou"/>
        <w:rPr>
          <w:sz w:val="16"/>
          <w:szCs w:val="16"/>
        </w:rPr>
      </w:pPr>
      <w:r w:rsidRPr="00C055FA">
        <w:rPr>
          <w:rStyle w:val="Znakapoznpodarou"/>
          <w:sz w:val="16"/>
          <w:szCs w:val="16"/>
        </w:rPr>
        <w:footnoteRef/>
      </w:r>
      <w:r w:rsidRPr="00C055FA">
        <w:rPr>
          <w:sz w:val="16"/>
          <w:szCs w:val="16"/>
        </w:rPr>
        <w:t xml:space="preserve"> </w:t>
      </w:r>
      <w:r>
        <w:rPr>
          <w:sz w:val="16"/>
          <w:szCs w:val="16"/>
        </w:rPr>
        <w:t xml:space="preserve">Oproti indexu spotřebitelských cen, který ČSÚ pro českou ekonomiku sestavuje, </w:t>
      </w:r>
      <w:r w:rsidRPr="00C055FA">
        <w:rPr>
          <w:sz w:val="16"/>
          <w:szCs w:val="16"/>
        </w:rPr>
        <w:t>HICP neobsahuje imputované nájemné</w:t>
      </w:r>
      <w:r>
        <w:rPr>
          <w:sz w:val="16"/>
          <w:szCs w:val="16"/>
        </w:rPr>
        <w:t>, což je hlavním důvodem aktuálního rozdílu mezi naměřenými tempy růstu cen</w:t>
      </w:r>
      <w:r w:rsidRPr="00C055FA">
        <w:rPr>
          <w:sz w:val="16"/>
          <w:szCs w:val="16"/>
        </w:rPr>
        <w:t>.</w:t>
      </w:r>
    </w:p>
  </w:footnote>
  <w:footnote w:id="56">
    <w:p w14:paraId="3E8C3CF5" w14:textId="77777777" w:rsidR="00275E43" w:rsidRPr="005F66A4" w:rsidRDefault="00275E43" w:rsidP="00E41131">
      <w:pPr>
        <w:pStyle w:val="Textpoznpodarou"/>
        <w:rPr>
          <w:sz w:val="16"/>
          <w:szCs w:val="16"/>
        </w:rPr>
      </w:pPr>
      <w:r w:rsidRPr="005F66A4">
        <w:rPr>
          <w:rStyle w:val="Znakapoznpodarou"/>
          <w:sz w:val="16"/>
          <w:szCs w:val="16"/>
        </w:rPr>
        <w:footnoteRef/>
      </w:r>
      <w:r w:rsidRPr="005F66A4">
        <w:rPr>
          <w:sz w:val="16"/>
          <w:szCs w:val="16"/>
        </w:rPr>
        <w:t xml:space="preserve"> </w:t>
      </w:r>
      <w:r>
        <w:rPr>
          <w:sz w:val="16"/>
          <w:szCs w:val="16"/>
        </w:rPr>
        <w:t>Přesné hodnoty ukazatele nejsou uvedeny kvůli ochraně i</w:t>
      </w:r>
      <w:r w:rsidRPr="005F66A4">
        <w:rPr>
          <w:sz w:val="16"/>
          <w:szCs w:val="16"/>
        </w:rPr>
        <w:t>ndividuální</w:t>
      </w:r>
      <w:r>
        <w:rPr>
          <w:sz w:val="16"/>
          <w:szCs w:val="16"/>
        </w:rPr>
        <w:t>ch</w:t>
      </w:r>
      <w:r w:rsidRPr="005F66A4">
        <w:rPr>
          <w:sz w:val="16"/>
          <w:szCs w:val="16"/>
        </w:rPr>
        <w:t xml:space="preserve"> dat.</w:t>
      </w:r>
    </w:p>
  </w:footnote>
  <w:footnote w:id="57">
    <w:p w14:paraId="250B6B4E" w14:textId="77777777" w:rsidR="00275E43" w:rsidRPr="000C5F73" w:rsidRDefault="00275E43" w:rsidP="00E41131">
      <w:pPr>
        <w:pStyle w:val="Textpoznpodarou"/>
        <w:rPr>
          <w:sz w:val="16"/>
          <w:szCs w:val="16"/>
        </w:rPr>
      </w:pPr>
      <w:r w:rsidRPr="000C5F73">
        <w:rPr>
          <w:rStyle w:val="Znakapoznpodarou"/>
          <w:sz w:val="16"/>
          <w:szCs w:val="16"/>
        </w:rPr>
        <w:footnoteRef/>
      </w:r>
      <w:r w:rsidRPr="000C5F73">
        <w:rPr>
          <w:sz w:val="16"/>
          <w:szCs w:val="16"/>
        </w:rPr>
        <w:t xml:space="preserve"> Bez cen zásobování vodou a</w:t>
      </w:r>
      <w:r>
        <w:rPr>
          <w:sz w:val="16"/>
          <w:szCs w:val="16"/>
        </w:rPr>
        <w:t> </w:t>
      </w:r>
      <w:r w:rsidRPr="000C5F73">
        <w:rPr>
          <w:sz w:val="16"/>
          <w:szCs w:val="16"/>
        </w:rPr>
        <w:t>služeb souvisejících s odpadními vodami.</w:t>
      </w:r>
    </w:p>
  </w:footnote>
  <w:footnote w:id="58">
    <w:p w14:paraId="4220632E" w14:textId="77777777" w:rsidR="00275E43" w:rsidRPr="00C11C5A" w:rsidRDefault="00275E43" w:rsidP="00E41131">
      <w:pPr>
        <w:pStyle w:val="Textpoznpodarou"/>
        <w:rPr>
          <w:sz w:val="16"/>
          <w:szCs w:val="16"/>
        </w:rPr>
      </w:pPr>
      <w:r w:rsidRPr="00C11C5A">
        <w:rPr>
          <w:rStyle w:val="Znakapoznpodarou"/>
          <w:sz w:val="16"/>
          <w:szCs w:val="16"/>
        </w:rPr>
        <w:footnoteRef/>
      </w:r>
      <w:r>
        <w:rPr>
          <w:sz w:val="16"/>
          <w:szCs w:val="16"/>
        </w:rPr>
        <w:t xml:space="preserve"> Podle údajů ČNB dosáhl ve 3. čtvrtletí 2022 </w:t>
      </w:r>
      <w:r w:rsidRPr="00C11C5A">
        <w:rPr>
          <w:sz w:val="16"/>
          <w:szCs w:val="16"/>
        </w:rPr>
        <w:t xml:space="preserve">průměrný kurz koruny vůči euru </w:t>
      </w:r>
      <w:r>
        <w:rPr>
          <w:sz w:val="16"/>
          <w:szCs w:val="16"/>
        </w:rPr>
        <w:t>24,573 </w:t>
      </w:r>
      <w:r w:rsidRPr="00C11C5A">
        <w:rPr>
          <w:sz w:val="16"/>
          <w:szCs w:val="16"/>
        </w:rPr>
        <w:t xml:space="preserve">CZK/EUR. </w:t>
      </w:r>
      <w:r>
        <w:rPr>
          <w:sz w:val="16"/>
          <w:szCs w:val="16"/>
        </w:rPr>
        <w:t>Loni</w:t>
      </w:r>
      <w:r w:rsidRPr="00C11C5A">
        <w:rPr>
          <w:sz w:val="16"/>
          <w:szCs w:val="16"/>
        </w:rPr>
        <w:t xml:space="preserve"> to bylo </w:t>
      </w:r>
      <w:r>
        <w:rPr>
          <w:sz w:val="16"/>
          <w:szCs w:val="16"/>
        </w:rPr>
        <w:t>25,496 </w:t>
      </w:r>
      <w:r w:rsidRPr="00C11C5A">
        <w:rPr>
          <w:sz w:val="16"/>
          <w:szCs w:val="16"/>
        </w:rPr>
        <w:t xml:space="preserve">CZK/EUR. </w:t>
      </w:r>
      <w:r>
        <w:rPr>
          <w:sz w:val="16"/>
          <w:szCs w:val="16"/>
        </w:rPr>
        <w:t>Kurz dolaru meziročně výrazně oslabil</w:t>
      </w:r>
      <w:r w:rsidRPr="00C11C5A">
        <w:rPr>
          <w:sz w:val="16"/>
          <w:szCs w:val="16"/>
        </w:rPr>
        <w:t xml:space="preserve">. </w:t>
      </w:r>
      <w:r>
        <w:rPr>
          <w:sz w:val="16"/>
          <w:szCs w:val="16"/>
        </w:rPr>
        <w:t xml:space="preserve">Ve 3. čtvrtletí 2021 </w:t>
      </w:r>
      <w:r w:rsidRPr="00C11C5A">
        <w:rPr>
          <w:sz w:val="16"/>
          <w:szCs w:val="16"/>
        </w:rPr>
        <w:t xml:space="preserve">činil </w:t>
      </w:r>
      <w:r>
        <w:rPr>
          <w:sz w:val="16"/>
          <w:szCs w:val="16"/>
        </w:rPr>
        <w:t>průměr 21,629 </w:t>
      </w:r>
      <w:r w:rsidRPr="00C11C5A">
        <w:rPr>
          <w:sz w:val="16"/>
          <w:szCs w:val="16"/>
        </w:rPr>
        <w:t>CZK/USD</w:t>
      </w:r>
      <w:r>
        <w:rPr>
          <w:sz w:val="16"/>
          <w:szCs w:val="16"/>
        </w:rPr>
        <w:t xml:space="preserve"> a letos</w:t>
      </w:r>
      <w:r w:rsidRPr="00C11C5A">
        <w:rPr>
          <w:sz w:val="16"/>
          <w:szCs w:val="16"/>
        </w:rPr>
        <w:t xml:space="preserve"> 2</w:t>
      </w:r>
      <w:r>
        <w:rPr>
          <w:sz w:val="16"/>
          <w:szCs w:val="16"/>
        </w:rPr>
        <w:t>4</w:t>
      </w:r>
      <w:r w:rsidRPr="00C11C5A">
        <w:rPr>
          <w:sz w:val="16"/>
          <w:szCs w:val="16"/>
        </w:rPr>
        <w:t>,</w:t>
      </w:r>
      <w:r>
        <w:rPr>
          <w:sz w:val="16"/>
          <w:szCs w:val="16"/>
        </w:rPr>
        <w:t>402 </w:t>
      </w:r>
      <w:r w:rsidRPr="00C11C5A">
        <w:rPr>
          <w:sz w:val="16"/>
          <w:szCs w:val="16"/>
        </w:rPr>
        <w:t>CZK/U</w:t>
      </w:r>
      <w:r>
        <w:rPr>
          <w:sz w:val="16"/>
          <w:szCs w:val="16"/>
        </w:rPr>
        <w:t>SD</w:t>
      </w:r>
      <w:r w:rsidRPr="00C11C5A">
        <w:rPr>
          <w:sz w:val="16"/>
          <w:szCs w:val="16"/>
        </w:rPr>
        <w:t>.</w:t>
      </w:r>
    </w:p>
  </w:footnote>
  <w:footnote w:id="59">
    <w:p w14:paraId="6F89BF5D" w14:textId="77777777" w:rsidR="00275E43" w:rsidRPr="00940B11" w:rsidRDefault="00275E43" w:rsidP="00E41131">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r>
        <w:rPr>
          <w:sz w:val="16"/>
          <w:szCs w:val="16"/>
        </w:rPr>
        <w:t>.</w:t>
      </w:r>
    </w:p>
  </w:footnote>
  <w:footnote w:id="60">
    <w:p w14:paraId="127F42F5" w14:textId="77777777" w:rsidR="00275E43" w:rsidRPr="00940B11" w:rsidRDefault="00275E43" w:rsidP="00E41131">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r>
        <w:rPr>
          <w:sz w:val="16"/>
          <w:szCs w:val="16"/>
        </w:rPr>
        <w:t>.</w:t>
      </w:r>
    </w:p>
  </w:footnote>
  <w:footnote w:id="61">
    <w:p w14:paraId="0D40FE00" w14:textId="77777777" w:rsidR="001F6483" w:rsidRPr="00F72E52" w:rsidRDefault="001F6483" w:rsidP="001F6483">
      <w:pPr>
        <w:pStyle w:val="Textpoznpodarou"/>
        <w:jc w:val="both"/>
        <w:rPr>
          <w:color w:val="0D0D0D" w:themeColor="text1" w:themeTint="F2"/>
          <w:spacing w:val="-2"/>
          <w:sz w:val="16"/>
          <w:szCs w:val="16"/>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Údaje </w:t>
      </w:r>
      <w:r>
        <w:rPr>
          <w:color w:val="0D0D0D" w:themeColor="text1" w:themeTint="F2"/>
          <w:spacing w:val="-2"/>
          <w:sz w:val="16"/>
          <w:szCs w:val="16"/>
        </w:rPr>
        <w:t xml:space="preserve">o zaměstnanosti </w:t>
      </w:r>
      <w:r w:rsidRPr="00F72E52">
        <w:rPr>
          <w:color w:val="0D0D0D" w:themeColor="text1" w:themeTint="F2"/>
          <w:spacing w:val="-2"/>
          <w:sz w:val="16"/>
          <w:szCs w:val="16"/>
        </w:rPr>
        <w:t>vycház</w:t>
      </w:r>
      <w:r>
        <w:rPr>
          <w:color w:val="0D0D0D" w:themeColor="text1" w:themeTint="F2"/>
          <w:spacing w:val="-2"/>
          <w:sz w:val="16"/>
          <w:szCs w:val="16"/>
        </w:rPr>
        <w:t>ej</w:t>
      </w:r>
      <w:r w:rsidRPr="00F72E52">
        <w:rPr>
          <w:color w:val="0D0D0D" w:themeColor="text1" w:themeTint="F2"/>
          <w:spacing w:val="-2"/>
          <w:sz w:val="16"/>
          <w:szCs w:val="16"/>
        </w:rPr>
        <w:t>í z</w:t>
      </w:r>
      <w:r>
        <w:rPr>
          <w:color w:val="0D0D0D" w:themeColor="text1" w:themeTint="F2"/>
          <w:spacing w:val="-2"/>
          <w:sz w:val="16"/>
          <w:szCs w:val="16"/>
        </w:rPr>
        <w:t> </w:t>
      </w:r>
      <w:r w:rsidRPr="00F72E52">
        <w:rPr>
          <w:color w:val="0D0D0D" w:themeColor="text1" w:themeTint="F2"/>
          <w:spacing w:val="-2"/>
          <w:sz w:val="16"/>
          <w:szCs w:val="16"/>
        </w:rPr>
        <w:t>pojetí národních účtů. Jsou vyjádřeny ve fyzických osobách a</w:t>
      </w:r>
      <w:r>
        <w:rPr>
          <w:color w:val="0D0D0D" w:themeColor="text1" w:themeTint="F2"/>
          <w:spacing w:val="-2"/>
          <w:sz w:val="16"/>
          <w:szCs w:val="16"/>
        </w:rPr>
        <w:t> </w:t>
      </w:r>
      <w:r w:rsidRPr="00F72E52">
        <w:rPr>
          <w:color w:val="0D0D0D" w:themeColor="text1" w:themeTint="F2"/>
          <w:spacing w:val="-2"/>
          <w:sz w:val="16"/>
          <w:szCs w:val="16"/>
        </w:rPr>
        <w:t>očištěny o sezónní vlivy.</w:t>
      </w:r>
    </w:p>
  </w:footnote>
  <w:footnote w:id="62">
    <w:p w14:paraId="115D00F9" w14:textId="77777777" w:rsidR="001F6483" w:rsidRPr="00946AFA" w:rsidRDefault="001F6483" w:rsidP="001F6483">
      <w:pPr>
        <w:pStyle w:val="Textpoznpodarou"/>
        <w:rPr>
          <w:sz w:val="16"/>
          <w:szCs w:val="16"/>
        </w:rPr>
      </w:pPr>
      <w:r w:rsidRPr="00946AFA">
        <w:rPr>
          <w:rStyle w:val="Znakapoznpodarou"/>
          <w:sz w:val="16"/>
          <w:szCs w:val="16"/>
        </w:rPr>
        <w:footnoteRef/>
      </w:r>
      <w:r w:rsidRPr="00946AFA">
        <w:rPr>
          <w:sz w:val="16"/>
          <w:szCs w:val="16"/>
        </w:rPr>
        <w:t xml:space="preserve"> Z detailnějších </w:t>
      </w:r>
      <w:r>
        <w:rPr>
          <w:sz w:val="16"/>
          <w:szCs w:val="16"/>
        </w:rPr>
        <w:t xml:space="preserve">údajů z </w:t>
      </w:r>
      <w:r w:rsidRPr="00946AFA">
        <w:rPr>
          <w:sz w:val="16"/>
          <w:szCs w:val="16"/>
        </w:rPr>
        <w:t xml:space="preserve">výběrového šetření pracovních sil </w:t>
      </w:r>
      <w:r>
        <w:rPr>
          <w:sz w:val="16"/>
          <w:szCs w:val="16"/>
        </w:rPr>
        <w:t xml:space="preserve">(VŠPS) </w:t>
      </w:r>
      <w:r w:rsidRPr="00946AFA">
        <w:rPr>
          <w:sz w:val="16"/>
          <w:szCs w:val="16"/>
        </w:rPr>
        <w:t>plyne, že počet zaměstnavatel</w:t>
      </w:r>
      <w:r>
        <w:rPr>
          <w:sz w:val="16"/>
          <w:szCs w:val="16"/>
        </w:rPr>
        <w:t>ů (podnikatelů se zaměstnanci) se nadále snižoval (čtvrtým rokem v řadě). Tato kategorie podnikatelů je v metodice národních účtů řazena do kategorie zaměstnanců.</w:t>
      </w:r>
    </w:p>
  </w:footnote>
  <w:footnote w:id="63">
    <w:p w14:paraId="37FB020F" w14:textId="77777777" w:rsidR="001F6483" w:rsidRPr="00F72E52" w:rsidRDefault="001F6483" w:rsidP="001F6483">
      <w:pPr>
        <w:pStyle w:val="Textpoznpodarou"/>
        <w:jc w:val="both"/>
        <w:rPr>
          <w:color w:val="0D0D0D" w:themeColor="text1" w:themeTint="F2"/>
          <w:sz w:val="16"/>
          <w:szCs w:val="16"/>
        </w:rPr>
      </w:pPr>
      <w:r w:rsidRPr="00F72E52">
        <w:rPr>
          <w:rStyle w:val="Znakapoznpodarou"/>
          <w:color w:val="0D0D0D" w:themeColor="text1" w:themeTint="F2"/>
          <w:sz w:val="16"/>
          <w:szCs w:val="16"/>
        </w:rPr>
        <w:footnoteRef/>
      </w:r>
      <w:r w:rsidRPr="00F72E52">
        <w:rPr>
          <w:color w:val="0D0D0D" w:themeColor="text1" w:themeTint="F2"/>
          <w:sz w:val="16"/>
          <w:szCs w:val="16"/>
        </w:rPr>
        <w:t xml:space="preserve"> Odvětví s </w:t>
      </w:r>
      <w:r w:rsidRPr="009910EC">
        <w:rPr>
          <w:color w:val="0D0D0D" w:themeColor="text1" w:themeTint="F2"/>
          <w:sz w:val="16"/>
          <w:szCs w:val="16"/>
        </w:rPr>
        <w:t xml:space="preserve">převahou veřejných služeb, zahrnující veřejnou správu, obranu a sociální zabezpečení a také </w:t>
      </w:r>
      <w:r w:rsidRPr="009910EC">
        <w:rPr>
          <w:spacing w:val="-4"/>
          <w:sz w:val="16"/>
          <w:szCs w:val="16"/>
        </w:rPr>
        <w:t xml:space="preserve">vzdělávání i zdravotní a sociální péči, </w:t>
      </w:r>
      <w:r w:rsidRPr="009910EC">
        <w:rPr>
          <w:color w:val="0D0D0D" w:themeColor="text1" w:themeTint="F2"/>
          <w:sz w:val="16"/>
          <w:szCs w:val="16"/>
        </w:rPr>
        <w:t>působila</w:t>
      </w:r>
      <w:r w:rsidRPr="00F72E52">
        <w:rPr>
          <w:color w:val="0D0D0D" w:themeColor="text1" w:themeTint="F2"/>
          <w:sz w:val="16"/>
          <w:szCs w:val="16"/>
        </w:rPr>
        <w:t xml:space="preserve"> na celkovou zaměstnanost </w:t>
      </w:r>
      <w:proofErr w:type="spellStart"/>
      <w:r w:rsidRPr="00F72E52">
        <w:rPr>
          <w:color w:val="0D0D0D" w:themeColor="text1" w:themeTint="F2"/>
          <w:sz w:val="16"/>
          <w:szCs w:val="16"/>
        </w:rPr>
        <w:t>prorůstově</w:t>
      </w:r>
      <w:proofErr w:type="spellEnd"/>
      <w:r w:rsidRPr="00F72E52">
        <w:rPr>
          <w:color w:val="0D0D0D" w:themeColor="text1" w:themeTint="F2"/>
          <w:sz w:val="16"/>
          <w:szCs w:val="16"/>
        </w:rPr>
        <w:t xml:space="preserve"> nejvíce ze všech </w:t>
      </w:r>
      <w:r>
        <w:rPr>
          <w:color w:val="0D0D0D" w:themeColor="text1" w:themeTint="F2"/>
          <w:sz w:val="16"/>
          <w:szCs w:val="16"/>
        </w:rPr>
        <w:t xml:space="preserve">hlavních </w:t>
      </w:r>
      <w:r w:rsidRPr="00F72E52">
        <w:rPr>
          <w:color w:val="0D0D0D" w:themeColor="text1" w:themeTint="F2"/>
          <w:sz w:val="16"/>
          <w:szCs w:val="16"/>
        </w:rPr>
        <w:t xml:space="preserve">odvětví </w:t>
      </w:r>
      <w:r>
        <w:rPr>
          <w:color w:val="0D0D0D" w:themeColor="text1" w:themeTint="F2"/>
          <w:sz w:val="16"/>
          <w:szCs w:val="16"/>
        </w:rPr>
        <w:t xml:space="preserve">i v letech </w:t>
      </w:r>
      <w:r w:rsidRPr="00F72E52">
        <w:rPr>
          <w:color w:val="0D0D0D" w:themeColor="text1" w:themeTint="F2"/>
          <w:sz w:val="16"/>
          <w:szCs w:val="16"/>
        </w:rPr>
        <w:t>2020 a</w:t>
      </w:r>
      <w:r>
        <w:rPr>
          <w:color w:val="0D0D0D" w:themeColor="text1" w:themeTint="F2"/>
          <w:sz w:val="16"/>
          <w:szCs w:val="16"/>
        </w:rPr>
        <w:t> </w:t>
      </w:r>
      <w:r w:rsidRPr="00F72E52">
        <w:rPr>
          <w:color w:val="0D0D0D" w:themeColor="text1" w:themeTint="F2"/>
          <w:sz w:val="16"/>
          <w:szCs w:val="16"/>
        </w:rPr>
        <w:t>2021.</w:t>
      </w:r>
    </w:p>
  </w:footnote>
  <w:footnote w:id="64">
    <w:p w14:paraId="338ADCBB" w14:textId="77777777" w:rsidR="001F6483" w:rsidRPr="005C3B55" w:rsidRDefault="001F6483" w:rsidP="001F6483">
      <w:pPr>
        <w:pStyle w:val="Textpoznpodarou"/>
        <w:rPr>
          <w:sz w:val="16"/>
          <w:szCs w:val="16"/>
        </w:rPr>
      </w:pPr>
      <w:r w:rsidRPr="005C3B55">
        <w:rPr>
          <w:rStyle w:val="Znakapoznpodarou"/>
          <w:sz w:val="16"/>
          <w:szCs w:val="16"/>
        </w:rPr>
        <w:footnoteRef/>
      </w:r>
      <w:r w:rsidRPr="005C3B55">
        <w:rPr>
          <w:sz w:val="16"/>
          <w:szCs w:val="16"/>
        </w:rPr>
        <w:t xml:space="preserve"> Ty </w:t>
      </w:r>
      <w:r>
        <w:rPr>
          <w:sz w:val="16"/>
          <w:szCs w:val="16"/>
        </w:rPr>
        <w:t>z</w:t>
      </w:r>
      <w:r w:rsidRPr="005C3B55">
        <w:rPr>
          <w:sz w:val="16"/>
          <w:szCs w:val="16"/>
        </w:rPr>
        <w:t xml:space="preserve">ahrnují kulturní, zábavní a rekreační činnosti a dále zejména poskytování osobních služeb (např. kadeřnictví, kosmetické služby, </w:t>
      </w:r>
      <w:r w:rsidRPr="005C3B55">
        <w:rPr>
          <w:rFonts w:cs="Arial"/>
          <w:color w:val="0D0D0D" w:themeColor="text1" w:themeTint="F2"/>
          <w:spacing w:val="-2"/>
          <w:sz w:val="16"/>
          <w:szCs w:val="16"/>
        </w:rPr>
        <w:t xml:space="preserve">čisticí služby či </w:t>
      </w:r>
      <w:r w:rsidRPr="005C3B55">
        <w:rPr>
          <w:sz w:val="16"/>
          <w:szCs w:val="16"/>
        </w:rPr>
        <w:t>opravy výrobků pro osobní potřebu a převážně pro domácnost).</w:t>
      </w:r>
    </w:p>
  </w:footnote>
  <w:footnote w:id="65">
    <w:p w14:paraId="7142BF42" w14:textId="77777777" w:rsidR="001F6483" w:rsidRPr="005E586A" w:rsidRDefault="001F6483" w:rsidP="001F6483">
      <w:pPr>
        <w:pStyle w:val="Textpoznpodarou"/>
        <w:rPr>
          <w:sz w:val="16"/>
          <w:szCs w:val="16"/>
        </w:rPr>
      </w:pPr>
      <w:r w:rsidRPr="005E586A">
        <w:rPr>
          <w:rStyle w:val="Znakapoznpodarou"/>
          <w:sz w:val="16"/>
          <w:szCs w:val="16"/>
        </w:rPr>
        <w:footnoteRef/>
      </w:r>
      <w:r w:rsidRPr="005E586A">
        <w:rPr>
          <w:sz w:val="16"/>
          <w:szCs w:val="16"/>
        </w:rPr>
        <w:t xml:space="preserve"> V úhrnu za posledních šest let zde ubyla zhruba desetina pracovních míst (většinou drobných podnikatelů), naopak v odvětví ICT došlo k navýšení o více než čtvrtinu. Poklesy míst ve finančnictví souvisí i s</w:t>
      </w:r>
      <w:r>
        <w:rPr>
          <w:sz w:val="16"/>
          <w:szCs w:val="16"/>
        </w:rPr>
        <w:t> </w:t>
      </w:r>
      <w:r w:rsidRPr="005E586A">
        <w:rPr>
          <w:spacing w:val="-4"/>
          <w:sz w:val="16"/>
          <w:szCs w:val="16"/>
        </w:rPr>
        <w:t>postupující</w:t>
      </w:r>
      <w:r>
        <w:rPr>
          <w:spacing w:val="-4"/>
          <w:sz w:val="16"/>
          <w:szCs w:val="16"/>
        </w:rPr>
        <w:t>m procesem digitalizace</w:t>
      </w:r>
      <w:r w:rsidRPr="005E586A">
        <w:rPr>
          <w:spacing w:val="-4"/>
          <w:sz w:val="16"/>
          <w:szCs w:val="16"/>
        </w:rPr>
        <w:t>.</w:t>
      </w:r>
    </w:p>
  </w:footnote>
  <w:footnote w:id="66">
    <w:p w14:paraId="28B03233" w14:textId="77777777" w:rsidR="001F6483" w:rsidRPr="00A11CDF" w:rsidRDefault="001F6483" w:rsidP="001F6483">
      <w:pPr>
        <w:pStyle w:val="Textpoznpodarou"/>
        <w:rPr>
          <w:sz w:val="16"/>
          <w:szCs w:val="16"/>
        </w:rPr>
      </w:pPr>
      <w:r w:rsidRPr="00A11CDF">
        <w:rPr>
          <w:rStyle w:val="Znakapoznpodarou"/>
          <w:sz w:val="16"/>
          <w:szCs w:val="16"/>
        </w:rPr>
        <w:footnoteRef/>
      </w:r>
      <w:r w:rsidRPr="00A11CDF">
        <w:rPr>
          <w:sz w:val="16"/>
          <w:szCs w:val="16"/>
        </w:rPr>
        <w:t xml:space="preserve"> </w:t>
      </w:r>
      <w:proofErr w:type="spellStart"/>
      <w:r w:rsidRPr="00A11CDF">
        <w:rPr>
          <w:sz w:val="16"/>
          <w:szCs w:val="16"/>
        </w:rPr>
        <w:t>Sebezaměstnané</w:t>
      </w:r>
      <w:proofErr w:type="spellEnd"/>
      <w:r w:rsidRPr="00A11CDF">
        <w:rPr>
          <w:sz w:val="16"/>
          <w:szCs w:val="16"/>
        </w:rPr>
        <w:t xml:space="preserve"> osoby tvoří</w:t>
      </w:r>
      <w:r>
        <w:rPr>
          <w:sz w:val="16"/>
          <w:szCs w:val="16"/>
        </w:rPr>
        <w:t xml:space="preserve"> dlouhodobě</w:t>
      </w:r>
      <w:r w:rsidRPr="00A11CDF">
        <w:rPr>
          <w:sz w:val="16"/>
          <w:szCs w:val="16"/>
        </w:rPr>
        <w:t xml:space="preserve"> třetinu všech zaměstnaných osob ve stavebnictví.</w:t>
      </w:r>
    </w:p>
  </w:footnote>
  <w:footnote w:id="67">
    <w:p w14:paraId="0A82A5AC" w14:textId="77777777" w:rsidR="001F6483" w:rsidRPr="006C529B" w:rsidRDefault="001F6483" w:rsidP="001F6483">
      <w:pPr>
        <w:pStyle w:val="Textpoznpodarou"/>
        <w:rPr>
          <w:sz w:val="16"/>
          <w:szCs w:val="16"/>
        </w:rPr>
      </w:pPr>
      <w:r w:rsidRPr="006C529B">
        <w:rPr>
          <w:rStyle w:val="Znakapoznpodarou"/>
          <w:sz w:val="16"/>
          <w:szCs w:val="16"/>
        </w:rPr>
        <w:footnoteRef/>
      </w:r>
      <w:r w:rsidRPr="006C529B">
        <w:rPr>
          <w:sz w:val="16"/>
          <w:szCs w:val="16"/>
        </w:rPr>
        <w:t xml:space="preserve"> To dokládá i </w:t>
      </w:r>
      <w:r>
        <w:rPr>
          <w:sz w:val="16"/>
          <w:szCs w:val="16"/>
        </w:rPr>
        <w:t xml:space="preserve">dlouhodobý klesající trend </w:t>
      </w:r>
      <w:r w:rsidRPr="006C529B">
        <w:rPr>
          <w:sz w:val="16"/>
          <w:szCs w:val="16"/>
        </w:rPr>
        <w:t>poč</w:t>
      </w:r>
      <w:r>
        <w:rPr>
          <w:sz w:val="16"/>
          <w:szCs w:val="16"/>
        </w:rPr>
        <w:t>tu</w:t>
      </w:r>
      <w:r w:rsidRPr="006C529B">
        <w:rPr>
          <w:sz w:val="16"/>
          <w:szCs w:val="16"/>
        </w:rPr>
        <w:t xml:space="preserve"> ekonomicky neaktivních osob</w:t>
      </w:r>
      <w:r>
        <w:rPr>
          <w:sz w:val="16"/>
          <w:szCs w:val="16"/>
        </w:rPr>
        <w:t xml:space="preserve"> uvádějících zájem pracovat. Ten ve 3. čtvrtletí nedosahoval ani 60 tis. Spolu s </w:t>
      </w:r>
      <w:proofErr w:type="spellStart"/>
      <w:r>
        <w:rPr>
          <w:sz w:val="16"/>
          <w:szCs w:val="16"/>
        </w:rPr>
        <w:t>podzaměstnanými</w:t>
      </w:r>
      <w:proofErr w:type="spellEnd"/>
      <w:r>
        <w:rPr>
          <w:sz w:val="16"/>
          <w:szCs w:val="16"/>
        </w:rPr>
        <w:t xml:space="preserve"> a všemi nezaměstnanými se jednalo o necelých 200 tis. osob. V relaci k celkovému počtu zaměstnaných šlo o méně než 4 %.</w:t>
      </w:r>
    </w:p>
  </w:footnote>
  <w:footnote w:id="68">
    <w:p w14:paraId="511A747A" w14:textId="77777777" w:rsidR="001F6483" w:rsidRPr="00F41731" w:rsidRDefault="001F6483" w:rsidP="001F6483">
      <w:pPr>
        <w:pStyle w:val="Textpoznpodarou"/>
        <w:rPr>
          <w:color w:val="0D0D0D" w:themeColor="text1" w:themeTint="F2"/>
          <w:spacing w:val="-6"/>
          <w:sz w:val="16"/>
          <w:szCs w:val="16"/>
        </w:rPr>
      </w:pPr>
      <w:r w:rsidRPr="003757DB">
        <w:rPr>
          <w:rStyle w:val="Znakapoznpodarou"/>
          <w:color w:val="0D0D0D" w:themeColor="text1" w:themeTint="F2"/>
          <w:spacing w:val="-6"/>
          <w:sz w:val="16"/>
          <w:szCs w:val="16"/>
        </w:rPr>
        <w:footnoteRef/>
      </w:r>
      <w:r w:rsidRPr="003757DB">
        <w:rPr>
          <w:color w:val="0D0D0D" w:themeColor="text1" w:themeTint="F2"/>
          <w:spacing w:val="-6"/>
          <w:sz w:val="16"/>
          <w:szCs w:val="16"/>
        </w:rPr>
        <w:t xml:space="preserve"> Letos v listopadu registrovaly úřady práce (ÚP) rekordních 800 tis. cizích státních </w:t>
      </w:r>
      <w:r w:rsidRPr="00F41731">
        <w:rPr>
          <w:color w:val="0D0D0D" w:themeColor="text1" w:themeTint="F2"/>
          <w:spacing w:val="-6"/>
          <w:sz w:val="16"/>
          <w:szCs w:val="16"/>
        </w:rPr>
        <w:t>příslušníků v zaměstnaneckém postavení na území ČR. To b</w:t>
      </w:r>
      <w:r>
        <w:rPr>
          <w:color w:val="0D0D0D" w:themeColor="text1" w:themeTint="F2"/>
          <w:spacing w:val="-6"/>
          <w:sz w:val="16"/>
          <w:szCs w:val="16"/>
        </w:rPr>
        <w:t>ylo o</w:t>
      </w:r>
      <w:r w:rsidRPr="003757DB">
        <w:rPr>
          <w:color w:val="0D0D0D" w:themeColor="text1" w:themeTint="F2"/>
          <w:spacing w:val="-6"/>
          <w:sz w:val="16"/>
          <w:szCs w:val="16"/>
        </w:rPr>
        <w:t> </w:t>
      </w:r>
      <w:r>
        <w:rPr>
          <w:color w:val="0D0D0D" w:themeColor="text1" w:themeTint="F2"/>
          <w:spacing w:val="-6"/>
          <w:sz w:val="16"/>
          <w:szCs w:val="16"/>
        </w:rPr>
        <w:t>33 tis. více než na konci června 2022 (a o 98 tis. více než loni v prosinci).</w:t>
      </w:r>
      <w:r w:rsidRPr="00F41731">
        <w:rPr>
          <w:color w:val="0D0D0D" w:themeColor="text1" w:themeTint="F2"/>
          <w:spacing w:val="-6"/>
          <w:sz w:val="16"/>
          <w:szCs w:val="16"/>
        </w:rPr>
        <w:t xml:space="preserve"> K růstu počtu cizinců v zaměstnaneckých pozicích</w:t>
      </w:r>
      <w:r>
        <w:rPr>
          <w:color w:val="0D0D0D" w:themeColor="text1" w:themeTint="F2"/>
          <w:spacing w:val="-6"/>
          <w:sz w:val="16"/>
          <w:szCs w:val="16"/>
        </w:rPr>
        <w:t xml:space="preserve"> od ledna do listopadu 2022 zásadně přispěli </w:t>
      </w:r>
      <w:r w:rsidRPr="00F41731">
        <w:rPr>
          <w:color w:val="0D0D0D" w:themeColor="text1" w:themeTint="F2"/>
          <w:spacing w:val="-6"/>
          <w:sz w:val="16"/>
          <w:szCs w:val="16"/>
        </w:rPr>
        <w:t>pracovníci z Ukrajiny, j</w:t>
      </w:r>
      <w:r>
        <w:rPr>
          <w:color w:val="0D0D0D" w:themeColor="text1" w:themeTint="F2"/>
          <w:spacing w:val="-6"/>
          <w:sz w:val="16"/>
          <w:szCs w:val="16"/>
        </w:rPr>
        <w:t>ichž přibylo skoro o 40 % (+77 tis., z toho žen +60 tis.) na celkových 272 tis. Počet Slováků, kteří ještě vloni tvořili</w:t>
      </w:r>
      <w:r w:rsidRPr="00F41731">
        <w:rPr>
          <w:color w:val="0D0D0D" w:themeColor="text1" w:themeTint="F2"/>
          <w:spacing w:val="-6"/>
          <w:sz w:val="16"/>
          <w:szCs w:val="16"/>
        </w:rPr>
        <w:t xml:space="preserve"> nejpočetnější cizineckou skupinu, </w:t>
      </w:r>
      <w:r>
        <w:rPr>
          <w:color w:val="0D0D0D" w:themeColor="text1" w:themeTint="F2"/>
          <w:spacing w:val="-6"/>
          <w:sz w:val="16"/>
          <w:szCs w:val="16"/>
        </w:rPr>
        <w:t xml:space="preserve">narostl za stejné období řádově méně </w:t>
      </w:r>
      <w:r w:rsidRPr="00F41731">
        <w:rPr>
          <w:color w:val="0D0D0D" w:themeColor="text1" w:themeTint="F2"/>
          <w:spacing w:val="-6"/>
          <w:sz w:val="16"/>
          <w:szCs w:val="16"/>
        </w:rPr>
        <w:t>(</w:t>
      </w:r>
      <w:r>
        <w:rPr>
          <w:color w:val="0D0D0D" w:themeColor="text1" w:themeTint="F2"/>
          <w:spacing w:val="-6"/>
          <w:sz w:val="16"/>
          <w:szCs w:val="16"/>
        </w:rPr>
        <w:t>+3 %, na 215</w:t>
      </w:r>
      <w:r w:rsidRPr="00F41731">
        <w:rPr>
          <w:color w:val="0D0D0D" w:themeColor="text1" w:themeTint="F2"/>
          <w:spacing w:val="-6"/>
          <w:sz w:val="16"/>
          <w:szCs w:val="16"/>
        </w:rPr>
        <w:t xml:space="preserve"> tis.)</w:t>
      </w:r>
      <w:r>
        <w:rPr>
          <w:color w:val="0D0D0D" w:themeColor="text1" w:themeTint="F2"/>
          <w:spacing w:val="-6"/>
          <w:sz w:val="16"/>
          <w:szCs w:val="16"/>
        </w:rPr>
        <w:t xml:space="preserve">. Jen mírně se také rozrostly počty pracujících Poláků (na 49 tis.) a Rumunů (48 tis.). </w:t>
      </w:r>
      <w:r w:rsidRPr="00F41731">
        <w:rPr>
          <w:color w:val="0D0D0D" w:themeColor="text1" w:themeTint="F2"/>
          <w:spacing w:val="-6"/>
          <w:sz w:val="16"/>
          <w:szCs w:val="16"/>
        </w:rPr>
        <w:t>Bulharských či běloruských zaměst</w:t>
      </w:r>
      <w:r>
        <w:rPr>
          <w:color w:val="0D0D0D" w:themeColor="text1" w:themeTint="F2"/>
          <w:spacing w:val="-6"/>
          <w:sz w:val="16"/>
          <w:szCs w:val="16"/>
        </w:rPr>
        <w:t>nanců dokonce mírně ubylo (na 38</w:t>
      </w:r>
      <w:r w:rsidRPr="00F41731">
        <w:rPr>
          <w:color w:val="0D0D0D" w:themeColor="text1" w:themeTint="F2"/>
          <w:spacing w:val="-6"/>
          <w:sz w:val="16"/>
          <w:szCs w:val="16"/>
        </w:rPr>
        <w:t xml:space="preserve"> tis., resp. 6 tis.). Z významnějších skupin cizinců relativně nejvíce posílili ti z</w:t>
      </w:r>
      <w:r>
        <w:rPr>
          <w:color w:val="0D0D0D" w:themeColor="text1" w:themeTint="F2"/>
          <w:spacing w:val="-6"/>
          <w:sz w:val="16"/>
          <w:szCs w:val="16"/>
        </w:rPr>
        <w:t> Filipín (+48 %), Indie</w:t>
      </w:r>
      <w:r w:rsidRPr="00F41731">
        <w:rPr>
          <w:color w:val="0D0D0D" w:themeColor="text1" w:themeTint="F2"/>
          <w:spacing w:val="-6"/>
          <w:sz w:val="16"/>
          <w:szCs w:val="16"/>
        </w:rPr>
        <w:t xml:space="preserve"> </w:t>
      </w:r>
      <w:r>
        <w:rPr>
          <w:color w:val="0D0D0D" w:themeColor="text1" w:themeTint="F2"/>
          <w:spacing w:val="-6"/>
          <w:sz w:val="16"/>
          <w:szCs w:val="16"/>
        </w:rPr>
        <w:t>(+29 %) a Kazachstánu (+19 %), jejich celkové počty se ale i tak pohybovaly jen okolo 5 tis.</w:t>
      </w:r>
      <w:r w:rsidRPr="00F41731">
        <w:rPr>
          <w:color w:val="0D0D0D" w:themeColor="text1" w:themeTint="F2"/>
          <w:spacing w:val="-6"/>
          <w:sz w:val="16"/>
          <w:szCs w:val="16"/>
        </w:rPr>
        <w:t xml:space="preserve"> </w:t>
      </w:r>
      <w:r>
        <w:rPr>
          <w:color w:val="0D0D0D" w:themeColor="text1" w:themeTint="F2"/>
          <w:spacing w:val="-6"/>
          <w:sz w:val="16"/>
          <w:szCs w:val="16"/>
        </w:rPr>
        <w:t xml:space="preserve">Bezmála polovina všech </w:t>
      </w:r>
      <w:r w:rsidRPr="00F41731">
        <w:rPr>
          <w:color w:val="0D0D0D" w:themeColor="text1" w:themeTint="F2"/>
          <w:spacing w:val="-6"/>
          <w:sz w:val="16"/>
          <w:szCs w:val="16"/>
        </w:rPr>
        <w:t>cizinců v zaměstnaneckých pozicích</w:t>
      </w:r>
      <w:r>
        <w:rPr>
          <w:color w:val="0D0D0D" w:themeColor="text1" w:themeTint="F2"/>
          <w:spacing w:val="-6"/>
          <w:sz w:val="16"/>
          <w:szCs w:val="16"/>
        </w:rPr>
        <w:t xml:space="preserve"> byla registrována v Praze a Středočeském kraji. Dosavadní letošní navýšení počtu cizinců do značné míry záviselo na humanitárních ubytovacích kapacitách v jednotlivých regionech. Absolutně přibylo nejvíce cizinců ve středních Čechách (+15,7 tis.), relativně pak ve většině moravských krajů (mezi 25–30 %). </w:t>
      </w:r>
    </w:p>
  </w:footnote>
  <w:footnote w:id="69">
    <w:p w14:paraId="7EF3409C" w14:textId="77777777" w:rsidR="001F6483" w:rsidRPr="000058A7" w:rsidRDefault="001F6483" w:rsidP="001F6483">
      <w:pPr>
        <w:pStyle w:val="Textpoznpodarou"/>
        <w:rPr>
          <w:sz w:val="16"/>
          <w:szCs w:val="16"/>
        </w:rPr>
      </w:pPr>
      <w:r w:rsidRPr="000058A7">
        <w:rPr>
          <w:rStyle w:val="Znakapoznpodarou"/>
          <w:sz w:val="16"/>
          <w:szCs w:val="16"/>
        </w:rPr>
        <w:footnoteRef/>
      </w:r>
      <w:r w:rsidRPr="000058A7">
        <w:rPr>
          <w:sz w:val="16"/>
          <w:szCs w:val="16"/>
        </w:rPr>
        <w:t xml:space="preserve"> Údaje nejsou sezónně očištěny. </w:t>
      </w:r>
      <w:r>
        <w:rPr>
          <w:sz w:val="16"/>
          <w:szCs w:val="16"/>
        </w:rPr>
        <w:t xml:space="preserve">Nicméně i po očištění je ve 2. polovině letošního roku patrný rostoucí optimismus podnikatelů v obchodu, jenž kontrastuje se zvyšujícím se počtem podniků ve službách i zpracovatelském průmyslu očekávajících pokles vlastní zaměstnanosti  </w:t>
      </w:r>
    </w:p>
  </w:footnote>
  <w:footnote w:id="70">
    <w:p w14:paraId="5502AE23" w14:textId="77777777" w:rsidR="001F6483" w:rsidRPr="00CC045D" w:rsidRDefault="001F6483" w:rsidP="001F6483">
      <w:pPr>
        <w:pStyle w:val="Textpoznpodarou"/>
        <w:rPr>
          <w:sz w:val="16"/>
          <w:szCs w:val="16"/>
        </w:rPr>
      </w:pPr>
      <w:r w:rsidRPr="00CC045D">
        <w:rPr>
          <w:rStyle w:val="Znakapoznpodarou"/>
          <w:sz w:val="16"/>
          <w:szCs w:val="16"/>
        </w:rPr>
        <w:footnoteRef/>
      </w:r>
      <w:r w:rsidRPr="00CC045D">
        <w:rPr>
          <w:sz w:val="16"/>
          <w:szCs w:val="16"/>
        </w:rPr>
        <w:t xml:space="preserve"> Snižování zaměstnano</w:t>
      </w:r>
      <w:r>
        <w:rPr>
          <w:sz w:val="16"/>
          <w:szCs w:val="16"/>
        </w:rPr>
        <w:t xml:space="preserve">sti očekávaly dle listopadového šetření zejména průmyslové podniky v petrochemii, opravách strojů a zařízení, tiskárenství, </w:t>
      </w:r>
      <w:r w:rsidRPr="00CC045D">
        <w:rPr>
          <w:sz w:val="16"/>
          <w:szCs w:val="16"/>
        </w:rPr>
        <w:t xml:space="preserve">gumárenství a </w:t>
      </w:r>
      <w:proofErr w:type="spellStart"/>
      <w:r w:rsidRPr="00CC045D">
        <w:rPr>
          <w:sz w:val="16"/>
          <w:szCs w:val="16"/>
        </w:rPr>
        <w:t>p</w:t>
      </w:r>
      <w:r>
        <w:rPr>
          <w:sz w:val="16"/>
          <w:szCs w:val="16"/>
        </w:rPr>
        <w:t>lastikářství</w:t>
      </w:r>
      <w:proofErr w:type="spellEnd"/>
      <w:r>
        <w:rPr>
          <w:sz w:val="16"/>
          <w:szCs w:val="16"/>
        </w:rPr>
        <w:t xml:space="preserve"> a také v hutnictví a slévárenství. Ve službách byla negativní očekávání patrná zejména </w:t>
      </w:r>
      <w:r>
        <w:rPr>
          <w:sz w:val="16"/>
          <w:szCs w:val="16"/>
        </w:rPr>
        <w:br/>
        <w:t xml:space="preserve">v letecké dopravě, u cestovních kanceláří a agentur, ve vydavatelských činnostech, v peněžnictví, v činnostech v oblasti nemovitostí či v oblasti pronájmu </w:t>
      </w:r>
      <w:r w:rsidRPr="002C59E3">
        <w:rPr>
          <w:sz w:val="16"/>
          <w:szCs w:val="16"/>
        </w:rPr>
        <w:t>a operativního leasingu</w:t>
      </w:r>
      <w:r>
        <w:rPr>
          <w:sz w:val="16"/>
          <w:szCs w:val="16"/>
        </w:rPr>
        <w:t>.</w:t>
      </w:r>
    </w:p>
  </w:footnote>
  <w:footnote w:id="71">
    <w:p w14:paraId="62DF4C28" w14:textId="77777777" w:rsidR="001F6483" w:rsidRPr="004E68B1" w:rsidRDefault="001F6483" w:rsidP="001F6483">
      <w:pPr>
        <w:pStyle w:val="Textpoznpodarou"/>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(dle metodiky ILO) a jsou očištěny o sezónní vlivy.</w:t>
      </w:r>
    </w:p>
  </w:footnote>
  <w:footnote w:id="72">
    <w:p w14:paraId="2B797366" w14:textId="77777777" w:rsidR="001F6483" w:rsidRPr="00D94F3D" w:rsidRDefault="001F6483" w:rsidP="001F6483">
      <w:pPr>
        <w:pStyle w:val="Textpoznpodarou"/>
        <w:rPr>
          <w:sz w:val="16"/>
          <w:szCs w:val="16"/>
        </w:rPr>
      </w:pPr>
      <w:r w:rsidRPr="00D94F3D">
        <w:rPr>
          <w:rStyle w:val="Znakapoznpodarou"/>
          <w:sz w:val="16"/>
          <w:szCs w:val="16"/>
        </w:rPr>
        <w:footnoteRef/>
      </w:r>
      <w:r w:rsidRPr="00D94F3D">
        <w:rPr>
          <w:sz w:val="16"/>
          <w:szCs w:val="16"/>
        </w:rPr>
        <w:t xml:space="preserve"> Podíl nezaměstnaných, vyjadřující počet dosažitelných uchazečů o zaměstnání ve věku 15–64 let k obyvatelstvu stejného věku, činil letos v září u mužů 3,0 %, u žen 4,0 %. Oba podíly jsou ovšem ve srovnání se shodným obdobím roku 2019 mírně vyšší (o 0,6 p. b.</w:t>
      </w:r>
      <w:r>
        <w:rPr>
          <w:sz w:val="16"/>
          <w:szCs w:val="16"/>
        </w:rPr>
        <w:t>, resp. 1,1</w:t>
      </w:r>
      <w:r w:rsidRPr="00D94F3D">
        <w:rPr>
          <w:sz w:val="16"/>
          <w:szCs w:val="16"/>
        </w:rPr>
        <w:t xml:space="preserve"> </w:t>
      </w:r>
      <w:proofErr w:type="gramStart"/>
      <w:r w:rsidRPr="00D94F3D">
        <w:rPr>
          <w:sz w:val="16"/>
          <w:szCs w:val="16"/>
        </w:rPr>
        <w:t>p .b</w:t>
      </w:r>
      <w:proofErr w:type="gramEnd"/>
      <w:r w:rsidRPr="00D94F3D">
        <w:rPr>
          <w:sz w:val="16"/>
          <w:szCs w:val="16"/>
        </w:rPr>
        <w:t>).</w:t>
      </w:r>
    </w:p>
  </w:footnote>
  <w:footnote w:id="73">
    <w:p w14:paraId="6D4CD3DD" w14:textId="513A0AC9" w:rsidR="001F6483" w:rsidRDefault="001F6483" w:rsidP="001F6483">
      <w:pPr>
        <w:pStyle w:val="Textpoznpodarou"/>
      </w:pPr>
      <w:r w:rsidRPr="00EB32E8">
        <w:rPr>
          <w:rStyle w:val="Znakapoznpodarou"/>
          <w:sz w:val="16"/>
          <w:szCs w:val="16"/>
        </w:rPr>
        <w:footnoteRef/>
      </w:r>
      <w:r w:rsidRPr="00EB32E8">
        <w:rPr>
          <w:sz w:val="16"/>
          <w:szCs w:val="16"/>
        </w:rPr>
        <w:t xml:space="preserve"> </w:t>
      </w:r>
      <w:r w:rsidRPr="00EB32E8">
        <w:rPr>
          <w:color w:val="0D0D0D" w:themeColor="text1" w:themeTint="F2"/>
          <w:sz w:val="16"/>
          <w:szCs w:val="16"/>
        </w:rPr>
        <w:t>Významnou</w:t>
      </w:r>
      <w:r w:rsidRPr="00B222D0">
        <w:rPr>
          <w:color w:val="0D0D0D" w:themeColor="text1" w:themeTint="F2"/>
          <w:sz w:val="16"/>
          <w:szCs w:val="16"/>
        </w:rPr>
        <w:t xml:space="preserve"> část míst ovšem nelze z různých důvodů považovat za aktivní. </w:t>
      </w:r>
      <w:r w:rsidRPr="00B222D0">
        <w:rPr>
          <w:sz w:val="16"/>
          <w:szCs w:val="16"/>
        </w:rPr>
        <w:t>Jde např. o pozice nabízené firmami, jež ukončily svou činnost, dále o místa, kter</w:t>
      </w:r>
      <w:r>
        <w:rPr>
          <w:sz w:val="16"/>
          <w:szCs w:val="16"/>
        </w:rPr>
        <w:t>á</w:t>
      </w:r>
      <w:r w:rsidRPr="00B222D0">
        <w:rPr>
          <w:sz w:val="16"/>
          <w:szCs w:val="16"/>
        </w:rPr>
        <w:t xml:space="preserve"> již nejso</w:t>
      </w:r>
      <w:r>
        <w:rPr>
          <w:sz w:val="16"/>
          <w:szCs w:val="16"/>
        </w:rPr>
        <w:t>u aktuální, ale z nabídky nebyla stažena</w:t>
      </w:r>
      <w:r w:rsidRPr="00B222D0">
        <w:rPr>
          <w:sz w:val="16"/>
          <w:szCs w:val="16"/>
        </w:rPr>
        <w:t>, či o pozice značně neatraktivní</w:t>
      </w:r>
      <w:r>
        <w:rPr>
          <w:sz w:val="16"/>
          <w:szCs w:val="16"/>
        </w:rPr>
        <w:t>, které zůstávají dlouhodobě neobsazeny</w:t>
      </w:r>
      <w:r w:rsidRPr="00B222D0">
        <w:rPr>
          <w:sz w:val="16"/>
          <w:szCs w:val="16"/>
        </w:rPr>
        <w:t xml:space="preserve"> (kombinace nízkého výdělku a relativně vyšších nároků na uchazeče)</w:t>
      </w:r>
      <w:r>
        <w:rPr>
          <w:color w:val="0D0D0D" w:themeColor="text1" w:themeTint="F2"/>
          <w:sz w:val="16"/>
          <w:szCs w:val="16"/>
        </w:rPr>
        <w:t>.</w:t>
      </w:r>
      <w:r w:rsidRPr="00B222D0">
        <w:rPr>
          <w:color w:val="0D0D0D" w:themeColor="text1" w:themeTint="F2"/>
          <w:sz w:val="16"/>
          <w:szCs w:val="16"/>
        </w:rPr>
        <w:t xml:space="preserve"> </w:t>
      </w:r>
      <w:r w:rsidRPr="00B222D0">
        <w:rPr>
          <w:sz w:val="16"/>
          <w:szCs w:val="16"/>
        </w:rPr>
        <w:t xml:space="preserve">Za skutečně aktivní lze </w:t>
      </w:r>
      <w:r>
        <w:rPr>
          <w:sz w:val="16"/>
          <w:szCs w:val="16"/>
        </w:rPr>
        <w:t>proto</w:t>
      </w:r>
      <w:r w:rsidRPr="00B222D0">
        <w:rPr>
          <w:sz w:val="16"/>
          <w:szCs w:val="16"/>
        </w:rPr>
        <w:t xml:space="preserve"> považovat pouze část veškeré nabídky</w:t>
      </w:r>
      <w:r>
        <w:rPr>
          <w:sz w:val="16"/>
          <w:szCs w:val="16"/>
        </w:rPr>
        <w:t xml:space="preserve"> míst. Počet pozic, které</w:t>
      </w:r>
      <w:r w:rsidRPr="00B222D0">
        <w:rPr>
          <w:sz w:val="16"/>
          <w:szCs w:val="16"/>
        </w:rPr>
        <w:t xml:space="preserve"> byly nabízeny méně než půl roku, činil na k</w:t>
      </w:r>
      <w:r>
        <w:rPr>
          <w:sz w:val="16"/>
          <w:szCs w:val="16"/>
        </w:rPr>
        <w:t>onci 3. čtvrtletí 2022 jen 136</w:t>
      </w:r>
      <w:r w:rsidRPr="00B222D0">
        <w:rPr>
          <w:sz w:val="16"/>
          <w:szCs w:val="16"/>
        </w:rPr>
        <w:t xml:space="preserve"> tis.</w:t>
      </w:r>
    </w:p>
  </w:footnote>
  <w:footnote w:id="74">
    <w:p w14:paraId="3768ADE3" w14:textId="77777777" w:rsidR="001F6483" w:rsidRPr="003C66DA" w:rsidRDefault="001F6483" w:rsidP="001F6483">
      <w:pPr>
        <w:pStyle w:val="Textpoznpodarou"/>
        <w:rPr>
          <w:sz w:val="16"/>
          <w:szCs w:val="16"/>
        </w:rPr>
      </w:pPr>
      <w:r w:rsidRPr="003C66DA">
        <w:rPr>
          <w:rStyle w:val="Znakapoznpodarou"/>
          <w:sz w:val="16"/>
          <w:szCs w:val="16"/>
        </w:rPr>
        <w:footnoteRef/>
      </w:r>
      <w:r w:rsidRPr="003C66DA">
        <w:rPr>
          <w:sz w:val="16"/>
          <w:szCs w:val="16"/>
        </w:rPr>
        <w:t xml:space="preserve"> Počet volných míst vyžadujících maximálně základní vzdělání se snížil o 44 tis. (na 213 tis.). Analogicky propadla i nabídka míst ve dvou nejnižších kvalifikačních třídách – nekvalifikovaných a pomocných pracovníků (o 23 %) a obsluhy strojů a zařízení (17 %).</w:t>
      </w:r>
    </w:p>
  </w:footnote>
  <w:footnote w:id="75">
    <w:p w14:paraId="45E3A6D2" w14:textId="77777777" w:rsidR="001F6483" w:rsidRPr="003C66DA" w:rsidRDefault="001F6483" w:rsidP="001F6483">
      <w:pPr>
        <w:pStyle w:val="Textpoznpodarou"/>
        <w:rPr>
          <w:sz w:val="16"/>
          <w:szCs w:val="16"/>
        </w:rPr>
      </w:pPr>
      <w:r w:rsidRPr="003C66DA">
        <w:rPr>
          <w:rStyle w:val="Znakapoznpodarou"/>
          <w:sz w:val="16"/>
          <w:szCs w:val="16"/>
        </w:rPr>
        <w:footnoteRef/>
      </w:r>
      <w:r w:rsidRPr="003C66DA">
        <w:rPr>
          <w:sz w:val="16"/>
          <w:szCs w:val="16"/>
        </w:rPr>
        <w:t xml:space="preserve"> </w:t>
      </w:r>
      <w:r>
        <w:rPr>
          <w:sz w:val="16"/>
          <w:szCs w:val="16"/>
        </w:rPr>
        <w:t>Nově zaměstnaní pracovníci z Ukrajiny (pocházející z velké části z uprchlické vlny) patrně obsazovali podobné zaměstnanecké pozice jako ukrajinští pracovníci v předchozích letech. Struktura všech ukrajinských pracovníků z pohledu odvětví i kvalifikačních tříd se během 1. pololetí 2022 prakticky nezměnila (pouze ve skupině ukrajinských žen mírně vzrostl podíl pracujících v průmyslu, resp. ve třídě obsluha strojů a zařízení. Téměř 70 % ukrajinských mužů i žen pracovalo ve dvou nejnižších kvalifikačních třídách (mezi cizinci ze zemí EU to byla pouze polovina). Z pohledu odvětví dominovali mezi mužskými zaměstnanci z Ukrajiny ti ve zpracovatelském průmyslu (30 %) a stavebnictví (24 %), mezi ženami rovněž ty ve zpracovatelském průmyslu (30 %) a v administrativních a podpůrných činnostech (25 %), kam patří i pracovní agentury.</w:t>
      </w:r>
    </w:p>
  </w:footnote>
  <w:footnote w:id="76">
    <w:p w14:paraId="49839976" w14:textId="77777777" w:rsidR="001F6483" w:rsidRPr="00D74B6C" w:rsidRDefault="001F6483" w:rsidP="001F6483">
      <w:pPr>
        <w:pStyle w:val="Textpoznpodarou"/>
        <w:rPr>
          <w:sz w:val="16"/>
          <w:szCs w:val="16"/>
        </w:rPr>
      </w:pPr>
      <w:r w:rsidRPr="003C66DA">
        <w:rPr>
          <w:rStyle w:val="Znakapoznpodarou"/>
          <w:sz w:val="16"/>
          <w:szCs w:val="16"/>
        </w:rPr>
        <w:footnoteRef/>
      </w:r>
      <w:r w:rsidRPr="003C66DA">
        <w:rPr>
          <w:sz w:val="16"/>
          <w:szCs w:val="16"/>
        </w:rPr>
        <w:t xml:space="preserve"> </w:t>
      </w:r>
      <w:r w:rsidRPr="003C66DA">
        <w:rPr>
          <w:color w:val="0D0D0D" w:themeColor="text1" w:themeTint="F2"/>
          <w:spacing w:val="-4"/>
          <w:sz w:val="16"/>
          <w:szCs w:val="16"/>
        </w:rPr>
        <w:t>Více než 3,5 uchazečů na volné místo připadalo jen v okresech Ústí nad Labem (4,0), Most (4,1), Bruntál (4,6) a zejména pak na Karvinsku (10,2), kde se projevoval dlouhodobý útlum těžebního průmyslu.</w:t>
      </w:r>
    </w:p>
  </w:footnote>
  <w:footnote w:id="77">
    <w:p w14:paraId="58A30F2B" w14:textId="77777777" w:rsidR="001F6483" w:rsidRPr="004E1C86" w:rsidRDefault="001F6483" w:rsidP="001F6483">
      <w:pPr>
        <w:pStyle w:val="Textpoznpodarou"/>
        <w:rPr>
          <w:sz w:val="16"/>
          <w:szCs w:val="16"/>
        </w:rPr>
      </w:pPr>
      <w:r w:rsidRPr="004E1C86">
        <w:rPr>
          <w:rStyle w:val="Znakapoznpodarou"/>
          <w:sz w:val="16"/>
          <w:szCs w:val="16"/>
        </w:rPr>
        <w:footnoteRef/>
      </w:r>
      <w:r w:rsidRPr="004E1C86">
        <w:rPr>
          <w:sz w:val="16"/>
          <w:szCs w:val="16"/>
        </w:rPr>
        <w:t xml:space="preserve"> Hrubý disponibilní důchod domác</w:t>
      </w:r>
      <w:r>
        <w:rPr>
          <w:sz w:val="16"/>
          <w:szCs w:val="16"/>
        </w:rPr>
        <w:t>ností se v reálném vyjádření v 2</w:t>
      </w:r>
      <w:r w:rsidRPr="004E1C86">
        <w:rPr>
          <w:sz w:val="16"/>
          <w:szCs w:val="16"/>
        </w:rPr>
        <w:t>. čtv</w:t>
      </w:r>
      <w:r>
        <w:rPr>
          <w:sz w:val="16"/>
          <w:szCs w:val="16"/>
        </w:rPr>
        <w:t>rtletí 2022 meziročně snížil o 6,4</w:t>
      </w:r>
      <w:r w:rsidRPr="004E1C86">
        <w:rPr>
          <w:sz w:val="16"/>
          <w:szCs w:val="16"/>
        </w:rPr>
        <w:t xml:space="preserve"> %. Ten přitom vedle mezd </w:t>
      </w:r>
      <w:r>
        <w:rPr>
          <w:sz w:val="16"/>
          <w:szCs w:val="16"/>
        </w:rPr>
        <w:t>a</w:t>
      </w:r>
      <w:r w:rsidRPr="004E1C86">
        <w:rPr>
          <w:sz w:val="16"/>
          <w:szCs w:val="16"/>
        </w:rPr>
        <w:t> </w:t>
      </w:r>
      <w:r>
        <w:rPr>
          <w:sz w:val="16"/>
          <w:szCs w:val="16"/>
        </w:rPr>
        <w:t xml:space="preserve">platů </w:t>
      </w:r>
      <w:r>
        <w:rPr>
          <w:spacing w:val="-4"/>
          <w:sz w:val="16"/>
          <w:szCs w:val="16"/>
        </w:rPr>
        <w:t>zohledňuje i další faktory (</w:t>
      </w:r>
      <w:r w:rsidRPr="004E1C86">
        <w:rPr>
          <w:spacing w:val="-4"/>
          <w:sz w:val="16"/>
          <w:szCs w:val="16"/>
        </w:rPr>
        <w:t xml:space="preserve">šedou ekonomiku, </w:t>
      </w:r>
      <w:r>
        <w:rPr>
          <w:spacing w:val="-4"/>
          <w:sz w:val="16"/>
          <w:szCs w:val="16"/>
        </w:rPr>
        <w:t xml:space="preserve">možné </w:t>
      </w:r>
      <w:r w:rsidRPr="004E1C86">
        <w:rPr>
          <w:spacing w:val="-4"/>
          <w:sz w:val="16"/>
          <w:szCs w:val="16"/>
        </w:rPr>
        <w:t>zvýšení ekonomické aktivity</w:t>
      </w:r>
      <w:r>
        <w:rPr>
          <w:spacing w:val="-4"/>
          <w:sz w:val="16"/>
          <w:szCs w:val="16"/>
        </w:rPr>
        <w:t xml:space="preserve"> obyvatel</w:t>
      </w:r>
      <w:r w:rsidRPr="004E1C86">
        <w:rPr>
          <w:spacing w:val="-4"/>
          <w:sz w:val="16"/>
          <w:szCs w:val="16"/>
        </w:rPr>
        <w:t>, např. formou druhých zaměst</w:t>
      </w:r>
      <w:r>
        <w:rPr>
          <w:spacing w:val="-4"/>
          <w:sz w:val="16"/>
          <w:szCs w:val="16"/>
        </w:rPr>
        <w:t>nání, dohod o</w:t>
      </w:r>
      <w:r w:rsidRPr="004E1C86">
        <w:rPr>
          <w:sz w:val="16"/>
          <w:szCs w:val="16"/>
        </w:rPr>
        <w:t> </w:t>
      </w:r>
      <w:r>
        <w:rPr>
          <w:spacing w:val="-4"/>
          <w:sz w:val="16"/>
          <w:szCs w:val="16"/>
        </w:rPr>
        <w:t>provedení práce</w:t>
      </w:r>
      <w:r w:rsidRPr="004E1C86">
        <w:rPr>
          <w:spacing w:val="-4"/>
          <w:sz w:val="16"/>
          <w:szCs w:val="16"/>
        </w:rPr>
        <w:t xml:space="preserve">, </w:t>
      </w:r>
      <w:r>
        <w:rPr>
          <w:spacing w:val="-4"/>
          <w:sz w:val="16"/>
          <w:szCs w:val="16"/>
        </w:rPr>
        <w:t xml:space="preserve">dále i </w:t>
      </w:r>
      <w:r w:rsidRPr="004E1C86">
        <w:rPr>
          <w:spacing w:val="-4"/>
          <w:sz w:val="16"/>
          <w:szCs w:val="16"/>
        </w:rPr>
        <w:t xml:space="preserve">příjmy plynoucí z podnikání či </w:t>
      </w:r>
      <w:r>
        <w:rPr>
          <w:spacing w:val="-4"/>
          <w:sz w:val="16"/>
          <w:szCs w:val="16"/>
        </w:rPr>
        <w:t>z vlastnictví kapitálu a také sociální transfery</w:t>
      </w:r>
      <w:r w:rsidRPr="004E1C86">
        <w:rPr>
          <w:spacing w:val="-4"/>
          <w:sz w:val="16"/>
          <w:szCs w:val="16"/>
        </w:rPr>
        <w:t xml:space="preserve"> od státu, vč. </w:t>
      </w:r>
      <w:r>
        <w:rPr>
          <w:spacing w:val="-4"/>
          <w:sz w:val="16"/>
          <w:szCs w:val="16"/>
        </w:rPr>
        <w:t xml:space="preserve">starobních </w:t>
      </w:r>
      <w:r w:rsidRPr="004E1C86">
        <w:rPr>
          <w:spacing w:val="-4"/>
          <w:sz w:val="16"/>
          <w:szCs w:val="16"/>
        </w:rPr>
        <w:t>důchodů).</w:t>
      </w:r>
    </w:p>
  </w:footnote>
  <w:footnote w:id="78">
    <w:p w14:paraId="0289D385" w14:textId="77777777" w:rsidR="001F6483" w:rsidRPr="000B1BC1" w:rsidRDefault="001F6483" w:rsidP="001F6483">
      <w:pPr>
        <w:pStyle w:val="Textpoznpodarou"/>
        <w:rPr>
          <w:sz w:val="16"/>
          <w:szCs w:val="16"/>
        </w:rPr>
      </w:pPr>
      <w:r w:rsidRPr="000B1BC1">
        <w:rPr>
          <w:rStyle w:val="Znakapoznpodarou"/>
          <w:sz w:val="16"/>
          <w:szCs w:val="16"/>
        </w:rPr>
        <w:footnoteRef/>
      </w:r>
      <w:r w:rsidRPr="000B1BC1">
        <w:rPr>
          <w:sz w:val="16"/>
          <w:szCs w:val="16"/>
        </w:rPr>
        <w:t xml:space="preserve"> </w:t>
      </w:r>
      <w:r w:rsidRPr="000B1BC1">
        <w:rPr>
          <w:spacing w:val="-4"/>
          <w:sz w:val="16"/>
          <w:szCs w:val="16"/>
        </w:rPr>
        <w:t>Tyto osoby se na pracovní trh zapojovaly pozvolna a často zřejmě prostřednictvím zkrácených úvazků či pouze formou různých dohod.</w:t>
      </w:r>
    </w:p>
  </w:footnote>
  <w:footnote w:id="79">
    <w:p w14:paraId="7C844232" w14:textId="77777777" w:rsidR="001F6483" w:rsidRPr="00F8704A" w:rsidRDefault="001F6483" w:rsidP="001F6483">
      <w:pPr>
        <w:pStyle w:val="Textpoznpodarou"/>
        <w:rPr>
          <w:sz w:val="16"/>
          <w:szCs w:val="16"/>
        </w:rPr>
      </w:pPr>
      <w:r w:rsidRPr="00F8704A">
        <w:rPr>
          <w:rStyle w:val="Znakapoznpodarou"/>
          <w:sz w:val="16"/>
          <w:szCs w:val="16"/>
        </w:rPr>
        <w:footnoteRef/>
      </w:r>
      <w:r w:rsidRPr="00F8704A">
        <w:rPr>
          <w:sz w:val="16"/>
          <w:szCs w:val="16"/>
        </w:rPr>
        <w:t xml:space="preserve"> Pro zjednodušení zde zahrnují </w:t>
      </w:r>
      <w:r w:rsidRPr="00F8704A">
        <w:rPr>
          <w:color w:val="0D0D0D" w:themeColor="text1" w:themeTint="F2"/>
          <w:sz w:val="16"/>
          <w:szCs w:val="16"/>
        </w:rPr>
        <w:t xml:space="preserve">veřejnou správu, obranu a sociální zabezpečení, </w:t>
      </w:r>
      <w:r w:rsidRPr="00F8704A">
        <w:rPr>
          <w:spacing w:val="-4"/>
          <w:sz w:val="16"/>
          <w:szCs w:val="16"/>
        </w:rPr>
        <w:t>vzdělávání i zdravotní a sociální péči a také kulturní zábavní a rekreační činnosti.</w:t>
      </w:r>
    </w:p>
  </w:footnote>
  <w:footnote w:id="80">
    <w:p w14:paraId="78EC70CC" w14:textId="77777777" w:rsidR="001F6483" w:rsidRPr="000036C2" w:rsidRDefault="001F6483" w:rsidP="001F6483">
      <w:pPr>
        <w:pStyle w:val="Textpoznpodarou"/>
        <w:rPr>
          <w:sz w:val="16"/>
          <w:szCs w:val="16"/>
        </w:rPr>
      </w:pPr>
      <w:r w:rsidRPr="000036C2">
        <w:rPr>
          <w:rStyle w:val="Znakapoznpodarou"/>
          <w:sz w:val="16"/>
          <w:szCs w:val="16"/>
        </w:rPr>
        <w:footnoteRef/>
      </w:r>
      <w:r w:rsidRPr="000036C2">
        <w:rPr>
          <w:sz w:val="16"/>
          <w:szCs w:val="16"/>
        </w:rPr>
        <w:t xml:space="preserve"> </w:t>
      </w:r>
      <w:r w:rsidRPr="000036C2">
        <w:rPr>
          <w:spacing w:val="-6"/>
          <w:sz w:val="16"/>
          <w:szCs w:val="16"/>
        </w:rPr>
        <w:t>Z větších průmyslových oborů na tom byla nejlépe výroba elektrických zařízení</w:t>
      </w:r>
      <w:r>
        <w:rPr>
          <w:spacing w:val="-6"/>
          <w:sz w:val="16"/>
          <w:szCs w:val="16"/>
        </w:rPr>
        <w:t>, kde mzdy</w:t>
      </w:r>
      <w:r w:rsidRPr="000036C2">
        <w:rPr>
          <w:spacing w:val="-6"/>
          <w:sz w:val="16"/>
          <w:szCs w:val="16"/>
        </w:rPr>
        <w:t xml:space="preserve"> vzrostly v průměru o 9,1 %. Rozdíly ve mzdové dynamice mezi ostatními významnějšími obory nebyly významné (na rozdíl od dosažených úrovní mezd).</w:t>
      </w:r>
    </w:p>
  </w:footnote>
  <w:footnote w:id="81">
    <w:p w14:paraId="18A47CDE" w14:textId="77777777" w:rsidR="00275E43" w:rsidRDefault="00275E43" w:rsidP="00E41131">
      <w:pPr>
        <w:pStyle w:val="Textpoznpodarou"/>
        <w:rPr>
          <w:sz w:val="16"/>
          <w:szCs w:val="16"/>
        </w:rPr>
      </w:pPr>
      <w:r>
        <w:rPr>
          <w:rStyle w:val="Znakapoznpodarou"/>
          <w:sz w:val="16"/>
          <w:szCs w:val="16"/>
        </w:rPr>
        <w:footnoteRef/>
      </w:r>
      <w:r>
        <w:rPr>
          <w:sz w:val="16"/>
          <w:szCs w:val="16"/>
        </w:rPr>
        <w:t xml:space="preserve"> Není-li uvedeno jinak, je zdrojem údajů v této kapitole databáze ARAD České národní banky. Hodnoty směnných kurzů jsou rovněž převzaty od ČNB.</w:t>
      </w:r>
    </w:p>
  </w:footnote>
  <w:footnote w:id="82">
    <w:p w14:paraId="795715E1" w14:textId="77777777" w:rsidR="00275E43" w:rsidRPr="001F5F82" w:rsidRDefault="00275E43" w:rsidP="00E41131">
      <w:pPr>
        <w:pStyle w:val="Textpoznpodarou"/>
        <w:rPr>
          <w:sz w:val="16"/>
          <w:szCs w:val="16"/>
        </w:rPr>
      </w:pPr>
      <w:r w:rsidRPr="001F5F82">
        <w:rPr>
          <w:rStyle w:val="Znakapoznpodarou"/>
          <w:sz w:val="16"/>
          <w:szCs w:val="16"/>
        </w:rPr>
        <w:footnoteRef/>
      </w:r>
      <w:r w:rsidRPr="001F5F82">
        <w:rPr>
          <w:sz w:val="16"/>
          <w:szCs w:val="16"/>
        </w:rPr>
        <w:t xml:space="preserve"> Není-li uvedeno jinak, je změnou úrokových sazeb myšlen rozdíl mezi hodnotou ke dni 3</w:t>
      </w:r>
      <w:r>
        <w:rPr>
          <w:sz w:val="16"/>
          <w:szCs w:val="16"/>
        </w:rPr>
        <w:t>0. 9</w:t>
      </w:r>
      <w:r w:rsidRPr="001F5F82">
        <w:rPr>
          <w:sz w:val="16"/>
          <w:szCs w:val="16"/>
        </w:rPr>
        <w:t>.</w:t>
      </w:r>
      <w:r>
        <w:rPr>
          <w:sz w:val="16"/>
          <w:szCs w:val="16"/>
        </w:rPr>
        <w:t xml:space="preserve"> 2022</w:t>
      </w:r>
      <w:r w:rsidRPr="001F5F82">
        <w:rPr>
          <w:sz w:val="16"/>
          <w:szCs w:val="16"/>
        </w:rPr>
        <w:t xml:space="preserve"> a</w:t>
      </w:r>
      <w:r>
        <w:rPr>
          <w:sz w:val="16"/>
          <w:szCs w:val="16"/>
        </w:rPr>
        <w:t> </w:t>
      </w:r>
      <w:r w:rsidRPr="001F5F82">
        <w:rPr>
          <w:sz w:val="16"/>
          <w:szCs w:val="16"/>
        </w:rPr>
        <w:t>3</w:t>
      </w:r>
      <w:r>
        <w:rPr>
          <w:sz w:val="16"/>
          <w:szCs w:val="16"/>
        </w:rPr>
        <w:t>0. 6</w:t>
      </w:r>
      <w:r w:rsidRPr="001F5F82">
        <w:rPr>
          <w:sz w:val="16"/>
          <w:szCs w:val="16"/>
        </w:rPr>
        <w:t>.</w:t>
      </w:r>
      <w:r>
        <w:rPr>
          <w:sz w:val="16"/>
          <w:szCs w:val="16"/>
        </w:rPr>
        <w:t xml:space="preserve"> 2022.</w:t>
      </w:r>
    </w:p>
  </w:footnote>
  <w:footnote w:id="83">
    <w:p w14:paraId="1CEF52A6" w14:textId="77777777" w:rsidR="00275E43" w:rsidRPr="00651A71" w:rsidRDefault="00275E43" w:rsidP="00E41131">
      <w:pPr>
        <w:pStyle w:val="Textpoznpodarou"/>
        <w:rPr>
          <w:sz w:val="16"/>
          <w:szCs w:val="16"/>
        </w:rPr>
      </w:pPr>
      <w:r w:rsidRPr="00651A71">
        <w:rPr>
          <w:rStyle w:val="Znakapoznpodarou"/>
          <w:sz w:val="16"/>
          <w:szCs w:val="16"/>
        </w:rPr>
        <w:footnoteRef/>
      </w:r>
      <w:r w:rsidRPr="00651A71">
        <w:rPr>
          <w:sz w:val="16"/>
          <w:szCs w:val="16"/>
        </w:rPr>
        <w:t xml:space="preserve"> O</w:t>
      </w:r>
      <w:r w:rsidRPr="00651A71">
        <w:rPr>
          <w:spacing w:val="-3"/>
          <w:sz w:val="16"/>
          <w:szCs w:val="16"/>
          <w:lang w:eastAsia="en-US"/>
        </w:rPr>
        <w:t>byvatelstvo</w:t>
      </w:r>
      <w:r>
        <w:rPr>
          <w:spacing w:val="-3"/>
          <w:sz w:val="16"/>
          <w:szCs w:val="16"/>
          <w:lang w:eastAsia="en-US"/>
        </w:rPr>
        <w:t xml:space="preserve"> včetně </w:t>
      </w:r>
      <w:r w:rsidRPr="00651A71">
        <w:rPr>
          <w:spacing w:val="-3"/>
          <w:sz w:val="16"/>
          <w:szCs w:val="16"/>
          <w:lang w:eastAsia="en-US"/>
        </w:rPr>
        <w:t>živnostníků.</w:t>
      </w:r>
    </w:p>
  </w:footnote>
  <w:footnote w:id="84">
    <w:p w14:paraId="2442722A" w14:textId="77777777" w:rsidR="00275E43" w:rsidRPr="00284DA5" w:rsidRDefault="00275E43" w:rsidP="00E41131">
      <w:pPr>
        <w:pStyle w:val="Textpoznpodarou"/>
        <w:rPr>
          <w:sz w:val="16"/>
          <w:szCs w:val="16"/>
        </w:rPr>
      </w:pPr>
      <w:r w:rsidRPr="00284DA5">
        <w:rPr>
          <w:rStyle w:val="Znakapoznpodarou"/>
          <w:sz w:val="16"/>
          <w:szCs w:val="16"/>
        </w:rPr>
        <w:footnoteRef/>
      </w:r>
      <w:r w:rsidRPr="00284DA5">
        <w:rPr>
          <w:sz w:val="16"/>
          <w:szCs w:val="16"/>
        </w:rPr>
        <w:t xml:space="preserve"> V nových smlouvách jsou zahrnuty i</w:t>
      </w:r>
      <w:r>
        <w:rPr>
          <w:sz w:val="16"/>
          <w:szCs w:val="16"/>
        </w:rPr>
        <w:t> </w:t>
      </w:r>
      <w:r w:rsidRPr="00284DA5">
        <w:rPr>
          <w:sz w:val="16"/>
          <w:szCs w:val="16"/>
        </w:rPr>
        <w:t>refinancované úvěry a</w:t>
      </w:r>
      <w:r>
        <w:rPr>
          <w:sz w:val="16"/>
          <w:szCs w:val="16"/>
        </w:rPr>
        <w:t> </w:t>
      </w:r>
      <w:r w:rsidRPr="00284DA5">
        <w:rPr>
          <w:sz w:val="16"/>
          <w:szCs w:val="16"/>
        </w:rPr>
        <w:t>ostatní ujednání (v</w:t>
      </w:r>
      <w:r>
        <w:rPr>
          <w:sz w:val="16"/>
          <w:szCs w:val="16"/>
        </w:rPr>
        <w:t xml:space="preserve"> roce 2020 to byly odklady splátek, v loňském roce impuls k růstu dodávala možnost předčasného refinancování bez sankce</w:t>
      </w:r>
      <w:r w:rsidRPr="00284DA5">
        <w:rPr>
          <w:sz w:val="16"/>
          <w:szCs w:val="16"/>
        </w:rPr>
        <w:t>).</w:t>
      </w:r>
      <w:r>
        <w:rPr>
          <w:sz w:val="16"/>
          <w:szCs w:val="16"/>
        </w:rPr>
        <w:t xml:space="preserve"> Refinancované úvěry zahrnují stávající smlouvy sjednané nově u jiné banky, zatímco ostatní nová ujednání jsou stávající smlouvy sjednané s novými podmínkami u stejné banky.</w:t>
      </w:r>
    </w:p>
  </w:footnote>
  <w:footnote w:id="85">
    <w:p w14:paraId="24227027" w14:textId="77777777" w:rsidR="00275E43" w:rsidRPr="00724B7B" w:rsidRDefault="00275E43" w:rsidP="00E41131">
      <w:pPr>
        <w:pStyle w:val="Textpoznpodarou"/>
        <w:rPr>
          <w:sz w:val="16"/>
          <w:szCs w:val="16"/>
        </w:rPr>
      </w:pPr>
      <w:r w:rsidRPr="00724B7B">
        <w:rPr>
          <w:rStyle w:val="Znakapoznpodarou"/>
          <w:sz w:val="16"/>
          <w:szCs w:val="16"/>
        </w:rPr>
        <w:footnoteRef/>
      </w:r>
      <w:r w:rsidRPr="00724B7B">
        <w:rPr>
          <w:sz w:val="16"/>
          <w:szCs w:val="16"/>
        </w:rPr>
        <w:t xml:space="preserve"> Úvěry v cizí měně začaly prudce</w:t>
      </w:r>
      <w:r>
        <w:rPr>
          <w:sz w:val="16"/>
          <w:szCs w:val="16"/>
        </w:rPr>
        <w:t xml:space="preserve"> růst</w:t>
      </w:r>
      <w:r w:rsidRPr="00724B7B">
        <w:rPr>
          <w:sz w:val="16"/>
          <w:szCs w:val="16"/>
        </w:rPr>
        <w:t xml:space="preserve"> po začátku opětovného zvyšování </w:t>
      </w:r>
      <w:proofErr w:type="spellStart"/>
      <w:r w:rsidRPr="00724B7B">
        <w:rPr>
          <w:sz w:val="16"/>
          <w:szCs w:val="16"/>
        </w:rPr>
        <w:t>měnověpolitických</w:t>
      </w:r>
      <w:proofErr w:type="spellEnd"/>
      <w:r w:rsidRPr="00724B7B">
        <w:rPr>
          <w:sz w:val="16"/>
          <w:szCs w:val="16"/>
        </w:rPr>
        <w:t xml:space="preserve"> sazeb v červnu 2021. Do konce září 2022 narostl jejich objem o 209,9 mld. korun (57,9 %).</w:t>
      </w:r>
    </w:p>
  </w:footnote>
  <w:footnote w:id="86">
    <w:p w14:paraId="69A99E12" w14:textId="77777777" w:rsidR="00275E43" w:rsidRPr="00AD0D96" w:rsidRDefault="00275E43" w:rsidP="00A30EA4">
      <w:pPr>
        <w:pStyle w:val="Textpoznpodarou"/>
        <w:jc w:val="both"/>
        <w:rPr>
          <w:spacing w:val="-3"/>
          <w:sz w:val="16"/>
          <w:szCs w:val="16"/>
        </w:rPr>
      </w:pPr>
      <w:r w:rsidRPr="00AD0D96">
        <w:rPr>
          <w:rStyle w:val="Znakapoznpodarou"/>
          <w:spacing w:val="-3"/>
          <w:sz w:val="16"/>
          <w:szCs w:val="16"/>
        </w:rPr>
        <w:footnoteRef/>
      </w:r>
      <w:r w:rsidRPr="00AD0D96">
        <w:rPr>
          <w:spacing w:val="-3"/>
          <w:sz w:val="16"/>
          <w:szCs w:val="16"/>
        </w:rPr>
        <w:t xml:space="preserve"> </w:t>
      </w:r>
      <w:r w:rsidRPr="00AD0D96">
        <w:rPr>
          <w:color w:val="0D0D0D" w:themeColor="text1" w:themeTint="F2"/>
          <w:spacing w:val="-3"/>
          <w:sz w:val="16"/>
          <w:szCs w:val="16"/>
        </w:rPr>
        <w:t xml:space="preserve">Pokud není uvedeno jinak, vycházejí všechny údaje týkající se státního rozpočtu </w:t>
      </w:r>
      <w:r w:rsidRPr="00AD0D96">
        <w:rPr>
          <w:rFonts w:cs="Arial"/>
          <w:color w:val="0D0D0D" w:themeColor="text1" w:themeTint="F2"/>
          <w:spacing w:val="-3"/>
          <w:sz w:val="16"/>
          <w:szCs w:val="16"/>
        </w:rPr>
        <w:t>z dat Ministerstva financí o pokladním plnění.</w:t>
      </w:r>
    </w:p>
  </w:footnote>
  <w:footnote w:id="87">
    <w:p w14:paraId="2B2218F8" w14:textId="77777777" w:rsidR="00275E43" w:rsidRDefault="00275E43" w:rsidP="00A30EA4">
      <w:pPr>
        <w:pStyle w:val="Textpoznpodarou"/>
      </w:pPr>
      <w:r w:rsidRPr="00AD0D96">
        <w:rPr>
          <w:rStyle w:val="Znakapoznpodarou"/>
          <w:sz w:val="16"/>
          <w:szCs w:val="16"/>
        </w:rPr>
        <w:footnoteRef/>
      </w:r>
      <w:r w:rsidRPr="00AD0D96">
        <w:rPr>
          <w:sz w:val="16"/>
          <w:szCs w:val="16"/>
        </w:rPr>
        <w:t xml:space="preserve"> </w:t>
      </w:r>
      <w:r w:rsidRPr="00AD0D96">
        <w:rPr>
          <w:spacing w:val="-4"/>
          <w:sz w:val="16"/>
          <w:szCs w:val="16"/>
        </w:rPr>
        <w:t xml:space="preserve">Dle zákona č. 57/2022 Sb., o státním rozpočtu, schváleného Poslaneckou sněmovnou Parlamentu ČR 10. března 2022, v němž byl celoroční schodek </w:t>
      </w:r>
      <w:r>
        <w:rPr>
          <w:spacing w:val="-4"/>
          <w:sz w:val="16"/>
          <w:szCs w:val="16"/>
        </w:rPr>
        <w:t xml:space="preserve">stanoven na 280 mld. korun. Dne 18. října došlo ke schválení novely zákona o státním rozpočtu na rok 2022, jež navýšila očekávaný schodek na 375 mld. korun. </w:t>
      </w:r>
    </w:p>
  </w:footnote>
  <w:footnote w:id="88">
    <w:p w14:paraId="5624A24E" w14:textId="77777777" w:rsidR="00275E43" w:rsidRDefault="00275E43" w:rsidP="00A30EA4">
      <w:pPr>
        <w:pStyle w:val="Textpoznpodarou"/>
      </w:pPr>
      <w:r w:rsidRPr="00EE308D">
        <w:rPr>
          <w:spacing w:val="-4"/>
          <w:sz w:val="16"/>
          <w:szCs w:val="16"/>
          <w:vertAlign w:val="superscript"/>
        </w:rPr>
        <w:footnoteRef/>
      </w:r>
      <w:r w:rsidRPr="00EE308D">
        <w:rPr>
          <w:spacing w:val="-4"/>
          <w:sz w:val="16"/>
          <w:szCs w:val="16"/>
        </w:rPr>
        <w:t xml:space="preserve"> D</w:t>
      </w:r>
      <w:r>
        <w:rPr>
          <w:spacing w:val="-4"/>
          <w:sz w:val="16"/>
          <w:szCs w:val="16"/>
        </w:rPr>
        <w:t>le z</w:t>
      </w:r>
      <w:r w:rsidRPr="00EE308D">
        <w:rPr>
          <w:spacing w:val="-4"/>
          <w:sz w:val="16"/>
          <w:szCs w:val="16"/>
        </w:rPr>
        <w:t>ákona č. 57/2022 Sb.</w:t>
      </w:r>
      <w:r>
        <w:rPr>
          <w:spacing w:val="-4"/>
          <w:sz w:val="16"/>
          <w:szCs w:val="16"/>
        </w:rPr>
        <w:t xml:space="preserve">, </w:t>
      </w:r>
      <w:r w:rsidRPr="00EE308D">
        <w:rPr>
          <w:spacing w:val="-4"/>
          <w:sz w:val="16"/>
          <w:szCs w:val="16"/>
        </w:rPr>
        <w:t>o státní</w:t>
      </w:r>
      <w:r>
        <w:rPr>
          <w:spacing w:val="-4"/>
          <w:sz w:val="16"/>
          <w:szCs w:val="16"/>
        </w:rPr>
        <w:t>m</w:t>
      </w:r>
      <w:r w:rsidRPr="00EE308D">
        <w:rPr>
          <w:spacing w:val="-4"/>
          <w:sz w:val="16"/>
          <w:szCs w:val="16"/>
        </w:rPr>
        <w:t xml:space="preserve"> rozpočtu</w:t>
      </w:r>
      <w:r>
        <w:rPr>
          <w:spacing w:val="-4"/>
          <w:sz w:val="16"/>
          <w:szCs w:val="16"/>
        </w:rPr>
        <w:t>,</w:t>
      </w:r>
      <w:r w:rsidRPr="00EE308D">
        <w:rPr>
          <w:spacing w:val="-4"/>
          <w:sz w:val="16"/>
          <w:szCs w:val="16"/>
        </w:rPr>
        <w:t xml:space="preserve"> schváleného Poslaneckou sněmovnou Parlamentu ČR 10. března 2022</w:t>
      </w:r>
      <w:r>
        <w:rPr>
          <w:spacing w:val="-4"/>
          <w:sz w:val="16"/>
          <w:szCs w:val="16"/>
        </w:rPr>
        <w:t>.</w:t>
      </w:r>
    </w:p>
  </w:footnote>
  <w:footnote w:id="89">
    <w:p w14:paraId="56737DB9" w14:textId="77777777" w:rsidR="00275E43" w:rsidRPr="00AD0D96" w:rsidRDefault="00275E43" w:rsidP="00A30EA4">
      <w:pPr>
        <w:pStyle w:val="Textpoznpodarou"/>
        <w:rPr>
          <w:sz w:val="16"/>
          <w:szCs w:val="16"/>
        </w:rPr>
      </w:pPr>
      <w:r w:rsidRPr="00AD0D96">
        <w:rPr>
          <w:rStyle w:val="Znakapoznpodarou"/>
          <w:sz w:val="16"/>
          <w:szCs w:val="16"/>
        </w:rPr>
        <w:footnoteRef/>
      </w:r>
      <w:r w:rsidRPr="00AD0D96">
        <w:rPr>
          <w:sz w:val="16"/>
          <w:szCs w:val="16"/>
        </w:rPr>
        <w:t xml:space="preserve"> Obdobně rostl v 1. až 3. čtvrtletí i celostátní výběr DPH (na úrovni všech veřejných rozpočtů), který tak dosáhl v rámci shodného období roku ne</w:t>
      </w:r>
      <w:r>
        <w:rPr>
          <w:sz w:val="16"/>
          <w:szCs w:val="16"/>
        </w:rPr>
        <w:t>jvyššího tempa po roce 2000</w:t>
      </w:r>
      <w:r w:rsidRPr="00AD0D96">
        <w:rPr>
          <w:sz w:val="16"/>
          <w:szCs w:val="16"/>
        </w:rPr>
        <w:t>.</w:t>
      </w:r>
    </w:p>
  </w:footnote>
  <w:footnote w:id="90">
    <w:p w14:paraId="27AB17EC" w14:textId="77777777" w:rsidR="00275E43" w:rsidRPr="00BC4671" w:rsidRDefault="00275E43" w:rsidP="00A30EA4">
      <w:pPr>
        <w:pStyle w:val="Textpoznpodarou"/>
        <w:rPr>
          <w:sz w:val="16"/>
          <w:szCs w:val="16"/>
        </w:rPr>
      </w:pPr>
      <w:r w:rsidRPr="00BC4671">
        <w:rPr>
          <w:rStyle w:val="Znakapoznpodarou"/>
          <w:sz w:val="16"/>
          <w:szCs w:val="16"/>
        </w:rPr>
        <w:footnoteRef/>
      </w:r>
      <w:r w:rsidRPr="00BC4671">
        <w:rPr>
          <w:sz w:val="16"/>
          <w:szCs w:val="16"/>
        </w:rPr>
        <w:t xml:space="preserve"> Na tomto významném zvolnění tempa se mohly podílet i častější výjezdy </w:t>
      </w:r>
      <w:r>
        <w:rPr>
          <w:sz w:val="16"/>
          <w:szCs w:val="16"/>
        </w:rPr>
        <w:t xml:space="preserve">rezidentů ČR na zahraniční dovolené (ty se letos v létě patrně vrátily k „předpandemickému normálu“), které se negativně odrazily na tuzemské spotřebě domácností. </w:t>
      </w:r>
    </w:p>
  </w:footnote>
  <w:footnote w:id="91">
    <w:p w14:paraId="69C179EB" w14:textId="77777777" w:rsidR="00275E43" w:rsidRPr="00123B2A" w:rsidRDefault="00275E43" w:rsidP="00A30EA4">
      <w:pPr>
        <w:pStyle w:val="Textpoznpodarou"/>
        <w:rPr>
          <w:sz w:val="16"/>
          <w:szCs w:val="16"/>
        </w:rPr>
      </w:pPr>
      <w:r w:rsidRPr="00123B2A">
        <w:rPr>
          <w:rStyle w:val="Znakapoznpodarou"/>
          <w:sz w:val="16"/>
          <w:szCs w:val="16"/>
        </w:rPr>
        <w:footnoteRef/>
      </w:r>
      <w:r>
        <w:rPr>
          <w:sz w:val="16"/>
          <w:szCs w:val="16"/>
        </w:rPr>
        <w:t xml:space="preserve"> Od 1. června do 30. září 2022 byla</w:t>
      </w:r>
      <w:r w:rsidRPr="00123B2A">
        <w:rPr>
          <w:sz w:val="16"/>
          <w:szCs w:val="16"/>
        </w:rPr>
        <w:t xml:space="preserve"> dočasně</w:t>
      </w:r>
      <w:r>
        <w:rPr>
          <w:sz w:val="16"/>
          <w:szCs w:val="16"/>
        </w:rPr>
        <w:t xml:space="preserve"> snížena</w:t>
      </w:r>
      <w:r w:rsidRPr="00123B2A">
        <w:rPr>
          <w:sz w:val="16"/>
          <w:szCs w:val="16"/>
        </w:rPr>
        <w:t xml:space="preserve"> sazba spotřební daně z benzínu a motorové nafty o 1,50 Kč na litr.</w:t>
      </w:r>
      <w:r>
        <w:rPr>
          <w:sz w:val="16"/>
          <w:szCs w:val="16"/>
        </w:rPr>
        <w:t xml:space="preserve"> U nafty bylo toto opatření následně prodlouženo až do konce roku 2023.</w:t>
      </w:r>
    </w:p>
  </w:footnote>
  <w:footnote w:id="92">
    <w:p w14:paraId="3E6F2D9F" w14:textId="77777777" w:rsidR="00275E43" w:rsidRPr="00F62C95" w:rsidRDefault="00275E43" w:rsidP="00A30EA4">
      <w:pPr>
        <w:autoSpaceDE w:val="0"/>
        <w:autoSpaceDN w:val="0"/>
        <w:adjustRightInd w:val="0"/>
        <w:spacing w:after="0" w:line="240" w:lineRule="auto"/>
        <w:jc w:val="left"/>
        <w:rPr>
          <w:rFonts w:ascii="Calibri" w:eastAsia="Calibri" w:hAnsi="Calibri" w:cs="Calibri"/>
          <w:sz w:val="16"/>
          <w:szCs w:val="16"/>
          <w:lang w:eastAsia="en-US"/>
        </w:rPr>
      </w:pPr>
      <w:r w:rsidRPr="00852DA9">
        <w:rPr>
          <w:rStyle w:val="Znakapoznpodarou"/>
          <w:sz w:val="16"/>
          <w:szCs w:val="16"/>
        </w:rPr>
        <w:footnoteRef/>
      </w:r>
      <w:r w:rsidRPr="00852DA9">
        <w:rPr>
          <w:sz w:val="16"/>
          <w:szCs w:val="16"/>
        </w:rPr>
        <w:t xml:space="preserve"> </w:t>
      </w:r>
      <w:r>
        <w:rPr>
          <w:sz w:val="16"/>
          <w:szCs w:val="16"/>
        </w:rPr>
        <w:t xml:space="preserve">Vysoký meziroční růst inkasa korporátní daně byl částečně ovlivněn </w:t>
      </w:r>
      <w:r w:rsidRPr="00852DA9">
        <w:rPr>
          <w:sz w:val="16"/>
          <w:szCs w:val="16"/>
        </w:rPr>
        <w:t>loňským</w:t>
      </w:r>
      <w:r w:rsidRPr="00852DA9">
        <w:rPr>
          <w:rFonts w:ascii="Calibri" w:eastAsia="Calibri" w:hAnsi="Calibri" w:cs="Calibri"/>
          <w:sz w:val="16"/>
          <w:szCs w:val="16"/>
          <w:lang w:eastAsia="en-US"/>
        </w:rPr>
        <w:t xml:space="preserve"> </w:t>
      </w:r>
      <w:r w:rsidRPr="00852DA9">
        <w:rPr>
          <w:sz w:val="16"/>
          <w:szCs w:val="16"/>
        </w:rPr>
        <w:t xml:space="preserve">posunem lhůty pro zaplacení </w:t>
      </w:r>
      <w:r>
        <w:rPr>
          <w:sz w:val="16"/>
          <w:szCs w:val="16"/>
        </w:rPr>
        <w:t xml:space="preserve">záloh na dani </w:t>
      </w:r>
      <w:r w:rsidRPr="00852DA9">
        <w:rPr>
          <w:sz w:val="16"/>
          <w:szCs w:val="16"/>
        </w:rPr>
        <w:t>(na základě individuální</w:t>
      </w:r>
      <w:r>
        <w:rPr>
          <w:sz w:val="16"/>
          <w:szCs w:val="16"/>
        </w:rPr>
        <w:t>ch</w:t>
      </w:r>
      <w:r w:rsidRPr="00852DA9">
        <w:rPr>
          <w:sz w:val="16"/>
          <w:szCs w:val="16"/>
        </w:rPr>
        <w:t xml:space="preserve"> žádost</w:t>
      </w:r>
      <w:r>
        <w:rPr>
          <w:sz w:val="16"/>
          <w:szCs w:val="16"/>
        </w:rPr>
        <w:t>í</w:t>
      </w:r>
      <w:r w:rsidRPr="00852DA9">
        <w:rPr>
          <w:sz w:val="16"/>
          <w:szCs w:val="16"/>
        </w:rPr>
        <w:t xml:space="preserve"> firem)</w:t>
      </w:r>
      <w:r>
        <w:rPr>
          <w:sz w:val="16"/>
          <w:szCs w:val="16"/>
        </w:rPr>
        <w:t xml:space="preserve"> s negativním dopadem na příjem této daně do SR ve výši 11,7 mld. korun (za 1. až 3. čtvrtletí 2021).</w:t>
      </w:r>
      <w:r w:rsidRPr="00B17175">
        <w:rPr>
          <w:sz w:val="16"/>
          <w:szCs w:val="16"/>
        </w:rPr>
        <w:t xml:space="preserve"> </w:t>
      </w:r>
      <w:r>
        <w:rPr>
          <w:sz w:val="16"/>
          <w:szCs w:val="16"/>
        </w:rPr>
        <w:t xml:space="preserve">Dále </w:t>
      </w:r>
      <w:r w:rsidRPr="00F62C95">
        <w:rPr>
          <w:sz w:val="16"/>
          <w:szCs w:val="16"/>
        </w:rPr>
        <w:t>šlo také o změnu ve zdanění rezerv pojišťoven.</w:t>
      </w:r>
    </w:p>
  </w:footnote>
  <w:footnote w:id="93">
    <w:p w14:paraId="4A361343" w14:textId="77777777" w:rsidR="00275E43" w:rsidRPr="00F62C95" w:rsidRDefault="00275E43" w:rsidP="00A30EA4">
      <w:pPr>
        <w:pStyle w:val="Textpoznpodarou"/>
        <w:rPr>
          <w:sz w:val="16"/>
          <w:szCs w:val="16"/>
        </w:rPr>
      </w:pPr>
      <w:r w:rsidRPr="00F62C95">
        <w:rPr>
          <w:rStyle w:val="Znakapoznpodarou"/>
          <w:sz w:val="16"/>
          <w:szCs w:val="16"/>
        </w:rPr>
        <w:footnoteRef/>
      </w:r>
      <w:r w:rsidRPr="00F62C95">
        <w:rPr>
          <w:sz w:val="16"/>
          <w:szCs w:val="16"/>
        </w:rPr>
        <w:t xml:space="preserve"> Celostátní výběr této daně (104,8 mld. korun) však letos nedosáhl ani úrovně z 1. až 3. čtvrtletí 2016 (107,5 mld.), </w:t>
      </w:r>
      <w:r>
        <w:rPr>
          <w:sz w:val="16"/>
          <w:szCs w:val="16"/>
        </w:rPr>
        <w:t xml:space="preserve">a to </w:t>
      </w:r>
      <w:r w:rsidRPr="00F62C95">
        <w:rPr>
          <w:sz w:val="16"/>
          <w:szCs w:val="16"/>
        </w:rPr>
        <w:t xml:space="preserve">zejména vlivem </w:t>
      </w:r>
      <w:r w:rsidRPr="00F62C95">
        <w:rPr>
          <w:spacing w:val="-4"/>
          <w:sz w:val="16"/>
          <w:szCs w:val="16"/>
        </w:rPr>
        <w:t>snížení</w:t>
      </w:r>
      <w:r>
        <w:rPr>
          <w:spacing w:val="-4"/>
          <w:sz w:val="16"/>
          <w:szCs w:val="16"/>
        </w:rPr>
        <w:t xml:space="preserve"> daňového zatížení práce od roku 2021 </w:t>
      </w:r>
      <w:r w:rsidRPr="00F62C95">
        <w:rPr>
          <w:spacing w:val="-4"/>
          <w:sz w:val="16"/>
          <w:szCs w:val="16"/>
        </w:rPr>
        <w:t>(v souvislosti se zrušení</w:t>
      </w:r>
      <w:r>
        <w:rPr>
          <w:spacing w:val="-4"/>
          <w:sz w:val="16"/>
          <w:szCs w:val="16"/>
        </w:rPr>
        <w:t>m</w:t>
      </w:r>
      <w:r w:rsidRPr="00F62C95">
        <w:rPr>
          <w:spacing w:val="-4"/>
          <w:sz w:val="16"/>
          <w:szCs w:val="16"/>
        </w:rPr>
        <w:t xml:space="preserve"> tzv. superhrubé mzdy).</w:t>
      </w:r>
    </w:p>
  </w:footnote>
  <w:footnote w:id="94">
    <w:p w14:paraId="178DDDC4" w14:textId="77777777" w:rsidR="00275E43" w:rsidRPr="00271248" w:rsidRDefault="00275E43" w:rsidP="00A30EA4">
      <w:pPr>
        <w:pStyle w:val="Textpoznpodarou"/>
        <w:rPr>
          <w:sz w:val="16"/>
          <w:szCs w:val="16"/>
        </w:rPr>
      </w:pPr>
      <w:r w:rsidRPr="00271248">
        <w:rPr>
          <w:rStyle w:val="Znakapoznpodarou"/>
          <w:sz w:val="16"/>
          <w:szCs w:val="16"/>
        </w:rPr>
        <w:footnoteRef/>
      </w:r>
      <w:r w:rsidRPr="00271248">
        <w:rPr>
          <w:sz w:val="16"/>
          <w:szCs w:val="16"/>
        </w:rPr>
        <w:t xml:space="preserve"> Úhrn měsíčních výdajů ve všech organi</w:t>
      </w:r>
      <w:r>
        <w:rPr>
          <w:sz w:val="16"/>
          <w:szCs w:val="16"/>
        </w:rPr>
        <w:t>začních složkách státu tak mohl</w:t>
      </w:r>
      <w:r w:rsidRPr="00271248">
        <w:rPr>
          <w:sz w:val="16"/>
          <w:szCs w:val="16"/>
        </w:rPr>
        <w:t xml:space="preserve"> dosáhnout maximálně jedné dvanáctiny celkových výdajů SR stanovených </w:t>
      </w:r>
      <w:r>
        <w:rPr>
          <w:sz w:val="16"/>
          <w:szCs w:val="16"/>
        </w:rPr>
        <w:t xml:space="preserve">dle schváleného </w:t>
      </w:r>
      <w:r w:rsidRPr="00271248">
        <w:rPr>
          <w:sz w:val="16"/>
          <w:szCs w:val="16"/>
        </w:rPr>
        <w:t>zákona o SR z roku 2021.</w:t>
      </w:r>
      <w:r>
        <w:rPr>
          <w:sz w:val="16"/>
          <w:szCs w:val="16"/>
        </w:rPr>
        <w:t xml:space="preserve"> Na</w:t>
      </w:r>
      <w:r w:rsidRPr="00EE46BC">
        <w:rPr>
          <w:sz w:val="16"/>
          <w:szCs w:val="16"/>
        </w:rPr>
        <w:t xml:space="preserve"> počátku roku </w:t>
      </w:r>
      <w:r>
        <w:rPr>
          <w:spacing w:val="-4"/>
          <w:sz w:val="16"/>
          <w:szCs w:val="16"/>
        </w:rPr>
        <w:t>došlo k omezení</w:t>
      </w:r>
      <w:r w:rsidRPr="00EE46BC">
        <w:rPr>
          <w:spacing w:val="-4"/>
          <w:sz w:val="16"/>
          <w:szCs w:val="16"/>
        </w:rPr>
        <w:t xml:space="preserve"> možnosti předfinancování některých běžných transferů a </w:t>
      </w:r>
      <w:r>
        <w:rPr>
          <w:spacing w:val="-4"/>
          <w:sz w:val="16"/>
          <w:szCs w:val="16"/>
        </w:rPr>
        <w:t>zásadně limitováno bylo rovněž použití</w:t>
      </w:r>
      <w:r w:rsidRPr="00EE46BC">
        <w:rPr>
          <w:spacing w:val="-4"/>
          <w:sz w:val="16"/>
          <w:szCs w:val="16"/>
        </w:rPr>
        <w:t xml:space="preserve"> i další</w:t>
      </w:r>
      <w:r>
        <w:rPr>
          <w:spacing w:val="-4"/>
          <w:sz w:val="16"/>
          <w:szCs w:val="16"/>
        </w:rPr>
        <w:t>ch zdrojů</w:t>
      </w:r>
      <w:r w:rsidRPr="00EE46BC">
        <w:rPr>
          <w:spacing w:val="-4"/>
          <w:sz w:val="16"/>
          <w:szCs w:val="16"/>
        </w:rPr>
        <w:t xml:space="preserve"> financování (např. </w:t>
      </w:r>
      <w:r w:rsidRPr="00EE46BC">
        <w:rPr>
          <w:sz w:val="16"/>
          <w:szCs w:val="16"/>
        </w:rPr>
        <w:t>mimorozpočtové zdroje – především nároky z nespotřebovaných výdajů z minulých le</w:t>
      </w:r>
      <w:r>
        <w:rPr>
          <w:sz w:val="16"/>
          <w:szCs w:val="16"/>
        </w:rPr>
        <w:t>t).</w:t>
      </w:r>
      <w:r w:rsidRPr="00862F80">
        <w:rPr>
          <w:sz w:val="16"/>
          <w:szCs w:val="16"/>
        </w:rPr>
        <w:t xml:space="preserve"> </w:t>
      </w:r>
      <w:r>
        <w:rPr>
          <w:sz w:val="16"/>
          <w:szCs w:val="16"/>
        </w:rPr>
        <w:t>To vedlo mj. k odkladu zbytných provozních výdajů i investic.</w:t>
      </w:r>
    </w:p>
  </w:footnote>
  <w:footnote w:id="95">
    <w:p w14:paraId="38815550" w14:textId="77777777" w:rsidR="00275E43" w:rsidRPr="00AC0B00" w:rsidRDefault="00275E43" w:rsidP="00A30EA4">
      <w:pPr>
        <w:pStyle w:val="Textpoznpodarou"/>
        <w:rPr>
          <w:sz w:val="16"/>
          <w:szCs w:val="16"/>
        </w:rPr>
      </w:pPr>
      <w:r w:rsidRPr="00AC0B00">
        <w:rPr>
          <w:rStyle w:val="Znakapoznpodarou"/>
          <w:sz w:val="16"/>
          <w:szCs w:val="16"/>
        </w:rPr>
        <w:footnoteRef/>
      </w:r>
      <w:r w:rsidRPr="00AC0B00">
        <w:rPr>
          <w:sz w:val="16"/>
          <w:szCs w:val="16"/>
        </w:rPr>
        <w:t xml:space="preserve"> </w:t>
      </w:r>
      <w:r>
        <w:rPr>
          <w:sz w:val="16"/>
          <w:szCs w:val="16"/>
        </w:rPr>
        <w:t>Řádná</w:t>
      </w:r>
      <w:r w:rsidRPr="00AC0B00">
        <w:rPr>
          <w:sz w:val="16"/>
          <w:szCs w:val="16"/>
        </w:rPr>
        <w:t xml:space="preserve"> lednová valorizace znamenala navýšení průměrného starobního důchodu o 5,2 % (805 korun), mimořádná valorizace v červnu analogicky o 6,3 % a v září pak o rovná 4 %</w:t>
      </w:r>
      <w:r>
        <w:rPr>
          <w:sz w:val="16"/>
          <w:szCs w:val="16"/>
        </w:rPr>
        <w:t>. Průměrný měsíční starobní důchod (bez souběhu s ostatními důchody) tak letos v září překročil 18 tis. korun (z toho u mužů se přiblížil hranici 20 tis. korun).</w:t>
      </w:r>
    </w:p>
  </w:footnote>
  <w:footnote w:id="96">
    <w:p w14:paraId="54B29EE0" w14:textId="77777777" w:rsidR="00275E43" w:rsidRPr="00EC2E06" w:rsidRDefault="00275E43" w:rsidP="00A30EA4">
      <w:pPr>
        <w:pStyle w:val="Textpoznpodarou"/>
        <w:jc w:val="both"/>
        <w:rPr>
          <w:spacing w:val="-4"/>
        </w:rPr>
      </w:pPr>
      <w:r w:rsidRPr="00EC2E06">
        <w:rPr>
          <w:rStyle w:val="Znakapoznpodarou"/>
          <w:spacing w:val="-4"/>
          <w:sz w:val="16"/>
          <w:szCs w:val="16"/>
        </w:rPr>
        <w:footnoteRef/>
      </w:r>
      <w:r>
        <w:rPr>
          <w:spacing w:val="-4"/>
          <w:sz w:val="16"/>
          <w:szCs w:val="16"/>
        </w:rPr>
        <w:t xml:space="preserve"> R</w:t>
      </w:r>
      <w:r w:rsidRPr="00EC2E06">
        <w:rPr>
          <w:rFonts w:cs="Arial"/>
          <w:color w:val="000000" w:themeColor="text1"/>
          <w:spacing w:val="-4"/>
          <w:sz w:val="16"/>
          <w:szCs w:val="16"/>
        </w:rPr>
        <w:t xml:space="preserve">ozdíl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97">
    <w:p w14:paraId="6385D5C8" w14:textId="77777777" w:rsidR="00275E43" w:rsidRPr="0095169D" w:rsidRDefault="00275E43" w:rsidP="00A30EA4">
      <w:pPr>
        <w:pStyle w:val="Textpoznpodarou"/>
        <w:rPr>
          <w:sz w:val="16"/>
          <w:szCs w:val="16"/>
        </w:rPr>
      </w:pPr>
      <w:r w:rsidRPr="0095169D">
        <w:rPr>
          <w:rStyle w:val="Znakapoznpodarou"/>
          <w:sz w:val="16"/>
          <w:szCs w:val="16"/>
        </w:rPr>
        <w:footnoteRef/>
      </w:r>
      <w:r w:rsidRPr="0095169D">
        <w:rPr>
          <w:sz w:val="16"/>
          <w:szCs w:val="16"/>
        </w:rPr>
        <w:t xml:space="preserve"> K tomu došlo zejména vlivem zákonného navýšení příspěvku pro </w:t>
      </w:r>
      <w:r>
        <w:rPr>
          <w:sz w:val="16"/>
          <w:szCs w:val="16"/>
        </w:rPr>
        <w:t xml:space="preserve">postižené </w:t>
      </w:r>
      <w:r w:rsidRPr="0095169D">
        <w:rPr>
          <w:sz w:val="16"/>
          <w:szCs w:val="16"/>
        </w:rPr>
        <w:t xml:space="preserve">osoby ve dvou nejtěžších stupních závislosti. </w:t>
      </w:r>
    </w:p>
  </w:footnote>
  <w:footnote w:id="98">
    <w:p w14:paraId="206754C4" w14:textId="77777777" w:rsidR="00275E43" w:rsidRPr="00AB5EA8" w:rsidRDefault="00275E43" w:rsidP="00A30EA4">
      <w:pPr>
        <w:pStyle w:val="Textpoznpodarou"/>
        <w:rPr>
          <w:sz w:val="16"/>
          <w:szCs w:val="16"/>
        </w:rPr>
      </w:pPr>
      <w:r w:rsidRPr="00694DF8">
        <w:rPr>
          <w:rStyle w:val="Znakapoznpodarou"/>
          <w:sz w:val="16"/>
          <w:szCs w:val="16"/>
        </w:rPr>
        <w:footnoteRef/>
      </w:r>
      <w:r w:rsidRPr="00694DF8">
        <w:rPr>
          <w:sz w:val="16"/>
          <w:szCs w:val="16"/>
        </w:rPr>
        <w:t xml:space="preserve"> Ten je vyplácen letos od srpna (ve výši 5 tis. korun za každé dítě) rodinám se středními a nižšími příjmy s cílem částečně kompenzovat rostoucí ceny energií, potravin a dalších potřeb </w:t>
      </w:r>
      <w:r w:rsidRPr="00AB5EA8">
        <w:rPr>
          <w:sz w:val="16"/>
          <w:szCs w:val="16"/>
        </w:rPr>
        <w:t>těmto rodinám.</w:t>
      </w:r>
    </w:p>
  </w:footnote>
  <w:footnote w:id="99">
    <w:p w14:paraId="372BA764" w14:textId="77777777" w:rsidR="00275E43" w:rsidRPr="006B6115" w:rsidRDefault="00275E43" w:rsidP="00A30EA4">
      <w:pPr>
        <w:pStyle w:val="Textpoznpodarou"/>
        <w:rPr>
          <w:sz w:val="16"/>
          <w:szCs w:val="16"/>
        </w:rPr>
      </w:pPr>
      <w:r w:rsidRPr="00AB5EA8">
        <w:rPr>
          <w:rStyle w:val="Znakapoznpodarou"/>
          <w:sz w:val="16"/>
          <w:szCs w:val="16"/>
        </w:rPr>
        <w:footnoteRef/>
      </w:r>
      <w:r w:rsidRPr="00AB5EA8">
        <w:rPr>
          <w:sz w:val="16"/>
          <w:szCs w:val="16"/>
        </w:rPr>
        <w:t xml:space="preserve"> Výdaje na dávky nemocenského pojištění tak letos za tři čtvrtletí převýšil</w:t>
      </w:r>
      <w:r w:rsidRPr="006B6115">
        <w:rPr>
          <w:sz w:val="16"/>
          <w:szCs w:val="16"/>
        </w:rPr>
        <w:t xml:space="preserve">y příjmy plynoucí na nemocenské pojištění o 7 mld. korun. To značilo lepší výsledek než ve shodném období let 2021 (-11,7 mld.) a 2020 (-18,1 mld.). Přebytek v oblasti nemocenského pojištění byl naposledy zaznamenán v roce 2018 (+0,4 mld.). </w:t>
      </w:r>
    </w:p>
  </w:footnote>
  <w:footnote w:id="100">
    <w:p w14:paraId="20C1660C" w14:textId="77777777" w:rsidR="00275E43" w:rsidRPr="003C31FB" w:rsidRDefault="00275E43" w:rsidP="00A30EA4">
      <w:pPr>
        <w:pStyle w:val="Textpoznpodarou"/>
        <w:rPr>
          <w:sz w:val="16"/>
          <w:szCs w:val="16"/>
        </w:rPr>
      </w:pPr>
      <w:r w:rsidRPr="003C31FB">
        <w:rPr>
          <w:rStyle w:val="Znakapoznpodarou"/>
          <w:sz w:val="16"/>
          <w:szCs w:val="16"/>
        </w:rPr>
        <w:footnoteRef/>
      </w:r>
      <w:r>
        <w:rPr>
          <w:sz w:val="16"/>
          <w:szCs w:val="16"/>
        </w:rPr>
        <w:t xml:space="preserve"> Měsíční platby státu se od</w:t>
      </w:r>
      <w:r w:rsidRPr="003C31FB">
        <w:rPr>
          <w:sz w:val="16"/>
          <w:szCs w:val="16"/>
        </w:rPr>
        <w:t xml:space="preserve"> ledna 2022 zvýšily z 1767 korun na 1967 korun na osobu. Podle později schválené novely zákon</w:t>
      </w:r>
      <w:r>
        <w:rPr>
          <w:sz w:val="16"/>
          <w:szCs w:val="16"/>
        </w:rPr>
        <w:t>a</w:t>
      </w:r>
      <w:r w:rsidRPr="003C31FB">
        <w:rPr>
          <w:sz w:val="16"/>
          <w:szCs w:val="16"/>
        </w:rPr>
        <w:t xml:space="preserve"> </w:t>
      </w:r>
      <w:r>
        <w:rPr>
          <w:sz w:val="16"/>
          <w:szCs w:val="16"/>
        </w:rPr>
        <w:br/>
      </w:r>
      <w:r w:rsidRPr="003C31FB">
        <w:rPr>
          <w:sz w:val="16"/>
          <w:szCs w:val="16"/>
        </w:rPr>
        <w:t>o veřejn</w:t>
      </w:r>
      <w:r>
        <w:rPr>
          <w:sz w:val="16"/>
          <w:szCs w:val="16"/>
        </w:rPr>
        <w:t>ém zdravotním pojištění však došlo</w:t>
      </w:r>
      <w:r w:rsidRPr="003C31FB">
        <w:rPr>
          <w:sz w:val="16"/>
          <w:szCs w:val="16"/>
        </w:rPr>
        <w:t xml:space="preserve"> o</w:t>
      </w:r>
      <w:r>
        <w:rPr>
          <w:sz w:val="16"/>
          <w:szCs w:val="16"/>
        </w:rPr>
        <w:t>d září</w:t>
      </w:r>
      <w:r w:rsidRPr="003C31FB">
        <w:rPr>
          <w:sz w:val="16"/>
          <w:szCs w:val="16"/>
        </w:rPr>
        <w:t xml:space="preserve"> 2022 k poklesu platby na </w:t>
      </w:r>
      <w:r>
        <w:rPr>
          <w:sz w:val="16"/>
          <w:szCs w:val="16"/>
        </w:rPr>
        <w:t>1 487 korun.</w:t>
      </w:r>
    </w:p>
  </w:footnote>
  <w:footnote w:id="101">
    <w:p w14:paraId="36748F1C" w14:textId="77777777" w:rsidR="00275E43" w:rsidRPr="004B2C92" w:rsidRDefault="00275E43" w:rsidP="00A30EA4">
      <w:pPr>
        <w:pStyle w:val="Textpoznpodarou"/>
        <w:rPr>
          <w:sz w:val="16"/>
          <w:szCs w:val="16"/>
        </w:rPr>
      </w:pPr>
      <w:r w:rsidRPr="004B2C92">
        <w:rPr>
          <w:rStyle w:val="Znakapoznpodarou"/>
          <w:sz w:val="16"/>
          <w:szCs w:val="16"/>
        </w:rPr>
        <w:footnoteRef/>
      </w:r>
      <w:r w:rsidRPr="004B2C92">
        <w:rPr>
          <w:sz w:val="16"/>
          <w:szCs w:val="16"/>
        </w:rPr>
        <w:t xml:space="preserve"> To bylo nepatrně více než ve stejném období loňského roku. Nicméně v posledních deseti letech se míra </w:t>
      </w:r>
      <w:r>
        <w:rPr>
          <w:sz w:val="16"/>
          <w:szCs w:val="16"/>
        </w:rPr>
        <w:t xml:space="preserve">celoročního </w:t>
      </w:r>
      <w:r w:rsidRPr="004B2C92">
        <w:rPr>
          <w:sz w:val="16"/>
          <w:szCs w:val="16"/>
        </w:rPr>
        <w:t xml:space="preserve">plnění investic na konci září zpravidla pohybovala nad 60 %. </w:t>
      </w:r>
    </w:p>
  </w:footnote>
  <w:footnote w:id="102">
    <w:p w14:paraId="30A2FA37" w14:textId="77777777" w:rsidR="00275E43" w:rsidRPr="004B2C92" w:rsidRDefault="00275E43" w:rsidP="00A30EA4">
      <w:pPr>
        <w:pStyle w:val="Textpoznpodarou"/>
        <w:rPr>
          <w:sz w:val="16"/>
          <w:szCs w:val="16"/>
        </w:rPr>
      </w:pPr>
      <w:r w:rsidRPr="004B2C92">
        <w:rPr>
          <w:rStyle w:val="Znakapoznpodarou"/>
          <w:sz w:val="16"/>
          <w:szCs w:val="16"/>
        </w:rPr>
        <w:footnoteRef/>
      </w:r>
      <w:r w:rsidRPr="004B2C92">
        <w:rPr>
          <w:sz w:val="16"/>
          <w:szCs w:val="16"/>
        </w:rPr>
        <w:t xml:space="preserve"> Ten </w:t>
      </w:r>
      <w:r>
        <w:rPr>
          <w:sz w:val="16"/>
          <w:szCs w:val="16"/>
        </w:rPr>
        <w:t>je</w:t>
      </w:r>
      <w:r w:rsidRPr="004B2C92">
        <w:rPr>
          <w:sz w:val="16"/>
          <w:szCs w:val="16"/>
        </w:rPr>
        <w:t xml:space="preserve"> </w:t>
      </w:r>
      <w:r>
        <w:rPr>
          <w:sz w:val="16"/>
          <w:szCs w:val="16"/>
        </w:rPr>
        <w:t xml:space="preserve">letos </w:t>
      </w:r>
      <w:r w:rsidRPr="004B2C92">
        <w:rPr>
          <w:sz w:val="16"/>
          <w:szCs w:val="16"/>
        </w:rPr>
        <w:t>rozpočtován v rekordní výši 204 mld. korun.</w:t>
      </w:r>
    </w:p>
  </w:footnote>
  <w:footnote w:id="103">
    <w:p w14:paraId="7765F009" w14:textId="77777777" w:rsidR="00275E43" w:rsidRPr="00614788" w:rsidRDefault="00275E43" w:rsidP="00A30EA4">
      <w:pPr>
        <w:pStyle w:val="Textpoznpodarou"/>
        <w:rPr>
          <w:spacing w:val="-2"/>
          <w:sz w:val="16"/>
          <w:szCs w:val="16"/>
        </w:rPr>
      </w:pPr>
      <w:r w:rsidRPr="00614788">
        <w:rPr>
          <w:rStyle w:val="Znakapoznpodarou"/>
          <w:spacing w:val="-2"/>
          <w:sz w:val="16"/>
          <w:szCs w:val="16"/>
        </w:rPr>
        <w:footnoteRef/>
      </w:r>
      <w:r w:rsidRPr="00614788">
        <w:rPr>
          <w:spacing w:val="-2"/>
          <w:sz w:val="16"/>
          <w:szCs w:val="16"/>
        </w:rPr>
        <w:t xml:space="preserve"> Čisté výdaje odpovídají saldu rozpočtové kapitoly Státní dluh (č. 396). Výdaje na státní dluh v posledních šesti letech fakticky stagnovaly.</w:t>
      </w:r>
    </w:p>
  </w:footnote>
  <w:footnote w:id="104">
    <w:p w14:paraId="1CB6843B" w14:textId="77777777" w:rsidR="00275E43" w:rsidRDefault="00275E43" w:rsidP="00A30EA4">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3. čtvrtletí 2022 zveřejní ČSÚ 10. ledna 2023, </w:t>
      </w:r>
      <w:proofErr w:type="spellStart"/>
      <w:r>
        <w:rPr>
          <w:sz w:val="16"/>
          <w:szCs w:val="16"/>
        </w:rPr>
        <w:t>Eurostat</w:t>
      </w:r>
      <w:proofErr w:type="spellEnd"/>
      <w:r>
        <w:rPr>
          <w:sz w:val="16"/>
          <w:szCs w:val="16"/>
        </w:rPr>
        <w:t xml:space="preserve"> následně 23. ledna 2023. Detailnější zhodnocení vývoje za 2. čtvrtletí 20222 je obsaženo v publikaci Analýza sektorových účtů:</w:t>
      </w:r>
    </w:p>
    <w:p w14:paraId="20FB81C2" w14:textId="77777777" w:rsidR="00275E43" w:rsidRPr="00900B2B" w:rsidRDefault="001659C3" w:rsidP="00A30EA4">
      <w:pPr>
        <w:pStyle w:val="Textpoznpodarou"/>
        <w:rPr>
          <w:sz w:val="16"/>
          <w:szCs w:val="16"/>
        </w:rPr>
      </w:pPr>
      <w:hyperlink r:id="rId2" w:history="1">
        <w:r w:rsidR="00275E43" w:rsidRPr="007327EF">
          <w:rPr>
            <w:rStyle w:val="Hypertextovodkaz"/>
            <w:sz w:val="16"/>
            <w:szCs w:val="16"/>
          </w:rPr>
          <w:t>https://www.czso.cz/csu/czso/cri/analyza-ctvrtletnich-sektorovych-uctu-2-ctvrtleti-2022</w:t>
        </w:r>
      </w:hyperlink>
    </w:p>
  </w:footnote>
  <w:footnote w:id="105">
    <w:p w14:paraId="6BADBD66" w14:textId="77777777" w:rsidR="00275E43" w:rsidRPr="00654E54" w:rsidRDefault="00275E43" w:rsidP="00A30EA4">
      <w:pPr>
        <w:pStyle w:val="Textpoznpodarou"/>
        <w:rPr>
          <w:sz w:val="16"/>
          <w:szCs w:val="16"/>
        </w:rPr>
      </w:pPr>
      <w:r w:rsidRPr="00654E54">
        <w:rPr>
          <w:rStyle w:val="Znakapoznpodarou"/>
          <w:sz w:val="16"/>
          <w:szCs w:val="16"/>
        </w:rPr>
        <w:footnoteRef/>
      </w:r>
      <w:r>
        <w:rPr>
          <w:sz w:val="16"/>
          <w:szCs w:val="16"/>
        </w:rPr>
        <w:t xml:space="preserve"> Ú</w:t>
      </w:r>
      <w:r w:rsidRPr="00654E54">
        <w:rPr>
          <w:sz w:val="16"/>
          <w:szCs w:val="16"/>
        </w:rPr>
        <w:t xml:space="preserve">daje o hospodaření sektoru VI v ČR </w:t>
      </w:r>
      <w:r>
        <w:rPr>
          <w:sz w:val="16"/>
          <w:szCs w:val="16"/>
        </w:rPr>
        <w:t xml:space="preserve">jsou </w:t>
      </w:r>
      <w:r w:rsidRPr="00654E54">
        <w:rPr>
          <w:sz w:val="16"/>
          <w:szCs w:val="16"/>
        </w:rPr>
        <w:t>uvedeny bez sezónního očištění.</w:t>
      </w:r>
    </w:p>
  </w:footnote>
  <w:footnote w:id="106">
    <w:p w14:paraId="0347EEAA" w14:textId="77777777" w:rsidR="00275E43" w:rsidRPr="00B07783" w:rsidRDefault="00275E43" w:rsidP="00A30EA4">
      <w:pPr>
        <w:pStyle w:val="Textpoznpodarou"/>
        <w:rPr>
          <w:sz w:val="16"/>
          <w:szCs w:val="16"/>
        </w:rPr>
      </w:pPr>
      <w:r w:rsidRPr="00B07783">
        <w:rPr>
          <w:rStyle w:val="Znakapoznpodarou"/>
          <w:sz w:val="16"/>
          <w:szCs w:val="16"/>
        </w:rPr>
        <w:footnoteRef/>
      </w:r>
      <w:r w:rsidRPr="00B07783">
        <w:rPr>
          <w:sz w:val="16"/>
          <w:szCs w:val="16"/>
        </w:rPr>
        <w:t xml:space="preserve"> Před rokem 2020 byl </w:t>
      </w:r>
      <w:r>
        <w:rPr>
          <w:sz w:val="16"/>
          <w:szCs w:val="16"/>
        </w:rPr>
        <w:t xml:space="preserve">zpravidla </w:t>
      </w:r>
      <w:r w:rsidRPr="00B07783">
        <w:rPr>
          <w:sz w:val="16"/>
          <w:szCs w:val="16"/>
        </w:rPr>
        <w:t>druhý kvartál roku obdobím, kdy v rámci roku dosahovalo hospodaření VI nejpříznivějších výsledků.</w:t>
      </w:r>
    </w:p>
  </w:footnote>
  <w:footnote w:id="107">
    <w:p w14:paraId="799BA5EE" w14:textId="77777777" w:rsidR="00275E43" w:rsidRPr="00A274FC" w:rsidRDefault="00275E43" w:rsidP="00A30EA4">
      <w:pPr>
        <w:pStyle w:val="Textpoznpodarou"/>
        <w:rPr>
          <w:sz w:val="16"/>
          <w:szCs w:val="16"/>
        </w:rPr>
      </w:pPr>
      <w:r w:rsidRPr="00A274FC">
        <w:rPr>
          <w:rStyle w:val="Znakapoznpodarou"/>
          <w:sz w:val="16"/>
          <w:szCs w:val="16"/>
        </w:rPr>
        <w:footnoteRef/>
      </w:r>
      <w:r>
        <w:rPr>
          <w:sz w:val="16"/>
          <w:szCs w:val="16"/>
        </w:rPr>
        <w:t xml:space="preserve"> Údaje o saldu hospodaření</w:t>
      </w:r>
      <w:r w:rsidRPr="00A274FC">
        <w:rPr>
          <w:sz w:val="16"/>
          <w:szCs w:val="16"/>
        </w:rPr>
        <w:t xml:space="preserve"> sektoru VI </w:t>
      </w:r>
      <w:r>
        <w:rPr>
          <w:sz w:val="16"/>
          <w:szCs w:val="16"/>
        </w:rPr>
        <w:t>v zemích EU vyjádřené</w:t>
      </w:r>
      <w:r w:rsidRPr="00A274FC">
        <w:rPr>
          <w:sz w:val="16"/>
          <w:szCs w:val="16"/>
        </w:rPr>
        <w:t xml:space="preserve"> po sezónním očištění.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77777777" w:rsidR="00275E43" w:rsidRDefault="00275E43" w:rsidP="00937AE2">
    <w:pPr>
      <w:pStyle w:val="Zhlav"/>
    </w:pPr>
    <w:r>
      <w:t>Vývoj ekonomiky České republiky</w:t>
    </w:r>
  </w:p>
  <w:p w14:paraId="3E881AB3" w14:textId="77777777" w:rsidR="00275E43" w:rsidRPr="006F5416" w:rsidRDefault="00275E43"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77777777" w:rsidR="00275E43" w:rsidRDefault="00275E43" w:rsidP="00937AE2">
    <w:pPr>
      <w:pStyle w:val="Zhlav"/>
    </w:pPr>
    <w:r>
      <w:t>Vývoj ekonomiky České republiky</w:t>
    </w:r>
  </w:p>
  <w:p w14:paraId="57266714" w14:textId="77777777" w:rsidR="00275E43" w:rsidRPr="006F5416" w:rsidRDefault="00275E43"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224337598">
    <w:abstractNumId w:val="24"/>
  </w:num>
  <w:num w:numId="2" w16cid:durableId="352264853">
    <w:abstractNumId w:val="8"/>
  </w:num>
  <w:num w:numId="3" w16cid:durableId="1115095472">
    <w:abstractNumId w:val="3"/>
  </w:num>
  <w:num w:numId="4" w16cid:durableId="1962372938">
    <w:abstractNumId w:val="2"/>
  </w:num>
  <w:num w:numId="5" w16cid:durableId="1958753753">
    <w:abstractNumId w:val="1"/>
  </w:num>
  <w:num w:numId="6" w16cid:durableId="125127467">
    <w:abstractNumId w:val="0"/>
  </w:num>
  <w:num w:numId="7" w16cid:durableId="113912191">
    <w:abstractNumId w:val="9"/>
  </w:num>
  <w:num w:numId="8" w16cid:durableId="625045448">
    <w:abstractNumId w:val="7"/>
  </w:num>
  <w:num w:numId="9" w16cid:durableId="1352488717">
    <w:abstractNumId w:val="6"/>
  </w:num>
  <w:num w:numId="10" w16cid:durableId="987368208">
    <w:abstractNumId w:val="5"/>
  </w:num>
  <w:num w:numId="11" w16cid:durableId="1039932949">
    <w:abstractNumId w:val="4"/>
  </w:num>
  <w:num w:numId="12" w16cid:durableId="1043288693">
    <w:abstractNumId w:val="14"/>
  </w:num>
  <w:num w:numId="13" w16cid:durableId="72968187">
    <w:abstractNumId w:val="26"/>
  </w:num>
  <w:num w:numId="14" w16cid:durableId="1649672820">
    <w:abstractNumId w:val="13"/>
  </w:num>
  <w:num w:numId="15" w16cid:durableId="1176924891">
    <w:abstractNumId w:val="19"/>
  </w:num>
  <w:num w:numId="16" w16cid:durableId="752629986">
    <w:abstractNumId w:val="15"/>
  </w:num>
  <w:num w:numId="17" w16cid:durableId="22023024">
    <w:abstractNumId w:val="27"/>
  </w:num>
  <w:num w:numId="18" w16cid:durableId="1387415516">
    <w:abstractNumId w:val="20"/>
  </w:num>
  <w:num w:numId="19" w16cid:durableId="676268872">
    <w:abstractNumId w:val="28"/>
  </w:num>
  <w:num w:numId="20" w16cid:durableId="429356725">
    <w:abstractNumId w:val="29"/>
  </w:num>
  <w:num w:numId="21" w16cid:durableId="909655302">
    <w:abstractNumId w:val="25"/>
  </w:num>
  <w:num w:numId="22" w16cid:durableId="1461801755">
    <w:abstractNumId w:val="18"/>
  </w:num>
  <w:num w:numId="23" w16cid:durableId="103696176">
    <w:abstractNumId w:val="16"/>
  </w:num>
  <w:num w:numId="24" w16cid:durableId="1816952523">
    <w:abstractNumId w:val="17"/>
  </w:num>
  <w:num w:numId="25" w16cid:durableId="1339426053">
    <w:abstractNumId w:val="12"/>
  </w:num>
  <w:num w:numId="26" w16cid:durableId="230043571">
    <w:abstractNumId w:val="22"/>
  </w:num>
  <w:num w:numId="27" w16cid:durableId="1841390614">
    <w:abstractNumId w:val="21"/>
  </w:num>
  <w:num w:numId="28" w16cid:durableId="347297665">
    <w:abstractNumId w:val="10"/>
  </w:num>
  <w:num w:numId="29" w16cid:durableId="1643383695">
    <w:abstractNumId w:val="29"/>
  </w:num>
  <w:num w:numId="30" w16cid:durableId="1728843360">
    <w:abstractNumId w:val="23"/>
  </w:num>
  <w:num w:numId="31" w16cid:durableId="1247303207">
    <w:abstractNumId w:val="11"/>
  </w:num>
  <w:num w:numId="32" w16cid:durableId="1867449779">
    <w:abstractNumId w:val="30"/>
  </w:num>
  <w:num w:numId="33" w16cid:durableId="4588386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209D"/>
    <w:rsid w:val="00002566"/>
    <w:rsid w:val="0000370A"/>
    <w:rsid w:val="00003849"/>
    <w:rsid w:val="00003F5C"/>
    <w:rsid w:val="00004D5A"/>
    <w:rsid w:val="00005219"/>
    <w:rsid w:val="000056D5"/>
    <w:rsid w:val="00005D9E"/>
    <w:rsid w:val="000063D5"/>
    <w:rsid w:val="00006625"/>
    <w:rsid w:val="00006ABD"/>
    <w:rsid w:val="00006B67"/>
    <w:rsid w:val="00006C0B"/>
    <w:rsid w:val="000073A0"/>
    <w:rsid w:val="0000767A"/>
    <w:rsid w:val="00007ABE"/>
    <w:rsid w:val="00010256"/>
    <w:rsid w:val="00010702"/>
    <w:rsid w:val="00010A2C"/>
    <w:rsid w:val="0001128E"/>
    <w:rsid w:val="00011912"/>
    <w:rsid w:val="000129B7"/>
    <w:rsid w:val="0001387D"/>
    <w:rsid w:val="00014ED0"/>
    <w:rsid w:val="00016420"/>
    <w:rsid w:val="00016BDB"/>
    <w:rsid w:val="00017B01"/>
    <w:rsid w:val="000200BE"/>
    <w:rsid w:val="000205D1"/>
    <w:rsid w:val="00020F22"/>
    <w:rsid w:val="0002195D"/>
    <w:rsid w:val="00021F9B"/>
    <w:rsid w:val="000228AE"/>
    <w:rsid w:val="000233D1"/>
    <w:rsid w:val="000234D6"/>
    <w:rsid w:val="00023D29"/>
    <w:rsid w:val="00024348"/>
    <w:rsid w:val="00026109"/>
    <w:rsid w:val="0002622B"/>
    <w:rsid w:val="00026389"/>
    <w:rsid w:val="0002669F"/>
    <w:rsid w:val="000279E5"/>
    <w:rsid w:val="000305E0"/>
    <w:rsid w:val="00031AE0"/>
    <w:rsid w:val="00031BB2"/>
    <w:rsid w:val="000322EF"/>
    <w:rsid w:val="00033FCD"/>
    <w:rsid w:val="000348AF"/>
    <w:rsid w:val="00034B70"/>
    <w:rsid w:val="00034DF7"/>
    <w:rsid w:val="00034E68"/>
    <w:rsid w:val="000350C8"/>
    <w:rsid w:val="00036195"/>
    <w:rsid w:val="000374B2"/>
    <w:rsid w:val="000376C0"/>
    <w:rsid w:val="000403A7"/>
    <w:rsid w:val="00040632"/>
    <w:rsid w:val="00041AFC"/>
    <w:rsid w:val="00041CEC"/>
    <w:rsid w:val="00041D02"/>
    <w:rsid w:val="00042596"/>
    <w:rsid w:val="00042A4A"/>
    <w:rsid w:val="00044183"/>
    <w:rsid w:val="0004431D"/>
    <w:rsid w:val="00044AAC"/>
    <w:rsid w:val="0004694F"/>
    <w:rsid w:val="00046F2F"/>
    <w:rsid w:val="00047AD4"/>
    <w:rsid w:val="00047D54"/>
    <w:rsid w:val="00050541"/>
    <w:rsid w:val="0005054A"/>
    <w:rsid w:val="00050A87"/>
    <w:rsid w:val="00051506"/>
    <w:rsid w:val="000522E4"/>
    <w:rsid w:val="00053713"/>
    <w:rsid w:val="0005434E"/>
    <w:rsid w:val="00055CB6"/>
    <w:rsid w:val="000572DD"/>
    <w:rsid w:val="00057B1E"/>
    <w:rsid w:val="0006033F"/>
    <w:rsid w:val="000610E1"/>
    <w:rsid w:val="000616AD"/>
    <w:rsid w:val="000622A6"/>
    <w:rsid w:val="00062D70"/>
    <w:rsid w:val="00062EC5"/>
    <w:rsid w:val="00062F22"/>
    <w:rsid w:val="00063975"/>
    <w:rsid w:val="00063CEA"/>
    <w:rsid w:val="0006444D"/>
    <w:rsid w:val="000645FC"/>
    <w:rsid w:val="00065296"/>
    <w:rsid w:val="0006533F"/>
    <w:rsid w:val="00065348"/>
    <w:rsid w:val="0006551C"/>
    <w:rsid w:val="0006558D"/>
    <w:rsid w:val="00065A75"/>
    <w:rsid w:val="000663F0"/>
    <w:rsid w:val="00066558"/>
    <w:rsid w:val="000671DB"/>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457"/>
    <w:rsid w:val="000837CD"/>
    <w:rsid w:val="00083B7F"/>
    <w:rsid w:val="00084BFF"/>
    <w:rsid w:val="00085395"/>
    <w:rsid w:val="00086896"/>
    <w:rsid w:val="00086AC1"/>
    <w:rsid w:val="00086D19"/>
    <w:rsid w:val="00087634"/>
    <w:rsid w:val="00087F2B"/>
    <w:rsid w:val="00090694"/>
    <w:rsid w:val="00090EE2"/>
    <w:rsid w:val="00090FC6"/>
    <w:rsid w:val="0009122C"/>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85C"/>
    <w:rsid w:val="000A3A2C"/>
    <w:rsid w:val="000A3D9E"/>
    <w:rsid w:val="000A4A54"/>
    <w:rsid w:val="000A4ED9"/>
    <w:rsid w:val="000A5DB7"/>
    <w:rsid w:val="000A6753"/>
    <w:rsid w:val="000A6D94"/>
    <w:rsid w:val="000A7377"/>
    <w:rsid w:val="000A74A4"/>
    <w:rsid w:val="000A775A"/>
    <w:rsid w:val="000A7D63"/>
    <w:rsid w:val="000A7FF4"/>
    <w:rsid w:val="000B03CC"/>
    <w:rsid w:val="000B4212"/>
    <w:rsid w:val="000B67B7"/>
    <w:rsid w:val="000B6A0A"/>
    <w:rsid w:val="000C0127"/>
    <w:rsid w:val="000C0CA6"/>
    <w:rsid w:val="000C0EA8"/>
    <w:rsid w:val="000C13A2"/>
    <w:rsid w:val="000C21E7"/>
    <w:rsid w:val="000C23EC"/>
    <w:rsid w:val="000C26A2"/>
    <w:rsid w:val="000C290E"/>
    <w:rsid w:val="000C30C3"/>
    <w:rsid w:val="000C3408"/>
    <w:rsid w:val="000C35AB"/>
    <w:rsid w:val="000C3F7B"/>
    <w:rsid w:val="000C4769"/>
    <w:rsid w:val="000C4D56"/>
    <w:rsid w:val="000C5DFA"/>
    <w:rsid w:val="000C6AFD"/>
    <w:rsid w:val="000C6C90"/>
    <w:rsid w:val="000C72B7"/>
    <w:rsid w:val="000C7A79"/>
    <w:rsid w:val="000D0A26"/>
    <w:rsid w:val="000D13CB"/>
    <w:rsid w:val="000D2196"/>
    <w:rsid w:val="000D2C2E"/>
    <w:rsid w:val="000D3058"/>
    <w:rsid w:val="000D310A"/>
    <w:rsid w:val="000D3EF4"/>
    <w:rsid w:val="000D4761"/>
    <w:rsid w:val="000D4DC0"/>
    <w:rsid w:val="000D55BA"/>
    <w:rsid w:val="000D5637"/>
    <w:rsid w:val="000D5A03"/>
    <w:rsid w:val="000D5ED3"/>
    <w:rsid w:val="000D6F4E"/>
    <w:rsid w:val="000D6FDA"/>
    <w:rsid w:val="000D73BB"/>
    <w:rsid w:val="000D7AC7"/>
    <w:rsid w:val="000E0E96"/>
    <w:rsid w:val="000E298B"/>
    <w:rsid w:val="000E2C7D"/>
    <w:rsid w:val="000E3E56"/>
    <w:rsid w:val="000E440D"/>
    <w:rsid w:val="000E4AC5"/>
    <w:rsid w:val="000E6253"/>
    <w:rsid w:val="000E6AC4"/>
    <w:rsid w:val="000E6E4D"/>
    <w:rsid w:val="000E6FBD"/>
    <w:rsid w:val="000E6FCB"/>
    <w:rsid w:val="000F090B"/>
    <w:rsid w:val="000F15F7"/>
    <w:rsid w:val="000F1AA2"/>
    <w:rsid w:val="000F378E"/>
    <w:rsid w:val="000F3F3B"/>
    <w:rsid w:val="000F4721"/>
    <w:rsid w:val="000F47E8"/>
    <w:rsid w:val="000F70E4"/>
    <w:rsid w:val="000F76EA"/>
    <w:rsid w:val="00100A8B"/>
    <w:rsid w:val="00100F5C"/>
    <w:rsid w:val="00101B15"/>
    <w:rsid w:val="00101CDA"/>
    <w:rsid w:val="00102037"/>
    <w:rsid w:val="00103DCB"/>
    <w:rsid w:val="00104C4C"/>
    <w:rsid w:val="00105015"/>
    <w:rsid w:val="001055D2"/>
    <w:rsid w:val="001057C2"/>
    <w:rsid w:val="00107124"/>
    <w:rsid w:val="0011038E"/>
    <w:rsid w:val="00111573"/>
    <w:rsid w:val="00112370"/>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BE"/>
    <w:rsid w:val="001257E0"/>
    <w:rsid w:val="00125D69"/>
    <w:rsid w:val="0012799C"/>
    <w:rsid w:val="00127BC2"/>
    <w:rsid w:val="00127E15"/>
    <w:rsid w:val="001308F1"/>
    <w:rsid w:val="00130ADC"/>
    <w:rsid w:val="00130D9F"/>
    <w:rsid w:val="00132C4D"/>
    <w:rsid w:val="00133FC1"/>
    <w:rsid w:val="00134659"/>
    <w:rsid w:val="00135111"/>
    <w:rsid w:val="00136A6F"/>
    <w:rsid w:val="00136C1A"/>
    <w:rsid w:val="00137812"/>
    <w:rsid w:val="001405FA"/>
    <w:rsid w:val="00140D1A"/>
    <w:rsid w:val="00141184"/>
    <w:rsid w:val="00141315"/>
    <w:rsid w:val="00141AA0"/>
    <w:rsid w:val="001425C3"/>
    <w:rsid w:val="0014262D"/>
    <w:rsid w:val="00142B29"/>
    <w:rsid w:val="00144108"/>
    <w:rsid w:val="00144588"/>
    <w:rsid w:val="001447DD"/>
    <w:rsid w:val="00145358"/>
    <w:rsid w:val="001459BC"/>
    <w:rsid w:val="00150ECA"/>
    <w:rsid w:val="0015108F"/>
    <w:rsid w:val="00151707"/>
    <w:rsid w:val="00152C86"/>
    <w:rsid w:val="00152F4F"/>
    <w:rsid w:val="00153264"/>
    <w:rsid w:val="0015329F"/>
    <w:rsid w:val="001544A1"/>
    <w:rsid w:val="001553B8"/>
    <w:rsid w:val="001554C2"/>
    <w:rsid w:val="00156D04"/>
    <w:rsid w:val="001571C0"/>
    <w:rsid w:val="001574FE"/>
    <w:rsid w:val="0015753D"/>
    <w:rsid w:val="00157984"/>
    <w:rsid w:val="00157CC9"/>
    <w:rsid w:val="00160C21"/>
    <w:rsid w:val="001612F4"/>
    <w:rsid w:val="00161553"/>
    <w:rsid w:val="0016216F"/>
    <w:rsid w:val="0016256B"/>
    <w:rsid w:val="00162F81"/>
    <w:rsid w:val="00163793"/>
    <w:rsid w:val="00164CA1"/>
    <w:rsid w:val="00165313"/>
    <w:rsid w:val="001659C3"/>
    <w:rsid w:val="001665AB"/>
    <w:rsid w:val="00167485"/>
    <w:rsid w:val="001679F5"/>
    <w:rsid w:val="00167B92"/>
    <w:rsid w:val="00167CB9"/>
    <w:rsid w:val="00167DD8"/>
    <w:rsid w:val="001705AD"/>
    <w:rsid w:val="001706D6"/>
    <w:rsid w:val="001714F2"/>
    <w:rsid w:val="00171FEA"/>
    <w:rsid w:val="00173622"/>
    <w:rsid w:val="00175B9F"/>
    <w:rsid w:val="001762F4"/>
    <w:rsid w:val="001777BA"/>
    <w:rsid w:val="00181029"/>
    <w:rsid w:val="00181BBC"/>
    <w:rsid w:val="0018385F"/>
    <w:rsid w:val="00183BCF"/>
    <w:rsid w:val="00184017"/>
    <w:rsid w:val="001847BB"/>
    <w:rsid w:val="00184B08"/>
    <w:rsid w:val="00185010"/>
    <w:rsid w:val="001854F2"/>
    <w:rsid w:val="00185C22"/>
    <w:rsid w:val="00186BA9"/>
    <w:rsid w:val="00187D50"/>
    <w:rsid w:val="00190B4D"/>
    <w:rsid w:val="0019196C"/>
    <w:rsid w:val="001926A9"/>
    <w:rsid w:val="00192F05"/>
    <w:rsid w:val="00194729"/>
    <w:rsid w:val="00194850"/>
    <w:rsid w:val="00195234"/>
    <w:rsid w:val="00195EA6"/>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A7672"/>
    <w:rsid w:val="001B0738"/>
    <w:rsid w:val="001B1235"/>
    <w:rsid w:val="001B158D"/>
    <w:rsid w:val="001B1BBB"/>
    <w:rsid w:val="001B2CA9"/>
    <w:rsid w:val="001B3110"/>
    <w:rsid w:val="001B3E38"/>
    <w:rsid w:val="001B40F5"/>
    <w:rsid w:val="001B4729"/>
    <w:rsid w:val="001B4F0E"/>
    <w:rsid w:val="001B5F40"/>
    <w:rsid w:val="001B6310"/>
    <w:rsid w:val="001B6C09"/>
    <w:rsid w:val="001B6E12"/>
    <w:rsid w:val="001C05CD"/>
    <w:rsid w:val="001C082B"/>
    <w:rsid w:val="001C0F17"/>
    <w:rsid w:val="001C11A6"/>
    <w:rsid w:val="001C1B24"/>
    <w:rsid w:val="001C1B66"/>
    <w:rsid w:val="001C1BB5"/>
    <w:rsid w:val="001C2732"/>
    <w:rsid w:val="001C31A2"/>
    <w:rsid w:val="001C351D"/>
    <w:rsid w:val="001C3794"/>
    <w:rsid w:val="001C4B8F"/>
    <w:rsid w:val="001C4BB8"/>
    <w:rsid w:val="001C4FD0"/>
    <w:rsid w:val="001C544D"/>
    <w:rsid w:val="001C5E46"/>
    <w:rsid w:val="001C6B3B"/>
    <w:rsid w:val="001C7A26"/>
    <w:rsid w:val="001C7E3F"/>
    <w:rsid w:val="001D0EF1"/>
    <w:rsid w:val="001D1A44"/>
    <w:rsid w:val="001D22C2"/>
    <w:rsid w:val="001D2C99"/>
    <w:rsid w:val="001D3B75"/>
    <w:rsid w:val="001D452E"/>
    <w:rsid w:val="001D54C1"/>
    <w:rsid w:val="001D556E"/>
    <w:rsid w:val="001D5DF2"/>
    <w:rsid w:val="001D6175"/>
    <w:rsid w:val="001D68B2"/>
    <w:rsid w:val="001D7EFD"/>
    <w:rsid w:val="001D7F60"/>
    <w:rsid w:val="001E085B"/>
    <w:rsid w:val="001E149B"/>
    <w:rsid w:val="001E15CB"/>
    <w:rsid w:val="001E3306"/>
    <w:rsid w:val="001E504C"/>
    <w:rsid w:val="001E56AC"/>
    <w:rsid w:val="001E5A17"/>
    <w:rsid w:val="001E74C5"/>
    <w:rsid w:val="001F1236"/>
    <w:rsid w:val="001F2F90"/>
    <w:rsid w:val="001F4597"/>
    <w:rsid w:val="001F4826"/>
    <w:rsid w:val="001F4933"/>
    <w:rsid w:val="001F59C8"/>
    <w:rsid w:val="001F6483"/>
    <w:rsid w:val="001F6CD3"/>
    <w:rsid w:val="001F75DA"/>
    <w:rsid w:val="001F7931"/>
    <w:rsid w:val="001F7CE0"/>
    <w:rsid w:val="00200085"/>
    <w:rsid w:val="00201633"/>
    <w:rsid w:val="00203332"/>
    <w:rsid w:val="002036E6"/>
    <w:rsid w:val="00203CD5"/>
    <w:rsid w:val="00203D8F"/>
    <w:rsid w:val="00203DA4"/>
    <w:rsid w:val="00204EA6"/>
    <w:rsid w:val="00205186"/>
    <w:rsid w:val="00206516"/>
    <w:rsid w:val="002070CF"/>
    <w:rsid w:val="002071D5"/>
    <w:rsid w:val="002073FD"/>
    <w:rsid w:val="002111E5"/>
    <w:rsid w:val="0021149E"/>
    <w:rsid w:val="002118B9"/>
    <w:rsid w:val="00213691"/>
    <w:rsid w:val="002142C0"/>
    <w:rsid w:val="00217BED"/>
    <w:rsid w:val="00217C5B"/>
    <w:rsid w:val="00220A43"/>
    <w:rsid w:val="0022139E"/>
    <w:rsid w:val="00222729"/>
    <w:rsid w:val="0022287B"/>
    <w:rsid w:val="002228DB"/>
    <w:rsid w:val="00223185"/>
    <w:rsid w:val="00223264"/>
    <w:rsid w:val="002233D6"/>
    <w:rsid w:val="0022441D"/>
    <w:rsid w:val="00224574"/>
    <w:rsid w:val="00224E3F"/>
    <w:rsid w:val="00225000"/>
    <w:rsid w:val="002252E0"/>
    <w:rsid w:val="002255F6"/>
    <w:rsid w:val="00226032"/>
    <w:rsid w:val="0022738D"/>
    <w:rsid w:val="00227605"/>
    <w:rsid w:val="00227850"/>
    <w:rsid w:val="00227A53"/>
    <w:rsid w:val="00227C6C"/>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38DC"/>
    <w:rsid w:val="00244652"/>
    <w:rsid w:val="00244A15"/>
    <w:rsid w:val="002452D9"/>
    <w:rsid w:val="00247319"/>
    <w:rsid w:val="0024799E"/>
    <w:rsid w:val="00247E60"/>
    <w:rsid w:val="002512B7"/>
    <w:rsid w:val="00251496"/>
    <w:rsid w:val="00251B08"/>
    <w:rsid w:val="00251C53"/>
    <w:rsid w:val="00252AB9"/>
    <w:rsid w:val="002532B1"/>
    <w:rsid w:val="00253C0F"/>
    <w:rsid w:val="002558C1"/>
    <w:rsid w:val="00256207"/>
    <w:rsid w:val="002575F3"/>
    <w:rsid w:val="002601B4"/>
    <w:rsid w:val="002603E1"/>
    <w:rsid w:val="002605FE"/>
    <w:rsid w:val="0026120E"/>
    <w:rsid w:val="002617EE"/>
    <w:rsid w:val="00262582"/>
    <w:rsid w:val="0026291D"/>
    <w:rsid w:val="00262CF3"/>
    <w:rsid w:val="00264309"/>
    <w:rsid w:val="00264992"/>
    <w:rsid w:val="00264B4F"/>
    <w:rsid w:val="00264B85"/>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9C7"/>
    <w:rsid w:val="00275DEF"/>
    <w:rsid w:val="00275E43"/>
    <w:rsid w:val="002763A2"/>
    <w:rsid w:val="00276B33"/>
    <w:rsid w:val="00277669"/>
    <w:rsid w:val="002803A5"/>
    <w:rsid w:val="00280ACB"/>
    <w:rsid w:val="002812E3"/>
    <w:rsid w:val="00281576"/>
    <w:rsid w:val="00282AD4"/>
    <w:rsid w:val="0028341F"/>
    <w:rsid w:val="002837AE"/>
    <w:rsid w:val="00283C13"/>
    <w:rsid w:val="00283F7B"/>
    <w:rsid w:val="0028431A"/>
    <w:rsid w:val="002853FA"/>
    <w:rsid w:val="00285412"/>
    <w:rsid w:val="00286220"/>
    <w:rsid w:val="0029110B"/>
    <w:rsid w:val="00291640"/>
    <w:rsid w:val="0029237E"/>
    <w:rsid w:val="00292997"/>
    <w:rsid w:val="00293D24"/>
    <w:rsid w:val="0029461A"/>
    <w:rsid w:val="0029509B"/>
    <w:rsid w:val="0029588F"/>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0692"/>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DCE"/>
    <w:rsid w:val="002E4E4C"/>
    <w:rsid w:val="002E4EA7"/>
    <w:rsid w:val="002E5846"/>
    <w:rsid w:val="002E792B"/>
    <w:rsid w:val="002E7AEB"/>
    <w:rsid w:val="002E7B79"/>
    <w:rsid w:val="002F1B09"/>
    <w:rsid w:val="002F1D56"/>
    <w:rsid w:val="002F1DCB"/>
    <w:rsid w:val="002F1DE4"/>
    <w:rsid w:val="002F333D"/>
    <w:rsid w:val="002F351A"/>
    <w:rsid w:val="002F357F"/>
    <w:rsid w:val="002F46D6"/>
    <w:rsid w:val="002F498A"/>
    <w:rsid w:val="002F4AD8"/>
    <w:rsid w:val="002F5285"/>
    <w:rsid w:val="002F5820"/>
    <w:rsid w:val="002F64BB"/>
    <w:rsid w:val="002F7D9B"/>
    <w:rsid w:val="00300C31"/>
    <w:rsid w:val="003017EC"/>
    <w:rsid w:val="00302165"/>
    <w:rsid w:val="00303BB4"/>
    <w:rsid w:val="00304771"/>
    <w:rsid w:val="00304F9C"/>
    <w:rsid w:val="003052D4"/>
    <w:rsid w:val="00305863"/>
    <w:rsid w:val="003060E9"/>
    <w:rsid w:val="00306C5B"/>
    <w:rsid w:val="00307529"/>
    <w:rsid w:val="00307DB3"/>
    <w:rsid w:val="00307ED2"/>
    <w:rsid w:val="0031076D"/>
    <w:rsid w:val="0031169A"/>
    <w:rsid w:val="00311AA6"/>
    <w:rsid w:val="00311C4D"/>
    <w:rsid w:val="003121AB"/>
    <w:rsid w:val="00312A85"/>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1BB"/>
    <w:rsid w:val="00354502"/>
    <w:rsid w:val="00354F89"/>
    <w:rsid w:val="0035506D"/>
    <w:rsid w:val="0036077F"/>
    <w:rsid w:val="00360A35"/>
    <w:rsid w:val="00360C86"/>
    <w:rsid w:val="00360F7A"/>
    <w:rsid w:val="00360FBC"/>
    <w:rsid w:val="00361537"/>
    <w:rsid w:val="00361FB7"/>
    <w:rsid w:val="0036242A"/>
    <w:rsid w:val="00362C23"/>
    <w:rsid w:val="00362DCA"/>
    <w:rsid w:val="00362E90"/>
    <w:rsid w:val="00364FA0"/>
    <w:rsid w:val="003657F3"/>
    <w:rsid w:val="00365844"/>
    <w:rsid w:val="00365F61"/>
    <w:rsid w:val="0036624C"/>
    <w:rsid w:val="00367F84"/>
    <w:rsid w:val="003712BC"/>
    <w:rsid w:val="00372164"/>
    <w:rsid w:val="003738BD"/>
    <w:rsid w:val="00374263"/>
    <w:rsid w:val="003746F0"/>
    <w:rsid w:val="00374A20"/>
    <w:rsid w:val="00374B96"/>
    <w:rsid w:val="00374E21"/>
    <w:rsid w:val="0037537A"/>
    <w:rsid w:val="00377B2E"/>
    <w:rsid w:val="00380C9B"/>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402D"/>
    <w:rsid w:val="00396739"/>
    <w:rsid w:val="003978B1"/>
    <w:rsid w:val="003A04F6"/>
    <w:rsid w:val="003A0837"/>
    <w:rsid w:val="003A2B4D"/>
    <w:rsid w:val="003A2D12"/>
    <w:rsid w:val="003A2EBA"/>
    <w:rsid w:val="003A45E3"/>
    <w:rsid w:val="003A46B8"/>
    <w:rsid w:val="003A478C"/>
    <w:rsid w:val="003A4A38"/>
    <w:rsid w:val="003A5525"/>
    <w:rsid w:val="003A5889"/>
    <w:rsid w:val="003A5C8C"/>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09D"/>
    <w:rsid w:val="003B7B50"/>
    <w:rsid w:val="003C0B07"/>
    <w:rsid w:val="003C2CE7"/>
    <w:rsid w:val="003C2DB8"/>
    <w:rsid w:val="003C3490"/>
    <w:rsid w:val="003C3608"/>
    <w:rsid w:val="003C3A87"/>
    <w:rsid w:val="003C3AE8"/>
    <w:rsid w:val="003C3D2C"/>
    <w:rsid w:val="003C4058"/>
    <w:rsid w:val="003C4E13"/>
    <w:rsid w:val="003C58A5"/>
    <w:rsid w:val="003C6221"/>
    <w:rsid w:val="003C63D7"/>
    <w:rsid w:val="003C68CC"/>
    <w:rsid w:val="003C7E62"/>
    <w:rsid w:val="003D12B9"/>
    <w:rsid w:val="003D1E7A"/>
    <w:rsid w:val="003D242B"/>
    <w:rsid w:val="003D2492"/>
    <w:rsid w:val="003D29AA"/>
    <w:rsid w:val="003D2A99"/>
    <w:rsid w:val="003D6920"/>
    <w:rsid w:val="003E0249"/>
    <w:rsid w:val="003E08A4"/>
    <w:rsid w:val="003E105C"/>
    <w:rsid w:val="003E1EF8"/>
    <w:rsid w:val="003E2DFB"/>
    <w:rsid w:val="003E4466"/>
    <w:rsid w:val="003E4C91"/>
    <w:rsid w:val="003E52D8"/>
    <w:rsid w:val="003E62F1"/>
    <w:rsid w:val="003E6F84"/>
    <w:rsid w:val="003F0148"/>
    <w:rsid w:val="003F313C"/>
    <w:rsid w:val="003F33B1"/>
    <w:rsid w:val="003F33B9"/>
    <w:rsid w:val="003F37FC"/>
    <w:rsid w:val="003F3E76"/>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17106"/>
    <w:rsid w:val="00420880"/>
    <w:rsid w:val="00421179"/>
    <w:rsid w:val="004225D7"/>
    <w:rsid w:val="00423623"/>
    <w:rsid w:val="0042470E"/>
    <w:rsid w:val="00425352"/>
    <w:rsid w:val="00426C99"/>
    <w:rsid w:val="004272BE"/>
    <w:rsid w:val="00430C96"/>
    <w:rsid w:val="0043174F"/>
    <w:rsid w:val="00431BFF"/>
    <w:rsid w:val="00432199"/>
    <w:rsid w:val="00432A58"/>
    <w:rsid w:val="004331C3"/>
    <w:rsid w:val="00433C17"/>
    <w:rsid w:val="00434617"/>
    <w:rsid w:val="00434DE9"/>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25"/>
    <w:rsid w:val="00451EF1"/>
    <w:rsid w:val="00452E60"/>
    <w:rsid w:val="0045321B"/>
    <w:rsid w:val="00455833"/>
    <w:rsid w:val="00456FB5"/>
    <w:rsid w:val="00456FE5"/>
    <w:rsid w:val="00457490"/>
    <w:rsid w:val="0045778B"/>
    <w:rsid w:val="0045786C"/>
    <w:rsid w:val="00457953"/>
    <w:rsid w:val="004604D8"/>
    <w:rsid w:val="00460656"/>
    <w:rsid w:val="00460FB3"/>
    <w:rsid w:val="00463D3C"/>
    <w:rsid w:val="00464851"/>
    <w:rsid w:val="00464BF5"/>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802"/>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1A2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A7DC0"/>
    <w:rsid w:val="004B1417"/>
    <w:rsid w:val="004B305C"/>
    <w:rsid w:val="004B31B8"/>
    <w:rsid w:val="004B339A"/>
    <w:rsid w:val="004B4C83"/>
    <w:rsid w:val="004B55B7"/>
    <w:rsid w:val="004B5BFA"/>
    <w:rsid w:val="004B619E"/>
    <w:rsid w:val="004B6468"/>
    <w:rsid w:val="004B6EF8"/>
    <w:rsid w:val="004B7125"/>
    <w:rsid w:val="004B756A"/>
    <w:rsid w:val="004B7FB1"/>
    <w:rsid w:val="004C0970"/>
    <w:rsid w:val="004C0B3F"/>
    <w:rsid w:val="004C0F87"/>
    <w:rsid w:val="004C25F9"/>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D31"/>
    <w:rsid w:val="004D2E03"/>
    <w:rsid w:val="004D3296"/>
    <w:rsid w:val="004D4056"/>
    <w:rsid w:val="004D4CB0"/>
    <w:rsid w:val="004D5B0F"/>
    <w:rsid w:val="004D7626"/>
    <w:rsid w:val="004E085C"/>
    <w:rsid w:val="004E12DF"/>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1BAF"/>
    <w:rsid w:val="00512461"/>
    <w:rsid w:val="00512585"/>
    <w:rsid w:val="00512A2F"/>
    <w:rsid w:val="00513B7E"/>
    <w:rsid w:val="00513E9D"/>
    <w:rsid w:val="0051475D"/>
    <w:rsid w:val="00514B11"/>
    <w:rsid w:val="00514DED"/>
    <w:rsid w:val="00515485"/>
    <w:rsid w:val="00515BE9"/>
    <w:rsid w:val="00515C74"/>
    <w:rsid w:val="00515CEB"/>
    <w:rsid w:val="0051630F"/>
    <w:rsid w:val="00517113"/>
    <w:rsid w:val="0052007E"/>
    <w:rsid w:val="0052032E"/>
    <w:rsid w:val="00521CAD"/>
    <w:rsid w:val="0052200D"/>
    <w:rsid w:val="00522425"/>
    <w:rsid w:val="00522A1B"/>
    <w:rsid w:val="00522E01"/>
    <w:rsid w:val="0052337A"/>
    <w:rsid w:val="00524385"/>
    <w:rsid w:val="005246BE"/>
    <w:rsid w:val="00525137"/>
    <w:rsid w:val="005251DD"/>
    <w:rsid w:val="0052762C"/>
    <w:rsid w:val="0052792D"/>
    <w:rsid w:val="0053012B"/>
    <w:rsid w:val="005301A6"/>
    <w:rsid w:val="00530A68"/>
    <w:rsid w:val="00530AD4"/>
    <w:rsid w:val="0053129F"/>
    <w:rsid w:val="00531C5A"/>
    <w:rsid w:val="00532CE7"/>
    <w:rsid w:val="00532D8B"/>
    <w:rsid w:val="0053324C"/>
    <w:rsid w:val="00533A8D"/>
    <w:rsid w:val="00534A28"/>
    <w:rsid w:val="00535018"/>
    <w:rsid w:val="00535782"/>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0249"/>
    <w:rsid w:val="00550540"/>
    <w:rsid w:val="005519E2"/>
    <w:rsid w:val="00551E16"/>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601"/>
    <w:rsid w:val="00570BC3"/>
    <w:rsid w:val="00571766"/>
    <w:rsid w:val="0057182A"/>
    <w:rsid w:val="00571E59"/>
    <w:rsid w:val="00572079"/>
    <w:rsid w:val="00572900"/>
    <w:rsid w:val="00573602"/>
    <w:rsid w:val="0057364B"/>
    <w:rsid w:val="00574773"/>
    <w:rsid w:val="005761EC"/>
    <w:rsid w:val="00576E34"/>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60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0C"/>
    <w:rsid w:val="005A0463"/>
    <w:rsid w:val="005A0948"/>
    <w:rsid w:val="005A0A03"/>
    <w:rsid w:val="005A10F2"/>
    <w:rsid w:val="005A16C0"/>
    <w:rsid w:val="005A2156"/>
    <w:rsid w:val="005A21E0"/>
    <w:rsid w:val="005A28FF"/>
    <w:rsid w:val="005A2C09"/>
    <w:rsid w:val="005A3778"/>
    <w:rsid w:val="005A37B0"/>
    <w:rsid w:val="005A3DF8"/>
    <w:rsid w:val="005A5549"/>
    <w:rsid w:val="005A566A"/>
    <w:rsid w:val="005A56E0"/>
    <w:rsid w:val="005A70CA"/>
    <w:rsid w:val="005A7ABD"/>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C70AB"/>
    <w:rsid w:val="005D015C"/>
    <w:rsid w:val="005D3F06"/>
    <w:rsid w:val="005D4608"/>
    <w:rsid w:val="005D4B73"/>
    <w:rsid w:val="005D533D"/>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47B"/>
    <w:rsid w:val="005F2A08"/>
    <w:rsid w:val="005F36CC"/>
    <w:rsid w:val="005F3EB1"/>
    <w:rsid w:val="005F413E"/>
    <w:rsid w:val="005F466B"/>
    <w:rsid w:val="005F46D8"/>
    <w:rsid w:val="005F480F"/>
    <w:rsid w:val="005F5271"/>
    <w:rsid w:val="005F5469"/>
    <w:rsid w:val="005F63F3"/>
    <w:rsid w:val="005F66F0"/>
    <w:rsid w:val="005F6D7F"/>
    <w:rsid w:val="005F6DFE"/>
    <w:rsid w:val="005F7174"/>
    <w:rsid w:val="0060120D"/>
    <w:rsid w:val="006017C1"/>
    <w:rsid w:val="00601ADE"/>
    <w:rsid w:val="00601EEF"/>
    <w:rsid w:val="0060255A"/>
    <w:rsid w:val="00602998"/>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254"/>
    <w:rsid w:val="0061672A"/>
    <w:rsid w:val="00616E05"/>
    <w:rsid w:val="00617985"/>
    <w:rsid w:val="00620641"/>
    <w:rsid w:val="00620B77"/>
    <w:rsid w:val="00621190"/>
    <w:rsid w:val="0062131B"/>
    <w:rsid w:val="00621E26"/>
    <w:rsid w:val="006224EA"/>
    <w:rsid w:val="0062263A"/>
    <w:rsid w:val="006227DF"/>
    <w:rsid w:val="006234A0"/>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501"/>
    <w:rsid w:val="00665982"/>
    <w:rsid w:val="00665BA4"/>
    <w:rsid w:val="00666BF3"/>
    <w:rsid w:val="00667856"/>
    <w:rsid w:val="00667AF2"/>
    <w:rsid w:val="00670489"/>
    <w:rsid w:val="006710C9"/>
    <w:rsid w:val="00671D85"/>
    <w:rsid w:val="00672586"/>
    <w:rsid w:val="006727BC"/>
    <w:rsid w:val="006741CD"/>
    <w:rsid w:val="00674D89"/>
    <w:rsid w:val="0067514E"/>
    <w:rsid w:val="00675E37"/>
    <w:rsid w:val="0067635D"/>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4622"/>
    <w:rsid w:val="00695065"/>
    <w:rsid w:val="00695BEF"/>
    <w:rsid w:val="00696251"/>
    <w:rsid w:val="006966C7"/>
    <w:rsid w:val="006968C1"/>
    <w:rsid w:val="006977F6"/>
    <w:rsid w:val="00697A13"/>
    <w:rsid w:val="006A0DD4"/>
    <w:rsid w:val="006A109C"/>
    <w:rsid w:val="006A4E91"/>
    <w:rsid w:val="006A5F4B"/>
    <w:rsid w:val="006A6114"/>
    <w:rsid w:val="006A6565"/>
    <w:rsid w:val="006A76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336"/>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981"/>
    <w:rsid w:val="006C7AEC"/>
    <w:rsid w:val="006C7CA6"/>
    <w:rsid w:val="006D18B3"/>
    <w:rsid w:val="006D1E89"/>
    <w:rsid w:val="006D26CE"/>
    <w:rsid w:val="006D317E"/>
    <w:rsid w:val="006D3E8A"/>
    <w:rsid w:val="006D47D9"/>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0E8A"/>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0D7A"/>
    <w:rsid w:val="007211F5"/>
    <w:rsid w:val="007213C3"/>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261D"/>
    <w:rsid w:val="0073333D"/>
    <w:rsid w:val="007343D9"/>
    <w:rsid w:val="00734F71"/>
    <w:rsid w:val="00735448"/>
    <w:rsid w:val="00736F07"/>
    <w:rsid w:val="007377BD"/>
    <w:rsid w:val="00737DEC"/>
    <w:rsid w:val="0074004D"/>
    <w:rsid w:val="00741493"/>
    <w:rsid w:val="007434E5"/>
    <w:rsid w:val="0074499B"/>
    <w:rsid w:val="0074501E"/>
    <w:rsid w:val="007450BF"/>
    <w:rsid w:val="0074599A"/>
    <w:rsid w:val="00746F45"/>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4A2"/>
    <w:rsid w:val="00764974"/>
    <w:rsid w:val="00764D18"/>
    <w:rsid w:val="0076521E"/>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DAB"/>
    <w:rsid w:val="00772FF9"/>
    <w:rsid w:val="0077348B"/>
    <w:rsid w:val="007743DB"/>
    <w:rsid w:val="00774D2C"/>
    <w:rsid w:val="00775E00"/>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1D1B"/>
    <w:rsid w:val="007B2011"/>
    <w:rsid w:val="007B2CFE"/>
    <w:rsid w:val="007B309B"/>
    <w:rsid w:val="007B3D5E"/>
    <w:rsid w:val="007B3DCB"/>
    <w:rsid w:val="007B54AE"/>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0F6B"/>
    <w:rsid w:val="007D14FE"/>
    <w:rsid w:val="007D1A1F"/>
    <w:rsid w:val="007D213B"/>
    <w:rsid w:val="007D2783"/>
    <w:rsid w:val="007D2E18"/>
    <w:rsid w:val="007D3EF3"/>
    <w:rsid w:val="007D40DF"/>
    <w:rsid w:val="007D42E5"/>
    <w:rsid w:val="007D4458"/>
    <w:rsid w:val="007D6AF9"/>
    <w:rsid w:val="007D7763"/>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624"/>
    <w:rsid w:val="00821FF6"/>
    <w:rsid w:val="00822574"/>
    <w:rsid w:val="00822980"/>
    <w:rsid w:val="00822F08"/>
    <w:rsid w:val="00824BA6"/>
    <w:rsid w:val="00825120"/>
    <w:rsid w:val="00825C4D"/>
    <w:rsid w:val="00826A08"/>
    <w:rsid w:val="00826AC0"/>
    <w:rsid w:val="00826D45"/>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5FB"/>
    <w:rsid w:val="00870ECD"/>
    <w:rsid w:val="0087347C"/>
    <w:rsid w:val="008734E7"/>
    <w:rsid w:val="0087368D"/>
    <w:rsid w:val="008740CC"/>
    <w:rsid w:val="0087442A"/>
    <w:rsid w:val="00874578"/>
    <w:rsid w:val="00874FE8"/>
    <w:rsid w:val="00875A32"/>
    <w:rsid w:val="00875CC1"/>
    <w:rsid w:val="00876086"/>
    <w:rsid w:val="00876651"/>
    <w:rsid w:val="00876E83"/>
    <w:rsid w:val="008772BC"/>
    <w:rsid w:val="00880A0E"/>
    <w:rsid w:val="008817FE"/>
    <w:rsid w:val="00881CD7"/>
    <w:rsid w:val="00882911"/>
    <w:rsid w:val="00882F6E"/>
    <w:rsid w:val="00883202"/>
    <w:rsid w:val="00884E02"/>
    <w:rsid w:val="0088502B"/>
    <w:rsid w:val="00885D40"/>
    <w:rsid w:val="008873D4"/>
    <w:rsid w:val="00890CB1"/>
    <w:rsid w:val="00891EDF"/>
    <w:rsid w:val="00892872"/>
    <w:rsid w:val="0089296D"/>
    <w:rsid w:val="00893E85"/>
    <w:rsid w:val="00893EBE"/>
    <w:rsid w:val="00894031"/>
    <w:rsid w:val="00894C5D"/>
    <w:rsid w:val="00895508"/>
    <w:rsid w:val="008967E9"/>
    <w:rsid w:val="00896A5C"/>
    <w:rsid w:val="00897155"/>
    <w:rsid w:val="008972D2"/>
    <w:rsid w:val="0089754C"/>
    <w:rsid w:val="00897CFA"/>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43CA"/>
    <w:rsid w:val="008B5324"/>
    <w:rsid w:val="008B5C99"/>
    <w:rsid w:val="008B6106"/>
    <w:rsid w:val="008B7C02"/>
    <w:rsid w:val="008B7D2B"/>
    <w:rsid w:val="008B7EF9"/>
    <w:rsid w:val="008C0049"/>
    <w:rsid w:val="008C0314"/>
    <w:rsid w:val="008C0E88"/>
    <w:rsid w:val="008C0EBE"/>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D7F47"/>
    <w:rsid w:val="008E0001"/>
    <w:rsid w:val="008E039E"/>
    <w:rsid w:val="008E292B"/>
    <w:rsid w:val="008E2C57"/>
    <w:rsid w:val="008E31FF"/>
    <w:rsid w:val="008E3287"/>
    <w:rsid w:val="008E38E4"/>
    <w:rsid w:val="008E3DFA"/>
    <w:rsid w:val="008E51EB"/>
    <w:rsid w:val="008E5746"/>
    <w:rsid w:val="008E64D7"/>
    <w:rsid w:val="008E6DCB"/>
    <w:rsid w:val="008E6F06"/>
    <w:rsid w:val="008E7000"/>
    <w:rsid w:val="008E723E"/>
    <w:rsid w:val="008E7B8E"/>
    <w:rsid w:val="008E7FC9"/>
    <w:rsid w:val="008F0107"/>
    <w:rsid w:val="008F029B"/>
    <w:rsid w:val="008F0589"/>
    <w:rsid w:val="008F2A5D"/>
    <w:rsid w:val="008F2BC7"/>
    <w:rsid w:val="008F2E83"/>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2E3"/>
    <w:rsid w:val="0091155E"/>
    <w:rsid w:val="00912437"/>
    <w:rsid w:val="00912A92"/>
    <w:rsid w:val="00913237"/>
    <w:rsid w:val="00913B36"/>
    <w:rsid w:val="0091476D"/>
    <w:rsid w:val="00915D07"/>
    <w:rsid w:val="009162AE"/>
    <w:rsid w:val="00917154"/>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239"/>
    <w:rsid w:val="00932443"/>
    <w:rsid w:val="00932B32"/>
    <w:rsid w:val="0093305E"/>
    <w:rsid w:val="00933F4A"/>
    <w:rsid w:val="009341F1"/>
    <w:rsid w:val="00934FF2"/>
    <w:rsid w:val="009358D7"/>
    <w:rsid w:val="00935BD4"/>
    <w:rsid w:val="00935DFE"/>
    <w:rsid w:val="00935F70"/>
    <w:rsid w:val="0093648B"/>
    <w:rsid w:val="00937017"/>
    <w:rsid w:val="009373B2"/>
    <w:rsid w:val="00937AE2"/>
    <w:rsid w:val="0094061F"/>
    <w:rsid w:val="00940F0F"/>
    <w:rsid w:val="00941912"/>
    <w:rsid w:val="0094416B"/>
    <w:rsid w:val="0094427A"/>
    <w:rsid w:val="009449C6"/>
    <w:rsid w:val="00944C7C"/>
    <w:rsid w:val="00945245"/>
    <w:rsid w:val="00945523"/>
    <w:rsid w:val="00946C43"/>
    <w:rsid w:val="00950921"/>
    <w:rsid w:val="00951D68"/>
    <w:rsid w:val="00951E5B"/>
    <w:rsid w:val="00952050"/>
    <w:rsid w:val="00952315"/>
    <w:rsid w:val="009523D9"/>
    <w:rsid w:val="00952B7B"/>
    <w:rsid w:val="0095357B"/>
    <w:rsid w:val="009538B3"/>
    <w:rsid w:val="00954F39"/>
    <w:rsid w:val="009555FD"/>
    <w:rsid w:val="00955BA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3"/>
    <w:rsid w:val="00977C3D"/>
    <w:rsid w:val="00980D3D"/>
    <w:rsid w:val="0098103E"/>
    <w:rsid w:val="0098157D"/>
    <w:rsid w:val="00983101"/>
    <w:rsid w:val="00983E41"/>
    <w:rsid w:val="009845E1"/>
    <w:rsid w:val="00984D1B"/>
    <w:rsid w:val="00986246"/>
    <w:rsid w:val="00987A30"/>
    <w:rsid w:val="00990312"/>
    <w:rsid w:val="0099182E"/>
    <w:rsid w:val="00991D45"/>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2B7"/>
    <w:rsid w:val="009A1CAB"/>
    <w:rsid w:val="009A2359"/>
    <w:rsid w:val="009A24F1"/>
    <w:rsid w:val="009A27E0"/>
    <w:rsid w:val="009A4D57"/>
    <w:rsid w:val="009A51A5"/>
    <w:rsid w:val="009A5309"/>
    <w:rsid w:val="009A5759"/>
    <w:rsid w:val="009A60D1"/>
    <w:rsid w:val="009A6225"/>
    <w:rsid w:val="009A64F5"/>
    <w:rsid w:val="009B00D2"/>
    <w:rsid w:val="009B05B3"/>
    <w:rsid w:val="009B0CAF"/>
    <w:rsid w:val="009B1324"/>
    <w:rsid w:val="009B2558"/>
    <w:rsid w:val="009B284F"/>
    <w:rsid w:val="009B3764"/>
    <w:rsid w:val="009B3840"/>
    <w:rsid w:val="009B52AC"/>
    <w:rsid w:val="009B553D"/>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6EA6"/>
    <w:rsid w:val="009D7731"/>
    <w:rsid w:val="009E1120"/>
    <w:rsid w:val="009E1393"/>
    <w:rsid w:val="009E1922"/>
    <w:rsid w:val="009E1A3D"/>
    <w:rsid w:val="009E4715"/>
    <w:rsid w:val="009E4A58"/>
    <w:rsid w:val="009E5273"/>
    <w:rsid w:val="009E57A8"/>
    <w:rsid w:val="009E5B85"/>
    <w:rsid w:val="009E5DDB"/>
    <w:rsid w:val="009F1CA6"/>
    <w:rsid w:val="009F2921"/>
    <w:rsid w:val="009F42CF"/>
    <w:rsid w:val="009F4982"/>
    <w:rsid w:val="009F4CA7"/>
    <w:rsid w:val="009F4F6A"/>
    <w:rsid w:val="009F55BA"/>
    <w:rsid w:val="009F7D36"/>
    <w:rsid w:val="009F7D61"/>
    <w:rsid w:val="00A00E71"/>
    <w:rsid w:val="00A0187B"/>
    <w:rsid w:val="00A02E8B"/>
    <w:rsid w:val="00A0306F"/>
    <w:rsid w:val="00A03511"/>
    <w:rsid w:val="00A03B10"/>
    <w:rsid w:val="00A03E2E"/>
    <w:rsid w:val="00A04616"/>
    <w:rsid w:val="00A04717"/>
    <w:rsid w:val="00A05D8F"/>
    <w:rsid w:val="00A05EB1"/>
    <w:rsid w:val="00A05EE4"/>
    <w:rsid w:val="00A06F99"/>
    <w:rsid w:val="00A1053B"/>
    <w:rsid w:val="00A10D66"/>
    <w:rsid w:val="00A113A4"/>
    <w:rsid w:val="00A12A8E"/>
    <w:rsid w:val="00A133F9"/>
    <w:rsid w:val="00A14114"/>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6777"/>
    <w:rsid w:val="00A269AB"/>
    <w:rsid w:val="00A2731E"/>
    <w:rsid w:val="00A309AC"/>
    <w:rsid w:val="00A30EA4"/>
    <w:rsid w:val="00A30F65"/>
    <w:rsid w:val="00A315D0"/>
    <w:rsid w:val="00A3279E"/>
    <w:rsid w:val="00A33DB1"/>
    <w:rsid w:val="00A33EEB"/>
    <w:rsid w:val="00A35900"/>
    <w:rsid w:val="00A35F33"/>
    <w:rsid w:val="00A401A3"/>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240"/>
    <w:rsid w:val="00A478BA"/>
    <w:rsid w:val="00A50D73"/>
    <w:rsid w:val="00A518BB"/>
    <w:rsid w:val="00A52A88"/>
    <w:rsid w:val="00A52CAD"/>
    <w:rsid w:val="00A53340"/>
    <w:rsid w:val="00A53FC7"/>
    <w:rsid w:val="00A55569"/>
    <w:rsid w:val="00A55C36"/>
    <w:rsid w:val="00A5661B"/>
    <w:rsid w:val="00A566A0"/>
    <w:rsid w:val="00A601E7"/>
    <w:rsid w:val="00A60AC1"/>
    <w:rsid w:val="00A62162"/>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77E6B"/>
    <w:rsid w:val="00A81652"/>
    <w:rsid w:val="00A82BF0"/>
    <w:rsid w:val="00A82C91"/>
    <w:rsid w:val="00A83150"/>
    <w:rsid w:val="00A83398"/>
    <w:rsid w:val="00A83D6E"/>
    <w:rsid w:val="00A83FD5"/>
    <w:rsid w:val="00A8521A"/>
    <w:rsid w:val="00A857C0"/>
    <w:rsid w:val="00A85ACB"/>
    <w:rsid w:val="00A9036F"/>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6F4"/>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AD7"/>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C5256"/>
    <w:rsid w:val="00AC78F1"/>
    <w:rsid w:val="00AC7B96"/>
    <w:rsid w:val="00AD0B22"/>
    <w:rsid w:val="00AD0EE7"/>
    <w:rsid w:val="00AD168E"/>
    <w:rsid w:val="00AD306C"/>
    <w:rsid w:val="00AD44CD"/>
    <w:rsid w:val="00AD47A7"/>
    <w:rsid w:val="00AD5AD2"/>
    <w:rsid w:val="00AD6462"/>
    <w:rsid w:val="00AD66C5"/>
    <w:rsid w:val="00AD68C4"/>
    <w:rsid w:val="00AD71F9"/>
    <w:rsid w:val="00AE09B3"/>
    <w:rsid w:val="00AE1A83"/>
    <w:rsid w:val="00AE2A78"/>
    <w:rsid w:val="00AE30BE"/>
    <w:rsid w:val="00AE3E6A"/>
    <w:rsid w:val="00AE417E"/>
    <w:rsid w:val="00AE56EE"/>
    <w:rsid w:val="00AE6414"/>
    <w:rsid w:val="00AE7269"/>
    <w:rsid w:val="00AE797C"/>
    <w:rsid w:val="00AE7CE7"/>
    <w:rsid w:val="00AE7FAB"/>
    <w:rsid w:val="00AF0DE4"/>
    <w:rsid w:val="00AF12A0"/>
    <w:rsid w:val="00AF1E87"/>
    <w:rsid w:val="00AF436B"/>
    <w:rsid w:val="00AF5179"/>
    <w:rsid w:val="00AF5CC2"/>
    <w:rsid w:val="00AF660D"/>
    <w:rsid w:val="00AF6776"/>
    <w:rsid w:val="00AF6F98"/>
    <w:rsid w:val="00AF7277"/>
    <w:rsid w:val="00B00550"/>
    <w:rsid w:val="00B00913"/>
    <w:rsid w:val="00B00D4D"/>
    <w:rsid w:val="00B01593"/>
    <w:rsid w:val="00B01D0F"/>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3C4"/>
    <w:rsid w:val="00B34528"/>
    <w:rsid w:val="00B34750"/>
    <w:rsid w:val="00B34CC9"/>
    <w:rsid w:val="00B34CDA"/>
    <w:rsid w:val="00B3563B"/>
    <w:rsid w:val="00B36BDC"/>
    <w:rsid w:val="00B37D3A"/>
    <w:rsid w:val="00B37D96"/>
    <w:rsid w:val="00B402FC"/>
    <w:rsid w:val="00B422E2"/>
    <w:rsid w:val="00B42517"/>
    <w:rsid w:val="00B4290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311"/>
    <w:rsid w:val="00B55A97"/>
    <w:rsid w:val="00B55F5E"/>
    <w:rsid w:val="00B5601B"/>
    <w:rsid w:val="00B5642C"/>
    <w:rsid w:val="00B5658D"/>
    <w:rsid w:val="00B56B6F"/>
    <w:rsid w:val="00B5752E"/>
    <w:rsid w:val="00B60AC1"/>
    <w:rsid w:val="00B61FF6"/>
    <w:rsid w:val="00B62316"/>
    <w:rsid w:val="00B6274C"/>
    <w:rsid w:val="00B63A11"/>
    <w:rsid w:val="00B64425"/>
    <w:rsid w:val="00B64C24"/>
    <w:rsid w:val="00B64E72"/>
    <w:rsid w:val="00B65CEF"/>
    <w:rsid w:val="00B6608F"/>
    <w:rsid w:val="00B674C7"/>
    <w:rsid w:val="00B67749"/>
    <w:rsid w:val="00B679FB"/>
    <w:rsid w:val="00B71FBF"/>
    <w:rsid w:val="00B734A0"/>
    <w:rsid w:val="00B73A14"/>
    <w:rsid w:val="00B748BD"/>
    <w:rsid w:val="00B76100"/>
    <w:rsid w:val="00B7680F"/>
    <w:rsid w:val="00B76B48"/>
    <w:rsid w:val="00B76D1E"/>
    <w:rsid w:val="00B77543"/>
    <w:rsid w:val="00B77584"/>
    <w:rsid w:val="00B77E34"/>
    <w:rsid w:val="00B80D44"/>
    <w:rsid w:val="00B80D89"/>
    <w:rsid w:val="00B80EC6"/>
    <w:rsid w:val="00B81288"/>
    <w:rsid w:val="00B81D70"/>
    <w:rsid w:val="00B833B9"/>
    <w:rsid w:val="00B83AAF"/>
    <w:rsid w:val="00B83E07"/>
    <w:rsid w:val="00B84CF6"/>
    <w:rsid w:val="00B85016"/>
    <w:rsid w:val="00B8561A"/>
    <w:rsid w:val="00B86628"/>
    <w:rsid w:val="00B86643"/>
    <w:rsid w:val="00B868F7"/>
    <w:rsid w:val="00B86EB1"/>
    <w:rsid w:val="00B871A7"/>
    <w:rsid w:val="00B90131"/>
    <w:rsid w:val="00B92951"/>
    <w:rsid w:val="00B92D1D"/>
    <w:rsid w:val="00B92D7E"/>
    <w:rsid w:val="00B930CE"/>
    <w:rsid w:val="00B938C5"/>
    <w:rsid w:val="00B940A8"/>
    <w:rsid w:val="00B9554A"/>
    <w:rsid w:val="00B95940"/>
    <w:rsid w:val="00B95ACA"/>
    <w:rsid w:val="00B95C12"/>
    <w:rsid w:val="00B96D74"/>
    <w:rsid w:val="00B9720E"/>
    <w:rsid w:val="00B97ACC"/>
    <w:rsid w:val="00B97FE2"/>
    <w:rsid w:val="00BA0E0B"/>
    <w:rsid w:val="00BA201A"/>
    <w:rsid w:val="00BA21DF"/>
    <w:rsid w:val="00BA361D"/>
    <w:rsid w:val="00BA3787"/>
    <w:rsid w:val="00BA403A"/>
    <w:rsid w:val="00BA46E8"/>
    <w:rsid w:val="00BA49DB"/>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14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C7EFA"/>
    <w:rsid w:val="00BD041B"/>
    <w:rsid w:val="00BD25BB"/>
    <w:rsid w:val="00BD2AF8"/>
    <w:rsid w:val="00BD366B"/>
    <w:rsid w:val="00BD3C09"/>
    <w:rsid w:val="00BD410B"/>
    <w:rsid w:val="00BD4A73"/>
    <w:rsid w:val="00BD4EDD"/>
    <w:rsid w:val="00BD4EF4"/>
    <w:rsid w:val="00BD6659"/>
    <w:rsid w:val="00BD6C75"/>
    <w:rsid w:val="00BD6D50"/>
    <w:rsid w:val="00BD7105"/>
    <w:rsid w:val="00BD73D2"/>
    <w:rsid w:val="00BE0AD1"/>
    <w:rsid w:val="00BE0EF9"/>
    <w:rsid w:val="00BE10A1"/>
    <w:rsid w:val="00BE18B9"/>
    <w:rsid w:val="00BE190A"/>
    <w:rsid w:val="00BE2495"/>
    <w:rsid w:val="00BE24DD"/>
    <w:rsid w:val="00BE34BB"/>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65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8A9"/>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272B"/>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655DA"/>
    <w:rsid w:val="00C672C1"/>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67F9"/>
    <w:rsid w:val="00C872AA"/>
    <w:rsid w:val="00C87C6B"/>
    <w:rsid w:val="00C90357"/>
    <w:rsid w:val="00C90CF4"/>
    <w:rsid w:val="00C91C20"/>
    <w:rsid w:val="00C922DE"/>
    <w:rsid w:val="00C92843"/>
    <w:rsid w:val="00C92EB6"/>
    <w:rsid w:val="00C93389"/>
    <w:rsid w:val="00C948E6"/>
    <w:rsid w:val="00C94CDD"/>
    <w:rsid w:val="00C95123"/>
    <w:rsid w:val="00C97588"/>
    <w:rsid w:val="00CA0346"/>
    <w:rsid w:val="00CA0BD5"/>
    <w:rsid w:val="00CA0DA1"/>
    <w:rsid w:val="00CA1BD6"/>
    <w:rsid w:val="00CA37FF"/>
    <w:rsid w:val="00CA423A"/>
    <w:rsid w:val="00CA47BC"/>
    <w:rsid w:val="00CA5EAD"/>
    <w:rsid w:val="00CA6AB4"/>
    <w:rsid w:val="00CA7255"/>
    <w:rsid w:val="00CA79E2"/>
    <w:rsid w:val="00CB111E"/>
    <w:rsid w:val="00CB1BEE"/>
    <w:rsid w:val="00CB2351"/>
    <w:rsid w:val="00CB4022"/>
    <w:rsid w:val="00CB4930"/>
    <w:rsid w:val="00CB4BA9"/>
    <w:rsid w:val="00CB4C48"/>
    <w:rsid w:val="00CB4C63"/>
    <w:rsid w:val="00CB5A48"/>
    <w:rsid w:val="00CB5E10"/>
    <w:rsid w:val="00CB613B"/>
    <w:rsid w:val="00CB6152"/>
    <w:rsid w:val="00CB64E1"/>
    <w:rsid w:val="00CB6C6F"/>
    <w:rsid w:val="00CB6E4D"/>
    <w:rsid w:val="00CC009B"/>
    <w:rsid w:val="00CC0834"/>
    <w:rsid w:val="00CC0AEA"/>
    <w:rsid w:val="00CC20FE"/>
    <w:rsid w:val="00CC225C"/>
    <w:rsid w:val="00CC2E7D"/>
    <w:rsid w:val="00CC469E"/>
    <w:rsid w:val="00CC5BE8"/>
    <w:rsid w:val="00CC612B"/>
    <w:rsid w:val="00CC655F"/>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7E9E"/>
    <w:rsid w:val="00CE14BE"/>
    <w:rsid w:val="00CE17A4"/>
    <w:rsid w:val="00CE1BA9"/>
    <w:rsid w:val="00CE2D8F"/>
    <w:rsid w:val="00CE3532"/>
    <w:rsid w:val="00CE3E48"/>
    <w:rsid w:val="00CE46C0"/>
    <w:rsid w:val="00CE47B8"/>
    <w:rsid w:val="00CE54FD"/>
    <w:rsid w:val="00CE5C92"/>
    <w:rsid w:val="00CE5E12"/>
    <w:rsid w:val="00CE62FA"/>
    <w:rsid w:val="00CE670B"/>
    <w:rsid w:val="00CE6833"/>
    <w:rsid w:val="00CE7562"/>
    <w:rsid w:val="00CF020B"/>
    <w:rsid w:val="00CF15BF"/>
    <w:rsid w:val="00CF2E4D"/>
    <w:rsid w:val="00CF35A7"/>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3F3E"/>
    <w:rsid w:val="00D14C5B"/>
    <w:rsid w:val="00D15FED"/>
    <w:rsid w:val="00D16712"/>
    <w:rsid w:val="00D174E0"/>
    <w:rsid w:val="00D214EF"/>
    <w:rsid w:val="00D215B0"/>
    <w:rsid w:val="00D21B36"/>
    <w:rsid w:val="00D21D6D"/>
    <w:rsid w:val="00D21D83"/>
    <w:rsid w:val="00D22A47"/>
    <w:rsid w:val="00D235B7"/>
    <w:rsid w:val="00D23A99"/>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02A"/>
    <w:rsid w:val="00D533C4"/>
    <w:rsid w:val="00D5384E"/>
    <w:rsid w:val="00D544E7"/>
    <w:rsid w:val="00D5499F"/>
    <w:rsid w:val="00D5560A"/>
    <w:rsid w:val="00D56FBF"/>
    <w:rsid w:val="00D57677"/>
    <w:rsid w:val="00D5781F"/>
    <w:rsid w:val="00D60415"/>
    <w:rsid w:val="00D60E3C"/>
    <w:rsid w:val="00D60FA7"/>
    <w:rsid w:val="00D61FAB"/>
    <w:rsid w:val="00D63BE5"/>
    <w:rsid w:val="00D6475F"/>
    <w:rsid w:val="00D655D4"/>
    <w:rsid w:val="00D66223"/>
    <w:rsid w:val="00D667B8"/>
    <w:rsid w:val="00D67D55"/>
    <w:rsid w:val="00D70289"/>
    <w:rsid w:val="00D7041F"/>
    <w:rsid w:val="00D70822"/>
    <w:rsid w:val="00D72076"/>
    <w:rsid w:val="00D721B4"/>
    <w:rsid w:val="00D726A9"/>
    <w:rsid w:val="00D72DBA"/>
    <w:rsid w:val="00D743E0"/>
    <w:rsid w:val="00D7469D"/>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32F0"/>
    <w:rsid w:val="00D95302"/>
    <w:rsid w:val="00D95889"/>
    <w:rsid w:val="00D95C5D"/>
    <w:rsid w:val="00D97D00"/>
    <w:rsid w:val="00DA096C"/>
    <w:rsid w:val="00DA1AB6"/>
    <w:rsid w:val="00DA2E65"/>
    <w:rsid w:val="00DA37DE"/>
    <w:rsid w:val="00DA3ADF"/>
    <w:rsid w:val="00DA4174"/>
    <w:rsid w:val="00DA544C"/>
    <w:rsid w:val="00DA5F8E"/>
    <w:rsid w:val="00DA6364"/>
    <w:rsid w:val="00DA7114"/>
    <w:rsid w:val="00DA7C0C"/>
    <w:rsid w:val="00DA7E2F"/>
    <w:rsid w:val="00DB03DD"/>
    <w:rsid w:val="00DB08A9"/>
    <w:rsid w:val="00DB0B33"/>
    <w:rsid w:val="00DB0FD9"/>
    <w:rsid w:val="00DB13EF"/>
    <w:rsid w:val="00DB2DFA"/>
    <w:rsid w:val="00DB2EC8"/>
    <w:rsid w:val="00DB321D"/>
    <w:rsid w:val="00DB459B"/>
    <w:rsid w:val="00DB47FD"/>
    <w:rsid w:val="00DB5E3A"/>
    <w:rsid w:val="00DB5E9A"/>
    <w:rsid w:val="00DB613B"/>
    <w:rsid w:val="00DB657E"/>
    <w:rsid w:val="00DB7342"/>
    <w:rsid w:val="00DB7489"/>
    <w:rsid w:val="00DC0B4D"/>
    <w:rsid w:val="00DC0CBB"/>
    <w:rsid w:val="00DC17D0"/>
    <w:rsid w:val="00DC1E5D"/>
    <w:rsid w:val="00DC2B41"/>
    <w:rsid w:val="00DC2EA7"/>
    <w:rsid w:val="00DC3128"/>
    <w:rsid w:val="00DC435B"/>
    <w:rsid w:val="00DC4AC4"/>
    <w:rsid w:val="00DC53D8"/>
    <w:rsid w:val="00DC56FE"/>
    <w:rsid w:val="00DC5B3B"/>
    <w:rsid w:val="00DC5F11"/>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273F"/>
    <w:rsid w:val="00DE3E5D"/>
    <w:rsid w:val="00DE450F"/>
    <w:rsid w:val="00DE4865"/>
    <w:rsid w:val="00DE5CA6"/>
    <w:rsid w:val="00DE5E55"/>
    <w:rsid w:val="00DE7156"/>
    <w:rsid w:val="00DE7AC8"/>
    <w:rsid w:val="00DF0830"/>
    <w:rsid w:val="00DF2C5D"/>
    <w:rsid w:val="00DF2CD3"/>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05333"/>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131"/>
    <w:rsid w:val="00E41179"/>
    <w:rsid w:val="00E417BE"/>
    <w:rsid w:val="00E41CD5"/>
    <w:rsid w:val="00E42054"/>
    <w:rsid w:val="00E4372D"/>
    <w:rsid w:val="00E43A9E"/>
    <w:rsid w:val="00E44243"/>
    <w:rsid w:val="00E453F9"/>
    <w:rsid w:val="00E45D7D"/>
    <w:rsid w:val="00E4623F"/>
    <w:rsid w:val="00E4665D"/>
    <w:rsid w:val="00E47854"/>
    <w:rsid w:val="00E478E2"/>
    <w:rsid w:val="00E47EBA"/>
    <w:rsid w:val="00E50156"/>
    <w:rsid w:val="00E504EB"/>
    <w:rsid w:val="00E5076C"/>
    <w:rsid w:val="00E50D2E"/>
    <w:rsid w:val="00E50D7D"/>
    <w:rsid w:val="00E51EF0"/>
    <w:rsid w:val="00E53470"/>
    <w:rsid w:val="00E5368D"/>
    <w:rsid w:val="00E539F6"/>
    <w:rsid w:val="00E54698"/>
    <w:rsid w:val="00E54BE9"/>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9AF"/>
    <w:rsid w:val="00E70C5F"/>
    <w:rsid w:val="00E71A58"/>
    <w:rsid w:val="00E728D7"/>
    <w:rsid w:val="00E72A26"/>
    <w:rsid w:val="00E72A7A"/>
    <w:rsid w:val="00E7335A"/>
    <w:rsid w:val="00E73986"/>
    <w:rsid w:val="00E7467D"/>
    <w:rsid w:val="00E747DC"/>
    <w:rsid w:val="00E74A2D"/>
    <w:rsid w:val="00E75C94"/>
    <w:rsid w:val="00E76A08"/>
    <w:rsid w:val="00E76B9B"/>
    <w:rsid w:val="00E76E61"/>
    <w:rsid w:val="00E76EE4"/>
    <w:rsid w:val="00E77CC0"/>
    <w:rsid w:val="00E80B3D"/>
    <w:rsid w:val="00E80CA3"/>
    <w:rsid w:val="00E81AAA"/>
    <w:rsid w:val="00E82618"/>
    <w:rsid w:val="00E82A42"/>
    <w:rsid w:val="00E84E09"/>
    <w:rsid w:val="00E87CE2"/>
    <w:rsid w:val="00E90CA8"/>
    <w:rsid w:val="00E911C6"/>
    <w:rsid w:val="00E920DE"/>
    <w:rsid w:val="00E930A1"/>
    <w:rsid w:val="00E93820"/>
    <w:rsid w:val="00E94A86"/>
    <w:rsid w:val="00E951AB"/>
    <w:rsid w:val="00E953F6"/>
    <w:rsid w:val="00E96143"/>
    <w:rsid w:val="00E96833"/>
    <w:rsid w:val="00E97506"/>
    <w:rsid w:val="00E97BB5"/>
    <w:rsid w:val="00E97D5B"/>
    <w:rsid w:val="00E97F14"/>
    <w:rsid w:val="00EA0C68"/>
    <w:rsid w:val="00EA0E39"/>
    <w:rsid w:val="00EA1D0E"/>
    <w:rsid w:val="00EA2072"/>
    <w:rsid w:val="00EA2841"/>
    <w:rsid w:val="00EA32BC"/>
    <w:rsid w:val="00EA35A7"/>
    <w:rsid w:val="00EA3B32"/>
    <w:rsid w:val="00EA3CEB"/>
    <w:rsid w:val="00EA3D05"/>
    <w:rsid w:val="00EA4222"/>
    <w:rsid w:val="00EA4402"/>
    <w:rsid w:val="00EA4B8D"/>
    <w:rsid w:val="00EA513E"/>
    <w:rsid w:val="00EA7419"/>
    <w:rsid w:val="00EB0E32"/>
    <w:rsid w:val="00EB1CDC"/>
    <w:rsid w:val="00EB1D89"/>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5517"/>
    <w:rsid w:val="00EC6E8C"/>
    <w:rsid w:val="00ED0962"/>
    <w:rsid w:val="00ED0EF0"/>
    <w:rsid w:val="00ED12B9"/>
    <w:rsid w:val="00ED16B8"/>
    <w:rsid w:val="00ED1959"/>
    <w:rsid w:val="00ED1A00"/>
    <w:rsid w:val="00ED1DF0"/>
    <w:rsid w:val="00ED2386"/>
    <w:rsid w:val="00ED2EA1"/>
    <w:rsid w:val="00ED3851"/>
    <w:rsid w:val="00ED3E51"/>
    <w:rsid w:val="00ED3F10"/>
    <w:rsid w:val="00ED3F9B"/>
    <w:rsid w:val="00ED3FB3"/>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01C"/>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535"/>
    <w:rsid w:val="00F00853"/>
    <w:rsid w:val="00F00866"/>
    <w:rsid w:val="00F00EC8"/>
    <w:rsid w:val="00F0160B"/>
    <w:rsid w:val="00F0193E"/>
    <w:rsid w:val="00F03E2F"/>
    <w:rsid w:val="00F03F8D"/>
    <w:rsid w:val="00F04811"/>
    <w:rsid w:val="00F0488C"/>
    <w:rsid w:val="00F04955"/>
    <w:rsid w:val="00F052D2"/>
    <w:rsid w:val="00F0730A"/>
    <w:rsid w:val="00F073ED"/>
    <w:rsid w:val="00F07C4C"/>
    <w:rsid w:val="00F07E45"/>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9CE"/>
    <w:rsid w:val="00F24FAA"/>
    <w:rsid w:val="00F25040"/>
    <w:rsid w:val="00F269D7"/>
    <w:rsid w:val="00F27071"/>
    <w:rsid w:val="00F27331"/>
    <w:rsid w:val="00F276D3"/>
    <w:rsid w:val="00F27EE5"/>
    <w:rsid w:val="00F27FB1"/>
    <w:rsid w:val="00F27FD6"/>
    <w:rsid w:val="00F307CB"/>
    <w:rsid w:val="00F30C0C"/>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983"/>
    <w:rsid w:val="00F57A76"/>
    <w:rsid w:val="00F57D57"/>
    <w:rsid w:val="00F6178B"/>
    <w:rsid w:val="00F62BFF"/>
    <w:rsid w:val="00F62CCE"/>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77A50"/>
    <w:rsid w:val="00F82D14"/>
    <w:rsid w:val="00F84E7D"/>
    <w:rsid w:val="00F85066"/>
    <w:rsid w:val="00F874F8"/>
    <w:rsid w:val="00F87A4D"/>
    <w:rsid w:val="00F90EEB"/>
    <w:rsid w:val="00F9135C"/>
    <w:rsid w:val="00F91B66"/>
    <w:rsid w:val="00F93688"/>
    <w:rsid w:val="00F939F3"/>
    <w:rsid w:val="00F93C6E"/>
    <w:rsid w:val="00F93F2C"/>
    <w:rsid w:val="00F947E9"/>
    <w:rsid w:val="00F962AD"/>
    <w:rsid w:val="00F9644E"/>
    <w:rsid w:val="00FA0105"/>
    <w:rsid w:val="00FA05A0"/>
    <w:rsid w:val="00FA0AEF"/>
    <w:rsid w:val="00FA17CC"/>
    <w:rsid w:val="00FA1CFE"/>
    <w:rsid w:val="00FA1EE7"/>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070"/>
    <w:rsid w:val="00FC1266"/>
    <w:rsid w:val="00FC1A95"/>
    <w:rsid w:val="00FC1ED4"/>
    <w:rsid w:val="00FC3BEC"/>
    <w:rsid w:val="00FC42C5"/>
    <w:rsid w:val="00FC440B"/>
    <w:rsid w:val="00FC56DE"/>
    <w:rsid w:val="00FC63D9"/>
    <w:rsid w:val="00FC64DE"/>
    <w:rsid w:val="00FC6785"/>
    <w:rsid w:val="00FC684B"/>
    <w:rsid w:val="00FC7D98"/>
    <w:rsid w:val="00FD1135"/>
    <w:rsid w:val="00FD3265"/>
    <w:rsid w:val="00FD3CF7"/>
    <w:rsid w:val="00FD4124"/>
    <w:rsid w:val="00FD4916"/>
    <w:rsid w:val="00FD4D12"/>
    <w:rsid w:val="00FD4F73"/>
    <w:rsid w:val="00FD595E"/>
    <w:rsid w:val="00FD7802"/>
    <w:rsid w:val="00FD7D3B"/>
    <w:rsid w:val="00FD7FBE"/>
    <w:rsid w:val="00FE27C7"/>
    <w:rsid w:val="00FE2C7E"/>
    <w:rsid w:val="00FE2F78"/>
    <w:rsid w:val="00FE3137"/>
    <w:rsid w:val="00FE346B"/>
    <w:rsid w:val="00FE346F"/>
    <w:rsid w:val="00FE431E"/>
    <w:rsid w:val="00FE460E"/>
    <w:rsid w:val="00FE48E4"/>
    <w:rsid w:val="00FE5466"/>
    <w:rsid w:val="00FE634C"/>
    <w:rsid w:val="00FE6E69"/>
    <w:rsid w:val="00FE6F59"/>
    <w:rsid w:val="00FF01B6"/>
    <w:rsid w:val="00FF0989"/>
    <w:rsid w:val="00FF0F79"/>
    <w:rsid w:val="00FF1136"/>
    <w:rsid w:val="00FF3D76"/>
    <w:rsid w:val="00FF5B8C"/>
    <w:rsid w:val="00FF63E6"/>
    <w:rsid w:val="00FF72DC"/>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numbering" Target="numbering.xml"/><Relationship Id="rId21" Type="http://schemas.openxmlformats.org/officeDocument/2006/relationships/chart" Target="charts/chart12.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1.xml"/><Relationship Id="rId36" Type="http://schemas.openxmlformats.org/officeDocument/2006/relationships/customXml" Target="../customXml/item5.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oter" Target="footer1.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s://www.czso.cz/csu/czso/cri/analyza-ctvrtletnich-sektorovych-uctu-2-ctvrtleti-2022" TargetMode="External"/><Relationship Id="rId1" Type="http://schemas.openxmlformats.org/officeDocument/2006/relationships/hyperlink" Target="https://www.czso.cz/csu/czso/metodicka-poznamka-k-indexu-spotrebitelskych-cen-imputovane-najem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Q3\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2Q3\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2Q3\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zabojnikova31519\Documents\Anal&#253;za\Q\2022Q3\Makroanal&#253;za%20grafy.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Trh%20pr&#225;ce\Grafy-trh%20pr&#225;ce-3q-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Trh%20pr&#225;ce\Grafy-trh%20pr&#225;ce-3q-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Q-makro-2022\3.%20&#269;tvrtlet&#237;%202022\RI-3.%20kvart&#225;l\Trh%20pr&#225;ce\Grafy-trh%20pr&#225;ce-3q-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zabojnikova31519\Documents\Anal&#253;za\Q\2022Q3\Makroanal&#253;za%20grafy.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Q-makro-2022\3.%20&#269;tvrtlet&#237;%202022\Grafy-st&#225;tn&#237;%20rozpo&#269;et-3q-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Grafy-st&#225;tn&#237;%20rozpo&#269;et-3q-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nal&#253;za\Q\2022Q3\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nal&#253;za\Q\2022Q3\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polecne\JKAM%20CSU\PUBLIKACE\PUBLIKACE\2022\Q-Makro\3.%20&#269;tvrtlet&#237;%202022\Odv&#283;tv&#237;\Odv&#283;tv&#237;_grafy-3q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2Q3\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1'!$A$25:$B$47</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1'!$C$25:$C$47</c:f>
              <c:numCache>
                <c:formatCode>#\ ##0.0</c:formatCode>
                <c:ptCount val="23"/>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-1.9073894441670518</c:v>
                </c:pt>
                <c:pt idx="17" formatCode="General">
                  <c:v>9.1293353391871648</c:v>
                </c:pt>
                <c:pt idx="18" formatCode="General">
                  <c:v>3.7680361202100983</c:v>
                </c:pt>
                <c:pt idx="19" formatCode="General">
                  <c:v>3.4666809246014765</c:v>
                </c:pt>
                <c:pt idx="20" formatCode="General">
                  <c:v>4.6485227451269537</c:v>
                </c:pt>
                <c:pt idx="21" formatCode="General">
                  <c:v>3.5808692948439784</c:v>
                </c:pt>
                <c:pt idx="22" formatCode="General">
                  <c:v>1.6868646332076622</c:v>
                </c:pt>
              </c:numCache>
            </c:numRef>
          </c:val>
          <c:extLst>
            <c:ext xmlns:c16="http://schemas.microsoft.com/office/drawing/2014/chart" uri="{C3380CC4-5D6E-409C-BE32-E72D297353CC}">
              <c16:uniqueId val="{00000000-A3CF-4683-ABDB-FBA71D797C90}"/>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1'!$A$25:$B$47</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1'!$D$25:$D$47</c:f>
              <c:numCache>
                <c:formatCode>#\ ##0.##########</c:formatCode>
                <c:ptCount val="23"/>
                <c:pt idx="0">
                  <c:v>2.4</c:v>
                </c:pt>
                <c:pt idx="1">
                  <c:v>2.9</c:v>
                </c:pt>
                <c:pt idx="2">
                  <c:v>3.3</c:v>
                </c:pt>
                <c:pt idx="3">
                  <c:v>3.3</c:v>
                </c:pt>
                <c:pt idx="4">
                  <c:v>2.6</c:v>
                </c:pt>
                <c:pt idx="5">
                  <c:v>2.4</c:v>
                </c:pt>
                <c:pt idx="6">
                  <c:v>1.7</c:v>
                </c:pt>
                <c:pt idx="7">
                  <c:v>1.5</c:v>
                </c:pt>
                <c:pt idx="8">
                  <c:v>2.1</c:v>
                </c:pt>
                <c:pt idx="9">
                  <c:v>1.8</c:v>
                </c:pt>
                <c:pt idx="10" formatCode="#\ ##0.0">
                  <c:v>2</c:v>
                </c:pt>
                <c:pt idx="11">
                  <c:v>1.4</c:v>
                </c:pt>
                <c:pt idx="12">
                  <c:v>-2.2000000000000002</c:v>
                </c:pt>
                <c:pt idx="13">
                  <c:v>-13.4</c:v>
                </c:pt>
                <c:pt idx="14">
                  <c:v>-3.7</c:v>
                </c:pt>
                <c:pt idx="15">
                  <c:v>-3.9</c:v>
                </c:pt>
                <c:pt idx="16">
                  <c:v>-0.8</c:v>
                </c:pt>
                <c:pt idx="17">
                  <c:v>13.7</c:v>
                </c:pt>
                <c:pt idx="18">
                  <c:v>4.2</c:v>
                </c:pt>
                <c:pt idx="19" formatCode="#\ ##0.0">
                  <c:v>5.0999999999999996</c:v>
                </c:pt>
                <c:pt idx="20">
                  <c:v>5.6</c:v>
                </c:pt>
                <c:pt idx="21">
                  <c:v>4.3</c:v>
                </c:pt>
                <c:pt idx="22">
                  <c:v>2.5</c:v>
                </c:pt>
              </c:numCache>
            </c:numRef>
          </c:val>
          <c:extLst>
            <c:ext xmlns:c16="http://schemas.microsoft.com/office/drawing/2014/chart" uri="{C3380CC4-5D6E-409C-BE32-E72D297353CC}">
              <c16:uniqueId val="{00000001-A3CF-4683-ABDB-FBA71D797C90}"/>
            </c:ext>
          </c:extLst>
        </c:ser>
        <c:dLbls>
          <c:showLegendKey val="0"/>
          <c:showVal val="0"/>
          <c:showCatName val="0"/>
          <c:showSerName val="0"/>
          <c:showPercent val="0"/>
          <c:showBubbleSize val="0"/>
        </c:dLbls>
        <c:gapWidth val="100"/>
        <c:axId val="267753344"/>
        <c:axId val="267767808"/>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1'!$A$25:$B$47</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1'!$E$25:$E$47</c:f>
              <c:numCache>
                <c:formatCode>#\ ##0.0</c:formatCode>
                <c:ptCount val="23"/>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-0.51573487903165471</c:v>
                </c:pt>
                <c:pt idx="17" formatCode="General">
                  <c:v>1.4070301736563096</c:v>
                </c:pt>
                <c:pt idx="18" formatCode="General">
                  <c:v>1.6988343818829179</c:v>
                </c:pt>
                <c:pt idx="19" formatCode="General">
                  <c:v>0.84679073483712841</c:v>
                </c:pt>
                <c:pt idx="20" formatCode="General">
                  <c:v>0.62061804109229968</c:v>
                </c:pt>
                <c:pt idx="21" formatCode="General">
                  <c:v>0.37244733571660049</c:v>
                </c:pt>
                <c:pt idx="22" formatCode="General">
                  <c:v>-0.1607567541402517</c:v>
                </c:pt>
              </c:numCache>
            </c:numRef>
          </c:val>
          <c:smooth val="0"/>
          <c:extLst>
            <c:ext xmlns:c16="http://schemas.microsoft.com/office/drawing/2014/chart" uri="{C3380CC4-5D6E-409C-BE32-E72D297353CC}">
              <c16:uniqueId val="{00000002-A3CF-4683-ABDB-FBA71D797C90}"/>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1'!$A$25:$B$47</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1'!$F$25:$F$47</c:f>
              <c:numCache>
                <c:formatCode>#\ ##0.##########</c:formatCode>
                <c:ptCount val="23"/>
                <c:pt idx="0">
                  <c:v>0.8</c:v>
                </c:pt>
                <c:pt idx="1">
                  <c:v>0.8</c:v>
                </c:pt>
                <c:pt idx="2">
                  <c:v>0.8</c:v>
                </c:pt>
                <c:pt idx="3">
                  <c:v>0.8</c:v>
                </c:pt>
                <c:pt idx="4">
                  <c:v>0.1</c:v>
                </c:pt>
                <c:pt idx="5">
                  <c:v>0.6</c:v>
                </c:pt>
                <c:pt idx="6">
                  <c:v>0.1</c:v>
                </c:pt>
                <c:pt idx="7">
                  <c:v>0.7</c:v>
                </c:pt>
                <c:pt idx="8">
                  <c:v>0.7</c:v>
                </c:pt>
                <c:pt idx="9">
                  <c:v>0.4</c:v>
                </c:pt>
                <c:pt idx="10">
                  <c:v>0.3</c:v>
                </c:pt>
                <c:pt idx="11">
                  <c:v>0.1</c:v>
                </c:pt>
                <c:pt idx="12" formatCode="#\ ##0.0">
                  <c:v>-2.9</c:v>
                </c:pt>
                <c:pt idx="13">
                  <c:v>-11.1</c:v>
                </c:pt>
                <c:pt idx="14">
                  <c:v>11.5</c:v>
                </c:pt>
                <c:pt idx="15">
                  <c:v>-0.1</c:v>
                </c:pt>
                <c:pt idx="16">
                  <c:v>0.2</c:v>
                </c:pt>
                <c:pt idx="17" formatCode="#\ ##0.0">
                  <c:v>1.9</c:v>
                </c:pt>
                <c:pt idx="18">
                  <c:v>2.2000000000000002</c:v>
                </c:pt>
                <c:pt idx="19">
                  <c:v>0.7</c:v>
                </c:pt>
                <c:pt idx="20">
                  <c:v>0.7</c:v>
                </c:pt>
                <c:pt idx="21">
                  <c:v>0.7</c:v>
                </c:pt>
                <c:pt idx="22">
                  <c:v>0.4</c:v>
                </c:pt>
              </c:numCache>
            </c:numRef>
          </c:val>
          <c:smooth val="0"/>
          <c:extLst>
            <c:ext xmlns:c16="http://schemas.microsoft.com/office/drawing/2014/chart" uri="{C3380CC4-5D6E-409C-BE32-E72D297353CC}">
              <c16:uniqueId val="{00000003-A3CF-4683-ABDB-FBA71D797C90}"/>
            </c:ext>
          </c:extLst>
        </c:ser>
        <c:dLbls>
          <c:showLegendKey val="0"/>
          <c:showVal val="0"/>
          <c:showCatName val="0"/>
          <c:showSerName val="0"/>
          <c:showPercent val="0"/>
          <c:showBubbleSize val="0"/>
        </c:dLbls>
        <c:marker val="1"/>
        <c:smooth val="0"/>
        <c:axId val="267753344"/>
        <c:axId val="267767808"/>
      </c:lineChart>
      <c:catAx>
        <c:axId val="2677533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67767808"/>
        <c:crosses val="autoZero"/>
        <c:auto val="1"/>
        <c:lblAlgn val="ctr"/>
        <c:lblOffset val="100"/>
        <c:noMultiLvlLbl val="0"/>
      </c:catAx>
      <c:valAx>
        <c:axId val="267767808"/>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677533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327E-2"/>
          <c:w val="0.92237743255066085"/>
          <c:h val="0.7147157521300419"/>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2'!$C$26:$C$48</c:f>
              <c:numCache>
                <c:formatCode>General</c:formatCode>
                <c:ptCount val="23"/>
                <c:pt idx="0">
                  <c:v>2.4000000000000057</c:v>
                </c:pt>
                <c:pt idx="1">
                  <c:v>2.2000000000000037</c:v>
                </c:pt>
                <c:pt idx="2" formatCode="0.0">
                  <c:v>2.5</c:v>
                </c:pt>
                <c:pt idx="3" formatCode="0.0">
                  <c:v>2.6</c:v>
                </c:pt>
                <c:pt idx="4" formatCode="0.0">
                  <c:v>1.9000000000000001</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pt idx="21" formatCode="0.0">
                  <c:v>15.8</c:v>
                </c:pt>
                <c:pt idx="22" formatCode="0.0">
                  <c:v>17.600000000000001</c:v>
                </c:pt>
              </c:numCache>
            </c:numRef>
          </c:val>
          <c:extLst>
            <c:ext xmlns:c16="http://schemas.microsoft.com/office/drawing/2014/chart" uri="{C3380CC4-5D6E-409C-BE32-E72D297353CC}">
              <c16:uniqueId val="{00000000-4B02-4E0E-8D13-4EA1CDCD82D6}"/>
            </c:ext>
          </c:extLst>
        </c:ser>
        <c:dLbls>
          <c:showLegendKey val="0"/>
          <c:showVal val="0"/>
          <c:showCatName val="0"/>
          <c:showSerName val="0"/>
          <c:showPercent val="0"/>
          <c:showBubbleSize val="0"/>
        </c:dLbls>
        <c:gapWidth val="95"/>
        <c:axId val="123425920"/>
        <c:axId val="12342784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2'!$D$26:$D$48</c:f>
              <c:numCache>
                <c:formatCode>General</c:formatCode>
                <c:ptCount val="23"/>
                <c:pt idx="0">
                  <c:v>4.2000000000000028</c:v>
                </c:pt>
                <c:pt idx="1">
                  <c:v>4.5</c:v>
                </c:pt>
                <c:pt idx="2" formatCode="0.0">
                  <c:v>5.7</c:v>
                </c:pt>
                <c:pt idx="3" formatCode="0.0">
                  <c:v>6.3</c:v>
                </c:pt>
                <c:pt idx="4" formatCode="0.0">
                  <c:v>2.9</c:v>
                </c:pt>
                <c:pt idx="5" formatCode="#\ ##0.0_ ;\-#\ ##0.0\ ">
                  <c:v>2.2999999999999998</c:v>
                </c:pt>
                <c:pt idx="6" formatCode="0.0">
                  <c:v>0.6000000000000002</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1.7000000000000002</c:v>
                </c:pt>
                <c:pt idx="16" formatCode="0.0">
                  <c:v>0.3000000000000001</c:v>
                </c:pt>
                <c:pt idx="17" formatCode="0.0">
                  <c:v>-0.8</c:v>
                </c:pt>
                <c:pt idx="18" formatCode="0.0">
                  <c:v>1.4</c:v>
                </c:pt>
                <c:pt idx="19" formatCode="0.0">
                  <c:v>2.2999999999999998</c:v>
                </c:pt>
                <c:pt idx="20" formatCode="0.0">
                  <c:v>6.7</c:v>
                </c:pt>
                <c:pt idx="21" formatCode="0.0">
                  <c:v>14.6</c:v>
                </c:pt>
                <c:pt idx="22" formatCode="0.0">
                  <c:v>20</c:v>
                </c:pt>
              </c:numCache>
            </c:numRef>
          </c:val>
          <c:smooth val="0"/>
          <c:extLst>
            <c:ext xmlns:c16="http://schemas.microsoft.com/office/drawing/2014/chart" uri="{C3380CC4-5D6E-409C-BE32-E72D297353CC}">
              <c16:uniqueId val="{00000001-4B02-4E0E-8D13-4EA1CDCD82D6}"/>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2'!$F$26:$F$48</c:f>
              <c:numCache>
                <c:formatCode>General</c:formatCode>
                <c:ptCount val="23"/>
                <c:pt idx="0">
                  <c:v>0.79999999999999738</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0.6000000000000002</c:v>
                </c:pt>
                <c:pt idx="17" formatCode="0.0">
                  <c:v>1.3</c:v>
                </c:pt>
                <c:pt idx="18" formatCode="0.0">
                  <c:v>3.6</c:v>
                </c:pt>
                <c:pt idx="19" formatCode="0.0">
                  <c:v>5.6</c:v>
                </c:pt>
                <c:pt idx="20" formatCode="0.0">
                  <c:v>16</c:v>
                </c:pt>
                <c:pt idx="21" formatCode="0.0">
                  <c:v>21.4</c:v>
                </c:pt>
                <c:pt idx="22" formatCode="0.0">
                  <c:v>23.6</c:v>
                </c:pt>
              </c:numCache>
            </c:numRef>
          </c:val>
          <c:smooth val="0"/>
          <c:extLst>
            <c:ext xmlns:c16="http://schemas.microsoft.com/office/drawing/2014/chart" uri="{C3380CC4-5D6E-409C-BE32-E72D297353CC}">
              <c16:uniqueId val="{00000002-4B02-4E0E-8D13-4EA1CDCD82D6}"/>
            </c:ext>
          </c:extLst>
        </c:ser>
        <c:ser>
          <c:idx val="4"/>
          <c:order val="3"/>
          <c:tx>
            <c:strRef>
              <c:f>'Ceny 2'!$G$5</c:f>
              <c:strCache>
                <c:ptCount val="1"/>
                <c:pt idx="0">
                  <c:v>Doprava</c:v>
                </c:pt>
              </c:strCache>
            </c:strRef>
          </c:tx>
          <c:spPr>
            <a:ln w="19050">
              <a:solidFill>
                <a:srgbClr val="FFC000"/>
              </a:solidFill>
            </a:ln>
          </c:spPr>
          <c:marker>
            <c:symbol val="none"/>
          </c:marker>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2'!$G$26:$G$48</c:f>
              <c:numCache>
                <c:formatCode>General</c:formatCode>
                <c:ptCount val="23"/>
                <c:pt idx="0">
                  <c:v>6</c:v>
                </c:pt>
                <c:pt idx="1">
                  <c:v>3.9000000000000057</c:v>
                </c:pt>
                <c:pt idx="2" formatCode="0.0">
                  <c:v>2.5</c:v>
                </c:pt>
                <c:pt idx="3" formatCode="0.0">
                  <c:v>2.5</c:v>
                </c:pt>
                <c:pt idx="4" formatCode="0.0">
                  <c:v>1</c:v>
                </c:pt>
                <c:pt idx="5" formatCode="0.0">
                  <c:v>3</c:v>
                </c:pt>
                <c:pt idx="6" formatCode="0.0">
                  <c:v>4.5</c:v>
                </c:pt>
                <c:pt idx="7" formatCode="0.0">
                  <c:v>2.6</c:v>
                </c:pt>
                <c:pt idx="8" formatCode="0.0">
                  <c:v>0.6000000000000002</c:v>
                </c:pt>
                <c:pt idx="9" formatCode="0.0">
                  <c:v>0.8</c:v>
                </c:pt>
                <c:pt idx="10" formatCode="0.0">
                  <c:v>-0.2</c:v>
                </c:pt>
                <c:pt idx="11" formatCode="0.0">
                  <c:v>0.5</c:v>
                </c:pt>
                <c:pt idx="12">
                  <c:v>1.7000000000000002</c:v>
                </c:pt>
                <c:pt idx="13" formatCode="0.0">
                  <c:v>-3.4</c:v>
                </c:pt>
                <c:pt idx="14" formatCode="0.0">
                  <c:v>-0.2</c:v>
                </c:pt>
                <c:pt idx="15" formatCode="0.0">
                  <c:v>0.6000000000000002</c:v>
                </c:pt>
                <c:pt idx="16" formatCode="0.0">
                  <c:v>2.4</c:v>
                </c:pt>
                <c:pt idx="17" formatCode="0.0">
                  <c:v>9.1</c:v>
                </c:pt>
                <c:pt idx="18" formatCode="0.0">
                  <c:v>8.8000000000000007</c:v>
                </c:pt>
                <c:pt idx="19" formatCode="0.0">
                  <c:v>13.1</c:v>
                </c:pt>
                <c:pt idx="20" formatCode="0.0">
                  <c:v>17.2</c:v>
                </c:pt>
                <c:pt idx="21" formatCode="0.0">
                  <c:v>22.7</c:v>
                </c:pt>
                <c:pt idx="22" formatCode="0.0">
                  <c:v>19.7</c:v>
                </c:pt>
              </c:numCache>
            </c:numRef>
          </c:val>
          <c:smooth val="0"/>
          <c:extLst>
            <c:ext xmlns:c16="http://schemas.microsoft.com/office/drawing/2014/chart" uri="{C3380CC4-5D6E-409C-BE32-E72D297353CC}">
              <c16:uniqueId val="{00000003-4B02-4E0E-8D13-4EA1CDCD82D6}"/>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2'!$H$26:$H$48</c:f>
              <c:numCache>
                <c:formatCode>###\ ###\ ##0.0</c:formatCode>
                <c:ptCount val="23"/>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pt idx="21" formatCode="0.0">
                  <c:v>21.4</c:v>
                </c:pt>
                <c:pt idx="22" formatCode="0.0">
                  <c:v>24.3</c:v>
                </c:pt>
              </c:numCache>
            </c:numRef>
          </c:val>
          <c:smooth val="0"/>
          <c:extLst>
            <c:ext xmlns:c16="http://schemas.microsoft.com/office/drawing/2014/chart" uri="{C3380CC4-5D6E-409C-BE32-E72D297353CC}">
              <c16:uniqueId val="{00000004-4B02-4E0E-8D13-4EA1CDCD82D6}"/>
            </c:ext>
          </c:extLst>
        </c:ser>
        <c:ser>
          <c:idx val="6"/>
          <c:order val="6"/>
          <c:tx>
            <c:strRef>
              <c:f>'Ceny 2'!$I$5</c:f>
              <c:strCache>
                <c:ptCount val="1"/>
                <c:pt idx="0">
                  <c:v>Rekreace a kultura</c:v>
                </c:pt>
              </c:strCache>
            </c:strRef>
          </c:tx>
          <c:spPr>
            <a:ln w="19050">
              <a:solidFill>
                <a:srgbClr val="FF0000"/>
              </a:solidFill>
            </a:ln>
          </c:spPr>
          <c:marker>
            <c:symbol val="none"/>
          </c:marker>
          <c:cat>
            <c:multiLvlStrRef>
              <c:f>'Ceny 2'!$A$26:$B$48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2'!$I$26:$I$48</c:f>
              <c:numCache>
                <c:formatCode>###\ ###\ ##0.0</c:formatCode>
                <c:ptCount val="23"/>
                <c:pt idx="0">
                  <c:v>0.70000000000000018</c:v>
                </c:pt>
                <c:pt idx="1">
                  <c:v>1.1000000000000001</c:v>
                </c:pt>
                <c:pt idx="2">
                  <c:v>1.3</c:v>
                </c:pt>
                <c:pt idx="3">
                  <c:v>0.9</c:v>
                </c:pt>
                <c:pt idx="4" formatCode="General">
                  <c:v>0.5</c:v>
                </c:pt>
                <c:pt idx="5" formatCode="General">
                  <c:v>0.59999999999999443</c:v>
                </c:pt>
                <c:pt idx="6" formatCode="General">
                  <c:v>2.2000000000000037</c:v>
                </c:pt>
                <c:pt idx="7" formatCode="General">
                  <c:v>0.5</c:v>
                </c:pt>
                <c:pt idx="8" formatCode="General">
                  <c:v>1.7000000000000031</c:v>
                </c:pt>
                <c:pt idx="9" formatCode="General">
                  <c:v>1</c:v>
                </c:pt>
                <c:pt idx="10" formatCode="General">
                  <c:v>1.7000000000000031</c:v>
                </c:pt>
                <c:pt idx="11" formatCode="General">
                  <c:v>2.0999999999999943</c:v>
                </c:pt>
                <c:pt idx="12" formatCode="General">
                  <c:v>2.0999999999999943</c:v>
                </c:pt>
                <c:pt idx="13" formatCode="General">
                  <c:v>2</c:v>
                </c:pt>
                <c:pt idx="14" formatCode="General">
                  <c:v>2.2000000000000037</c:v>
                </c:pt>
                <c:pt idx="15" formatCode="General">
                  <c:v>2.5</c:v>
                </c:pt>
                <c:pt idx="16" formatCode="General">
                  <c:v>1.4000000000000057</c:v>
                </c:pt>
                <c:pt idx="17" formatCode="General">
                  <c:v>2</c:v>
                </c:pt>
                <c:pt idx="18" formatCode="General">
                  <c:v>3.0999999999999943</c:v>
                </c:pt>
                <c:pt idx="19" formatCode="General">
                  <c:v>5.2999999999999972</c:v>
                </c:pt>
                <c:pt idx="20" formatCode="General">
                  <c:v>8.5</c:v>
                </c:pt>
                <c:pt idx="21" formatCode="General">
                  <c:v>11.3</c:v>
                </c:pt>
                <c:pt idx="22" formatCode="General">
                  <c:v>12.599999999999998</c:v>
                </c:pt>
              </c:numCache>
            </c:numRef>
          </c:val>
          <c:smooth val="0"/>
          <c:extLst>
            <c:ext xmlns:c16="http://schemas.microsoft.com/office/drawing/2014/chart" uri="{C3380CC4-5D6E-409C-BE32-E72D297353CC}">
              <c16:uniqueId val="{00000005-4B02-4E0E-8D13-4EA1CDCD82D6}"/>
            </c:ext>
          </c:extLst>
        </c:ser>
        <c:dLbls>
          <c:showLegendKey val="0"/>
          <c:showVal val="0"/>
          <c:showCatName val="0"/>
          <c:showSerName val="0"/>
          <c:showPercent val="0"/>
          <c:showBubbleSize val="0"/>
        </c:dLbls>
        <c:marker val="1"/>
        <c:smooth val="0"/>
        <c:axId val="123425920"/>
        <c:axId val="123427840"/>
        <c:extLst>
          <c:ext xmlns:c15="http://schemas.microsoft.com/office/drawing/2012/chart" uri="{02D57815-91ED-43cb-92C2-25804820EDAC}">
            <c15:filteredLineSeries>
              <c15:ser>
                <c:idx val="2"/>
                <c:order val="4"/>
                <c:tx>
                  <c:strRef>
                    <c:extLst>
                      <c:ext uri="{02D57815-91ED-43cb-92C2-25804820EDAC}">
                        <c15:formulaRef>
                          <c15:sqref>'Ceny 2'!$E$5</c15:sqref>
                        </c15:formulaRef>
                      </c:ext>
                    </c:extLst>
                    <c:strCache>
                      <c:ptCount val="1"/>
                      <c:pt idx="0">
                        <c:v>Alkoholické nápoje a tabák</c:v>
                      </c:pt>
                    </c:strCache>
                  </c:strRef>
                </c:tx>
                <c:spPr>
                  <a:ln w="19050">
                    <a:solidFill>
                      <a:schemeClr val="accent2"/>
                    </a:solidFill>
                  </a:ln>
                </c:spPr>
                <c:marker>
                  <c:symbol val="none"/>
                </c:marker>
                <c:cat>
                  <c:multiLvlStrRef>
                    <c:extLst>
                      <c:ext uri="{02D57815-91ED-43cb-92C2-25804820EDAC}">
                        <c15:formulaRef>
                          <c15:sqref>'Ceny 2'!$A$26:$B$48</c15:sqref>
                        </c15:formulaRef>
                      </c:ext>
                    </c:extLst>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extLst>
                      <c:ext uri="{02D57815-91ED-43cb-92C2-25804820EDAC}">
                        <c15:formulaRef>
                          <c15:sqref>'Ceny 2'!$E$26:$E$48</c15:sqref>
                        </c15:formulaRef>
                      </c:ext>
                    </c:extLst>
                    <c:numCache>
                      <c:formatCode>General</c:formatCode>
                      <c:ptCount val="23"/>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numCache>
                  </c:numRef>
                </c:val>
                <c:smooth val="0"/>
                <c:extLst>
                  <c:ext xmlns:c16="http://schemas.microsoft.com/office/drawing/2014/chart" uri="{C3380CC4-5D6E-409C-BE32-E72D297353CC}">
                    <c16:uniqueId val="{00000006-4B02-4E0E-8D13-4EA1CDCD82D6}"/>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'Ceny 2'!$J$5</c15:sqref>
                        </c15:formulaRef>
                      </c:ext>
                    </c:extLst>
                    <c:strCache>
                      <c:ptCount val="1"/>
                      <c:pt idx="0">
                        <c:v>Odívání a obuv</c:v>
                      </c:pt>
                    </c:strCache>
                  </c:strRef>
                </c:tx>
                <c:spPr>
                  <a:ln w="19050">
                    <a:solidFill>
                      <a:srgbClr val="E8AFB2"/>
                    </a:solidFill>
                  </a:ln>
                </c:spPr>
                <c:marker>
                  <c:symbol val="none"/>
                </c:marker>
                <c:cat>
                  <c:multiLvlStrRef>
                    <c:extLst xmlns:c15="http://schemas.microsoft.com/office/drawing/2012/chart">
                      <c:ext xmlns:c15="http://schemas.microsoft.com/office/drawing/2012/chart" uri="{02D57815-91ED-43cb-92C2-25804820EDAC}">
                        <c15:formulaRef>
                          <c15:sqref>'Ceny 2'!$A$26:$B$48</c15:sqref>
                        </c15:formulaRef>
                      </c:ext>
                    </c:extLst>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extLst xmlns:c15="http://schemas.microsoft.com/office/drawing/2012/chart">
                      <c:ext xmlns:c15="http://schemas.microsoft.com/office/drawing/2012/chart" uri="{02D57815-91ED-43cb-92C2-25804820EDAC}">
                        <c15:formulaRef>
                          <c15:sqref>'Ceny 2'!$J$26:$J$48</c15:sqref>
                        </c15:formulaRef>
                      </c:ext>
                    </c:extLst>
                    <c:numCache>
                      <c:formatCode>General</c:formatCode>
                      <c:ptCount val="23"/>
                      <c:pt idx="0">
                        <c:v>0.5</c:v>
                      </c:pt>
                      <c:pt idx="1">
                        <c:v>1</c:v>
                      </c:pt>
                      <c:pt idx="2" formatCode="0.0">
                        <c:v>0.5</c:v>
                      </c:pt>
                      <c:pt idx="3" formatCode="0.0">
                        <c:v>-0.8</c:v>
                      </c:pt>
                      <c:pt idx="4">
                        <c:v>-0.29999999999999716</c:v>
                      </c:pt>
                      <c:pt idx="5">
                        <c:v>-1</c:v>
                      </c:pt>
                      <c:pt idx="6">
                        <c:v>-1.4000000000000057</c:v>
                      </c:pt>
                      <c:pt idx="7">
                        <c:v>-1.7000000000000028</c:v>
                      </c:pt>
                      <c:pt idx="8">
                        <c:v>-1.0999999999999943</c:v>
                      </c:pt>
                      <c:pt idx="9">
                        <c:v>-1.9000000000000057</c:v>
                      </c:pt>
                      <c:pt idx="10">
                        <c:v>-1.5</c:v>
                      </c:pt>
                      <c:pt idx="11">
                        <c:v>-0.29999999999999716</c:v>
                      </c:pt>
                      <c:pt idx="12">
                        <c:v>3.5</c:v>
                      </c:pt>
                      <c:pt idx="13">
                        <c:v>3.4000000000000057</c:v>
                      </c:pt>
                      <c:pt idx="14">
                        <c:v>4.5</c:v>
                      </c:pt>
                      <c:pt idx="15">
                        <c:v>3.4000000000000057</c:v>
                      </c:pt>
                      <c:pt idx="16">
                        <c:v>2.7000000000000028</c:v>
                      </c:pt>
                      <c:pt idx="17">
                        <c:v>2.9000000000000057</c:v>
                      </c:pt>
                      <c:pt idx="18">
                        <c:v>7.7999999999999972</c:v>
                      </c:pt>
                      <c:pt idx="19">
                        <c:v>12.599999999999994</c:v>
                      </c:pt>
                      <c:pt idx="20">
                        <c:v>16.900000000000006</c:v>
                      </c:pt>
                      <c:pt idx="21">
                        <c:v>20</c:v>
                      </c:pt>
                      <c:pt idx="22">
                        <c:v>19</c:v>
                      </c:pt>
                    </c:numCache>
                  </c:numRef>
                </c:val>
                <c:smooth val="0"/>
                <c:extLst xmlns:c15="http://schemas.microsoft.com/office/drawing/2012/chart">
                  <c:ext xmlns:c16="http://schemas.microsoft.com/office/drawing/2014/chart" uri="{C3380CC4-5D6E-409C-BE32-E72D297353CC}">
                    <c16:uniqueId val="{00000007-4B02-4E0E-8D13-4EA1CDCD82D6}"/>
                  </c:ext>
                </c:extLst>
              </c15:ser>
            </c15:filteredLineSeries>
          </c:ext>
        </c:extLst>
      </c:lineChart>
      <c:catAx>
        <c:axId val="12342592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23427840"/>
        <c:crosses val="autoZero"/>
        <c:auto val="1"/>
        <c:lblAlgn val="ctr"/>
        <c:lblOffset val="100"/>
        <c:noMultiLvlLbl val="0"/>
      </c:catAx>
      <c:valAx>
        <c:axId val="123427840"/>
        <c:scaling>
          <c:orientation val="minMax"/>
          <c:max val="2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3425920"/>
        <c:crosses val="autoZero"/>
        <c:crossBetween val="between"/>
      </c:valAx>
      <c:spPr>
        <a:ln>
          <a:solidFill>
            <a:schemeClr val="tx1"/>
          </a:solidFill>
        </a:ln>
      </c:spPr>
    </c:plotArea>
    <c:legend>
      <c:legendPos val="b"/>
      <c:layout>
        <c:manualLayout>
          <c:xMode val="edge"/>
          <c:yMode val="edge"/>
          <c:x val="5.3882134414049342E-2"/>
          <c:y val="0.85802375323651958"/>
          <c:w val="0.92470364741641364"/>
          <c:h val="0.131253517955645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919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1'!$C$26:$C$48</c:f>
              <c:numCache>
                <c:formatCode>General</c:formatCode>
                <c:ptCount val="23"/>
                <c:pt idx="0">
                  <c:v>17.200000000000003</c:v>
                </c:pt>
                <c:pt idx="1">
                  <c:v>18.700000000000003</c:v>
                </c:pt>
                <c:pt idx="2">
                  <c:v>15.8</c:v>
                </c:pt>
                <c:pt idx="3">
                  <c:v>12</c:v>
                </c:pt>
                <c:pt idx="4">
                  <c:v>9.2000000000000011</c:v>
                </c:pt>
                <c:pt idx="5">
                  <c:v>8</c:v>
                </c:pt>
                <c:pt idx="6">
                  <c:v>9.4000000000000057</c:v>
                </c:pt>
                <c:pt idx="7">
                  <c:v>11.400000000000006</c:v>
                </c:pt>
                <c:pt idx="8">
                  <c:v>11.3</c:v>
                </c:pt>
                <c:pt idx="9">
                  <c:v>10.599999999999998</c:v>
                </c:pt>
                <c:pt idx="10">
                  <c:v>9.5</c:v>
                </c:pt>
                <c:pt idx="11">
                  <c:v>9.4000000000000057</c:v>
                </c:pt>
                <c:pt idx="12">
                  <c:v>10.599999999999998</c:v>
                </c:pt>
                <c:pt idx="13">
                  <c:v>10.200000000000003</c:v>
                </c:pt>
                <c:pt idx="14">
                  <c:v>11.200000000000003</c:v>
                </c:pt>
                <c:pt idx="15">
                  <c:v>13.3</c:v>
                </c:pt>
                <c:pt idx="16">
                  <c:v>15.200000000000003</c:v>
                </c:pt>
                <c:pt idx="17">
                  <c:v>17.900000000000006</c:v>
                </c:pt>
                <c:pt idx="18">
                  <c:v>21.29999999999999</c:v>
                </c:pt>
                <c:pt idx="19">
                  <c:v>25.200000000000003</c:v>
                </c:pt>
                <c:pt idx="20">
                  <c:v>27.29999999999999</c:v>
                </c:pt>
                <c:pt idx="21">
                  <c:v>27.599999999999987</c:v>
                </c:pt>
                <c:pt idx="22">
                  <c:v>23.400000000000006</c:v>
                </c:pt>
              </c:numCache>
            </c:numRef>
          </c:val>
          <c:extLst>
            <c:ext xmlns:c16="http://schemas.microsoft.com/office/drawing/2014/chart" uri="{C3380CC4-5D6E-409C-BE32-E72D297353CC}">
              <c16:uniqueId val="{00000000-CCA2-4EB6-9A71-76B24B940D83}"/>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1'!$D$26:$D$48</c:f>
              <c:numCache>
                <c:formatCode>General</c:formatCode>
                <c:ptCount val="23"/>
                <c:pt idx="0">
                  <c:v>16.200000000000003</c:v>
                </c:pt>
                <c:pt idx="1">
                  <c:v>19</c:v>
                </c:pt>
                <c:pt idx="2">
                  <c:v>16.400000000000006</c:v>
                </c:pt>
                <c:pt idx="3">
                  <c:v>11.099999999999998</c:v>
                </c:pt>
                <c:pt idx="4">
                  <c:v>8.3000000000000025</c:v>
                </c:pt>
                <c:pt idx="5">
                  <c:v>4</c:v>
                </c:pt>
                <c:pt idx="6">
                  <c:v>6</c:v>
                </c:pt>
                <c:pt idx="7">
                  <c:v>8.7000000000000011</c:v>
                </c:pt>
                <c:pt idx="8">
                  <c:v>9.4000000000000057</c:v>
                </c:pt>
                <c:pt idx="9">
                  <c:v>8.7000000000000011</c:v>
                </c:pt>
                <c:pt idx="10">
                  <c:v>6.5</c:v>
                </c:pt>
                <c:pt idx="11">
                  <c:v>7.0999999999999943</c:v>
                </c:pt>
                <c:pt idx="12">
                  <c:v>6.2000000000000028</c:v>
                </c:pt>
                <c:pt idx="13">
                  <c:v>8</c:v>
                </c:pt>
                <c:pt idx="14">
                  <c:v>9.4000000000000057</c:v>
                </c:pt>
                <c:pt idx="15">
                  <c:v>10.599999999999998</c:v>
                </c:pt>
                <c:pt idx="16">
                  <c:v>14.3</c:v>
                </c:pt>
                <c:pt idx="17">
                  <c:v>15.8</c:v>
                </c:pt>
                <c:pt idx="18">
                  <c:v>16.599999999999987</c:v>
                </c:pt>
                <c:pt idx="19">
                  <c:v>20</c:v>
                </c:pt>
                <c:pt idx="20">
                  <c:v>19</c:v>
                </c:pt>
                <c:pt idx="21">
                  <c:v>16.700000000000003</c:v>
                </c:pt>
                <c:pt idx="22">
                  <c:v>15.700000000000003</c:v>
                </c:pt>
              </c:numCache>
            </c:numRef>
          </c:val>
          <c:extLst>
            <c:ext xmlns:c16="http://schemas.microsoft.com/office/drawing/2014/chart" uri="{C3380CC4-5D6E-409C-BE32-E72D297353CC}">
              <c16:uniqueId val="{00000001-CCA2-4EB6-9A71-76B24B940D83}"/>
            </c:ext>
          </c:extLst>
        </c:ser>
        <c:dLbls>
          <c:showLegendKey val="0"/>
          <c:showVal val="0"/>
          <c:showCatName val="0"/>
          <c:showSerName val="0"/>
          <c:showPercent val="0"/>
          <c:showBubbleSize val="0"/>
        </c:dLbls>
        <c:gapWidth val="95"/>
        <c:axId val="123492992"/>
        <c:axId val="123515264"/>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1'!$E$26:$E$48</c:f>
              <c:numCache>
                <c:formatCode>General</c:formatCode>
                <c:ptCount val="23"/>
                <c:pt idx="0" formatCode="0.0">
                  <c:v>9.5238095238095202</c:v>
                </c:pt>
                <c:pt idx="1">
                  <c:v>9.5278969957081507</c:v>
                </c:pt>
                <c:pt idx="2">
                  <c:v>12.542087542087547</c:v>
                </c:pt>
                <c:pt idx="3">
                  <c:v>12.469237079573423</c:v>
                </c:pt>
                <c:pt idx="4">
                  <c:v>12.801932367149751</c:v>
                </c:pt>
                <c:pt idx="5">
                  <c:v>12.22570532915358</c:v>
                </c:pt>
                <c:pt idx="6">
                  <c:v>9.4988780852655257</c:v>
                </c:pt>
                <c:pt idx="7">
                  <c:v>8.4609773887673203</c:v>
                </c:pt>
                <c:pt idx="8">
                  <c:v>7.4232690935046488</c:v>
                </c:pt>
                <c:pt idx="9">
                  <c:v>5.7262569832402352</c:v>
                </c:pt>
                <c:pt idx="10">
                  <c:v>5.1912568306010893</c:v>
                </c:pt>
                <c:pt idx="11">
                  <c:v>5.5144586415601955</c:v>
                </c:pt>
                <c:pt idx="12">
                  <c:v>6.0465116279069644</c:v>
                </c:pt>
                <c:pt idx="13">
                  <c:v>7.1334214002641847</c:v>
                </c:pt>
                <c:pt idx="14">
                  <c:v>7.9870129870129887</c:v>
                </c:pt>
                <c:pt idx="15">
                  <c:v>7.6481835564053533</c:v>
                </c:pt>
                <c:pt idx="16">
                  <c:v>7.6441102756892256</c:v>
                </c:pt>
                <c:pt idx="17">
                  <c:v>7.9531442663378558</c:v>
                </c:pt>
                <c:pt idx="18">
                  <c:v>9.3205051112447475</c:v>
                </c:pt>
                <c:pt idx="19">
                  <c:v>12.433392539964474</c:v>
                </c:pt>
                <c:pt idx="20">
                  <c:v>16.8800931315483</c:v>
                </c:pt>
                <c:pt idx="21">
                  <c:v>24.671616219303267</c:v>
                </c:pt>
                <c:pt idx="22">
                  <c:v>22.937293729372925</c:v>
                </c:pt>
              </c:numCache>
            </c:numRef>
          </c:val>
          <c:smooth val="0"/>
          <c:extLst>
            <c:ext xmlns:c16="http://schemas.microsoft.com/office/drawing/2014/chart" uri="{C3380CC4-5D6E-409C-BE32-E72D297353CC}">
              <c16:uniqueId val="{00000002-CCA2-4EB6-9A71-76B24B940D83}"/>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'Ceny 1'!$F$26:$F$48</c:f>
              <c:numCache>
                <c:formatCode>General</c:formatCode>
                <c:ptCount val="23"/>
                <c:pt idx="0" formatCode="0.0">
                  <c:v>13.636363636363622</c:v>
                </c:pt>
                <c:pt idx="1">
                  <c:v>14.589905362776051</c:v>
                </c:pt>
                <c:pt idx="2">
                  <c:v>18.266253869969038</c:v>
                </c:pt>
                <c:pt idx="3">
                  <c:v>18.773373223635019</c:v>
                </c:pt>
                <c:pt idx="4">
                  <c:v>15.071428571428555</c:v>
                </c:pt>
                <c:pt idx="5">
                  <c:v>14.246386785960068</c:v>
                </c:pt>
                <c:pt idx="6">
                  <c:v>10.732984293193699</c:v>
                </c:pt>
                <c:pt idx="7">
                  <c:v>8.7531486146095574</c:v>
                </c:pt>
                <c:pt idx="8">
                  <c:v>8.3178150217256377</c:v>
                </c:pt>
                <c:pt idx="9">
                  <c:v>4.9397590361445687</c:v>
                </c:pt>
                <c:pt idx="10">
                  <c:v>3.3096926713947985</c:v>
                </c:pt>
                <c:pt idx="11">
                  <c:v>2.9530978575564593</c:v>
                </c:pt>
                <c:pt idx="12">
                  <c:v>3.5530085959885289</c:v>
                </c:pt>
                <c:pt idx="13">
                  <c:v>5.2812858783008068</c:v>
                </c:pt>
                <c:pt idx="14">
                  <c:v>6.2356979405034298</c:v>
                </c:pt>
                <c:pt idx="15">
                  <c:v>5.1743532058492718</c:v>
                </c:pt>
                <c:pt idx="16">
                  <c:v>4.7592695074709628</c:v>
                </c:pt>
                <c:pt idx="17">
                  <c:v>4.5256270447110012</c:v>
                </c:pt>
                <c:pt idx="18">
                  <c:v>6.2466343564889808</c:v>
                </c:pt>
                <c:pt idx="19">
                  <c:v>9.1443850267379485</c:v>
                </c:pt>
                <c:pt idx="20">
                  <c:v>12.255678816693077</c:v>
                </c:pt>
                <c:pt idx="21">
                  <c:v>19.718309859154935</c:v>
                </c:pt>
                <c:pt idx="22">
                  <c:v>18.49974657881398</c:v>
                </c:pt>
              </c:numCache>
            </c:numRef>
          </c:val>
          <c:smooth val="0"/>
          <c:extLst>
            <c:ext xmlns:c16="http://schemas.microsoft.com/office/drawing/2014/chart" uri="{C3380CC4-5D6E-409C-BE32-E72D297353CC}">
              <c16:uniqueId val="{00000003-CCA2-4EB6-9A71-76B24B940D83}"/>
            </c:ext>
          </c:extLst>
        </c:ser>
        <c:dLbls>
          <c:showLegendKey val="0"/>
          <c:showVal val="0"/>
          <c:showCatName val="0"/>
          <c:showSerName val="0"/>
          <c:showPercent val="0"/>
          <c:showBubbleSize val="0"/>
        </c:dLbls>
        <c:marker val="1"/>
        <c:smooth val="0"/>
        <c:axId val="123492992"/>
        <c:axId val="123515264"/>
      </c:lineChart>
      <c:catAx>
        <c:axId val="123492992"/>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23515264"/>
        <c:crosses val="autoZero"/>
        <c:auto val="1"/>
        <c:lblAlgn val="ctr"/>
        <c:lblOffset val="100"/>
        <c:noMultiLvlLbl val="0"/>
      </c:catAx>
      <c:valAx>
        <c:axId val="123515264"/>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3492992"/>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314"/>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86E-2"/>
          <c:y val="2.1811315924220448E-2"/>
          <c:w val="0.90860161263086836"/>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4'!$A$54:$B$122</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'Ceny 4'!$C$54:$C$122</c:f>
              <c:numCache>
                <c:formatCode>General</c:formatCode>
                <c:ptCount val="69"/>
                <c:pt idx="0">
                  <c:v>2.0999999999999943</c:v>
                </c:pt>
                <c:pt idx="1">
                  <c:v>3.0999999999999943</c:v>
                </c:pt>
                <c:pt idx="2" formatCode="0.0">
                  <c:v>3</c:v>
                </c:pt>
                <c:pt idx="3" formatCode="0.0">
                  <c:v>3.2000000000000037</c:v>
                </c:pt>
                <c:pt idx="4">
                  <c:v>2.2999999999999972</c:v>
                </c:pt>
                <c:pt idx="5">
                  <c:v>1.2999999999999965</c:v>
                </c:pt>
                <c:pt idx="6">
                  <c:v>1.1000000000000001</c:v>
                </c:pt>
                <c:pt idx="7">
                  <c:v>1.4</c:v>
                </c:pt>
                <c:pt idx="8">
                  <c:v>1.7</c:v>
                </c:pt>
                <c:pt idx="9">
                  <c:v>1.1000000000000001</c:v>
                </c:pt>
                <c:pt idx="10">
                  <c:v>0.9</c:v>
                </c:pt>
                <c:pt idx="11">
                  <c:v>0.70000000000000018</c:v>
                </c:pt>
                <c:pt idx="12">
                  <c:v>0.5</c:v>
                </c:pt>
                <c:pt idx="13">
                  <c:v>-0.3000000000000001</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1.9000000000000001</c:v>
                </c:pt>
                <c:pt idx="33">
                  <c:v>0.9</c:v>
                </c:pt>
                <c:pt idx="34">
                  <c:v>0.9</c:v>
                </c:pt>
                <c:pt idx="35">
                  <c:v>2.1</c:v>
                </c:pt>
                <c:pt idx="36">
                  <c:v>2.4</c:v>
                </c:pt>
                <c:pt idx="37">
                  <c:v>1.4</c:v>
                </c:pt>
                <c:pt idx="38">
                  <c:v>0.4</c:v>
                </c:pt>
                <c:pt idx="39">
                  <c:v>-0.8</c:v>
                </c:pt>
                <c:pt idx="40">
                  <c:v>-0.9</c:v>
                </c:pt>
                <c:pt idx="41">
                  <c:v>-0.3000000000000001</c:v>
                </c:pt>
                <c:pt idx="42">
                  <c:v>-0.1</c:v>
                </c:pt>
                <c:pt idx="43">
                  <c:v>-0.5</c:v>
                </c:pt>
                <c:pt idx="44">
                  <c:v>-0.4</c:v>
                </c:pt>
                <c:pt idx="45">
                  <c:v>0.3000000000000001</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pt idx="63">
                  <c:v>26.6</c:v>
                </c:pt>
                <c:pt idx="64">
                  <c:v>27.9</c:v>
                </c:pt>
                <c:pt idx="65">
                  <c:v>28.5</c:v>
                </c:pt>
                <c:pt idx="66">
                  <c:v>26.8</c:v>
                </c:pt>
                <c:pt idx="67">
                  <c:v>25.2</c:v>
                </c:pt>
                <c:pt idx="68">
                  <c:v>25.8</c:v>
                </c:pt>
              </c:numCache>
            </c:numRef>
          </c:val>
          <c:extLst>
            <c:ext xmlns:c16="http://schemas.microsoft.com/office/drawing/2014/chart" uri="{C3380CC4-5D6E-409C-BE32-E72D297353CC}">
              <c16:uniqueId val="{00000000-8C43-41CF-90FE-A1D1F7E4F9F0}"/>
            </c:ext>
          </c:extLst>
        </c:ser>
        <c:dLbls>
          <c:showLegendKey val="0"/>
          <c:showVal val="0"/>
          <c:showCatName val="0"/>
          <c:showSerName val="0"/>
          <c:showPercent val="0"/>
          <c:showBubbleSize val="0"/>
        </c:dLbls>
        <c:gapWidth val="96"/>
        <c:axId val="124935552"/>
        <c:axId val="124986112"/>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4'!$A$54:$B$122</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'Ceny 4'!$D$54:$D$122</c:f>
              <c:numCache>
                <c:formatCode>General</c:formatCode>
                <c:ptCount val="69"/>
                <c:pt idx="0">
                  <c:v>2.2999999999999972</c:v>
                </c:pt>
                <c:pt idx="1">
                  <c:v>5.7999999999999972</c:v>
                </c:pt>
                <c:pt idx="2" formatCode="0.0">
                  <c:v>6.2000000000000028</c:v>
                </c:pt>
                <c:pt idx="3" formatCode="0.0">
                  <c:v>6.4000000000000075</c:v>
                </c:pt>
                <c:pt idx="4">
                  <c:v>4.2999999999999972</c:v>
                </c:pt>
                <c:pt idx="5">
                  <c:v>4.0999999999999943</c:v>
                </c:pt>
                <c:pt idx="6">
                  <c:v>2.9</c:v>
                </c:pt>
                <c:pt idx="7">
                  <c:v>1.7</c:v>
                </c:pt>
                <c:pt idx="8">
                  <c:v>1.9000000000000001</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9.2000000000000011</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-1.9000000000000001</c:v>
                </c:pt>
                <c:pt idx="46">
                  <c:v>-1.8</c:v>
                </c:pt>
                <c:pt idx="47">
                  <c:v>-2.2000000000000002</c:v>
                </c:pt>
                <c:pt idx="48">
                  <c:v>-0.3000000000000001</c:v>
                </c:pt>
                <c:pt idx="49">
                  <c:v>-0.8</c:v>
                </c:pt>
                <c:pt idx="50">
                  <c:v>-0.3000000000000001</c:v>
                </c:pt>
                <c:pt idx="51">
                  <c:v>1</c:v>
                </c:pt>
                <c:pt idx="52">
                  <c:v>0.3000000000000001</c:v>
                </c:pt>
                <c:pt idx="53">
                  <c:v>1.1000000000000001</c:v>
                </c:pt>
                <c:pt idx="54">
                  <c:v>2</c:v>
                </c:pt>
                <c:pt idx="55">
                  <c:v>3.6</c:v>
                </c:pt>
                <c:pt idx="56">
                  <c:v>4.3</c:v>
                </c:pt>
                <c:pt idx="57">
                  <c:v>12.7</c:v>
                </c:pt>
                <c:pt idx="58">
                  <c:v>14</c:v>
                </c:pt>
                <c:pt idx="59">
                  <c:v>14.6</c:v>
                </c:pt>
                <c:pt idx="60">
                  <c:v>24.2</c:v>
                </c:pt>
                <c:pt idx="61">
                  <c:v>25.1</c:v>
                </c:pt>
                <c:pt idx="62">
                  <c:v>26.3</c:v>
                </c:pt>
                <c:pt idx="63">
                  <c:v>28.3</c:v>
                </c:pt>
                <c:pt idx="64">
                  <c:v>34</c:v>
                </c:pt>
                <c:pt idx="65">
                  <c:v>33.300000000000004</c:v>
                </c:pt>
                <c:pt idx="66">
                  <c:v>30.4</c:v>
                </c:pt>
                <c:pt idx="67">
                  <c:v>28.8</c:v>
                </c:pt>
                <c:pt idx="68">
                  <c:v>31.3</c:v>
                </c:pt>
              </c:numCache>
            </c:numRef>
          </c:val>
          <c:smooth val="0"/>
          <c:extLst>
            <c:ext xmlns:c16="http://schemas.microsoft.com/office/drawing/2014/chart" uri="{C3380CC4-5D6E-409C-BE32-E72D297353CC}">
              <c16:uniqueId val="{00000001-8C43-41CF-90FE-A1D1F7E4F9F0}"/>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4'!$A$54:$B$122</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'Ceny 4'!$E$54:$E$122</c:f>
              <c:numCache>
                <c:formatCode>General</c:formatCode>
                <c:ptCount val="69"/>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1.9000000000000001</c:v>
                </c:pt>
                <c:pt idx="25">
                  <c:v>2.9</c:v>
                </c:pt>
                <c:pt idx="26">
                  <c:v>3</c:v>
                </c:pt>
                <c:pt idx="27">
                  <c:v>3.5</c:v>
                </c:pt>
                <c:pt idx="28">
                  <c:v>2.9</c:v>
                </c:pt>
                <c:pt idx="29">
                  <c:v>1.4</c:v>
                </c:pt>
                <c:pt idx="30">
                  <c:v>0.9</c:v>
                </c:pt>
                <c:pt idx="31">
                  <c:v>0.8</c:v>
                </c:pt>
                <c:pt idx="32">
                  <c:v>0.70000000000000018</c:v>
                </c:pt>
                <c:pt idx="33">
                  <c:v>-0.4</c:v>
                </c:pt>
                <c:pt idx="34">
                  <c:v>-0.70000000000000018</c:v>
                </c:pt>
                <c:pt idx="35">
                  <c:v>0.8</c:v>
                </c:pt>
                <c:pt idx="36">
                  <c:v>1.2</c:v>
                </c:pt>
                <c:pt idx="37">
                  <c:v>-0.1</c:v>
                </c:pt>
                <c:pt idx="38">
                  <c:v>-1.2</c:v>
                </c:pt>
                <c:pt idx="39">
                  <c:v>-2.5</c:v>
                </c:pt>
                <c:pt idx="40">
                  <c:v>-2.6</c:v>
                </c:pt>
                <c:pt idx="41">
                  <c:v>-1.9000000000000001</c:v>
                </c:pt>
                <c:pt idx="42">
                  <c:v>-1.6</c:v>
                </c:pt>
                <c:pt idx="43">
                  <c:v>-2</c:v>
                </c:pt>
                <c:pt idx="44">
                  <c:v>-1.9000000000000001</c:v>
                </c:pt>
                <c:pt idx="45">
                  <c:v>-1.1000000000000001</c:v>
                </c:pt>
                <c:pt idx="46">
                  <c:v>-1.4</c:v>
                </c:pt>
                <c:pt idx="47">
                  <c:v>-1.2</c:v>
                </c:pt>
                <c:pt idx="48">
                  <c:v>-0.3000000000000001</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pt idx="63">
                  <c:v>22.3</c:v>
                </c:pt>
                <c:pt idx="64">
                  <c:v>24.6</c:v>
                </c:pt>
                <c:pt idx="65">
                  <c:v>25.8</c:v>
                </c:pt>
                <c:pt idx="66">
                  <c:v>22.7</c:v>
                </c:pt>
                <c:pt idx="67">
                  <c:v>20</c:v>
                </c:pt>
                <c:pt idx="68">
                  <c:v>18.899999999999999</c:v>
                </c:pt>
              </c:numCache>
            </c:numRef>
          </c:val>
          <c:smooth val="0"/>
          <c:extLst>
            <c:ext xmlns:c16="http://schemas.microsoft.com/office/drawing/2014/chart" uri="{C3380CC4-5D6E-409C-BE32-E72D297353CC}">
              <c16:uniqueId val="{00000002-8C43-41CF-90FE-A1D1F7E4F9F0}"/>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4'!$A$54:$B$122</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'Ceny 4'!$F$54:$F$122</c:f>
              <c:numCache>
                <c:formatCode>General</c:formatCode>
                <c:ptCount val="69"/>
                <c:pt idx="0">
                  <c:v>-1.0999999999999936</c:v>
                </c:pt>
                <c:pt idx="1">
                  <c:v>-1.2000000000000028</c:v>
                </c:pt>
                <c:pt idx="2" formatCode="0.0">
                  <c:v>-1.2000000000000028</c:v>
                </c:pt>
                <c:pt idx="3" formatCode="0.0">
                  <c:v>-1.4000000000000057</c:v>
                </c:pt>
                <c:pt idx="4">
                  <c:v>-1.2999999999999965</c:v>
                </c:pt>
                <c:pt idx="5">
                  <c:v>-1.0999999999999936</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8.2000000000000011</c:v>
                </c:pt>
                <c:pt idx="28">
                  <c:v>8.6</c:v>
                </c:pt>
                <c:pt idx="29">
                  <c:v>7.9</c:v>
                </c:pt>
                <c:pt idx="30">
                  <c:v>8</c:v>
                </c:pt>
                <c:pt idx="31">
                  <c:v>7.7</c:v>
                </c:pt>
                <c:pt idx="32">
                  <c:v>7.7</c:v>
                </c:pt>
                <c:pt idx="33">
                  <c:v>7.5</c:v>
                </c:pt>
                <c:pt idx="34">
                  <c:v>8.7000000000000011</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0.70000000000000018</c:v>
                </c:pt>
                <c:pt idx="56">
                  <c:v>1.2</c:v>
                </c:pt>
                <c:pt idx="57">
                  <c:v>3.7</c:v>
                </c:pt>
                <c:pt idx="58">
                  <c:v>5.6</c:v>
                </c:pt>
                <c:pt idx="59">
                  <c:v>7.1</c:v>
                </c:pt>
                <c:pt idx="60">
                  <c:v>40.6</c:v>
                </c:pt>
                <c:pt idx="61">
                  <c:v>45.5</c:v>
                </c:pt>
                <c:pt idx="62">
                  <c:v>48.9</c:v>
                </c:pt>
                <c:pt idx="63">
                  <c:v>51.4</c:v>
                </c:pt>
                <c:pt idx="64">
                  <c:v>45.8</c:v>
                </c:pt>
                <c:pt idx="65">
                  <c:v>44.6</c:v>
                </c:pt>
                <c:pt idx="66">
                  <c:v>49.8</c:v>
                </c:pt>
                <c:pt idx="67">
                  <c:v>54.3</c:v>
                </c:pt>
                <c:pt idx="68">
                  <c:v>64</c:v>
                </c:pt>
              </c:numCache>
            </c:numRef>
          </c:val>
          <c:smooth val="0"/>
          <c:extLst>
            <c:ext xmlns:c16="http://schemas.microsoft.com/office/drawing/2014/chart" uri="{C3380CC4-5D6E-409C-BE32-E72D297353CC}">
              <c16:uniqueId val="{00000003-8C43-41CF-90FE-A1D1F7E4F9F0}"/>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4'!$A$54:$B$122</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'Ceny 4'!$G$54:$G$122</c:f>
              <c:numCache>
                <c:formatCode>General</c:formatCode>
                <c:ptCount val="69"/>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1.9000000000000001</c:v>
                </c:pt>
                <c:pt idx="13">
                  <c:v>1.9000000000000001</c:v>
                </c:pt>
                <c:pt idx="14">
                  <c:v>1.9000000000000001</c:v>
                </c:pt>
                <c:pt idx="15">
                  <c:v>1.9000000000000001</c:v>
                </c:pt>
                <c:pt idx="16">
                  <c:v>1.9000000000000001</c:v>
                </c:pt>
                <c:pt idx="17">
                  <c:v>1.9000000000000001</c:v>
                </c:pt>
                <c:pt idx="18">
                  <c:v>1.9000000000000001</c:v>
                </c:pt>
                <c:pt idx="19">
                  <c:v>1.9000000000000001</c:v>
                </c:pt>
                <c:pt idx="20">
                  <c:v>1.9000000000000001</c:v>
                </c:pt>
                <c:pt idx="21">
                  <c:v>1.9000000000000001</c:v>
                </c:pt>
                <c:pt idx="22">
                  <c:v>1.9000000000000001</c:v>
                </c:pt>
                <c:pt idx="23">
                  <c:v>1.9000000000000001</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pt idx="63">
                  <c:v>5.3</c:v>
                </c:pt>
                <c:pt idx="64">
                  <c:v>5.3</c:v>
                </c:pt>
                <c:pt idx="65">
                  <c:v>5.3</c:v>
                </c:pt>
                <c:pt idx="66">
                  <c:v>5.3</c:v>
                </c:pt>
                <c:pt idx="67">
                  <c:v>5.3</c:v>
                </c:pt>
                <c:pt idx="68">
                  <c:v>5.3</c:v>
                </c:pt>
              </c:numCache>
            </c:numRef>
          </c:val>
          <c:smooth val="0"/>
          <c:extLst>
            <c:ext xmlns:c16="http://schemas.microsoft.com/office/drawing/2014/chart" uri="{C3380CC4-5D6E-409C-BE32-E72D297353CC}">
              <c16:uniqueId val="{00000004-8C43-41CF-90FE-A1D1F7E4F9F0}"/>
            </c:ext>
          </c:extLst>
        </c:ser>
        <c:dLbls>
          <c:showLegendKey val="0"/>
          <c:showVal val="0"/>
          <c:showCatName val="0"/>
          <c:showSerName val="0"/>
          <c:showPercent val="0"/>
          <c:showBubbleSize val="0"/>
        </c:dLbls>
        <c:marker val="1"/>
        <c:smooth val="0"/>
        <c:axId val="124935552"/>
        <c:axId val="124986112"/>
      </c:lineChart>
      <c:catAx>
        <c:axId val="124935552"/>
        <c:scaling>
          <c:orientation val="minMax"/>
        </c:scaling>
        <c:delete val="0"/>
        <c:axPos val="b"/>
        <c:numFmt formatCode="General" sourceLinked="0"/>
        <c:majorTickMark val="out"/>
        <c:minorTickMark val="none"/>
        <c:tickLblPos val="low"/>
        <c:spPr>
          <a:ln>
            <a:solidFill>
              <a:schemeClr val="tx1"/>
            </a:solidFill>
          </a:ln>
        </c:spPr>
        <c:crossAx val="124986112"/>
        <c:crosses val="autoZero"/>
        <c:auto val="1"/>
        <c:lblAlgn val="ctr"/>
        <c:lblOffset val="100"/>
        <c:noMultiLvlLbl val="0"/>
      </c:catAx>
      <c:valAx>
        <c:axId val="124986112"/>
        <c:scaling>
          <c:orientation val="minMax"/>
          <c:max val="6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24935552"/>
        <c:crosses val="autoZero"/>
        <c:crossBetween val="between"/>
        <c:majorUnit val="5"/>
      </c:valAx>
      <c:spPr>
        <a:ln>
          <a:solidFill>
            <a:schemeClr val="tx1"/>
          </a:solidFill>
        </a:ln>
      </c:spPr>
    </c:plotArea>
    <c:legend>
      <c:legendPos val="b"/>
      <c:layout>
        <c:manualLayout>
          <c:xMode val="edge"/>
          <c:yMode val="edge"/>
          <c:x val="6.1319022289766968E-2"/>
          <c:y val="0.86223931272106069"/>
          <c:w val="0.90901046943600139"/>
          <c:h val="0.12109402425765231"/>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1993E-2"/>
          <c:y val="1.4522051060224654E-2"/>
          <c:w val="0.8449512157496093"/>
          <c:h val="0.67557130739459603"/>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1-SNÚ'!$AC$28:$AC$59</c:f>
              <c:numCache>
                <c:formatCode>#\ ##0.0</c:formatCode>
                <c:ptCount val="32"/>
                <c:pt idx="0">
                  <c:v>-5.6991893197978323E-2</c:v>
                </c:pt>
                <c:pt idx="1">
                  <c:v>-5.3077004431979158E-2</c:v>
                </c:pt>
                <c:pt idx="2">
                  <c:v>-6.9683605158033388E-2</c:v>
                </c:pt>
                <c:pt idx="3">
                  <c:v>-0.13993931548915461</c:v>
                </c:pt>
                <c:pt idx="4">
                  <c:v>-0.12488466174466099</c:v>
                </c:pt>
                <c:pt idx="5">
                  <c:v>-3.2025271621926851E-2</c:v>
                </c:pt>
                <c:pt idx="6">
                  <c:v>-4.5209168072263287E-2</c:v>
                </c:pt>
                <c:pt idx="7">
                  <c:v>5.8178231424048286E-2</c:v>
                </c:pt>
                <c:pt idx="8">
                  <c:v>9.8473168738459183E-2</c:v>
                </c:pt>
                <c:pt idx="9">
                  <c:v>3.5827695758654132E-2</c:v>
                </c:pt>
                <c:pt idx="10">
                  <c:v>1.9597324357556151E-2</c:v>
                </c:pt>
                <c:pt idx="11">
                  <c:v>-9.3256093124704453E-2</c:v>
                </c:pt>
                <c:pt idx="12">
                  <c:v>2.8281779223500551E-2</c:v>
                </c:pt>
                <c:pt idx="13">
                  <c:v>3.1385538570036606E-2</c:v>
                </c:pt>
                <c:pt idx="14">
                  <c:v>1.6521075080556499E-2</c:v>
                </c:pt>
                <c:pt idx="15">
                  <c:v>8.339836020489598E-2</c:v>
                </c:pt>
                <c:pt idx="16">
                  <c:v>-3.2066957439228154E-2</c:v>
                </c:pt>
                <c:pt idx="17">
                  <c:v>-9.1886912097250723E-2</c:v>
                </c:pt>
                <c:pt idx="18">
                  <c:v>-0.12544281535318705</c:v>
                </c:pt>
                <c:pt idx="19">
                  <c:v>-0.13296546528421771</c:v>
                </c:pt>
                <c:pt idx="20">
                  <c:v>-8.0149764825409739E-2</c:v>
                </c:pt>
                <c:pt idx="21">
                  <c:v>1.2847127079559923E-4</c:v>
                </c:pt>
                <c:pt idx="22">
                  <c:v>9.2281662728676869E-2</c:v>
                </c:pt>
                <c:pt idx="23">
                  <c:v>7.8785121950452452E-2</c:v>
                </c:pt>
                <c:pt idx="24">
                  <c:v>4.1598401435506201E-2</c:v>
                </c:pt>
                <c:pt idx="25">
                  <c:v>-3.2565664084423795E-2</c:v>
                </c:pt>
                <c:pt idx="26">
                  <c:v>-6.3926765857289541E-2</c:v>
                </c:pt>
                <c:pt idx="27">
                  <c:v>-1.9048828497047487E-2</c:v>
                </c:pt>
                <c:pt idx="28">
                  <c:v>-2.2904557386353129E-2</c:v>
                </c:pt>
                <c:pt idx="29">
                  <c:v>8.5975270059869338E-2</c:v>
                </c:pt>
                <c:pt idx="30">
                  <c:v>3.2419275909985966E-2</c:v>
                </c:pt>
              </c:numCache>
            </c:numRef>
          </c:val>
          <c:extLst>
            <c:ext xmlns:c16="http://schemas.microsoft.com/office/drawing/2014/chart" uri="{C3380CC4-5D6E-409C-BE32-E72D297353CC}">
              <c16:uniqueId val="{00000000-CCDC-4C7D-9736-5C6BBC770762}"/>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1-SNÚ'!$AD$28:$AD$59</c:f>
              <c:numCache>
                <c:formatCode>#\ ##0.0</c:formatCode>
                <c:ptCount val="32"/>
                <c:pt idx="0">
                  <c:v>0.88197902580416188</c:v>
                </c:pt>
                <c:pt idx="1">
                  <c:v>0.93619594656509786</c:v>
                </c:pt>
                <c:pt idx="2">
                  <c:v>0.7938067010022134</c:v>
                </c:pt>
                <c:pt idx="3">
                  <c:v>0.92941048859384778</c:v>
                </c:pt>
                <c:pt idx="4">
                  <c:v>0.86436958871149239</c:v>
                </c:pt>
                <c:pt idx="5">
                  <c:v>0.6430697678543803</c:v>
                </c:pt>
                <c:pt idx="6">
                  <c:v>0.67102358376255722</c:v>
                </c:pt>
                <c:pt idx="7">
                  <c:v>0.51768439491468099</c:v>
                </c:pt>
                <c:pt idx="8">
                  <c:v>0.27352595704925403</c:v>
                </c:pt>
                <c:pt idx="9">
                  <c:v>0.40495174469100209</c:v>
                </c:pt>
                <c:pt idx="10">
                  <c:v>0.48296390541252476</c:v>
                </c:pt>
                <c:pt idx="11">
                  <c:v>0.47073561501166572</c:v>
                </c:pt>
                <c:pt idx="12">
                  <c:v>0.35993792705298533</c:v>
                </c:pt>
                <c:pt idx="13">
                  <c:v>0.28632749685910491</c:v>
                </c:pt>
                <c:pt idx="14">
                  <c:v>9.320344949617218E-2</c:v>
                </c:pt>
                <c:pt idx="15">
                  <c:v>8.6360902490994762E-2</c:v>
                </c:pt>
                <c:pt idx="16">
                  <c:v>0.14709256185686431</c:v>
                </c:pt>
                <c:pt idx="17">
                  <c:v>-2.0854942188738998E-2</c:v>
                </c:pt>
                <c:pt idx="18">
                  <c:v>-0.16258097669671442</c:v>
                </c:pt>
                <c:pt idx="19">
                  <c:v>-0.55102805433099233</c:v>
                </c:pt>
                <c:pt idx="20">
                  <c:v>-0.82136508594643143</c:v>
                </c:pt>
                <c:pt idx="21">
                  <c:v>-1.0952359365711681</c:v>
                </c:pt>
                <c:pt idx="22">
                  <c:v>-1.0796051443294794</c:v>
                </c:pt>
                <c:pt idx="23">
                  <c:v>-0.9131415766236638</c:v>
                </c:pt>
                <c:pt idx="24">
                  <c:v>-0.48276380890898796</c:v>
                </c:pt>
                <c:pt idx="25">
                  <c:v>-6.9783565895193841E-2</c:v>
                </c:pt>
                <c:pt idx="26">
                  <c:v>0.17800799169008091</c:v>
                </c:pt>
                <c:pt idx="27">
                  <c:v>0.30784267481835675</c:v>
                </c:pt>
                <c:pt idx="28">
                  <c:v>7.5821983072064739E-2</c:v>
                </c:pt>
                <c:pt idx="29">
                  <c:v>0.38195662676532388</c:v>
                </c:pt>
                <c:pt idx="30">
                  <c:v>0.18553200068967871</c:v>
                </c:pt>
              </c:numCache>
            </c:numRef>
          </c:val>
          <c:extLst>
            <c:ext xmlns:c16="http://schemas.microsoft.com/office/drawing/2014/chart" uri="{C3380CC4-5D6E-409C-BE32-E72D297353CC}">
              <c16:uniqueId val="{00000001-CCDC-4C7D-9736-5C6BBC770762}"/>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1-SNÚ'!$AE$28:$AE$59</c:f>
              <c:numCache>
                <c:formatCode>#\ ##0.0</c:formatCode>
                <c:ptCount val="32"/>
                <c:pt idx="0">
                  <c:v>-0.11535945278349405</c:v>
                </c:pt>
                <c:pt idx="1">
                  <c:v>-0.10277905701098219</c:v>
                </c:pt>
                <c:pt idx="2">
                  <c:v>-0.15744780912986225</c:v>
                </c:pt>
                <c:pt idx="3">
                  <c:v>-0.17964656072744936</c:v>
                </c:pt>
                <c:pt idx="4">
                  <c:v>-0.1120525831789497</c:v>
                </c:pt>
                <c:pt idx="5">
                  <c:v>-0.12466911878830758</c:v>
                </c:pt>
                <c:pt idx="6">
                  <c:v>-2.5910926178730025E-2</c:v>
                </c:pt>
                <c:pt idx="7">
                  <c:v>9.6483224892210812E-3</c:v>
                </c:pt>
                <c:pt idx="8">
                  <c:v>-9.8473168738459193E-3</c:v>
                </c:pt>
                <c:pt idx="9">
                  <c:v>1.9091640634913781E-2</c:v>
                </c:pt>
                <c:pt idx="10">
                  <c:v>7.2407555983877492E-2</c:v>
                </c:pt>
                <c:pt idx="11">
                  <c:v>-7.2320666550757626E-2</c:v>
                </c:pt>
                <c:pt idx="12">
                  <c:v>0.10670200915568527</c:v>
                </c:pt>
                <c:pt idx="13">
                  <c:v>7.1029443792451546E-2</c:v>
                </c:pt>
                <c:pt idx="14">
                  <c:v>5.9006500400454326E-2</c:v>
                </c:pt>
                <c:pt idx="15">
                  <c:v>0.11179404853203211</c:v>
                </c:pt>
                <c:pt idx="16">
                  <c:v>3.5683531586509519E-2</c:v>
                </c:pt>
                <c:pt idx="17">
                  <c:v>8.4487365089419286E-2</c:v>
                </c:pt>
                <c:pt idx="18">
                  <c:v>9.8622860864049297E-2</c:v>
                </c:pt>
                <c:pt idx="19">
                  <c:v>0.12706817507064183</c:v>
                </c:pt>
                <c:pt idx="20">
                  <c:v>1.7073866434947422E-2</c:v>
                </c:pt>
                <c:pt idx="21">
                  <c:v>-0.21562985151107072</c:v>
                </c:pt>
                <c:pt idx="22">
                  <c:v>-0.10234473200166617</c:v>
                </c:pt>
                <c:pt idx="23">
                  <c:v>-5.2591242475965305E-2</c:v>
                </c:pt>
                <c:pt idx="24">
                  <c:v>-5.8182173945429606E-2</c:v>
                </c:pt>
                <c:pt idx="25">
                  <c:v>0.13802889189699899</c:v>
                </c:pt>
                <c:pt idx="26">
                  <c:v>-3.0171482095251407E-2</c:v>
                </c:pt>
                <c:pt idx="27">
                  <c:v>6.6122867967429694E-2</c:v>
                </c:pt>
                <c:pt idx="28">
                  <c:v>0.25181849586260913</c:v>
                </c:pt>
                <c:pt idx="29">
                  <c:v>0.27303967230008458</c:v>
                </c:pt>
                <c:pt idx="30">
                  <c:v>0.25461128395398197</c:v>
                </c:pt>
              </c:numCache>
            </c:numRef>
          </c:val>
          <c:extLst>
            <c:ext xmlns:c16="http://schemas.microsoft.com/office/drawing/2014/chart" uri="{C3380CC4-5D6E-409C-BE32-E72D297353CC}">
              <c16:uniqueId val="{00000002-CCDC-4C7D-9736-5C6BBC770762}"/>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1-SNÚ'!$AF$28:$AF$59</c:f>
              <c:numCache>
                <c:formatCode>#\ ##0.0</c:formatCode>
                <c:ptCount val="32"/>
                <c:pt idx="0">
                  <c:v>0.23291997178704801</c:v>
                </c:pt>
                <c:pt idx="1">
                  <c:v>0.49484250453607481</c:v>
                </c:pt>
                <c:pt idx="2">
                  <c:v>0.32328110679066313</c:v>
                </c:pt>
                <c:pt idx="3">
                  <c:v>0.1631521827397909</c:v>
                </c:pt>
                <c:pt idx="4">
                  <c:v>8.7514387555562262E-2</c:v>
                </c:pt>
                <c:pt idx="5">
                  <c:v>0.23539827888748027</c:v>
                </c:pt>
                <c:pt idx="6">
                  <c:v>-1.012145553856642E-2</c:v>
                </c:pt>
                <c:pt idx="7">
                  <c:v>6.4501534410011899E-2</c:v>
                </c:pt>
                <c:pt idx="8">
                  <c:v>0.17491894128532515</c:v>
                </c:pt>
                <c:pt idx="9">
                  <c:v>5.3760540295329376E-3</c:v>
                </c:pt>
                <c:pt idx="10">
                  <c:v>0.35548634881148361</c:v>
                </c:pt>
                <c:pt idx="11">
                  <c:v>0.17830036428397431</c:v>
                </c:pt>
                <c:pt idx="12">
                  <c:v>0.15887539134747283</c:v>
                </c:pt>
                <c:pt idx="13">
                  <c:v>0.40293713210708676</c:v>
                </c:pt>
                <c:pt idx="14">
                  <c:v>0.21063905082977832</c:v>
                </c:pt>
                <c:pt idx="15">
                  <c:v>0.22355083238122023</c:v>
                </c:pt>
                <c:pt idx="16">
                  <c:v>0.4391448341504014</c:v>
                </c:pt>
                <c:pt idx="17">
                  <c:v>0.11318361828645726</c:v>
                </c:pt>
                <c:pt idx="18">
                  <c:v>-1.4877414534236133E-2</c:v>
                </c:pt>
                <c:pt idx="19">
                  <c:v>-4.6754453974505922E-2</c:v>
                </c:pt>
                <c:pt idx="20">
                  <c:v>-0.115969964698082</c:v>
                </c:pt>
                <c:pt idx="21">
                  <c:v>-0.57289010255494699</c:v>
                </c:pt>
                <c:pt idx="22">
                  <c:v>-0.41512925330551581</c:v>
                </c:pt>
                <c:pt idx="23">
                  <c:v>-0.99009534683119649</c:v>
                </c:pt>
                <c:pt idx="24">
                  <c:v>-0.85525942764305551</c:v>
                </c:pt>
                <c:pt idx="25">
                  <c:v>-0.16068979178984688</c:v>
                </c:pt>
                <c:pt idx="26">
                  <c:v>0.24223497129956198</c:v>
                </c:pt>
                <c:pt idx="27">
                  <c:v>0.73670588306438423</c:v>
                </c:pt>
                <c:pt idx="28">
                  <c:v>0.44199402036851076</c:v>
                </c:pt>
                <c:pt idx="29">
                  <c:v>0.90664490569436151</c:v>
                </c:pt>
                <c:pt idx="30">
                  <c:v>0.4075194120411848</c:v>
                </c:pt>
              </c:numCache>
            </c:numRef>
          </c:val>
          <c:extLst>
            <c:ext xmlns:c16="http://schemas.microsoft.com/office/drawing/2014/chart" uri="{C3380CC4-5D6E-409C-BE32-E72D297353CC}">
              <c16:uniqueId val="{00000003-CCDC-4C7D-9736-5C6BBC770762}"/>
            </c:ext>
          </c:extLst>
        </c:ser>
        <c:ser>
          <c:idx val="4"/>
          <c:order val="4"/>
          <c:tx>
            <c:strRef>
              <c:f>'Trh práce 1-SNÚ'!$AG$7</c:f>
              <c:strCache>
                <c:ptCount val="1"/>
                <c:pt idx="0">
                  <c:v>Informační a komunikač. čin.</c:v>
                </c:pt>
              </c:strCache>
            </c:strRef>
          </c:tx>
          <c:spPr>
            <a:solidFill>
              <a:srgbClr val="F8A124"/>
            </a:solidFill>
            <a:ln w="19050">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1-SNÚ'!$AG$28:$AG$59</c:f>
              <c:numCache>
                <c:formatCode>#\ ##0.0</c:formatCode>
                <c:ptCount val="32"/>
                <c:pt idx="0">
                  <c:v>1.2223778472118113E-2</c:v>
                </c:pt>
                <c:pt idx="1">
                  <c:v>6.0238966213004064E-2</c:v>
                </c:pt>
                <c:pt idx="2">
                  <c:v>7.0191816584150843E-2</c:v>
                </c:pt>
                <c:pt idx="3">
                  <c:v>9.7973099947945522E-2</c:v>
                </c:pt>
                <c:pt idx="4">
                  <c:v>0.11574107777423741</c:v>
                </c:pt>
                <c:pt idx="5">
                  <c:v>0.11485523362541726</c:v>
                </c:pt>
                <c:pt idx="6">
                  <c:v>0.13512625118059429</c:v>
                </c:pt>
                <c:pt idx="7">
                  <c:v>0.16390616372126982</c:v>
                </c:pt>
                <c:pt idx="8">
                  <c:v>0.13639011895367548</c:v>
                </c:pt>
                <c:pt idx="9">
                  <c:v>0.13690890950828224</c:v>
                </c:pt>
                <c:pt idx="10">
                  <c:v>0.13784590844137606</c:v>
                </c:pt>
                <c:pt idx="11">
                  <c:v>0.11872218009337369</c:v>
                </c:pt>
                <c:pt idx="12">
                  <c:v>0.12284956731327347</c:v>
                </c:pt>
                <c:pt idx="13">
                  <c:v>0.1377705293912645</c:v>
                </c:pt>
                <c:pt idx="14">
                  <c:v>0.12183128760081174</c:v>
                </c:pt>
                <c:pt idx="15">
                  <c:v>0.14710233552673227</c:v>
                </c:pt>
                <c:pt idx="16">
                  <c:v>0.15146954390177922</c:v>
                </c:pt>
                <c:pt idx="17">
                  <c:v>8.5481334090471192E-2</c:v>
                </c:pt>
                <c:pt idx="18">
                  <c:v>0.13044502296953692</c:v>
                </c:pt>
                <c:pt idx="19">
                  <c:v>0.14053979740227923</c:v>
                </c:pt>
                <c:pt idx="20">
                  <c:v>0.1289269892800389</c:v>
                </c:pt>
                <c:pt idx="21">
                  <c:v>8.7929408340245138E-2</c:v>
                </c:pt>
                <c:pt idx="22">
                  <c:v>0.10800290465149717</c:v>
                </c:pt>
                <c:pt idx="23">
                  <c:v>7.23106460916456E-2</c:v>
                </c:pt>
                <c:pt idx="24">
                  <c:v>7.0059490346391529E-2</c:v>
                </c:pt>
                <c:pt idx="25">
                  <c:v>0.12448487722594252</c:v>
                </c:pt>
                <c:pt idx="26">
                  <c:v>9.5824477027642477E-2</c:v>
                </c:pt>
                <c:pt idx="27">
                  <c:v>2.9990566294458662E-2</c:v>
                </c:pt>
                <c:pt idx="28">
                  <c:v>0.11495530320425108</c:v>
                </c:pt>
                <c:pt idx="29">
                  <c:v>0.1030694404433509</c:v>
                </c:pt>
                <c:pt idx="30">
                  <c:v>0.10283773752513471</c:v>
                </c:pt>
              </c:numCache>
            </c:numRef>
          </c:val>
          <c:extLst>
            <c:ext xmlns:c16="http://schemas.microsoft.com/office/drawing/2014/chart" uri="{C3380CC4-5D6E-409C-BE32-E72D297353CC}">
              <c16:uniqueId val="{00000004-CCDC-4C7D-9736-5C6BBC770762}"/>
            </c:ext>
          </c:extLst>
        </c:ser>
        <c:ser>
          <c:idx val="5"/>
          <c:order val="5"/>
          <c:tx>
            <c:strRef>
              <c:f>'Trh práce 1-SNÚ'!$AH$7</c:f>
              <c:strCache>
                <c:ptCount val="1"/>
                <c:pt idx="0">
                  <c:v>Profesní, vědec., techn. a admin. čin.</c:v>
                </c:pt>
              </c:strCache>
            </c:strRef>
          </c:tx>
          <c:spPr>
            <a:solidFill>
              <a:srgbClr val="E8C0BE"/>
            </a:solidFill>
            <a:ln w="19050">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1-SNÚ'!$AH$28:$AH$59</c:f>
              <c:numCache>
                <c:formatCode>#\ ##0.0</c:formatCode>
                <c:ptCount val="32"/>
                <c:pt idx="0">
                  <c:v>0.10850077322277187</c:v>
                </c:pt>
                <c:pt idx="1">
                  <c:v>0.12304838994193759</c:v>
                </c:pt>
                <c:pt idx="2">
                  <c:v>0.25299155723995115</c:v>
                </c:pt>
                <c:pt idx="3">
                  <c:v>0.35101672163818687</c:v>
                </c:pt>
                <c:pt idx="4">
                  <c:v>0.24190700606252472</c:v>
                </c:pt>
                <c:pt idx="5">
                  <c:v>0.24438309320163906</c:v>
                </c:pt>
                <c:pt idx="6">
                  <c:v>0.25066507602369625</c:v>
                </c:pt>
                <c:pt idx="7">
                  <c:v>0.26288795818240246</c:v>
                </c:pt>
                <c:pt idx="8">
                  <c:v>0.40909387284647242</c:v>
                </c:pt>
                <c:pt idx="9">
                  <c:v>0.3560353520194568</c:v>
                </c:pt>
                <c:pt idx="10">
                  <c:v>0.31414586903784059</c:v>
                </c:pt>
                <c:pt idx="11">
                  <c:v>0.14060149424955432</c:v>
                </c:pt>
                <c:pt idx="12">
                  <c:v>0.17385474809809426</c:v>
                </c:pt>
                <c:pt idx="13">
                  <c:v>0.14777045635809005</c:v>
                </c:pt>
                <c:pt idx="14">
                  <c:v>9.3482836335189487E-2</c:v>
                </c:pt>
                <c:pt idx="15">
                  <c:v>0.1886897215806482</c:v>
                </c:pt>
                <c:pt idx="16">
                  <c:v>-9.6071046579064082E-3</c:v>
                </c:pt>
                <c:pt idx="17">
                  <c:v>-3.2359213034248151E-2</c:v>
                </c:pt>
                <c:pt idx="18">
                  <c:v>-2.9422579116094791E-2</c:v>
                </c:pt>
                <c:pt idx="19">
                  <c:v>-0.2039356671982194</c:v>
                </c:pt>
                <c:pt idx="20">
                  <c:v>-0.16053845350835921</c:v>
                </c:pt>
                <c:pt idx="21">
                  <c:v>-0.28764717531134665</c:v>
                </c:pt>
                <c:pt idx="22">
                  <c:v>-0.41553472496120397</c:v>
                </c:pt>
                <c:pt idx="23">
                  <c:v>-0.19227343450410958</c:v>
                </c:pt>
                <c:pt idx="24">
                  <c:v>-0.18494148985647557</c:v>
                </c:pt>
                <c:pt idx="25">
                  <c:v>8.2989918150628353E-2</c:v>
                </c:pt>
                <c:pt idx="26">
                  <c:v>0.18710822105338745</c:v>
                </c:pt>
                <c:pt idx="27">
                  <c:v>8.3338624674582723E-2</c:v>
                </c:pt>
                <c:pt idx="28">
                  <c:v>7.8003369489814525E-2</c:v>
                </c:pt>
                <c:pt idx="29">
                  <c:v>3.7906089298451608E-2</c:v>
                </c:pt>
                <c:pt idx="30">
                  <c:v>0.11667591381717725</c:v>
                </c:pt>
              </c:numCache>
            </c:numRef>
          </c:val>
          <c:extLst>
            <c:ext xmlns:c16="http://schemas.microsoft.com/office/drawing/2014/chart" uri="{C3380CC4-5D6E-409C-BE32-E72D297353CC}">
              <c16:uniqueId val="{00000005-CCDC-4C7D-9736-5C6BBC770762}"/>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1-SNÚ'!$AI$28:$AI$59</c:f>
              <c:numCache>
                <c:formatCode>#\ ##0.0</c:formatCode>
                <c:ptCount val="32"/>
                <c:pt idx="0">
                  <c:v>0.22356544035179371</c:v>
                </c:pt>
                <c:pt idx="1">
                  <c:v>0.22121632087472576</c:v>
                </c:pt>
                <c:pt idx="2">
                  <c:v>0.12507865060484016</c:v>
                </c:pt>
                <c:pt idx="3">
                  <c:v>0.12632707202590387</c:v>
                </c:pt>
                <c:pt idx="4">
                  <c:v>0.32907195728800714</c:v>
                </c:pt>
                <c:pt idx="5">
                  <c:v>0.33515671077902126</c:v>
                </c:pt>
                <c:pt idx="6">
                  <c:v>0.44146897214787145</c:v>
                </c:pt>
                <c:pt idx="7">
                  <c:v>0.55904533116329436</c:v>
                </c:pt>
                <c:pt idx="8">
                  <c:v>0.45377965834973044</c:v>
                </c:pt>
                <c:pt idx="9">
                  <c:v>0.48758720415555445</c:v>
                </c:pt>
                <c:pt idx="10">
                  <c:v>0.52434236449693783</c:v>
                </c:pt>
                <c:pt idx="11">
                  <c:v>0.53403271627626758</c:v>
                </c:pt>
                <c:pt idx="12">
                  <c:v>0.43792479194710193</c:v>
                </c:pt>
                <c:pt idx="13">
                  <c:v>0.46550221824222554</c:v>
                </c:pt>
                <c:pt idx="14">
                  <c:v>0.29622455251541197</c:v>
                </c:pt>
                <c:pt idx="15">
                  <c:v>0.24393461389689408</c:v>
                </c:pt>
                <c:pt idx="16">
                  <c:v>0.2079251936675458</c:v>
                </c:pt>
                <c:pt idx="17">
                  <c:v>0.13389130580837377</c:v>
                </c:pt>
                <c:pt idx="18">
                  <c:v>0.1488479786651119</c:v>
                </c:pt>
                <c:pt idx="19">
                  <c:v>0.16857035494868172</c:v>
                </c:pt>
                <c:pt idx="20">
                  <c:v>0.34228599406292876</c:v>
                </c:pt>
                <c:pt idx="21">
                  <c:v>0.2712212056881948</c:v>
                </c:pt>
                <c:pt idx="22">
                  <c:v>0.38125393952574582</c:v>
                </c:pt>
                <c:pt idx="23">
                  <c:v>0.32350181091089747</c:v>
                </c:pt>
                <c:pt idx="24">
                  <c:v>0.17065535733675366</c:v>
                </c:pt>
                <c:pt idx="25">
                  <c:v>0.2872569205787911</c:v>
                </c:pt>
                <c:pt idx="26">
                  <c:v>0.28479027067271512</c:v>
                </c:pt>
                <c:pt idx="27">
                  <c:v>0.33911828113047343</c:v>
                </c:pt>
                <c:pt idx="28">
                  <c:v>0.42800305920640491</c:v>
                </c:pt>
                <c:pt idx="29">
                  <c:v>0.37833228900095833</c:v>
                </c:pt>
                <c:pt idx="30">
                  <c:v>0.44125926660269321</c:v>
                </c:pt>
              </c:numCache>
            </c:numRef>
          </c:val>
          <c:extLst>
            <c:ext xmlns:c16="http://schemas.microsoft.com/office/drawing/2014/chart" uri="{C3380CC4-5D6E-409C-BE32-E72D297353CC}">
              <c16:uniqueId val="{00000006-CCDC-4C7D-9736-5C6BBC770762}"/>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1-SNÚ'!$AJ$28:$AJ$59</c:f>
              <c:numCache>
                <c:formatCode>#\ ##0.0</c:formatCode>
                <c:ptCount val="32"/>
                <c:pt idx="0">
                  <c:v>-5.443708419255177E-2</c:v>
                </c:pt>
                <c:pt idx="1">
                  <c:v>8.9416602290768546E-2</c:v>
                </c:pt>
                <c:pt idx="2">
                  <c:v>4.9980639099324368E-2</c:v>
                </c:pt>
                <c:pt idx="3">
                  <c:v>-2.6133949538887483E-2</c:v>
                </c:pt>
                <c:pt idx="4">
                  <c:v>0.12610768889994067</c:v>
                </c:pt>
                <c:pt idx="5">
                  <c:v>7.9147344977730072E-2</c:v>
                </c:pt>
                <c:pt idx="6">
                  <c:v>0.10645843330278804</c:v>
                </c:pt>
                <c:pt idx="7">
                  <c:v>0.17588007788617954</c:v>
                </c:pt>
                <c:pt idx="8">
                  <c:v>-5.5355305533561015E-2</c:v>
                </c:pt>
                <c:pt idx="9">
                  <c:v>-2.8874919169222957E-3</c:v>
                </c:pt>
                <c:pt idx="10">
                  <c:v>4.6771521213818605E-2</c:v>
                </c:pt>
                <c:pt idx="11">
                  <c:v>4.0303999761385413E-2</c:v>
                </c:pt>
                <c:pt idx="12">
                  <c:v>0.20445408817735139</c:v>
                </c:pt>
                <c:pt idx="13">
                  <c:v>0.1937064504585076</c:v>
                </c:pt>
                <c:pt idx="14">
                  <c:v>1.6316191398610486E-2</c:v>
                </c:pt>
                <c:pt idx="15">
                  <c:v>1.8371488642097283E-2</c:v>
                </c:pt>
                <c:pt idx="16">
                  <c:v>-2.6762648689882144E-2</c:v>
                </c:pt>
                <c:pt idx="17">
                  <c:v>2.1167858355736844E-2</c:v>
                </c:pt>
                <c:pt idx="18">
                  <c:v>0.10524940158091123</c:v>
                </c:pt>
                <c:pt idx="19">
                  <c:v>0.12295850095305616</c:v>
                </c:pt>
                <c:pt idx="20">
                  <c:v>-0.12300902911636498</c:v>
                </c:pt>
                <c:pt idx="21">
                  <c:v>-0.3520846941346823</c:v>
                </c:pt>
                <c:pt idx="22">
                  <c:v>-0.34275256276516947</c:v>
                </c:pt>
                <c:pt idx="23">
                  <c:v>-0.43863649018293682</c:v>
                </c:pt>
                <c:pt idx="24">
                  <c:v>-0.16726448541573033</c:v>
                </c:pt>
                <c:pt idx="25">
                  <c:v>4.1738826375485566E-2</c:v>
                </c:pt>
                <c:pt idx="26">
                  <c:v>-1.3959939476907397E-2</c:v>
                </c:pt>
                <c:pt idx="27">
                  <c:v>0.11555911335262435</c:v>
                </c:pt>
                <c:pt idx="28">
                  <c:v>0.10577843620544997</c:v>
                </c:pt>
                <c:pt idx="29">
                  <c:v>0.18222572450325153</c:v>
                </c:pt>
                <c:pt idx="30">
                  <c:v>0.23744376148415136</c:v>
                </c:pt>
              </c:numCache>
            </c:numRef>
          </c:val>
          <c:extLst>
            <c:ext xmlns:c16="http://schemas.microsoft.com/office/drawing/2014/chart" uri="{C3380CC4-5D6E-409C-BE32-E72D297353CC}">
              <c16:uniqueId val="{00000007-CCDC-4C7D-9736-5C6BBC770762}"/>
            </c:ext>
          </c:extLst>
        </c:ser>
        <c:dLbls>
          <c:showLegendKey val="0"/>
          <c:showVal val="0"/>
          <c:showCatName val="0"/>
          <c:showSerName val="0"/>
          <c:showPercent val="0"/>
          <c:showBubbleSize val="0"/>
        </c:dLbls>
        <c:gapWidth val="47"/>
        <c:overlap val="100"/>
        <c:axId val="166203776"/>
        <c:axId val="166205696"/>
      </c:barChart>
      <c:lineChart>
        <c:grouping val="standard"/>
        <c:varyColors val="0"/>
        <c:ser>
          <c:idx val="8"/>
          <c:order val="8"/>
          <c:tx>
            <c:strRef>
              <c:f>'Trh práce 1-SNÚ'!$AK$7</c:f>
              <c:strCache>
                <c:ptCount val="1"/>
                <c:pt idx="0">
                  <c:v>Zaměstnanost celkem</c:v>
                </c:pt>
              </c:strCache>
            </c:strRef>
          </c:tx>
          <c:spPr>
            <a:ln w="19050">
              <a:solidFill>
                <a:schemeClr val="tx1">
                  <a:lumMod val="95000"/>
                  <a:lumOff val="5000"/>
                </a:schemeClr>
              </a:solidFill>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1-SNÚ'!$AK$28:$AK$59</c:f>
              <c:numCache>
                <c:formatCode>#\ ##0.0</c:formatCode>
                <c:ptCount val="32"/>
                <c:pt idx="0">
                  <c:v>1.2324005594638696</c:v>
                </c:pt>
                <c:pt idx="1">
                  <c:v>1.7691026689786471</c:v>
                </c:pt>
                <c:pt idx="2">
                  <c:v>1.3881990570332476</c:v>
                </c:pt>
                <c:pt idx="3">
                  <c:v>1.322159739190184</c:v>
                </c:pt>
                <c:pt idx="4">
                  <c:v>1.5277744613681534</c:v>
                </c:pt>
                <c:pt idx="5">
                  <c:v>1.4953160389154334</c:v>
                </c:pt>
                <c:pt idx="6">
                  <c:v>1.5235007666279472</c:v>
                </c:pt>
                <c:pt idx="7">
                  <c:v>1.811732014191108</c:v>
                </c:pt>
                <c:pt idx="8">
                  <c:v>1.4809790948155097</c:v>
                </c:pt>
                <c:pt idx="9">
                  <c:v>1.4428911088804734</c:v>
                </c:pt>
                <c:pt idx="10">
                  <c:v>1.9535607977554144</c:v>
                </c:pt>
                <c:pt idx="11">
                  <c:v>1.3171196100007592</c:v>
                </c:pt>
                <c:pt idx="12">
                  <c:v>1.5928803023154638</c:v>
                </c:pt>
                <c:pt idx="13">
                  <c:v>1.7364292657787674</c:v>
                </c:pt>
                <c:pt idx="14">
                  <c:v>0.90722494365698481</c:v>
                </c:pt>
                <c:pt idx="15">
                  <c:v>1.1032023032555145</c:v>
                </c:pt>
                <c:pt idx="16">
                  <c:v>0.91287895437608335</c:v>
                </c:pt>
                <c:pt idx="17">
                  <c:v>0.29311041431022045</c:v>
                </c:pt>
                <c:pt idx="18">
                  <c:v>0.15084147837937684</c:v>
                </c:pt>
                <c:pt idx="19">
                  <c:v>-0.37554681241327625</c:v>
                </c:pt>
                <c:pt idx="20">
                  <c:v>-0.8127454483167329</c:v>
                </c:pt>
                <c:pt idx="21">
                  <c:v>-2.1642086747839784</c:v>
                </c:pt>
                <c:pt idx="22">
                  <c:v>-1.7738279104571146</c:v>
                </c:pt>
                <c:pt idx="23">
                  <c:v>-2.112140511664875</c:v>
                </c:pt>
                <c:pt idx="24">
                  <c:v>-1.4660981366510275</c:v>
                </c:pt>
                <c:pt idx="25">
                  <c:v>0.41146041245838205</c:v>
                </c:pt>
                <c:pt idx="26">
                  <c:v>0.8799077443139397</c:v>
                </c:pt>
                <c:pt idx="27">
                  <c:v>1.6596291828052614</c:v>
                </c:pt>
                <c:pt idx="28">
                  <c:v>1.4734701100227454</c:v>
                </c:pt>
                <c:pt idx="29">
                  <c:v>2.3491500180656431</c:v>
                </c:pt>
                <c:pt idx="30">
                  <c:v>1.7782986520239914</c:v>
                </c:pt>
              </c:numCache>
            </c:numRef>
          </c:val>
          <c:smooth val="0"/>
          <c:extLst>
            <c:ext xmlns:c16="http://schemas.microsoft.com/office/drawing/2014/chart" uri="{C3380CC4-5D6E-409C-BE32-E72D297353CC}">
              <c16:uniqueId val="{00000008-CCDC-4C7D-9736-5C6BBC770762}"/>
            </c:ext>
          </c:extLst>
        </c:ser>
        <c:dLbls>
          <c:showLegendKey val="0"/>
          <c:showVal val="0"/>
          <c:showCatName val="0"/>
          <c:showSerName val="0"/>
          <c:showPercent val="0"/>
          <c:showBubbleSize val="0"/>
        </c:dLbls>
        <c:marker val="1"/>
        <c:smooth val="0"/>
        <c:axId val="166203776"/>
        <c:axId val="166205696"/>
      </c:lineChart>
      <c:lineChart>
        <c:grouping val="standard"/>
        <c:varyColors val="0"/>
        <c:ser>
          <c:idx val="9"/>
          <c:order val="9"/>
          <c:tx>
            <c:strRef>
              <c:f>'Trh práce 1-SNÚ'!$AL$7</c:f>
              <c:strCache>
                <c:ptCount val="1"/>
              </c:strCache>
            </c:strRef>
          </c:tx>
          <c:spPr>
            <a:ln>
              <a:noFill/>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1-SNÚ'!$AL$28:$AL$59</c:f>
              <c:numCache>
                <c:formatCode>General</c:formatCode>
                <c:ptCount val="32"/>
              </c:numCache>
            </c:numRef>
          </c:val>
          <c:smooth val="0"/>
          <c:extLst>
            <c:ext xmlns:c16="http://schemas.microsoft.com/office/drawing/2014/chart" uri="{C3380CC4-5D6E-409C-BE32-E72D297353CC}">
              <c16:uniqueId val="{00000009-CCDC-4C7D-9736-5C6BBC770762}"/>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1-SNÚ'!$AM$28:$AM$59</c:f>
              <c:numCache>
                <c:formatCode>#\ ##0.0</c:formatCode>
                <c:ptCount val="32"/>
                <c:pt idx="0">
                  <c:v>-3</c:v>
                </c:pt>
                <c:pt idx="1">
                  <c:v>4.3</c:v>
                </c:pt>
                <c:pt idx="2">
                  <c:v>5.5</c:v>
                </c:pt>
                <c:pt idx="3">
                  <c:v>7.8</c:v>
                </c:pt>
                <c:pt idx="4">
                  <c:v>8.2000000000000011</c:v>
                </c:pt>
                <c:pt idx="5">
                  <c:v>9.9</c:v>
                </c:pt>
                <c:pt idx="6">
                  <c:v>3.8</c:v>
                </c:pt>
                <c:pt idx="7">
                  <c:v>9.5</c:v>
                </c:pt>
                <c:pt idx="8">
                  <c:v>11.1</c:v>
                </c:pt>
                <c:pt idx="9">
                  <c:v>5.7</c:v>
                </c:pt>
                <c:pt idx="10">
                  <c:v>8.2000000000000011</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numCache>
            </c:numRef>
          </c:val>
          <c:smooth val="0"/>
          <c:extLst>
            <c:ext xmlns:c16="http://schemas.microsoft.com/office/drawing/2014/chart" uri="{C3380CC4-5D6E-409C-BE32-E72D297353CC}">
              <c16:uniqueId val="{0000000A-CCDC-4C7D-9736-5C6BBC770762}"/>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1-SNÚ'!$AN$28:$AN$59</c:f>
              <c:numCache>
                <c:formatCode>#\ ##0.0</c:formatCode>
                <c:ptCount val="32"/>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5.5</c:v>
                </c:pt>
                <c:pt idx="21">
                  <c:v>-4.2</c:v>
                </c:pt>
                <c:pt idx="22">
                  <c:v>1.1000000000000001</c:v>
                </c:pt>
                <c:pt idx="23">
                  <c:v>-1.3</c:v>
                </c:pt>
                <c:pt idx="24">
                  <c:v>3.1</c:v>
                </c:pt>
                <c:pt idx="25">
                  <c:v>3.9</c:v>
                </c:pt>
                <c:pt idx="26">
                  <c:v>4.4000000000000004</c:v>
                </c:pt>
                <c:pt idx="27">
                  <c:v>9.2000000000000011</c:v>
                </c:pt>
                <c:pt idx="28">
                  <c:v>9</c:v>
                </c:pt>
                <c:pt idx="29">
                  <c:v>6.8</c:v>
                </c:pt>
                <c:pt idx="30">
                  <c:v>1.6</c:v>
                </c:pt>
                <c:pt idx="31">
                  <c:v>1.3</c:v>
                </c:pt>
              </c:numCache>
            </c:numRef>
          </c:val>
          <c:smooth val="0"/>
          <c:extLst>
            <c:ext xmlns:c16="http://schemas.microsoft.com/office/drawing/2014/chart" uri="{C3380CC4-5D6E-409C-BE32-E72D297353CC}">
              <c16:uniqueId val="{0000000B-CCDC-4C7D-9736-5C6BBC770762}"/>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1-SNÚ'!$AO$28:$AO$59</c:f>
              <c:numCache>
                <c:formatCode>#\ ##0.0</c:formatCode>
                <c:ptCount val="32"/>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0.70000000000000018</c:v>
                </c:pt>
                <c:pt idx="24">
                  <c:v>5.6</c:v>
                </c:pt>
                <c:pt idx="25">
                  <c:v>13.3</c:v>
                </c:pt>
                <c:pt idx="26">
                  <c:v>10.8</c:v>
                </c:pt>
                <c:pt idx="27">
                  <c:v>9.5</c:v>
                </c:pt>
                <c:pt idx="28">
                  <c:v>9.8000000000000007</c:v>
                </c:pt>
                <c:pt idx="29">
                  <c:v>3.2</c:v>
                </c:pt>
                <c:pt idx="30">
                  <c:v>5.4</c:v>
                </c:pt>
                <c:pt idx="31">
                  <c:v>12.6</c:v>
                </c:pt>
              </c:numCache>
            </c:numRef>
          </c:val>
          <c:smooth val="0"/>
          <c:extLst>
            <c:ext xmlns:c16="http://schemas.microsoft.com/office/drawing/2014/chart" uri="{C3380CC4-5D6E-409C-BE32-E72D297353CC}">
              <c16:uniqueId val="{0000000C-CCDC-4C7D-9736-5C6BBC770762}"/>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1-SNÚ'!$AA$28:$AB$59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 1-SNÚ'!$AP$28:$AP$59</c:f>
              <c:numCache>
                <c:formatCode>#\ ##0.0</c:formatCode>
                <c:ptCount val="32"/>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-32.300000000000004</c:v>
                </c:pt>
                <c:pt idx="22">
                  <c:v>-28.6</c:v>
                </c:pt>
                <c:pt idx="23">
                  <c:v>-30.1</c:v>
                </c:pt>
                <c:pt idx="24">
                  <c:v>-27</c:v>
                </c:pt>
                <c:pt idx="25">
                  <c:v>-27.7</c:v>
                </c:pt>
                <c:pt idx="26">
                  <c:v>-12.1</c:v>
                </c:pt>
                <c:pt idx="27">
                  <c:v>-15.8</c:v>
                </c:pt>
                <c:pt idx="28">
                  <c:v>-6.8</c:v>
                </c:pt>
                <c:pt idx="29">
                  <c:v>-3.5</c:v>
                </c:pt>
                <c:pt idx="30">
                  <c:v>-6.1</c:v>
                </c:pt>
                <c:pt idx="31">
                  <c:v>-6.4</c:v>
                </c:pt>
              </c:numCache>
            </c:numRef>
          </c:val>
          <c:smooth val="0"/>
          <c:extLst>
            <c:ext xmlns:c16="http://schemas.microsoft.com/office/drawing/2014/chart" uri="{C3380CC4-5D6E-409C-BE32-E72D297353CC}">
              <c16:uniqueId val="{0000000D-CCDC-4C7D-9736-5C6BBC770762}"/>
            </c:ext>
          </c:extLst>
        </c:ser>
        <c:dLbls>
          <c:showLegendKey val="0"/>
          <c:showVal val="0"/>
          <c:showCatName val="0"/>
          <c:showSerName val="0"/>
          <c:showPercent val="0"/>
          <c:showBubbleSize val="0"/>
        </c:dLbls>
        <c:marker val="1"/>
        <c:smooth val="0"/>
        <c:axId val="166438784"/>
        <c:axId val="166429440"/>
      </c:lineChart>
      <c:catAx>
        <c:axId val="166203776"/>
        <c:scaling>
          <c:orientation val="minMax"/>
        </c:scaling>
        <c:delete val="0"/>
        <c:axPos val="b"/>
        <c:numFmt formatCode="General" sourceLinked="1"/>
        <c:majorTickMark val="out"/>
        <c:minorTickMark val="none"/>
        <c:tickLblPos val="low"/>
        <c:spPr>
          <a:ln>
            <a:solidFill>
              <a:schemeClr val="tx1"/>
            </a:solidFill>
          </a:ln>
        </c:spPr>
        <c:crossAx val="166205696"/>
        <c:crosses val="autoZero"/>
        <c:auto val="1"/>
        <c:lblAlgn val="ctr"/>
        <c:lblOffset val="10"/>
        <c:noMultiLvlLbl val="0"/>
      </c:catAx>
      <c:valAx>
        <c:axId val="166205696"/>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166203776"/>
        <c:crosses val="autoZero"/>
        <c:crossBetween val="between"/>
        <c:majorUnit val="0.5"/>
      </c:valAx>
      <c:valAx>
        <c:axId val="166429440"/>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166438784"/>
        <c:crosses val="max"/>
        <c:crossBetween val="between"/>
        <c:majorUnit val="10"/>
      </c:valAx>
      <c:catAx>
        <c:axId val="166438784"/>
        <c:scaling>
          <c:orientation val="minMax"/>
        </c:scaling>
        <c:delete val="1"/>
        <c:axPos val="b"/>
        <c:numFmt formatCode="General" sourceLinked="1"/>
        <c:majorTickMark val="out"/>
        <c:minorTickMark val="none"/>
        <c:tickLblPos val="none"/>
        <c:crossAx val="166429440"/>
        <c:crosses val="autoZero"/>
        <c:auto val="1"/>
        <c:lblAlgn val="ctr"/>
        <c:lblOffset val="100"/>
        <c:noMultiLvlLbl val="0"/>
      </c:catAx>
      <c:spPr>
        <a:ln>
          <a:solidFill>
            <a:schemeClr val="tx1"/>
          </a:solidFill>
        </a:ln>
      </c:spPr>
    </c:plotArea>
    <c:legend>
      <c:legendPos val="b"/>
      <c:layout>
        <c:manualLayout>
          <c:xMode val="edge"/>
          <c:yMode val="edge"/>
          <c:x val="1.5472441370721636E-2"/>
          <c:y val="0.77992823117070775"/>
          <c:w val="0.96005692595618608"/>
          <c:h val="0.2119461831534996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919E-2"/>
          <c:y val="1.6081916099773243E-2"/>
          <c:w val="0.83584199323559016"/>
          <c:h val="0.73454834616441689"/>
        </c:manualLayout>
      </c:layout>
      <c:barChart>
        <c:barDir val="col"/>
        <c:grouping val="clustered"/>
        <c:varyColors val="0"/>
        <c:ser>
          <c:idx val="0"/>
          <c:order val="0"/>
          <c:tx>
            <c:strRef>
              <c:f>'Trh práce-2b'!$A$30</c:f>
              <c:strCache>
                <c:ptCount val="1"/>
                <c:pt idx="0">
                  <c:v>Míra nezaměstnanosti mužů</c:v>
                </c:pt>
              </c:strCache>
            </c:strRef>
          </c:tx>
          <c:spPr>
            <a:solidFill>
              <a:srgbClr val="BCBCBC"/>
            </a:solidFill>
          </c:spPr>
          <c:invertIfNegative val="0"/>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práce-2b'!$B$30:$AG$30</c:f>
              <c:numCache>
                <c:formatCode>0.0</c:formatCode>
                <c:ptCount val="32"/>
                <c:pt idx="0">
                  <c:v>5.0140024209645473</c:v>
                </c:pt>
                <c:pt idx="1">
                  <c:v>4.3129619157703774</c:v>
                </c:pt>
                <c:pt idx="2">
                  <c:v>4.0651395241260202</c:v>
                </c:pt>
                <c:pt idx="3">
                  <c:v>3.7931063879892144</c:v>
                </c:pt>
                <c:pt idx="4">
                  <c:v>3.6443690611831059</c:v>
                </c:pt>
                <c:pt idx="5">
                  <c:v>3.5629641186706311</c:v>
                </c:pt>
                <c:pt idx="6">
                  <c:v>3.3963535641399187</c:v>
                </c:pt>
                <c:pt idx="7">
                  <c:v>3.1571910964968048</c:v>
                </c:pt>
                <c:pt idx="8">
                  <c:v>2.6893564817403885</c:v>
                </c:pt>
                <c:pt idx="9">
                  <c:v>2.486892195961405</c:v>
                </c:pt>
                <c:pt idx="10">
                  <c:v>2.2541421025375801</c:v>
                </c:pt>
                <c:pt idx="11">
                  <c:v>2.0834819550780241</c:v>
                </c:pt>
                <c:pt idx="12">
                  <c:v>1.8908108879123648</c:v>
                </c:pt>
                <c:pt idx="13">
                  <c:v>1.8276311525328297</c:v>
                </c:pt>
                <c:pt idx="14">
                  <c:v>1.8925460808958399</c:v>
                </c:pt>
                <c:pt idx="15">
                  <c:v>1.6793476095734161</c:v>
                </c:pt>
                <c:pt idx="16">
                  <c:v>1.7990982464162784</c:v>
                </c:pt>
                <c:pt idx="17">
                  <c:v>1.6742304772679695</c:v>
                </c:pt>
                <c:pt idx="18">
                  <c:v>1.7686578001481523</c:v>
                </c:pt>
                <c:pt idx="19">
                  <c:v>1.8568835691212759</c:v>
                </c:pt>
                <c:pt idx="20">
                  <c:v>1.8391210475976532</c:v>
                </c:pt>
                <c:pt idx="21">
                  <c:v>2.2790618998303604</c:v>
                </c:pt>
                <c:pt idx="22">
                  <c:v>2.5164849663983477</c:v>
                </c:pt>
                <c:pt idx="23">
                  <c:v>2.5634849393913592</c:v>
                </c:pt>
                <c:pt idx="24">
                  <c:v>2.6487984153223016</c:v>
                </c:pt>
                <c:pt idx="25">
                  <c:v>2.5507967468025887</c:v>
                </c:pt>
                <c:pt idx="26">
                  <c:v>2.2857787968848542</c:v>
                </c:pt>
                <c:pt idx="27">
                  <c:v>1.9579037141097284</c:v>
                </c:pt>
                <c:pt idx="28">
                  <c:v>1.9714074657113443</c:v>
                </c:pt>
                <c:pt idx="29">
                  <c:v>1.8979965473385654</c:v>
                </c:pt>
                <c:pt idx="30">
                  <c:v>1.9013033078631032</c:v>
                </c:pt>
              </c:numCache>
            </c:numRef>
          </c:val>
          <c:extLst>
            <c:ext xmlns:c16="http://schemas.microsoft.com/office/drawing/2014/chart" uri="{C3380CC4-5D6E-409C-BE32-E72D297353CC}">
              <c16:uniqueId val="{00000000-0563-44F5-8E45-19F3459E716F}"/>
            </c:ext>
          </c:extLst>
        </c:ser>
        <c:ser>
          <c:idx val="1"/>
          <c:order val="1"/>
          <c:tx>
            <c:strRef>
              <c:f>'Trh práce-2b'!$A$31</c:f>
              <c:strCache>
                <c:ptCount val="1"/>
                <c:pt idx="0">
                  <c:v>Míra nezaměstnanosti žen</c:v>
                </c:pt>
              </c:strCache>
            </c:strRef>
          </c:tx>
          <c:spPr>
            <a:solidFill>
              <a:schemeClr val="bg1">
                <a:lumMod val="95000"/>
              </a:schemeClr>
            </a:solidFill>
            <a:ln>
              <a:solidFill>
                <a:schemeClr val="bg1">
                  <a:lumMod val="65000"/>
                </a:schemeClr>
              </a:solidFill>
            </a:ln>
          </c:spPr>
          <c:invertIfNegative val="0"/>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práce-2b'!$B$31:$AG$31</c:f>
              <c:numCache>
                <c:formatCode>0.0</c:formatCode>
                <c:ptCount val="32"/>
                <c:pt idx="0">
                  <c:v>6.9330035356774511</c:v>
                </c:pt>
                <c:pt idx="1">
                  <c:v>6.165615431071279</c:v>
                </c:pt>
                <c:pt idx="2">
                  <c:v>5.9692047466043459</c:v>
                </c:pt>
                <c:pt idx="3">
                  <c:v>5.6766340555846115</c:v>
                </c:pt>
                <c:pt idx="4">
                  <c:v>5.0652581623053754</c:v>
                </c:pt>
                <c:pt idx="5">
                  <c:v>4.8088013514171148</c:v>
                </c:pt>
                <c:pt idx="6">
                  <c:v>4.7939937777567261</c:v>
                </c:pt>
                <c:pt idx="7">
                  <c:v>4.359807609038242</c:v>
                </c:pt>
                <c:pt idx="8">
                  <c:v>4.2751123500999455</c:v>
                </c:pt>
                <c:pt idx="9">
                  <c:v>3.8932469863618979</c:v>
                </c:pt>
                <c:pt idx="10">
                  <c:v>3.4005536528815492</c:v>
                </c:pt>
                <c:pt idx="11">
                  <c:v>3.0227741553887468</c:v>
                </c:pt>
                <c:pt idx="12">
                  <c:v>2.9385099420881686</c:v>
                </c:pt>
                <c:pt idx="13">
                  <c:v>2.8959070704400376</c:v>
                </c:pt>
                <c:pt idx="14">
                  <c:v>2.8575073871057413</c:v>
                </c:pt>
                <c:pt idx="15">
                  <c:v>2.6657266311011196</c:v>
                </c:pt>
                <c:pt idx="16">
                  <c:v>2.2536361958148921</c:v>
                </c:pt>
                <c:pt idx="17">
                  <c:v>2.477459388365864</c:v>
                </c:pt>
                <c:pt idx="18">
                  <c:v>2.5558877421406212</c:v>
                </c:pt>
                <c:pt idx="19">
                  <c:v>2.4625289133541766</c:v>
                </c:pt>
                <c:pt idx="20">
                  <c:v>2.04207288982724</c:v>
                </c:pt>
                <c:pt idx="21">
                  <c:v>2.8205170892721214</c:v>
                </c:pt>
                <c:pt idx="22">
                  <c:v>3.3593488678396644</c:v>
                </c:pt>
                <c:pt idx="23">
                  <c:v>3.9041254135398047</c:v>
                </c:pt>
                <c:pt idx="24">
                  <c:v>4.1368190875241231</c:v>
                </c:pt>
                <c:pt idx="25">
                  <c:v>3.9141317200004422</c:v>
                </c:pt>
                <c:pt idx="26">
                  <c:v>3.2721635871031745</c:v>
                </c:pt>
                <c:pt idx="27">
                  <c:v>2.7119301242424072</c:v>
                </c:pt>
                <c:pt idx="28">
                  <c:v>3.0108714299119828</c:v>
                </c:pt>
                <c:pt idx="29">
                  <c:v>3.2176028040647444</c:v>
                </c:pt>
                <c:pt idx="30">
                  <c:v>2.9098364445102987</c:v>
                </c:pt>
              </c:numCache>
            </c:numRef>
          </c:val>
          <c:extLst>
            <c:ext xmlns:c16="http://schemas.microsoft.com/office/drawing/2014/chart" uri="{C3380CC4-5D6E-409C-BE32-E72D297353CC}">
              <c16:uniqueId val="{00000001-0563-44F5-8E45-19F3459E716F}"/>
            </c:ext>
          </c:extLst>
        </c:ser>
        <c:dLbls>
          <c:showLegendKey val="0"/>
          <c:showVal val="0"/>
          <c:showCatName val="0"/>
          <c:showSerName val="0"/>
          <c:showPercent val="0"/>
          <c:showBubbleSize val="0"/>
        </c:dLbls>
        <c:gapWidth val="68"/>
        <c:axId val="79980800"/>
        <c:axId val="80674816"/>
      </c:barChart>
      <c:lineChart>
        <c:grouping val="standard"/>
        <c:varyColors val="0"/>
        <c:ser>
          <c:idx val="2"/>
          <c:order val="2"/>
          <c:tx>
            <c:strRef>
              <c:f>'Trh práce-2b'!$A$32</c:f>
              <c:strCache>
                <c:ptCount val="1"/>
                <c:pt idx="0">
                  <c:v>Míra ekonomické aktivity mužů</c:v>
                </c:pt>
              </c:strCache>
            </c:strRef>
          </c:tx>
          <c:spPr>
            <a:ln w="19050">
              <a:solidFill>
                <a:srgbClr val="4FD1FF"/>
              </a:solidFill>
              <a:prstDash val="solid"/>
            </a:ln>
          </c:spPr>
          <c:marker>
            <c:symbol val="none"/>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práce-2b'!$B$32:$AG$32</c:f>
              <c:numCache>
                <c:formatCode>0.0</c:formatCode>
                <c:ptCount val="32"/>
                <c:pt idx="0">
                  <c:v>81.413481997639408</c:v>
                </c:pt>
                <c:pt idx="1">
                  <c:v>81.419110594189576</c:v>
                </c:pt>
                <c:pt idx="2">
                  <c:v>81.349582359517356</c:v>
                </c:pt>
                <c:pt idx="3">
                  <c:v>81.513665177863871</c:v>
                </c:pt>
                <c:pt idx="4">
                  <c:v>81.95464671816957</c:v>
                </c:pt>
                <c:pt idx="5">
                  <c:v>82.083249820800901</c:v>
                </c:pt>
                <c:pt idx="6">
                  <c:v>82.176405797492109</c:v>
                </c:pt>
                <c:pt idx="7">
                  <c:v>82.467848071365196</c:v>
                </c:pt>
                <c:pt idx="8">
                  <c:v>82.727860041774363</c:v>
                </c:pt>
                <c:pt idx="9">
                  <c:v>82.857472384057957</c:v>
                </c:pt>
                <c:pt idx="10">
                  <c:v>83.019684737731751</c:v>
                </c:pt>
                <c:pt idx="11">
                  <c:v>83.176217916023987</c:v>
                </c:pt>
                <c:pt idx="12">
                  <c:v>83.366789147231728</c:v>
                </c:pt>
                <c:pt idx="13">
                  <c:v>83.412777616074408</c:v>
                </c:pt>
                <c:pt idx="14">
                  <c:v>83.227918264119168</c:v>
                </c:pt>
                <c:pt idx="15">
                  <c:v>83.42960666985536</c:v>
                </c:pt>
                <c:pt idx="16">
                  <c:v>83.682240247092309</c:v>
                </c:pt>
                <c:pt idx="17">
                  <c:v>83.455854890894571</c:v>
                </c:pt>
                <c:pt idx="18">
                  <c:v>83.299122325687904</c:v>
                </c:pt>
                <c:pt idx="19">
                  <c:v>83.581723193428701</c:v>
                </c:pt>
                <c:pt idx="20">
                  <c:v>83.439582450321751</c:v>
                </c:pt>
                <c:pt idx="21">
                  <c:v>83.067870438412911</c:v>
                </c:pt>
                <c:pt idx="22">
                  <c:v>83.403417829033472</c:v>
                </c:pt>
                <c:pt idx="23">
                  <c:v>83.153717731021871</c:v>
                </c:pt>
                <c:pt idx="24">
                  <c:v>83.010063903932448</c:v>
                </c:pt>
                <c:pt idx="25">
                  <c:v>83.038079834738454</c:v>
                </c:pt>
                <c:pt idx="26">
                  <c:v>83.320133785020033</c:v>
                </c:pt>
                <c:pt idx="27">
                  <c:v>83.526405769654943</c:v>
                </c:pt>
                <c:pt idx="28">
                  <c:v>83.959192743558788</c:v>
                </c:pt>
                <c:pt idx="29">
                  <c:v>83.759674916867979</c:v>
                </c:pt>
                <c:pt idx="30">
                  <c:v>83.654426788225024</c:v>
                </c:pt>
              </c:numCache>
            </c:numRef>
          </c:val>
          <c:smooth val="0"/>
          <c:extLst>
            <c:ext xmlns:c16="http://schemas.microsoft.com/office/drawing/2014/chart" uri="{C3380CC4-5D6E-409C-BE32-E72D297353CC}">
              <c16:uniqueId val="{00000002-0563-44F5-8E45-19F3459E716F}"/>
            </c:ext>
          </c:extLst>
        </c:ser>
        <c:ser>
          <c:idx val="3"/>
          <c:order val="3"/>
          <c:tx>
            <c:strRef>
              <c:f>'Trh práce-2b'!$A$33</c:f>
              <c:strCache>
                <c:ptCount val="1"/>
                <c:pt idx="0">
                  <c:v>Míra ekonomické aktivity žen</c:v>
                </c:pt>
              </c:strCache>
            </c:strRef>
          </c:tx>
          <c:spPr>
            <a:ln w="19050">
              <a:solidFill>
                <a:schemeClr val="accent2">
                  <a:lumMod val="60000"/>
                  <a:lumOff val="40000"/>
                </a:schemeClr>
              </a:solidFill>
              <a:prstDash val="solid"/>
            </a:ln>
          </c:spPr>
          <c:marker>
            <c:symbol val="none"/>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práce-2b'!$B$33:$AG$33</c:f>
              <c:numCache>
                <c:formatCode>0.0</c:formatCode>
                <c:ptCount val="32"/>
                <c:pt idx="0">
                  <c:v>66.54252814007161</c:v>
                </c:pt>
                <c:pt idx="1">
                  <c:v>66.666431768491407</c:v>
                </c:pt>
                <c:pt idx="2">
                  <c:v>66.654792914968937</c:v>
                </c:pt>
                <c:pt idx="3">
                  <c:v>66.418889866464625</c:v>
                </c:pt>
                <c:pt idx="4">
                  <c:v>67.04627543928467</c:v>
                </c:pt>
                <c:pt idx="5">
                  <c:v>67.710621614993428</c:v>
                </c:pt>
                <c:pt idx="6">
                  <c:v>67.837768163348073</c:v>
                </c:pt>
                <c:pt idx="7">
                  <c:v>68.456265295297314</c:v>
                </c:pt>
                <c:pt idx="8">
                  <c:v>68.697468612411924</c:v>
                </c:pt>
                <c:pt idx="9">
                  <c:v>68.713756307271581</c:v>
                </c:pt>
                <c:pt idx="10">
                  <c:v>69.103189641889657</c:v>
                </c:pt>
                <c:pt idx="11">
                  <c:v>68.910813934937721</c:v>
                </c:pt>
                <c:pt idx="12">
                  <c:v>69.340516941843688</c:v>
                </c:pt>
                <c:pt idx="13">
                  <c:v>69.81384857147701</c:v>
                </c:pt>
                <c:pt idx="14">
                  <c:v>69.950002702371663</c:v>
                </c:pt>
                <c:pt idx="15">
                  <c:v>70.044975969350276</c:v>
                </c:pt>
                <c:pt idx="16">
                  <c:v>70.049718587143374</c:v>
                </c:pt>
                <c:pt idx="17">
                  <c:v>69.833313596022052</c:v>
                </c:pt>
                <c:pt idx="18">
                  <c:v>69.925958459528303</c:v>
                </c:pt>
                <c:pt idx="19">
                  <c:v>69.668015731742173</c:v>
                </c:pt>
                <c:pt idx="20">
                  <c:v>69.333922930053163</c:v>
                </c:pt>
                <c:pt idx="21">
                  <c:v>68.928487762383341</c:v>
                </c:pt>
                <c:pt idx="22">
                  <c:v>68.946784735681518</c:v>
                </c:pt>
                <c:pt idx="23">
                  <c:v>69.349546510975912</c:v>
                </c:pt>
                <c:pt idx="24">
                  <c:v>69.435569826158229</c:v>
                </c:pt>
                <c:pt idx="25">
                  <c:v>69.026293063886072</c:v>
                </c:pt>
                <c:pt idx="26">
                  <c:v>69.917521283014139</c:v>
                </c:pt>
                <c:pt idx="27">
                  <c:v>69.887382577566541</c:v>
                </c:pt>
                <c:pt idx="28">
                  <c:v>70.21792226777346</c:v>
                </c:pt>
                <c:pt idx="29">
                  <c:v>70.575580111173366</c:v>
                </c:pt>
                <c:pt idx="30">
                  <c:v>70.844989062422954</c:v>
                </c:pt>
              </c:numCache>
            </c:numRef>
          </c:val>
          <c:smooth val="0"/>
          <c:extLst>
            <c:ext xmlns:c16="http://schemas.microsoft.com/office/drawing/2014/chart" uri="{C3380CC4-5D6E-409C-BE32-E72D297353CC}">
              <c16:uniqueId val="{00000003-0563-44F5-8E45-19F3459E716F}"/>
            </c:ext>
          </c:extLst>
        </c:ser>
        <c:ser>
          <c:idx val="4"/>
          <c:order val="4"/>
          <c:tx>
            <c:strRef>
              <c:f>'Trh práce-2b'!$A$34</c:f>
              <c:strCache>
                <c:ptCount val="1"/>
                <c:pt idx="0">
                  <c:v>Ekon. neaktivní chtějící pracovat</c:v>
                </c:pt>
              </c:strCache>
            </c:strRef>
          </c:tx>
          <c:spPr>
            <a:ln w="19050">
              <a:solidFill>
                <a:schemeClr val="bg2">
                  <a:lumMod val="50000"/>
                </a:schemeClr>
              </a:solidFill>
              <a:prstDash val="sysDash"/>
            </a:ln>
          </c:spPr>
          <c:marker>
            <c:symbol val="none"/>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práce-2b'!$B$34:$AG$34</c:f>
              <c:numCache>
                <c:formatCode>0.0</c:formatCode>
                <c:ptCount val="32"/>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64.5</c:v>
                </c:pt>
                <c:pt idx="28">
                  <c:v>67</c:v>
                </c:pt>
                <c:pt idx="29">
                  <c:v>58.7</c:v>
                </c:pt>
                <c:pt idx="30">
                  <c:v>56.6</c:v>
                </c:pt>
              </c:numCache>
            </c:numRef>
          </c:val>
          <c:smooth val="0"/>
          <c:extLst>
            <c:ext xmlns:c16="http://schemas.microsoft.com/office/drawing/2014/chart" uri="{C3380CC4-5D6E-409C-BE32-E72D297353CC}">
              <c16:uniqueId val="{00000004-0563-44F5-8E45-19F3459E716F}"/>
            </c:ext>
          </c:extLst>
        </c:ser>
        <c:ser>
          <c:idx val="5"/>
          <c:order val="5"/>
          <c:tx>
            <c:strRef>
              <c:f>'Trh práce-2b'!$A$35</c:f>
              <c:strCache>
                <c:ptCount val="1"/>
                <c:pt idx="0">
                  <c:v>Očekávání vývoje nezaměstnanosti</c:v>
                </c:pt>
              </c:strCache>
            </c:strRef>
          </c:tx>
          <c:spPr>
            <a:ln w="15875">
              <a:solidFill>
                <a:schemeClr val="accent6">
                  <a:lumMod val="75000"/>
                </a:schemeClr>
              </a:solidFill>
              <a:prstDash val="dash"/>
            </a:ln>
          </c:spPr>
          <c:marker>
            <c:symbol val="none"/>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práce-2b'!$B$35:$AG$35</c:f>
              <c:numCache>
                <c:formatCode>0.0</c:formatCode>
                <c:ptCount val="32"/>
                <c:pt idx="0">
                  <c:v>6</c:v>
                </c:pt>
                <c:pt idx="1">
                  <c:v>9</c:v>
                </c:pt>
                <c:pt idx="2">
                  <c:v>10</c:v>
                </c:pt>
                <c:pt idx="3">
                  <c:v>4</c:v>
                </c:pt>
                <c:pt idx="4">
                  <c:v>2</c:v>
                </c:pt>
                <c:pt idx="5">
                  <c:v>10</c:v>
                </c:pt>
                <c:pt idx="6">
                  <c:v>5</c:v>
                </c:pt>
                <c:pt idx="7">
                  <c:v>4</c:v>
                </c:pt>
                <c:pt idx="8">
                  <c:v>1</c:v>
                </c:pt>
                <c:pt idx="9">
                  <c:v>-3</c:v>
                </c:pt>
                <c:pt idx="10">
                  <c:v>0</c:v>
                </c:pt>
                <c:pt idx="11">
                  <c:v>-1</c:v>
                </c:pt>
                <c:pt idx="12">
                  <c:v>-1</c:v>
                </c:pt>
                <c:pt idx="13">
                  <c:v>-2</c:v>
                </c:pt>
                <c:pt idx="14">
                  <c:v>-2</c:v>
                </c:pt>
                <c:pt idx="15">
                  <c:v>4</c:v>
                </c:pt>
                <c:pt idx="16">
                  <c:v>8</c:v>
                </c:pt>
                <c:pt idx="17">
                  <c:v>8</c:v>
                </c:pt>
                <c:pt idx="18">
                  <c:v>11</c:v>
                </c:pt>
                <c:pt idx="19">
                  <c:v>12</c:v>
                </c:pt>
                <c:pt idx="20">
                  <c:v>18</c:v>
                </c:pt>
                <c:pt idx="21">
                  <c:v>49</c:v>
                </c:pt>
                <c:pt idx="22">
                  <c:v>46</c:v>
                </c:pt>
                <c:pt idx="23">
                  <c:v>60</c:v>
                </c:pt>
                <c:pt idx="24">
                  <c:v>57</c:v>
                </c:pt>
                <c:pt idx="25">
                  <c:v>24</c:v>
                </c:pt>
                <c:pt idx="26">
                  <c:v>16</c:v>
                </c:pt>
                <c:pt idx="27">
                  <c:v>20</c:v>
                </c:pt>
                <c:pt idx="28">
                  <c:v>14</c:v>
                </c:pt>
                <c:pt idx="29">
                  <c:v>20</c:v>
                </c:pt>
                <c:pt idx="30">
                  <c:v>26</c:v>
                </c:pt>
                <c:pt idx="31">
                  <c:v>40</c:v>
                </c:pt>
              </c:numCache>
            </c:numRef>
          </c:val>
          <c:smooth val="0"/>
          <c:extLst>
            <c:ext xmlns:c16="http://schemas.microsoft.com/office/drawing/2014/chart" uri="{C3380CC4-5D6E-409C-BE32-E72D297353CC}">
              <c16:uniqueId val="{00000005-0563-44F5-8E45-19F3459E716F}"/>
            </c:ext>
          </c:extLst>
        </c:ser>
        <c:ser>
          <c:idx val="6"/>
          <c:order val="6"/>
          <c:tx>
            <c:strRef>
              <c:f>'Trh práce-2b'!$A$36</c:f>
              <c:strCache>
                <c:ptCount val="1"/>
                <c:pt idx="0">
                  <c:v>VPM (pro vyučené a SŠ bez mat.)</c:v>
                </c:pt>
              </c:strCache>
            </c:strRef>
          </c:tx>
          <c:spPr>
            <a:ln w="6350">
              <a:solidFill>
                <a:srgbClr val="92D050"/>
              </a:solidFill>
              <a:prstDash val="sysDot"/>
            </a:ln>
          </c:spPr>
          <c:marker>
            <c:symbol val="diamond"/>
            <c:size val="5"/>
            <c:spPr>
              <a:solidFill>
                <a:srgbClr val="92D050"/>
              </a:solidFill>
              <a:ln>
                <a:noFill/>
              </a:ln>
            </c:spPr>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práce-2b'!$B$36:$AG$36</c:f>
              <c:numCache>
                <c:formatCode>0.0</c:formatCode>
                <c:ptCount val="32"/>
                <c:pt idx="0">
                  <c:v>31.721</c:v>
                </c:pt>
                <c:pt idx="1">
                  <c:v>39.711000000000006</c:v>
                </c:pt>
                <c:pt idx="2">
                  <c:v>44.408000000000001</c:v>
                </c:pt>
                <c:pt idx="3">
                  <c:v>41.217000000000006</c:v>
                </c:pt>
                <c:pt idx="4">
                  <c:v>45.281000000000006</c:v>
                </c:pt>
                <c:pt idx="5">
                  <c:v>51.361000000000004</c:v>
                </c:pt>
                <c:pt idx="6">
                  <c:v>52.769000000000013</c:v>
                </c:pt>
                <c:pt idx="7">
                  <c:v>47.209000000000003</c:v>
                </c:pt>
                <c:pt idx="8">
                  <c:v>51.45</c:v>
                </c:pt>
                <c:pt idx="9">
                  <c:v>59.068000000000012</c:v>
                </c:pt>
                <c:pt idx="10">
                  <c:v>63.111000000000004</c:v>
                </c:pt>
                <c:pt idx="11">
                  <c:v>60.942</c:v>
                </c:pt>
                <c:pt idx="12">
                  <c:v>65.332999999999998</c:v>
                </c:pt>
                <c:pt idx="13">
                  <c:v>73.277000000000001</c:v>
                </c:pt>
                <c:pt idx="14">
                  <c:v>74.188999999999979</c:v>
                </c:pt>
                <c:pt idx="15">
                  <c:v>70.375999999999976</c:v>
                </c:pt>
                <c:pt idx="16">
                  <c:v>70.151999999999987</c:v>
                </c:pt>
                <c:pt idx="17">
                  <c:v>67.956999999999994</c:v>
                </c:pt>
                <c:pt idx="18">
                  <c:v>65.822999999999979</c:v>
                </c:pt>
                <c:pt idx="19">
                  <c:v>59.134</c:v>
                </c:pt>
                <c:pt idx="20">
                  <c:v>57.721000000000011</c:v>
                </c:pt>
                <c:pt idx="21">
                  <c:v>54.324000000000005</c:v>
                </c:pt>
                <c:pt idx="22">
                  <c:v>49.079000000000001</c:v>
                </c:pt>
                <c:pt idx="23">
                  <c:v>46.597000000000001</c:v>
                </c:pt>
                <c:pt idx="24">
                  <c:v>47.85</c:v>
                </c:pt>
                <c:pt idx="25">
                  <c:v>53.853000000000002</c:v>
                </c:pt>
                <c:pt idx="26">
                  <c:v>54.99</c:v>
                </c:pt>
                <c:pt idx="27">
                  <c:v>48.898000000000003</c:v>
                </c:pt>
                <c:pt idx="28">
                  <c:v>53.703000000000003</c:v>
                </c:pt>
                <c:pt idx="29">
                  <c:v>51.299000000000021</c:v>
                </c:pt>
                <c:pt idx="30">
                  <c:v>48.194000000000003</c:v>
                </c:pt>
              </c:numCache>
            </c:numRef>
          </c:val>
          <c:smooth val="0"/>
          <c:extLst>
            <c:ext xmlns:c16="http://schemas.microsoft.com/office/drawing/2014/chart" uri="{C3380CC4-5D6E-409C-BE32-E72D297353CC}">
              <c16:uniqueId val="{00000006-0563-44F5-8E45-19F3459E716F}"/>
            </c:ext>
          </c:extLst>
        </c:ser>
        <c:ser>
          <c:idx val="7"/>
          <c:order val="7"/>
          <c:tx>
            <c:strRef>
              <c:f>'Trh práce-2b'!$A$37</c:f>
              <c:strCache>
                <c:ptCount val="1"/>
                <c:pt idx="0">
                  <c:v>VPM (pro SŠ s mat., VOŠ, VŠ)</c:v>
                </c:pt>
              </c:strCache>
            </c:strRef>
          </c:tx>
          <c:spPr>
            <a:ln w="6350">
              <a:solidFill>
                <a:srgbClr val="00B050"/>
              </a:solidFill>
              <a:prstDash val="sysDot"/>
            </a:ln>
          </c:spPr>
          <c:marker>
            <c:symbol val="diamond"/>
            <c:size val="5"/>
            <c:spPr>
              <a:solidFill>
                <a:srgbClr val="00B050"/>
              </a:solidFill>
              <a:ln>
                <a:noFill/>
              </a:ln>
            </c:spPr>
          </c:marker>
          <c:cat>
            <c:multiLvlStrRef>
              <c:f>'Trh práce-2b'!$B$28:$AG$29</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'Trh práce-2b'!$B$37:$AG$37</c:f>
              <c:numCache>
                <c:formatCode>0.0</c:formatCode>
                <c:ptCount val="32"/>
                <c:pt idx="0">
                  <c:v>16.571999999999999</c:v>
                </c:pt>
                <c:pt idx="1">
                  <c:v>19.332999999999991</c:v>
                </c:pt>
                <c:pt idx="2">
                  <c:v>20.007000000000001</c:v>
                </c:pt>
                <c:pt idx="3">
                  <c:v>19.622</c:v>
                </c:pt>
                <c:pt idx="4">
                  <c:v>23.402999999999988</c:v>
                </c:pt>
                <c:pt idx="5">
                  <c:v>24.803999999999991</c:v>
                </c:pt>
                <c:pt idx="6">
                  <c:v>25.2</c:v>
                </c:pt>
                <c:pt idx="7">
                  <c:v>23.474999999999994</c:v>
                </c:pt>
                <c:pt idx="8">
                  <c:v>25.937000000000001</c:v>
                </c:pt>
                <c:pt idx="9">
                  <c:v>30.282999999999991</c:v>
                </c:pt>
                <c:pt idx="10">
                  <c:v>31.446000000000002</c:v>
                </c:pt>
                <c:pt idx="11">
                  <c:v>31.79</c:v>
                </c:pt>
                <c:pt idx="12">
                  <c:v>34.306000000000004</c:v>
                </c:pt>
                <c:pt idx="13">
                  <c:v>37.973000000000006</c:v>
                </c:pt>
                <c:pt idx="14">
                  <c:v>37.242000000000012</c:v>
                </c:pt>
                <c:pt idx="15">
                  <c:v>36.566000000000003</c:v>
                </c:pt>
                <c:pt idx="16">
                  <c:v>37.266000000000012</c:v>
                </c:pt>
                <c:pt idx="17">
                  <c:v>38.271000000000001</c:v>
                </c:pt>
                <c:pt idx="18">
                  <c:v>38.604000000000006</c:v>
                </c:pt>
                <c:pt idx="19">
                  <c:v>36.266000000000012</c:v>
                </c:pt>
                <c:pt idx="20">
                  <c:v>37.673000000000002</c:v>
                </c:pt>
                <c:pt idx="21">
                  <c:v>38.076000000000001</c:v>
                </c:pt>
                <c:pt idx="22">
                  <c:v>34.399000000000001</c:v>
                </c:pt>
                <c:pt idx="23">
                  <c:v>34.065000000000012</c:v>
                </c:pt>
                <c:pt idx="24">
                  <c:v>36.285000000000011</c:v>
                </c:pt>
                <c:pt idx="25">
                  <c:v>39.608000000000011</c:v>
                </c:pt>
                <c:pt idx="26">
                  <c:v>40.273000000000003</c:v>
                </c:pt>
                <c:pt idx="27">
                  <c:v>39.239000000000011</c:v>
                </c:pt>
                <c:pt idx="28">
                  <c:v>42.484000000000002</c:v>
                </c:pt>
                <c:pt idx="29">
                  <c:v>41.018000000000001</c:v>
                </c:pt>
                <c:pt idx="30">
                  <c:v>38.51</c:v>
                </c:pt>
              </c:numCache>
            </c:numRef>
          </c:val>
          <c:smooth val="0"/>
          <c:extLst>
            <c:ext xmlns:c16="http://schemas.microsoft.com/office/drawing/2014/chart" uri="{C3380CC4-5D6E-409C-BE32-E72D297353CC}">
              <c16:uniqueId val="{00000007-0563-44F5-8E45-19F3459E716F}"/>
            </c:ext>
          </c:extLst>
        </c:ser>
        <c:dLbls>
          <c:showLegendKey val="0"/>
          <c:showVal val="0"/>
          <c:showCatName val="0"/>
          <c:showSerName val="0"/>
          <c:showPercent val="0"/>
          <c:showBubbleSize val="0"/>
        </c:dLbls>
        <c:marker val="1"/>
        <c:smooth val="0"/>
        <c:axId val="80678912"/>
        <c:axId val="80676736"/>
      </c:lineChart>
      <c:catAx>
        <c:axId val="79980800"/>
        <c:scaling>
          <c:orientation val="minMax"/>
        </c:scaling>
        <c:delete val="0"/>
        <c:axPos val="b"/>
        <c:numFmt formatCode="General" sourceLinked="0"/>
        <c:majorTickMark val="out"/>
        <c:minorTickMark val="none"/>
        <c:tickLblPos val="low"/>
        <c:spPr>
          <a:ln>
            <a:solidFill>
              <a:schemeClr val="tx1"/>
            </a:solidFill>
          </a:ln>
        </c:spPr>
        <c:crossAx val="80674816"/>
        <c:crossesAt val="-50"/>
        <c:auto val="1"/>
        <c:lblAlgn val="ctr"/>
        <c:lblOffset val="0"/>
        <c:noMultiLvlLbl val="0"/>
      </c:catAx>
      <c:valAx>
        <c:axId val="80674816"/>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 nezaměstnanosti</a:t>
                </a:r>
              </a:p>
            </c:rich>
          </c:tx>
          <c:overlay val="0"/>
        </c:title>
        <c:numFmt formatCode="0.0" sourceLinked="0"/>
        <c:majorTickMark val="out"/>
        <c:minorTickMark val="none"/>
        <c:tickLblPos val="nextTo"/>
        <c:spPr>
          <a:ln>
            <a:solidFill>
              <a:schemeClr val="tx1"/>
            </a:solidFill>
          </a:ln>
        </c:spPr>
        <c:crossAx val="79980800"/>
        <c:crosses val="autoZero"/>
        <c:crossBetween val="between"/>
        <c:majorUnit val="0.5"/>
      </c:valAx>
      <c:valAx>
        <c:axId val="80676736"/>
        <c:scaling>
          <c:orientation val="minMax"/>
          <c:max val="142"/>
          <c:min val="-10"/>
        </c:scaling>
        <c:delete val="0"/>
        <c:axPos val="r"/>
        <c:title>
          <c:tx>
            <c:rich>
              <a:bodyPr/>
              <a:lstStyle/>
              <a:p>
                <a:pPr>
                  <a:defRPr sz="700" b="0" i="1"/>
                </a:pPr>
                <a:r>
                  <a:rPr lang="cs-CZ" sz="700" b="0" i="1"/>
                  <a:t>Míra</a:t>
                </a:r>
                <a:r>
                  <a:rPr lang="cs-CZ" sz="700" b="0" i="1" baseline="0"/>
                  <a:t> ek. aktivity, e</a:t>
                </a:r>
                <a:r>
                  <a:rPr lang="cs-CZ" sz="700" b="0" i="1"/>
                  <a:t>k. neaktivní, očekávání nezam., volná</a:t>
                </a:r>
                <a:r>
                  <a:rPr lang="cs-CZ" sz="700" b="0" i="1" baseline="0"/>
                  <a:t> místa</a:t>
                </a:r>
                <a:endParaRPr lang="cs-CZ" sz="700" b="0" i="1"/>
              </a:p>
            </c:rich>
          </c:tx>
          <c:overlay val="0"/>
        </c:title>
        <c:numFmt formatCode="#,##0" sourceLinked="0"/>
        <c:majorTickMark val="out"/>
        <c:minorTickMark val="none"/>
        <c:tickLblPos val="nextTo"/>
        <c:crossAx val="80678912"/>
        <c:crosses val="max"/>
        <c:crossBetween val="between"/>
        <c:majorUnit val="10"/>
      </c:valAx>
      <c:catAx>
        <c:axId val="80678912"/>
        <c:scaling>
          <c:orientation val="minMax"/>
        </c:scaling>
        <c:delete val="1"/>
        <c:axPos val="b"/>
        <c:numFmt formatCode="General" sourceLinked="1"/>
        <c:majorTickMark val="out"/>
        <c:minorTickMark val="none"/>
        <c:tickLblPos val="none"/>
        <c:crossAx val="80676736"/>
        <c:crosses val="autoZero"/>
        <c:auto val="1"/>
        <c:lblAlgn val="ctr"/>
        <c:lblOffset val="100"/>
        <c:noMultiLvlLbl val="0"/>
      </c:catAx>
      <c:spPr>
        <a:ln>
          <a:solidFill>
            <a:schemeClr val="tx1"/>
          </a:solidFill>
        </a:ln>
      </c:spPr>
    </c:plotArea>
    <c:legend>
      <c:legendPos val="b"/>
      <c:layout>
        <c:manualLayout>
          <c:xMode val="edge"/>
          <c:yMode val="edge"/>
          <c:x val="7.7707837000111996E-2"/>
          <c:y val="0.84393568697958343"/>
          <c:w val="0.83964940085847384"/>
          <c:h val="0.14846823989116698"/>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25E-2"/>
          <c:y val="2.0203894786331136E-2"/>
          <c:w val="0.94100987714831741"/>
          <c:h val="0.76395209750566928"/>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3'!$D$29:$D$59</c:f>
              <c:numCache>
                <c:formatCode>#\ ##0.0</c:formatCode>
                <c:ptCount val="31"/>
                <c:pt idx="0">
                  <c:v>2.2000000000000037</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4.9000000000000075</c:v>
                </c:pt>
                <c:pt idx="10">
                  <c:v>4.0999999999999943</c:v>
                </c:pt>
                <c:pt idx="11">
                  <c:v>5.0999999999999943</c:v>
                </c:pt>
                <c:pt idx="12">
                  <c:v>6.5</c:v>
                </c:pt>
                <c:pt idx="13">
                  <c:v>6.2999999999999972</c:v>
                </c:pt>
                <c:pt idx="14">
                  <c:v>5.9000000000000075</c:v>
                </c:pt>
                <c:pt idx="15">
                  <c:v>4.9000000000000075</c:v>
                </c:pt>
                <c:pt idx="16">
                  <c:v>5.5</c:v>
                </c:pt>
                <c:pt idx="17">
                  <c:v>5.0999999999999943</c:v>
                </c:pt>
                <c:pt idx="18">
                  <c:v>4.7999999999999972</c:v>
                </c:pt>
                <c:pt idx="19">
                  <c:v>4.5</c:v>
                </c:pt>
                <c:pt idx="20">
                  <c:v>1.7999999999999965</c:v>
                </c:pt>
                <c:pt idx="21">
                  <c:v>-2.0999999999999943</c:v>
                </c:pt>
                <c:pt idx="22">
                  <c:v>2</c:v>
                </c:pt>
                <c:pt idx="23">
                  <c:v>4</c:v>
                </c:pt>
                <c:pt idx="24">
                  <c:v>-0.40000000000000568</c:v>
                </c:pt>
                <c:pt idx="25">
                  <c:v>7</c:v>
                </c:pt>
                <c:pt idx="26">
                  <c:v>0.29999999999999738</c:v>
                </c:pt>
                <c:pt idx="27">
                  <c:v>-3</c:v>
                </c:pt>
                <c:pt idx="28">
                  <c:v>-3.5</c:v>
                </c:pt>
                <c:pt idx="29">
                  <c:v>-9.8000000000000025</c:v>
                </c:pt>
                <c:pt idx="30">
                  <c:v>-9.8000000000000025</c:v>
                </c:pt>
              </c:numCache>
            </c:numRef>
          </c:val>
          <c:extLst>
            <c:ext xmlns:c16="http://schemas.microsoft.com/office/drawing/2014/chart" uri="{C3380CC4-5D6E-409C-BE32-E72D297353CC}">
              <c16:uniqueId val="{00000000-E33E-432B-B7D1-EF79A1DDFF1E}"/>
            </c:ext>
          </c:extLst>
        </c:ser>
        <c:dLbls>
          <c:showLegendKey val="0"/>
          <c:showVal val="0"/>
          <c:showCatName val="0"/>
          <c:showSerName val="0"/>
          <c:showPercent val="0"/>
          <c:showBubbleSize val="0"/>
        </c:dLbls>
        <c:gapWidth val="37"/>
        <c:axId val="80736640"/>
        <c:axId val="80738176"/>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prstDash val="sysDash"/>
            </a:ln>
          </c:spPr>
          <c:marker>
            <c:symbol val="none"/>
          </c:marker>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3'!$C$29:$C$59</c:f>
              <c:numCache>
                <c:formatCode>0.0</c:formatCode>
                <c:ptCount val="31"/>
                <c:pt idx="0">
                  <c:v>2.2702659339777815</c:v>
                </c:pt>
                <c:pt idx="1">
                  <c:v>3.2813172200711884</c:v>
                </c:pt>
                <c:pt idx="2">
                  <c:v>3.4969737726967054</c:v>
                </c:pt>
                <c:pt idx="3">
                  <c:v>3.6572392795568769</c:v>
                </c:pt>
                <c:pt idx="4">
                  <c:v>4.6515276307016507</c:v>
                </c:pt>
                <c:pt idx="5">
                  <c:v>3.9533474704634983</c:v>
                </c:pt>
                <c:pt idx="6">
                  <c:v>4.7127622979016071</c:v>
                </c:pt>
                <c:pt idx="7">
                  <c:v>4.3633661264066887</c:v>
                </c:pt>
                <c:pt idx="8">
                  <c:v>5.0631488213469265</c:v>
                </c:pt>
                <c:pt idx="9">
                  <c:v>7.2125892466851251</c:v>
                </c:pt>
                <c:pt idx="10">
                  <c:v>6.7090086143962697</c:v>
                </c:pt>
                <c:pt idx="11">
                  <c:v>7.8362890373334153</c:v>
                </c:pt>
                <c:pt idx="12">
                  <c:v>8.536063351644426</c:v>
                </c:pt>
                <c:pt idx="13">
                  <c:v>8.7353900516444689</c:v>
                </c:pt>
                <c:pt idx="14">
                  <c:v>8.3840733392624998</c:v>
                </c:pt>
                <c:pt idx="15">
                  <c:v>7.0907490094962657</c:v>
                </c:pt>
                <c:pt idx="16">
                  <c:v>8.2952640746705129</c:v>
                </c:pt>
                <c:pt idx="17">
                  <c:v>8.0398712620691679</c:v>
                </c:pt>
                <c:pt idx="18">
                  <c:v>7.7071169323023545</c:v>
                </c:pt>
                <c:pt idx="19">
                  <c:v>7.5667263704965091</c:v>
                </c:pt>
                <c:pt idx="20">
                  <c:v>5.4930047646505376</c:v>
                </c:pt>
                <c:pt idx="21">
                  <c:v>0.86476168440536583</c:v>
                </c:pt>
                <c:pt idx="22">
                  <c:v>5.4150672488059381</c:v>
                </c:pt>
                <c:pt idx="23">
                  <c:v>6.7096140197630678</c:v>
                </c:pt>
                <c:pt idx="24">
                  <c:v>1.8267598745720761</c:v>
                </c:pt>
                <c:pt idx="25">
                  <c:v>10.078853046594968</c:v>
                </c:pt>
                <c:pt idx="26">
                  <c:v>4.4141765114662919</c:v>
                </c:pt>
                <c:pt idx="27">
                  <c:v>2.8957331423309123</c:v>
                </c:pt>
                <c:pt idx="28">
                  <c:v>7.2635326025539664</c:v>
                </c:pt>
                <c:pt idx="29">
                  <c:v>4.4073977598333034</c:v>
                </c:pt>
                <c:pt idx="30">
                  <c:v>6.1097356441178761</c:v>
                </c:pt>
              </c:numCache>
            </c:numRef>
          </c:val>
          <c:smooth val="0"/>
          <c:extLst>
            <c:ext xmlns:c16="http://schemas.microsoft.com/office/drawing/2014/chart" uri="{C3380CC4-5D6E-409C-BE32-E72D297353CC}">
              <c16:uniqueId val="{00000001-E33E-432B-B7D1-EF79A1DDFF1E}"/>
            </c:ext>
          </c:extLst>
        </c:ser>
        <c:ser>
          <c:idx val="5"/>
          <c:order val="2"/>
          <c:tx>
            <c:strRef>
              <c:f>'Trh práce 3'!$E$8</c:f>
              <c:strCache>
                <c:ptCount val="1"/>
                <c:pt idx="0">
                  <c:v>Prům. mzda v průmyslu (nominálně)</c:v>
                </c:pt>
              </c:strCache>
            </c:strRef>
          </c:tx>
          <c:spPr>
            <a:ln w="9525">
              <a:solidFill>
                <a:srgbClr val="C00000"/>
              </a:solidFill>
              <a:prstDash val="solid"/>
            </a:ln>
          </c:spPr>
          <c:marker>
            <c:symbol val="none"/>
          </c:marker>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3'!$E$29:$E$59</c:f>
              <c:numCache>
                <c:formatCode>0.0</c:formatCode>
                <c:ptCount val="31"/>
                <c:pt idx="0">
                  <c:v>1.638111818937205</c:v>
                </c:pt>
                <c:pt idx="1">
                  <c:v>2.6920877025738719</c:v>
                </c:pt>
                <c:pt idx="2">
                  <c:v>3.0100597296447646</c:v>
                </c:pt>
                <c:pt idx="3">
                  <c:v>2.9788308269320822</c:v>
                </c:pt>
                <c:pt idx="4">
                  <c:v>4.6482656596722052</c:v>
                </c:pt>
                <c:pt idx="5">
                  <c:v>3.9508373250157827</c:v>
                </c:pt>
                <c:pt idx="6">
                  <c:v>4.6540016784924179</c:v>
                </c:pt>
                <c:pt idx="7">
                  <c:v>3.8977412011906836</c:v>
                </c:pt>
                <c:pt idx="8">
                  <c:v>5.1746586808526471</c:v>
                </c:pt>
                <c:pt idx="9">
                  <c:v>8.0728701553848907</c:v>
                </c:pt>
                <c:pt idx="10">
                  <c:v>6.8272945979441602</c:v>
                </c:pt>
                <c:pt idx="11">
                  <c:v>7.088445463125252</c:v>
                </c:pt>
                <c:pt idx="12">
                  <c:v>7.9018109790605555</c:v>
                </c:pt>
                <c:pt idx="13">
                  <c:v>8.1936869938853256</c:v>
                </c:pt>
                <c:pt idx="14">
                  <c:v>7.3566042242467784</c:v>
                </c:pt>
                <c:pt idx="15">
                  <c:v>7.6170092222467058</c:v>
                </c:pt>
                <c:pt idx="16">
                  <c:v>7.1985838851373387</c:v>
                </c:pt>
                <c:pt idx="17">
                  <c:v>7.0904869554591556</c:v>
                </c:pt>
                <c:pt idx="18">
                  <c:v>6.7539649747322112</c:v>
                </c:pt>
                <c:pt idx="19">
                  <c:v>5.6242870930946793</c:v>
                </c:pt>
                <c:pt idx="20">
                  <c:v>4.8529141948504826</c:v>
                </c:pt>
                <c:pt idx="21">
                  <c:v>-3.4830979888746341</c:v>
                </c:pt>
                <c:pt idx="22">
                  <c:v>2.9564130046445021</c:v>
                </c:pt>
                <c:pt idx="23">
                  <c:v>4.0067563825663104</c:v>
                </c:pt>
                <c:pt idx="24">
                  <c:v>0.94782583335764092</c:v>
                </c:pt>
                <c:pt idx="25">
                  <c:v>9.1091801146775424</c:v>
                </c:pt>
                <c:pt idx="26">
                  <c:v>3.7361556924322628</c:v>
                </c:pt>
                <c:pt idx="27">
                  <c:v>2.7581800271558174</c:v>
                </c:pt>
                <c:pt idx="28">
                  <c:v>6.8556075576356355</c:v>
                </c:pt>
                <c:pt idx="29">
                  <c:v>7.8827608624986425</c:v>
                </c:pt>
                <c:pt idx="30">
                  <c:v>7.727260056309774</c:v>
                </c:pt>
              </c:numCache>
            </c:numRef>
          </c:val>
          <c:smooth val="0"/>
          <c:extLst>
            <c:ext xmlns:c16="http://schemas.microsoft.com/office/drawing/2014/chart" uri="{C3380CC4-5D6E-409C-BE32-E72D297353CC}">
              <c16:uniqueId val="{00000002-E33E-432B-B7D1-EF79A1DDFF1E}"/>
            </c:ext>
          </c:extLst>
        </c:ser>
        <c:ser>
          <c:idx val="1"/>
          <c:order val="3"/>
          <c:tx>
            <c:strRef>
              <c:f>'Trh práce 3'!$F$8</c:f>
              <c:strCache>
                <c:ptCount val="1"/>
                <c:pt idx="0">
                  <c:v>Prům. mzda v obchodu (nominálně)</c:v>
                </c:pt>
              </c:strCache>
            </c:strRef>
          </c:tx>
          <c:spPr>
            <a:ln w="9525">
              <a:solidFill>
                <a:srgbClr val="0070C0"/>
              </a:solidFill>
              <a:prstDash val="solid"/>
            </a:ln>
          </c:spPr>
          <c:marker>
            <c:symbol val="none"/>
          </c:marker>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3'!$F$29:$F$59</c:f>
              <c:numCache>
                <c:formatCode>0.0</c:formatCode>
                <c:ptCount val="31"/>
                <c:pt idx="0">
                  <c:v>3.1055099144049194</c:v>
                </c:pt>
                <c:pt idx="1">
                  <c:v>3.9141414141414117</c:v>
                </c:pt>
                <c:pt idx="2">
                  <c:v>3.949146815340427</c:v>
                </c:pt>
                <c:pt idx="3">
                  <c:v>5.7916298497871423</c:v>
                </c:pt>
                <c:pt idx="4">
                  <c:v>5.6443202202661498</c:v>
                </c:pt>
                <c:pt idx="5">
                  <c:v>3.9570676387201189</c:v>
                </c:pt>
                <c:pt idx="6">
                  <c:v>4.9977652269310493</c:v>
                </c:pt>
                <c:pt idx="7">
                  <c:v>4.4950645406226224</c:v>
                </c:pt>
                <c:pt idx="8">
                  <c:v>5.6231243089559193</c:v>
                </c:pt>
                <c:pt idx="9">
                  <c:v>7.9284684614485474</c:v>
                </c:pt>
                <c:pt idx="10">
                  <c:v>7.6932007275260172</c:v>
                </c:pt>
                <c:pt idx="11">
                  <c:v>8.3926754832146457</c:v>
                </c:pt>
                <c:pt idx="12">
                  <c:v>7.24166292806939</c:v>
                </c:pt>
                <c:pt idx="13">
                  <c:v>7.0392029456356964</c:v>
                </c:pt>
                <c:pt idx="14">
                  <c:v>6.8381903769449064</c:v>
                </c:pt>
                <c:pt idx="15">
                  <c:v>6.6970570490044956</c:v>
                </c:pt>
                <c:pt idx="16">
                  <c:v>9.5345999651385682</c:v>
                </c:pt>
                <c:pt idx="17">
                  <c:v>7.4227708080399264</c:v>
                </c:pt>
                <c:pt idx="18">
                  <c:v>8.1629221041302316</c:v>
                </c:pt>
                <c:pt idx="19">
                  <c:v>6.3018346318170426</c:v>
                </c:pt>
                <c:pt idx="20">
                  <c:v>6.3685550604710492</c:v>
                </c:pt>
                <c:pt idx="21">
                  <c:v>0.91357172008916621</c:v>
                </c:pt>
                <c:pt idx="22">
                  <c:v>4.73895332566312</c:v>
                </c:pt>
                <c:pt idx="23">
                  <c:v>2.4469531296175822</c:v>
                </c:pt>
                <c:pt idx="24">
                  <c:v>-1.1848837557224523</c:v>
                </c:pt>
                <c:pt idx="25">
                  <c:v>6.5299900447984083</c:v>
                </c:pt>
                <c:pt idx="26">
                  <c:v>3.4349671941335473</c:v>
                </c:pt>
                <c:pt idx="27">
                  <c:v>5.2414469509028994</c:v>
                </c:pt>
                <c:pt idx="28">
                  <c:v>9.5624526873580766</c:v>
                </c:pt>
                <c:pt idx="29">
                  <c:v>8.7755161638875165</c:v>
                </c:pt>
                <c:pt idx="30">
                  <c:v>6.8628013777267363</c:v>
                </c:pt>
              </c:numCache>
            </c:numRef>
          </c:val>
          <c:smooth val="0"/>
          <c:extLst>
            <c:ext xmlns:c16="http://schemas.microsoft.com/office/drawing/2014/chart" uri="{C3380CC4-5D6E-409C-BE32-E72D297353CC}">
              <c16:uniqueId val="{00000003-E33E-432B-B7D1-EF79A1DDFF1E}"/>
            </c:ext>
          </c:extLst>
        </c:ser>
        <c:ser>
          <c:idx val="2"/>
          <c:order val="4"/>
          <c:tx>
            <c:strRef>
              <c:f>'Trh práce 3'!$G$8</c:f>
              <c:strCache>
                <c:ptCount val="1"/>
                <c:pt idx="0">
                  <c:v>Prům. mzda ve veř. službách (nominálně)*</c:v>
                </c:pt>
              </c:strCache>
            </c:strRef>
          </c:tx>
          <c:spPr>
            <a:ln w="9525">
              <a:solidFill>
                <a:srgbClr val="00B050"/>
              </a:solidFill>
              <a:prstDash val="solid"/>
            </a:ln>
          </c:spPr>
          <c:marker>
            <c:symbol val="none"/>
          </c:marker>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3'!$G$29:$G$59</c:f>
              <c:numCache>
                <c:formatCode>0.0</c:formatCode>
                <c:ptCount val="31"/>
                <c:pt idx="0">
                  <c:v>3.2925091204842674</c:v>
                </c:pt>
                <c:pt idx="1">
                  <c:v>4.3135889286729547</c:v>
                </c:pt>
                <c:pt idx="2">
                  <c:v>3.8145419077079774</c:v>
                </c:pt>
                <c:pt idx="3">
                  <c:v>3.6381766938736737</c:v>
                </c:pt>
                <c:pt idx="4">
                  <c:v>4.64178325585614</c:v>
                </c:pt>
                <c:pt idx="5">
                  <c:v>3.8061258933532103</c:v>
                </c:pt>
                <c:pt idx="6">
                  <c:v>4.8526374704253907</c:v>
                </c:pt>
                <c:pt idx="7">
                  <c:v>6.1351981806606259</c:v>
                </c:pt>
                <c:pt idx="8">
                  <c:v>5.4566112929362163</c:v>
                </c:pt>
                <c:pt idx="9">
                  <c:v>7.3192456135909234</c:v>
                </c:pt>
                <c:pt idx="10">
                  <c:v>7.9981713137873953</c:v>
                </c:pt>
                <c:pt idx="11">
                  <c:v>10.484072576559427</c:v>
                </c:pt>
                <c:pt idx="12">
                  <c:v>12.179699393983404</c:v>
                </c:pt>
                <c:pt idx="13">
                  <c:v>11.892177332541113</c:v>
                </c:pt>
                <c:pt idx="14">
                  <c:v>11.36132632162867</c:v>
                </c:pt>
                <c:pt idx="15">
                  <c:v>6.1282038917470629</c:v>
                </c:pt>
                <c:pt idx="16">
                  <c:v>9.4162908795776072</c:v>
                </c:pt>
                <c:pt idx="17">
                  <c:v>9.302238357009859</c:v>
                </c:pt>
                <c:pt idx="18">
                  <c:v>8.3925247282538464</c:v>
                </c:pt>
                <c:pt idx="19">
                  <c:v>11.041060141001235</c:v>
                </c:pt>
                <c:pt idx="20">
                  <c:v>5.22961170214265</c:v>
                </c:pt>
                <c:pt idx="21">
                  <c:v>4.9937922145909539</c:v>
                </c:pt>
                <c:pt idx="22">
                  <c:v>8.8109946466096609</c:v>
                </c:pt>
                <c:pt idx="23">
                  <c:v>13.948630451066606</c:v>
                </c:pt>
                <c:pt idx="24">
                  <c:v>4.0872778537601135</c:v>
                </c:pt>
                <c:pt idx="25">
                  <c:v>17.040292202235733</c:v>
                </c:pt>
                <c:pt idx="26">
                  <c:v>4.7904697566185916</c:v>
                </c:pt>
                <c:pt idx="27">
                  <c:v>-0.87797314296285833</c:v>
                </c:pt>
                <c:pt idx="28">
                  <c:v>3.0944527852714714</c:v>
                </c:pt>
                <c:pt idx="29">
                  <c:v>-6.1550379744855066</c:v>
                </c:pt>
                <c:pt idx="30">
                  <c:v>1.3291494968755728</c:v>
                </c:pt>
              </c:numCache>
            </c:numRef>
          </c:val>
          <c:smooth val="0"/>
          <c:extLst>
            <c:ext xmlns:c16="http://schemas.microsoft.com/office/drawing/2014/chart" uri="{C3380CC4-5D6E-409C-BE32-E72D297353CC}">
              <c16:uniqueId val="{00000004-E33E-432B-B7D1-EF79A1DDFF1E}"/>
            </c:ext>
          </c:extLst>
        </c:ser>
        <c:ser>
          <c:idx val="3"/>
          <c:order val="5"/>
          <c:tx>
            <c:strRef>
              <c:f>'Trh práce 3'!$H$8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3'!$A$29:$B$59</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'Trh práce 3'!$H$29:$H$59</c:f>
              <c:numCache>
                <c:formatCode>0.0</c:formatCode>
                <c:ptCount val="31"/>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4.9000000000000075</c:v>
                </c:pt>
                <c:pt idx="9">
                  <c:v>7.7000000000000028</c:v>
                </c:pt>
                <c:pt idx="10">
                  <c:v>7</c:v>
                </c:pt>
                <c:pt idx="11">
                  <c:v>8.9000000000000057</c:v>
                </c:pt>
                <c:pt idx="12">
                  <c:v>8.7000000000000011</c:v>
                </c:pt>
                <c:pt idx="13">
                  <c:v>9.7000000000000011</c:v>
                </c:pt>
                <c:pt idx="14">
                  <c:v>9.3000000000000025</c:v>
                </c:pt>
                <c:pt idx="15">
                  <c:v>6.7000000000000028</c:v>
                </c:pt>
                <c:pt idx="16">
                  <c:v>7.2000000000000028</c:v>
                </c:pt>
                <c:pt idx="17">
                  <c:v>6.4000000000000075</c:v>
                </c:pt>
                <c:pt idx="18">
                  <c:v>7.2999999999999972</c:v>
                </c:pt>
                <c:pt idx="19">
                  <c:v>6.4000000000000075</c:v>
                </c:pt>
                <c:pt idx="20">
                  <c:v>7</c:v>
                </c:pt>
                <c:pt idx="21">
                  <c:v>1.4000000000000057</c:v>
                </c:pt>
                <c:pt idx="22">
                  <c:v>6.7000000000000028</c:v>
                </c:pt>
                <c:pt idx="23">
                  <c:v>6.7000000000000028</c:v>
                </c:pt>
                <c:pt idx="24">
                  <c:v>0.79999999999999738</c:v>
                </c:pt>
                <c:pt idx="25">
                  <c:v>9.7000000000000011</c:v>
                </c:pt>
                <c:pt idx="26">
                  <c:v>4.2000000000000028</c:v>
                </c:pt>
                <c:pt idx="27">
                  <c:v>3.5999999999999943</c:v>
                </c:pt>
                <c:pt idx="28">
                  <c:v>6.7000000000000028</c:v>
                </c:pt>
                <c:pt idx="29">
                  <c:v>5.2999999999999972</c:v>
                </c:pt>
                <c:pt idx="30">
                  <c:v>6.5</c:v>
                </c:pt>
              </c:numCache>
            </c:numRef>
          </c:val>
          <c:smooth val="0"/>
          <c:extLst>
            <c:ext xmlns:c16="http://schemas.microsoft.com/office/drawing/2014/chart" uri="{C3380CC4-5D6E-409C-BE32-E72D297353CC}">
              <c16:uniqueId val="{00000005-E33E-432B-B7D1-EF79A1DDFF1E}"/>
            </c:ext>
          </c:extLst>
        </c:ser>
        <c:dLbls>
          <c:showLegendKey val="0"/>
          <c:showVal val="0"/>
          <c:showCatName val="0"/>
          <c:showSerName val="0"/>
          <c:showPercent val="0"/>
          <c:showBubbleSize val="0"/>
        </c:dLbls>
        <c:marker val="1"/>
        <c:smooth val="0"/>
        <c:axId val="80736640"/>
        <c:axId val="80738176"/>
      </c:lineChart>
      <c:catAx>
        <c:axId val="80736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80738176"/>
        <c:crosses val="autoZero"/>
        <c:auto val="1"/>
        <c:lblAlgn val="ctr"/>
        <c:lblOffset val="0"/>
        <c:tickMarkSkip val="4"/>
        <c:noMultiLvlLbl val="0"/>
      </c:catAx>
      <c:valAx>
        <c:axId val="80738176"/>
        <c:scaling>
          <c:orientation val="minMax"/>
          <c:max val="18"/>
          <c:min val="-10"/>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80736640"/>
        <c:crosses val="autoZero"/>
        <c:crossBetween val="between"/>
        <c:majorUnit val="2"/>
      </c:valAx>
      <c:spPr>
        <a:ln>
          <a:solidFill>
            <a:schemeClr val="tx1"/>
          </a:solidFill>
        </a:ln>
      </c:spPr>
    </c:plotArea>
    <c:legend>
      <c:legendPos val="b"/>
      <c:layout>
        <c:manualLayout>
          <c:xMode val="edge"/>
          <c:yMode val="edge"/>
          <c:x val="9.1291858669558714E-3"/>
          <c:y val="0.8757817460317463"/>
          <c:w val="0.97744444842554012"/>
          <c:h val="0.11341893424036278"/>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26E-2"/>
          <c:y val="2.1711264016309895E-2"/>
          <c:w val="0.93508633063154345"/>
          <c:h val="0.73130361364405039"/>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1'!$C$66:$C$134</c:f>
              <c:numCache>
                <c:formatCode>General</c:formatCode>
                <c:ptCount val="69"/>
                <c:pt idx="0">
                  <c:v>5.0000000000000017E-2</c:v>
                </c:pt>
                <c:pt idx="1">
                  <c:v>5.0000000000000017E-2</c:v>
                </c:pt>
                <c:pt idx="2">
                  <c:v>5.0000000000000017E-2</c:v>
                </c:pt>
                <c:pt idx="3">
                  <c:v>5.0000000000000017E-2</c:v>
                </c:pt>
                <c:pt idx="4">
                  <c:v>5.0000000000000017E-2</c:v>
                </c:pt>
                <c:pt idx="5">
                  <c:v>5.0000000000000017E-2</c:v>
                </c:pt>
                <c:pt idx="6">
                  <c:v>5.0000000000000017E-2</c:v>
                </c:pt>
                <c:pt idx="7">
                  <c:v>0.25</c:v>
                </c:pt>
                <c:pt idx="8">
                  <c:v>0.25</c:v>
                </c:pt>
                <c:pt idx="9">
                  <c:v>0.25</c:v>
                </c:pt>
                <c:pt idx="10">
                  <c:v>0.5</c:v>
                </c:pt>
                <c:pt idx="11">
                  <c:v>0.5</c:v>
                </c:pt>
                <c:pt idx="12">
                  <c:v>0.5</c:v>
                </c:pt>
                <c:pt idx="13">
                  <c:v>0.75000000000000022</c:v>
                </c:pt>
                <c:pt idx="14">
                  <c:v>0.75000000000000022</c:v>
                </c:pt>
                <c:pt idx="15">
                  <c:v>0.75000000000000022</c:v>
                </c:pt>
                <c:pt idx="16">
                  <c:v>0.75000000000000022</c:v>
                </c:pt>
                <c:pt idx="17">
                  <c:v>1</c:v>
                </c:pt>
                <c:pt idx="18">
                  <c:v>1</c:v>
                </c:pt>
                <c:pt idx="19">
                  <c:v>1.25</c:v>
                </c:pt>
                <c:pt idx="20">
                  <c:v>1.5</c:v>
                </c:pt>
                <c:pt idx="21">
                  <c:v>1.5</c:v>
                </c:pt>
                <c:pt idx="22">
                  <c:v>1.7500000000000002</c:v>
                </c:pt>
                <c:pt idx="23">
                  <c:v>1.7500000000000002</c:v>
                </c:pt>
                <c:pt idx="24">
                  <c:v>1.7500000000000002</c:v>
                </c:pt>
                <c:pt idx="25">
                  <c:v>1.7500000000000002</c:v>
                </c:pt>
                <c:pt idx="26">
                  <c:v>1.7500000000000002</c:v>
                </c:pt>
                <c:pt idx="27">
                  <c:v>1.7500000000000002</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0.75000000000000022</c:v>
                </c:pt>
                <c:pt idx="56">
                  <c:v>0.75000000000000022</c:v>
                </c:pt>
                <c:pt idx="57">
                  <c:v>1.5</c:v>
                </c:pt>
                <c:pt idx="58">
                  <c:v>2.75</c:v>
                </c:pt>
                <c:pt idx="59">
                  <c:v>3.75</c:v>
                </c:pt>
                <c:pt idx="60">
                  <c:v>3.75</c:v>
                </c:pt>
                <c:pt idx="61">
                  <c:v>4.5</c:v>
                </c:pt>
                <c:pt idx="62">
                  <c:v>4.5</c:v>
                </c:pt>
                <c:pt idx="63">
                  <c:v>5</c:v>
                </c:pt>
                <c:pt idx="64">
                  <c:v>5.75</c:v>
                </c:pt>
                <c:pt idx="65">
                  <c:v>7</c:v>
                </c:pt>
                <c:pt idx="66">
                  <c:v>7</c:v>
                </c:pt>
                <c:pt idx="67">
                  <c:v>7</c:v>
                </c:pt>
                <c:pt idx="68">
                  <c:v>7</c:v>
                </c:pt>
              </c:numCache>
            </c:numRef>
          </c:val>
          <c:extLst>
            <c:ext xmlns:c16="http://schemas.microsoft.com/office/drawing/2014/chart" uri="{C3380CC4-5D6E-409C-BE32-E72D297353CC}">
              <c16:uniqueId val="{00000000-9AD0-4531-8880-99F8CDA8BA5D}"/>
            </c:ext>
          </c:extLst>
        </c:ser>
        <c:dLbls>
          <c:showLegendKey val="0"/>
          <c:showVal val="0"/>
          <c:showCatName val="0"/>
          <c:showSerName val="0"/>
          <c:showPercent val="0"/>
          <c:showBubbleSize val="0"/>
        </c:dLbls>
        <c:gapWidth val="31"/>
        <c:axId val="80279424"/>
        <c:axId val="88504576"/>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1'!$F$66:$F$134</c:f>
              <c:numCache>
                <c:formatCode>General</c:formatCode>
                <c:ptCount val="69"/>
                <c:pt idx="0">
                  <c:v>-0.88000000000000012</c:v>
                </c:pt>
                <c:pt idx="1">
                  <c:v>-0.53</c:v>
                </c:pt>
                <c:pt idx="2">
                  <c:v>-0.44000000000000006</c:v>
                </c:pt>
                <c:pt idx="3">
                  <c:v>-0.23</c:v>
                </c:pt>
                <c:pt idx="4">
                  <c:v>-0.24000000000000005</c:v>
                </c:pt>
                <c:pt idx="5">
                  <c:v>-0.25</c:v>
                </c:pt>
                <c:pt idx="6">
                  <c:v>-0.29000000000000009</c:v>
                </c:pt>
                <c:pt idx="7">
                  <c:v>-0.33000000000000013</c:v>
                </c:pt>
                <c:pt idx="8">
                  <c:v>-0.29000000000000009</c:v>
                </c:pt>
                <c:pt idx="9">
                  <c:v>0.12000000000000002</c:v>
                </c:pt>
                <c:pt idx="10">
                  <c:v>0.31000000000000011</c:v>
                </c:pt>
                <c:pt idx="11">
                  <c:v>0.19000000000000003</c:v>
                </c:pt>
                <c:pt idx="12">
                  <c:v>0.46</c:v>
                </c:pt>
                <c:pt idx="13">
                  <c:v>0.55000000000000004</c:v>
                </c:pt>
                <c:pt idx="14">
                  <c:v>0.62000000000000022</c:v>
                </c:pt>
                <c:pt idx="15">
                  <c:v>0.6000000000000002</c:v>
                </c:pt>
                <c:pt idx="16">
                  <c:v>0.70000000000000018</c:v>
                </c:pt>
                <c:pt idx="17">
                  <c:v>0.89000000000000012</c:v>
                </c:pt>
                <c:pt idx="18">
                  <c:v>1.0900000000000001</c:v>
                </c:pt>
                <c:pt idx="19">
                  <c:v>1.26</c:v>
                </c:pt>
                <c:pt idx="20">
                  <c:v>1.34</c:v>
                </c:pt>
                <c:pt idx="21">
                  <c:v>1.44</c:v>
                </c:pt>
                <c:pt idx="22">
                  <c:v>1.49</c:v>
                </c:pt>
                <c:pt idx="23">
                  <c:v>1.52</c:v>
                </c:pt>
                <c:pt idx="24">
                  <c:v>1.6600000000000001</c:v>
                </c:pt>
                <c:pt idx="25">
                  <c:v>1.7400000000000002</c:v>
                </c:pt>
                <c:pt idx="26">
                  <c:v>1.7100000000000002</c:v>
                </c:pt>
                <c:pt idx="27">
                  <c:v>1.6300000000000001</c:v>
                </c:pt>
                <c:pt idx="28">
                  <c:v>1.62</c:v>
                </c:pt>
                <c:pt idx="29">
                  <c:v>1.52</c:v>
                </c:pt>
                <c:pt idx="30">
                  <c:v>1.35</c:v>
                </c:pt>
                <c:pt idx="31">
                  <c:v>0.8500000000000002</c:v>
                </c:pt>
                <c:pt idx="32">
                  <c:v>1.07</c:v>
                </c:pt>
                <c:pt idx="33">
                  <c:v>1.1700000000000004</c:v>
                </c:pt>
                <c:pt idx="34">
                  <c:v>1.33</c:v>
                </c:pt>
                <c:pt idx="35">
                  <c:v>1.36</c:v>
                </c:pt>
                <c:pt idx="36">
                  <c:v>1.55</c:v>
                </c:pt>
                <c:pt idx="37">
                  <c:v>1.57</c:v>
                </c:pt>
                <c:pt idx="38">
                  <c:v>1.27</c:v>
                </c:pt>
                <c:pt idx="39">
                  <c:v>0.71000000000000019</c:v>
                </c:pt>
                <c:pt idx="40">
                  <c:v>0.13</c:v>
                </c:pt>
                <c:pt idx="41">
                  <c:v>8.0000000000000029E-2</c:v>
                </c:pt>
                <c:pt idx="42">
                  <c:v>2.0000000000000007E-2</c:v>
                </c:pt>
                <c:pt idx="43">
                  <c:v>4.0000000000000015E-2</c:v>
                </c:pt>
                <c:pt idx="44">
                  <c:v>5.0000000000000017E-2</c:v>
                </c:pt>
                <c:pt idx="45">
                  <c:v>0</c:v>
                </c:pt>
                <c:pt idx="46">
                  <c:v>6.0000000000000019E-2</c:v>
                </c:pt>
                <c:pt idx="47">
                  <c:v>0.16000000000000003</c:v>
                </c:pt>
                <c:pt idx="48">
                  <c:v>0.26</c:v>
                </c:pt>
                <c:pt idx="49">
                  <c:v>0.45</c:v>
                </c:pt>
                <c:pt idx="50">
                  <c:v>0.75000000000000022</c:v>
                </c:pt>
                <c:pt idx="51">
                  <c:v>0.76000000000000023</c:v>
                </c:pt>
                <c:pt idx="52">
                  <c:v>0.76000000000000023</c:v>
                </c:pt>
                <c:pt idx="53">
                  <c:v>0.69000000000000028</c:v>
                </c:pt>
                <c:pt idx="54">
                  <c:v>0.84000000000000019</c:v>
                </c:pt>
                <c:pt idx="55">
                  <c:v>1.24</c:v>
                </c:pt>
                <c:pt idx="56">
                  <c:v>1.6</c:v>
                </c:pt>
                <c:pt idx="57">
                  <c:v>2.29</c:v>
                </c:pt>
                <c:pt idx="58">
                  <c:v>3</c:v>
                </c:pt>
                <c:pt idx="59">
                  <c:v>3.07</c:v>
                </c:pt>
                <c:pt idx="60">
                  <c:v>3.8099999999999992</c:v>
                </c:pt>
                <c:pt idx="61">
                  <c:v>3.77</c:v>
                </c:pt>
                <c:pt idx="62">
                  <c:v>4.54</c:v>
                </c:pt>
                <c:pt idx="63">
                  <c:v>5.13</c:v>
                </c:pt>
                <c:pt idx="64">
                  <c:v>5.6499999999999995</c:v>
                </c:pt>
                <c:pt idx="65">
                  <c:v>6.26</c:v>
                </c:pt>
                <c:pt idx="66">
                  <c:v>6.38</c:v>
                </c:pt>
                <c:pt idx="67">
                  <c:v>5.8599999999999985</c:v>
                </c:pt>
                <c:pt idx="68">
                  <c:v>5.9</c:v>
                </c:pt>
              </c:numCache>
            </c:numRef>
          </c:val>
          <c:smooth val="0"/>
          <c:extLst>
            <c:ext xmlns:c16="http://schemas.microsoft.com/office/drawing/2014/chart" uri="{C3380CC4-5D6E-409C-BE32-E72D297353CC}">
              <c16:uniqueId val="{00000001-9AD0-4531-8880-99F8CDA8BA5D}"/>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1'!$D$66:$D$134</c:f>
              <c:numCache>
                <c:formatCode>General</c:formatCode>
                <c:ptCount val="69"/>
                <c:pt idx="0">
                  <c:v>0.28000000000000008</c:v>
                </c:pt>
                <c:pt idx="1">
                  <c:v>0.28000000000000008</c:v>
                </c:pt>
                <c:pt idx="2">
                  <c:v>0.28000000000000008</c:v>
                </c:pt>
                <c:pt idx="3">
                  <c:v>0.29000000000000009</c:v>
                </c:pt>
                <c:pt idx="4">
                  <c:v>0.3000000000000001</c:v>
                </c:pt>
                <c:pt idx="5">
                  <c:v>0.3000000000000001</c:v>
                </c:pt>
                <c:pt idx="6">
                  <c:v>0.3000000000000001</c:v>
                </c:pt>
                <c:pt idx="7">
                  <c:v>0.4300000000000001</c:v>
                </c:pt>
                <c:pt idx="8">
                  <c:v>0.46</c:v>
                </c:pt>
                <c:pt idx="9">
                  <c:v>0.51</c:v>
                </c:pt>
                <c:pt idx="10">
                  <c:v>0.71000000000000019</c:v>
                </c:pt>
                <c:pt idx="11">
                  <c:v>0.75000000000000022</c:v>
                </c:pt>
                <c:pt idx="12">
                  <c:v>0.77000000000000013</c:v>
                </c:pt>
                <c:pt idx="13">
                  <c:v>0.9</c:v>
                </c:pt>
                <c:pt idx="14">
                  <c:v>0.9</c:v>
                </c:pt>
                <c:pt idx="15">
                  <c:v>0.9</c:v>
                </c:pt>
                <c:pt idx="16">
                  <c:v>0.9</c:v>
                </c:pt>
                <c:pt idx="17">
                  <c:v>0.93</c:v>
                </c:pt>
                <c:pt idx="18">
                  <c:v>1.1800000000000004</c:v>
                </c:pt>
                <c:pt idx="19">
                  <c:v>1.45</c:v>
                </c:pt>
                <c:pt idx="20">
                  <c:v>1.54</c:v>
                </c:pt>
                <c:pt idx="21">
                  <c:v>1.7600000000000002</c:v>
                </c:pt>
                <c:pt idx="22">
                  <c:v>1.9900000000000002</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0.97000000000000008</c:v>
                </c:pt>
                <c:pt idx="40">
                  <c:v>0.46</c:v>
                </c:pt>
                <c:pt idx="41">
                  <c:v>0.34000000000000008</c:v>
                </c:pt>
                <c:pt idx="42">
                  <c:v>0.34000000000000008</c:v>
                </c:pt>
                <c:pt idx="43">
                  <c:v>0.34000000000000008</c:v>
                </c:pt>
                <c:pt idx="44">
                  <c:v>0.34000000000000008</c:v>
                </c:pt>
                <c:pt idx="45">
                  <c:v>0.35000000000000009</c:v>
                </c:pt>
                <c:pt idx="46">
                  <c:v>0.35000000000000009</c:v>
                </c:pt>
                <c:pt idx="47">
                  <c:v>0.35000000000000009</c:v>
                </c:pt>
                <c:pt idx="48">
                  <c:v>0.3600000000000001</c:v>
                </c:pt>
                <c:pt idx="49">
                  <c:v>0.3600000000000001</c:v>
                </c:pt>
                <c:pt idx="50">
                  <c:v>0.3600000000000001</c:v>
                </c:pt>
                <c:pt idx="51">
                  <c:v>0.3600000000000001</c:v>
                </c:pt>
                <c:pt idx="52">
                  <c:v>0.37000000000000011</c:v>
                </c:pt>
                <c:pt idx="53">
                  <c:v>0.48000000000000009</c:v>
                </c:pt>
                <c:pt idx="54">
                  <c:v>0.69000000000000028</c:v>
                </c:pt>
                <c:pt idx="55">
                  <c:v>0.94000000000000017</c:v>
                </c:pt>
                <c:pt idx="56">
                  <c:v>1.1100000000000001</c:v>
                </c:pt>
                <c:pt idx="57">
                  <c:v>2.02</c:v>
                </c:pt>
                <c:pt idx="58">
                  <c:v>2.9699999999999998</c:v>
                </c:pt>
                <c:pt idx="59">
                  <c:v>3.5</c:v>
                </c:pt>
                <c:pt idx="60">
                  <c:v>4.21</c:v>
                </c:pt>
                <c:pt idx="61">
                  <c:v>4.6899999999999995</c:v>
                </c:pt>
                <c:pt idx="62">
                  <c:v>4.8599999999999985</c:v>
                </c:pt>
                <c:pt idx="63">
                  <c:v>5.3599999999999985</c:v>
                </c:pt>
                <c:pt idx="64">
                  <c:v>5.9700000000000015</c:v>
                </c:pt>
                <c:pt idx="65">
                  <c:v>6.64</c:v>
                </c:pt>
                <c:pt idx="66">
                  <c:v>7.3</c:v>
                </c:pt>
                <c:pt idx="67">
                  <c:v>7.2700000000000014</c:v>
                </c:pt>
                <c:pt idx="68">
                  <c:v>7.25</c:v>
                </c:pt>
              </c:numCache>
            </c:numRef>
          </c:val>
          <c:smooth val="0"/>
          <c:extLst>
            <c:ext xmlns:c16="http://schemas.microsoft.com/office/drawing/2014/chart" uri="{C3380CC4-5D6E-409C-BE32-E72D297353CC}">
              <c16:uniqueId val="{00000002-9AD0-4531-8880-99F8CDA8BA5D}"/>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1'!$G$66:$G$134</c:f>
              <c:numCache>
                <c:formatCode>General</c:formatCode>
                <c:ptCount val="69"/>
                <c:pt idx="0">
                  <c:v>-0.22000000000000003</c:v>
                </c:pt>
                <c:pt idx="1">
                  <c:v>9.0000000000000024E-2</c:v>
                </c:pt>
                <c:pt idx="2">
                  <c:v>0.1</c:v>
                </c:pt>
                <c:pt idx="3">
                  <c:v>0.16000000000000003</c:v>
                </c:pt>
                <c:pt idx="4">
                  <c:v>4.0000000000000015E-2</c:v>
                </c:pt>
                <c:pt idx="5">
                  <c:v>-3.0000000000000009E-2</c:v>
                </c:pt>
                <c:pt idx="6">
                  <c:v>0.14000000000000001</c:v>
                </c:pt>
                <c:pt idx="7">
                  <c:v>9.0000000000000024E-2</c:v>
                </c:pt>
                <c:pt idx="8">
                  <c:v>0.1</c:v>
                </c:pt>
                <c:pt idx="9">
                  <c:v>0.63000000000000023</c:v>
                </c:pt>
                <c:pt idx="10">
                  <c:v>0.87000000000000022</c:v>
                </c:pt>
                <c:pt idx="11">
                  <c:v>0.68000000000000027</c:v>
                </c:pt>
                <c:pt idx="12">
                  <c:v>0.99</c:v>
                </c:pt>
                <c:pt idx="13">
                  <c:v>1.07</c:v>
                </c:pt>
                <c:pt idx="14">
                  <c:v>1.0900000000000001</c:v>
                </c:pt>
                <c:pt idx="15">
                  <c:v>1.05</c:v>
                </c:pt>
                <c:pt idx="16">
                  <c:v>1.21</c:v>
                </c:pt>
                <c:pt idx="17">
                  <c:v>1.41</c:v>
                </c:pt>
                <c:pt idx="18">
                  <c:v>1.44</c:v>
                </c:pt>
                <c:pt idx="19">
                  <c:v>1.55</c:v>
                </c:pt>
                <c:pt idx="20">
                  <c:v>1.7000000000000002</c:v>
                </c:pt>
                <c:pt idx="21">
                  <c:v>1.81</c:v>
                </c:pt>
                <c:pt idx="22">
                  <c:v>1.7900000000000003</c:v>
                </c:pt>
                <c:pt idx="23">
                  <c:v>1.7100000000000002</c:v>
                </c:pt>
                <c:pt idx="24">
                  <c:v>1.6</c:v>
                </c:pt>
                <c:pt idx="25">
                  <c:v>1.61</c:v>
                </c:pt>
                <c:pt idx="26">
                  <c:v>1.7000000000000002</c:v>
                </c:pt>
                <c:pt idx="27">
                  <c:v>1.6300000000000001</c:v>
                </c:pt>
                <c:pt idx="28">
                  <c:v>1.57</c:v>
                </c:pt>
                <c:pt idx="29">
                  <c:v>1.43</c:v>
                </c:pt>
                <c:pt idx="30">
                  <c:v>1.31</c:v>
                </c:pt>
                <c:pt idx="31">
                  <c:v>0.89000000000000012</c:v>
                </c:pt>
                <c:pt idx="32">
                  <c:v>1.1299999999999994</c:v>
                </c:pt>
                <c:pt idx="33">
                  <c:v>1.23</c:v>
                </c:pt>
                <c:pt idx="34">
                  <c:v>1.32</c:v>
                </c:pt>
                <c:pt idx="35">
                  <c:v>1.31</c:v>
                </c:pt>
                <c:pt idx="36">
                  <c:v>1.51</c:v>
                </c:pt>
                <c:pt idx="37">
                  <c:v>1.52</c:v>
                </c:pt>
                <c:pt idx="38">
                  <c:v>1.23</c:v>
                </c:pt>
                <c:pt idx="39">
                  <c:v>1.06</c:v>
                </c:pt>
                <c:pt idx="40">
                  <c:v>0.56999999999999995</c:v>
                </c:pt>
                <c:pt idx="41">
                  <c:v>0.52</c:v>
                </c:pt>
                <c:pt idx="42">
                  <c:v>0.52</c:v>
                </c:pt>
                <c:pt idx="43">
                  <c:v>0.58000000000000007</c:v>
                </c:pt>
                <c:pt idx="44">
                  <c:v>0.58000000000000007</c:v>
                </c:pt>
                <c:pt idx="45">
                  <c:v>0.54</c:v>
                </c:pt>
                <c:pt idx="46">
                  <c:v>0.66000000000000025</c:v>
                </c:pt>
                <c:pt idx="47">
                  <c:v>0.8</c:v>
                </c:pt>
                <c:pt idx="48">
                  <c:v>0.82000000000000017</c:v>
                </c:pt>
                <c:pt idx="49">
                  <c:v>1.06</c:v>
                </c:pt>
                <c:pt idx="50">
                  <c:v>1.4</c:v>
                </c:pt>
                <c:pt idx="51">
                  <c:v>1.43</c:v>
                </c:pt>
                <c:pt idx="52">
                  <c:v>1.47</c:v>
                </c:pt>
                <c:pt idx="53">
                  <c:v>1.55</c:v>
                </c:pt>
                <c:pt idx="54">
                  <c:v>1.6300000000000001</c:v>
                </c:pt>
                <c:pt idx="55">
                  <c:v>1.6800000000000004</c:v>
                </c:pt>
                <c:pt idx="56">
                  <c:v>1.87</c:v>
                </c:pt>
                <c:pt idx="57">
                  <c:v>2.3699999999999997</c:v>
                </c:pt>
                <c:pt idx="58">
                  <c:v>2.84</c:v>
                </c:pt>
                <c:pt idx="59">
                  <c:v>2.84</c:v>
                </c:pt>
                <c:pt idx="60">
                  <c:v>3.36</c:v>
                </c:pt>
                <c:pt idx="61">
                  <c:v>3.2</c:v>
                </c:pt>
                <c:pt idx="62">
                  <c:v>3.8499999999999992</c:v>
                </c:pt>
                <c:pt idx="63">
                  <c:v>4.54</c:v>
                </c:pt>
                <c:pt idx="64">
                  <c:v>4.99</c:v>
                </c:pt>
                <c:pt idx="65">
                  <c:v>5.49</c:v>
                </c:pt>
                <c:pt idx="66">
                  <c:v>5.1199999999999983</c:v>
                </c:pt>
                <c:pt idx="67">
                  <c:v>4.67</c:v>
                </c:pt>
                <c:pt idx="68">
                  <c:v>5.0599999999999996</c:v>
                </c:pt>
              </c:numCache>
            </c:numRef>
          </c:val>
          <c:smooth val="0"/>
          <c:extLst>
            <c:ext xmlns:c16="http://schemas.microsoft.com/office/drawing/2014/chart" uri="{C3380CC4-5D6E-409C-BE32-E72D297353CC}">
              <c16:uniqueId val="{00000003-9AD0-4531-8880-99F8CDA8BA5D}"/>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1'!$E$66:$E$134</c:f>
              <c:numCache>
                <c:formatCode>General</c:formatCode>
                <c:ptCount val="69"/>
                <c:pt idx="0">
                  <c:v>0.44000000000000006</c:v>
                </c:pt>
                <c:pt idx="1">
                  <c:v>0.44000000000000006</c:v>
                </c:pt>
                <c:pt idx="2">
                  <c:v>0.44000000000000006</c:v>
                </c:pt>
                <c:pt idx="3">
                  <c:v>0.45</c:v>
                </c:pt>
                <c:pt idx="4">
                  <c:v>0.46</c:v>
                </c:pt>
                <c:pt idx="5">
                  <c:v>0.46</c:v>
                </c:pt>
                <c:pt idx="6">
                  <c:v>0.47000000000000008</c:v>
                </c:pt>
                <c:pt idx="7">
                  <c:v>0.6000000000000002</c:v>
                </c:pt>
                <c:pt idx="8">
                  <c:v>0.64000000000000024</c:v>
                </c:pt>
                <c:pt idx="9">
                  <c:v>0.69000000000000028</c:v>
                </c:pt>
                <c:pt idx="10">
                  <c:v>0.91</c:v>
                </c:pt>
                <c:pt idx="11">
                  <c:v>0.96000000000000019</c:v>
                </c:pt>
                <c:pt idx="12">
                  <c:v>0.98</c:v>
                </c:pt>
                <c:pt idx="13">
                  <c:v>1.1100000000000001</c:v>
                </c:pt>
                <c:pt idx="14">
                  <c:v>1.1200000000000001</c:v>
                </c:pt>
                <c:pt idx="15">
                  <c:v>1.1200000000000001</c:v>
                </c:pt>
                <c:pt idx="16">
                  <c:v>1.1200000000000001</c:v>
                </c:pt>
                <c:pt idx="17">
                  <c:v>1.1499999999999995</c:v>
                </c:pt>
                <c:pt idx="18">
                  <c:v>1.3900000000000001</c:v>
                </c:pt>
                <c:pt idx="19">
                  <c:v>1.6700000000000004</c:v>
                </c:pt>
                <c:pt idx="20">
                  <c:v>1.7900000000000003</c:v>
                </c:pt>
                <c:pt idx="21">
                  <c:v>1.9500000000000002</c:v>
                </c:pt>
                <c:pt idx="22">
                  <c:v>2.1800000000000002</c:v>
                </c:pt>
                <c:pt idx="23">
                  <c:v>2.21</c:v>
                </c:pt>
                <c:pt idx="24">
                  <c:v>2.21</c:v>
                </c:pt>
                <c:pt idx="25">
                  <c:v>2.2000000000000002</c:v>
                </c:pt>
                <c:pt idx="26">
                  <c:v>2.2000000000000002</c:v>
                </c:pt>
                <c:pt idx="27">
                  <c:v>2.21</c:v>
                </c:pt>
                <c:pt idx="28">
                  <c:v>2.319999999999999</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0.4300000000000001</c:v>
                </c:pt>
                <c:pt idx="42">
                  <c:v>0.4300000000000001</c:v>
                </c:pt>
                <c:pt idx="43">
                  <c:v>0.4300000000000001</c:v>
                </c:pt>
                <c:pt idx="44">
                  <c:v>0.44000000000000006</c:v>
                </c:pt>
                <c:pt idx="45">
                  <c:v>0.4300000000000001</c:v>
                </c:pt>
                <c:pt idx="46">
                  <c:v>0.44000000000000006</c:v>
                </c:pt>
                <c:pt idx="47">
                  <c:v>0.4900000000000001</c:v>
                </c:pt>
                <c:pt idx="48">
                  <c:v>0.4900000000000001</c:v>
                </c:pt>
                <c:pt idx="49">
                  <c:v>0.54</c:v>
                </c:pt>
                <c:pt idx="50">
                  <c:v>0.56000000000000005</c:v>
                </c:pt>
                <c:pt idx="51">
                  <c:v>0.56000000000000005</c:v>
                </c:pt>
                <c:pt idx="52">
                  <c:v>0.67000000000000026</c:v>
                </c:pt>
                <c:pt idx="53">
                  <c:v>0.78</c:v>
                </c:pt>
                <c:pt idx="54">
                  <c:v>1</c:v>
                </c:pt>
                <c:pt idx="55">
                  <c:v>1.3</c:v>
                </c:pt>
                <c:pt idx="56">
                  <c:v>1.52</c:v>
                </c:pt>
                <c:pt idx="57">
                  <c:v>2.44</c:v>
                </c:pt>
                <c:pt idx="58">
                  <c:v>3.5</c:v>
                </c:pt>
                <c:pt idx="59">
                  <c:v>3.96</c:v>
                </c:pt>
                <c:pt idx="60">
                  <c:v>4.55</c:v>
                </c:pt>
                <c:pt idx="61">
                  <c:v>4.87</c:v>
                </c:pt>
                <c:pt idx="62">
                  <c:v>5.1199999999999983</c:v>
                </c:pt>
                <c:pt idx="63">
                  <c:v>5.74</c:v>
                </c:pt>
                <c:pt idx="64">
                  <c:v>6.33</c:v>
                </c:pt>
                <c:pt idx="65">
                  <c:v>7.02</c:v>
                </c:pt>
                <c:pt idx="66">
                  <c:v>7.55</c:v>
                </c:pt>
                <c:pt idx="67">
                  <c:v>7.48</c:v>
                </c:pt>
                <c:pt idx="68">
                  <c:v>7.44</c:v>
                </c:pt>
              </c:numCache>
            </c:numRef>
          </c:val>
          <c:smooth val="0"/>
          <c:extLst>
            <c:ext xmlns:c16="http://schemas.microsoft.com/office/drawing/2014/chart" uri="{C3380CC4-5D6E-409C-BE32-E72D297353CC}">
              <c16:uniqueId val="{00000004-9AD0-4531-8880-99F8CDA8BA5D}"/>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1'!$A$66:$B$134</c:f>
              <c:multiLvlStrCache>
                <c:ptCount val="69"/>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lvl>
                <c:lvl>
                  <c:pt idx="0">
                    <c:v>2017</c:v>
                  </c:pt>
                  <c:pt idx="12">
                    <c:v>2018</c:v>
                  </c:pt>
                  <c:pt idx="24">
                    <c:v>2019</c:v>
                  </c:pt>
                  <c:pt idx="36">
                    <c:v>2020</c:v>
                  </c:pt>
                  <c:pt idx="48">
                    <c:v>2021</c:v>
                  </c:pt>
                  <c:pt idx="60">
                    <c:v>2022</c:v>
                  </c:pt>
                </c:lvl>
              </c:multiLvlStrCache>
            </c:multiLvlStrRef>
          </c:cat>
          <c:val>
            <c:numRef>
              <c:f>'Měnové podmínky 1'!$H$66:$H$134</c:f>
              <c:numCache>
                <c:formatCode>General</c:formatCode>
                <c:ptCount val="69"/>
                <c:pt idx="0">
                  <c:v>0.47000000000000008</c:v>
                </c:pt>
                <c:pt idx="1">
                  <c:v>0.63000000000000023</c:v>
                </c:pt>
                <c:pt idx="2">
                  <c:v>0.87000000000000022</c:v>
                </c:pt>
                <c:pt idx="3">
                  <c:v>0.96000000000000019</c:v>
                </c:pt>
                <c:pt idx="4">
                  <c:v>0.74000000000000021</c:v>
                </c:pt>
                <c:pt idx="5">
                  <c:v>0.77000000000000013</c:v>
                </c:pt>
                <c:pt idx="6">
                  <c:v>0.9</c:v>
                </c:pt>
                <c:pt idx="7">
                  <c:v>0.83000000000000018</c:v>
                </c:pt>
                <c:pt idx="8">
                  <c:v>0.97000000000000008</c:v>
                </c:pt>
                <c:pt idx="9">
                  <c:v>1.45</c:v>
                </c:pt>
                <c:pt idx="10">
                  <c:v>1.6800000000000004</c:v>
                </c:pt>
                <c:pt idx="11">
                  <c:v>1.5</c:v>
                </c:pt>
                <c:pt idx="12">
                  <c:v>1.7700000000000002</c:v>
                </c:pt>
                <c:pt idx="13">
                  <c:v>1.82</c:v>
                </c:pt>
                <c:pt idx="14">
                  <c:v>1.81</c:v>
                </c:pt>
                <c:pt idx="15">
                  <c:v>1.7400000000000002</c:v>
                </c:pt>
                <c:pt idx="16">
                  <c:v>1.8900000000000001</c:v>
                </c:pt>
                <c:pt idx="17">
                  <c:v>2.14</c:v>
                </c:pt>
                <c:pt idx="18">
                  <c:v>2.11</c:v>
                </c:pt>
                <c:pt idx="19">
                  <c:v>2.14</c:v>
                </c:pt>
                <c:pt idx="20">
                  <c:v>2.14</c:v>
                </c:pt>
                <c:pt idx="21">
                  <c:v>2.14</c:v>
                </c:pt>
                <c:pt idx="22">
                  <c:v>2.0699999999999998</c:v>
                </c:pt>
                <c:pt idx="23">
                  <c:v>2.0099999999999998</c:v>
                </c:pt>
                <c:pt idx="24">
                  <c:v>1.85</c:v>
                </c:pt>
                <c:pt idx="25">
                  <c:v>1.7600000000000002</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0.86000000000000021</c:v>
                </c:pt>
                <c:pt idx="42">
                  <c:v>0.86000000000000021</c:v>
                </c:pt>
                <c:pt idx="43">
                  <c:v>0.95000000000000018</c:v>
                </c:pt>
                <c:pt idx="44">
                  <c:v>0.98</c:v>
                </c:pt>
                <c:pt idx="45">
                  <c:v>0.94000000000000017</c:v>
                </c:pt>
                <c:pt idx="46">
                  <c:v>1.1200000000000001</c:v>
                </c:pt>
                <c:pt idx="47">
                  <c:v>1.26</c:v>
                </c:pt>
                <c:pt idx="48">
                  <c:v>1.28</c:v>
                </c:pt>
                <c:pt idx="49">
                  <c:v>1.49</c:v>
                </c:pt>
                <c:pt idx="50">
                  <c:v>1.87</c:v>
                </c:pt>
                <c:pt idx="51">
                  <c:v>1.86</c:v>
                </c:pt>
                <c:pt idx="52">
                  <c:v>1.7400000000000002</c:v>
                </c:pt>
                <c:pt idx="53">
                  <c:v>1.6700000000000004</c:v>
                </c:pt>
                <c:pt idx="54">
                  <c:v>1.7200000000000002</c:v>
                </c:pt>
                <c:pt idx="55">
                  <c:v>1.7400000000000002</c:v>
                </c:pt>
                <c:pt idx="56">
                  <c:v>1.9000000000000001</c:v>
                </c:pt>
                <c:pt idx="57">
                  <c:v>2.34</c:v>
                </c:pt>
                <c:pt idx="58">
                  <c:v>2.62</c:v>
                </c:pt>
                <c:pt idx="59">
                  <c:v>2.62</c:v>
                </c:pt>
                <c:pt idx="60">
                  <c:v>3.12</c:v>
                </c:pt>
                <c:pt idx="61">
                  <c:v>3.03</c:v>
                </c:pt>
                <c:pt idx="62">
                  <c:v>3.53</c:v>
                </c:pt>
                <c:pt idx="63">
                  <c:v>4.01</c:v>
                </c:pt>
                <c:pt idx="64">
                  <c:v>4.6099999999999985</c:v>
                </c:pt>
                <c:pt idx="65">
                  <c:v>5.1199999999999983</c:v>
                </c:pt>
                <c:pt idx="66">
                  <c:v>4.4000000000000004</c:v>
                </c:pt>
                <c:pt idx="67">
                  <c:v>4.1099999999999985</c:v>
                </c:pt>
                <c:pt idx="68">
                  <c:v>4.72</c:v>
                </c:pt>
              </c:numCache>
            </c:numRef>
          </c:val>
          <c:smooth val="0"/>
          <c:extLst>
            <c:ext xmlns:c16="http://schemas.microsoft.com/office/drawing/2014/chart" uri="{C3380CC4-5D6E-409C-BE32-E72D297353CC}">
              <c16:uniqueId val="{00000005-9AD0-4531-8880-99F8CDA8BA5D}"/>
            </c:ext>
          </c:extLst>
        </c:ser>
        <c:dLbls>
          <c:showLegendKey val="0"/>
          <c:showVal val="0"/>
          <c:showCatName val="0"/>
          <c:showSerName val="0"/>
          <c:showPercent val="0"/>
          <c:showBubbleSize val="0"/>
        </c:dLbls>
        <c:marker val="1"/>
        <c:smooth val="0"/>
        <c:axId val="80279424"/>
        <c:axId val="88504576"/>
      </c:lineChart>
      <c:catAx>
        <c:axId val="80279424"/>
        <c:scaling>
          <c:orientation val="minMax"/>
        </c:scaling>
        <c:delete val="0"/>
        <c:axPos val="b"/>
        <c:numFmt formatCode="General" sourceLinked="0"/>
        <c:majorTickMark val="out"/>
        <c:minorTickMark val="none"/>
        <c:tickLblPos val="low"/>
        <c:spPr>
          <a:ln>
            <a:solidFill>
              <a:schemeClr val="tx1"/>
            </a:solidFill>
          </a:ln>
        </c:spPr>
        <c:crossAx val="88504576"/>
        <c:crosses val="autoZero"/>
        <c:auto val="1"/>
        <c:lblAlgn val="ctr"/>
        <c:lblOffset val="100"/>
        <c:noMultiLvlLbl val="0"/>
      </c:catAx>
      <c:valAx>
        <c:axId val="88504576"/>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80279424"/>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7E-2"/>
          <c:y val="1.7107238390107422E-2"/>
          <c:w val="0.84230585710151396"/>
          <c:h val="0.79619777907171629"/>
        </c:manualLayout>
      </c:layout>
      <c:barChart>
        <c:barDir val="col"/>
        <c:grouping val="stacked"/>
        <c:varyColors val="0"/>
        <c:ser>
          <c:idx val="1"/>
          <c:order val="1"/>
          <c:tx>
            <c:strRef>
              <c:f>'G1-Státní rozpočet-příjmy-2020'!$A$30</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rozpočet-příjmy-2020'!$D$30:$S$30</c:f>
              <c:numCache>
                <c:formatCode>0.0</c:formatCode>
                <c:ptCount val="16"/>
                <c:pt idx="0">
                  <c:v>0.41301975218814735</c:v>
                </c:pt>
                <c:pt idx="1">
                  <c:v>0.39922458302144492</c:v>
                </c:pt>
                <c:pt idx="2">
                  <c:v>-0.52138580751874442</c:v>
                </c:pt>
                <c:pt idx="3">
                  <c:v>0.38494174134398523</c:v>
                </c:pt>
                <c:pt idx="4">
                  <c:v>0.75782132576051064</c:v>
                </c:pt>
                <c:pt idx="5">
                  <c:v>0.20431008938392781</c:v>
                </c:pt>
                <c:pt idx="6">
                  <c:v>-0.31949620849206295</c:v>
                </c:pt>
                <c:pt idx="7">
                  <c:v>3.5798749491447214E-2</c:v>
                </c:pt>
                <c:pt idx="8">
                  <c:v>0.40823718281484206</c:v>
                </c:pt>
                <c:pt idx="9">
                  <c:v>0.44161079131733499</c:v>
                </c:pt>
                <c:pt idx="10">
                  <c:v>0.24214568841864642</c:v>
                </c:pt>
                <c:pt idx="11">
                  <c:v>0.18312368925754777</c:v>
                </c:pt>
                <c:pt idx="12">
                  <c:v>0.47861875769007417</c:v>
                </c:pt>
                <c:pt idx="13">
                  <c:v>-1.6740814890995943E-2</c:v>
                </c:pt>
                <c:pt idx="14">
                  <c:v>0.1646798744334079</c:v>
                </c:pt>
                <c:pt idx="15">
                  <c:v>0.55414942838224612</c:v>
                </c:pt>
              </c:numCache>
            </c:numRef>
          </c:val>
          <c:extLst>
            <c:ext xmlns:c16="http://schemas.microsoft.com/office/drawing/2014/chart" uri="{C3380CC4-5D6E-409C-BE32-E72D297353CC}">
              <c16:uniqueId val="{00000000-4742-45A4-8C19-2BF15DED971F}"/>
            </c:ext>
          </c:extLst>
        </c:ser>
        <c:ser>
          <c:idx val="3"/>
          <c:order val="2"/>
          <c:tx>
            <c:strRef>
              <c:f>'G1-Státní rozpočet-příjmy-2020'!$A$31</c:f>
              <c:strCache>
                <c:ptCount val="1"/>
                <c:pt idx="0">
                  <c:v>Daně z příjmů fyzických osob</c:v>
                </c:pt>
              </c:strCache>
            </c:strRef>
          </c:tx>
          <c:spPr>
            <a:solidFill>
              <a:srgbClr val="EA6C75"/>
            </a:solidFill>
            <a:ln w="19050">
              <a:noFill/>
              <a:prstDash val="sysDot"/>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rozpočet-příjmy-2020'!$D$31:$S$31</c:f>
              <c:numCache>
                <c:formatCode>0.0</c:formatCode>
                <c:ptCount val="16"/>
                <c:pt idx="0">
                  <c:v>2.1378587172847721</c:v>
                </c:pt>
                <c:pt idx="1">
                  <c:v>-0.89057791597090286</c:v>
                </c:pt>
                <c:pt idx="2">
                  <c:v>-2.3911831862066477</c:v>
                </c:pt>
                <c:pt idx="3">
                  <c:v>0.45944659450733683</c:v>
                </c:pt>
                <c:pt idx="4">
                  <c:v>0.27425503773438153</c:v>
                </c:pt>
                <c:pt idx="5">
                  <c:v>0.5658832314748945</c:v>
                </c:pt>
                <c:pt idx="6">
                  <c:v>0.76653574247405765</c:v>
                </c:pt>
                <c:pt idx="7">
                  <c:v>1.1680102450225207</c:v>
                </c:pt>
                <c:pt idx="8">
                  <c:v>0.24848817893269884</c:v>
                </c:pt>
                <c:pt idx="9">
                  <c:v>2.4022988925870408</c:v>
                </c:pt>
                <c:pt idx="10">
                  <c:v>2.1715995496398643</c:v>
                </c:pt>
                <c:pt idx="11">
                  <c:v>2.8466827137894786</c:v>
                </c:pt>
                <c:pt idx="12">
                  <c:v>2.8423893336720392</c:v>
                </c:pt>
                <c:pt idx="13">
                  <c:v>-2.1733753383442047</c:v>
                </c:pt>
                <c:pt idx="14">
                  <c:v>-5.5933052113723694</c:v>
                </c:pt>
                <c:pt idx="15">
                  <c:v>2.2392017771771804</c:v>
                </c:pt>
              </c:numCache>
            </c:numRef>
          </c:val>
          <c:extLst>
            <c:ext xmlns:c16="http://schemas.microsoft.com/office/drawing/2014/chart" uri="{C3380CC4-5D6E-409C-BE32-E72D297353CC}">
              <c16:uniqueId val="{00000001-4742-45A4-8C19-2BF15DED971F}"/>
            </c:ext>
          </c:extLst>
        </c:ser>
        <c:ser>
          <c:idx val="4"/>
          <c:order val="3"/>
          <c:tx>
            <c:strRef>
              <c:f>'G1-Státní rozpočet-příjmy-2020'!$A$32</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rozpočet-příjmy-2020'!$D$32:$S$32</c:f>
              <c:numCache>
                <c:formatCode>0.0</c:formatCode>
                <c:ptCount val="16"/>
                <c:pt idx="0">
                  <c:v>4.6694771983136834</c:v>
                </c:pt>
                <c:pt idx="1">
                  <c:v>4.0018425749985633</c:v>
                </c:pt>
                <c:pt idx="2">
                  <c:v>-9.4748386400819857</c:v>
                </c:pt>
                <c:pt idx="3">
                  <c:v>1.069972474595916</c:v>
                </c:pt>
                <c:pt idx="4">
                  <c:v>-1.1806582120905686</c:v>
                </c:pt>
                <c:pt idx="5">
                  <c:v>1.5944142400339956</c:v>
                </c:pt>
                <c:pt idx="6">
                  <c:v>-1.1178646244413311</c:v>
                </c:pt>
                <c:pt idx="7">
                  <c:v>1.5408961448419181</c:v>
                </c:pt>
                <c:pt idx="8">
                  <c:v>2.0070199067641155</c:v>
                </c:pt>
                <c:pt idx="9">
                  <c:v>2.4996667023494781</c:v>
                </c:pt>
                <c:pt idx="10">
                  <c:v>4.1642889091102545E-2</c:v>
                </c:pt>
                <c:pt idx="11">
                  <c:v>0.43384885916488108</c:v>
                </c:pt>
                <c:pt idx="12">
                  <c:v>1.5935221228717715</c:v>
                </c:pt>
                <c:pt idx="13">
                  <c:v>-3.6005022371045392</c:v>
                </c:pt>
                <c:pt idx="14">
                  <c:v>5.8351210797303699</c:v>
                </c:pt>
                <c:pt idx="15">
                  <c:v>3.5015705407711231</c:v>
                </c:pt>
              </c:numCache>
            </c:numRef>
          </c:val>
          <c:extLst>
            <c:ext xmlns:c16="http://schemas.microsoft.com/office/drawing/2014/chart" uri="{C3380CC4-5D6E-409C-BE32-E72D297353CC}">
              <c16:uniqueId val="{00000002-4742-45A4-8C19-2BF15DED971F}"/>
            </c:ext>
          </c:extLst>
        </c:ser>
        <c:ser>
          <c:idx val="2"/>
          <c:order val="4"/>
          <c:tx>
            <c:strRef>
              <c:f>'G1-Státní rozpočet-příjmy-2020'!$A$33</c:f>
              <c:strCache>
                <c:ptCount val="1"/>
                <c:pt idx="0">
                  <c:v>Spotřební daň</c:v>
                </c:pt>
              </c:strCache>
            </c:strRef>
          </c:tx>
          <c:spPr>
            <a:solidFill>
              <a:schemeClr val="accent5">
                <a:lumMod val="40000"/>
                <a:lumOff val="60000"/>
              </a:schemeClr>
            </a:solidFill>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rozpočet-příjmy-2020'!$D$33:$S$33</c:f>
              <c:numCache>
                <c:formatCode>0.0</c:formatCode>
                <c:ptCount val="16"/>
                <c:pt idx="0">
                  <c:v>0.88381946970832059</c:v>
                </c:pt>
                <c:pt idx="1">
                  <c:v>0.59883687453215728</c:v>
                </c:pt>
                <c:pt idx="2">
                  <c:v>-0.61307779435824561</c:v>
                </c:pt>
                <c:pt idx="3">
                  <c:v>1.3452265154494092</c:v>
                </c:pt>
                <c:pt idx="4">
                  <c:v>1.240955418968342</c:v>
                </c:pt>
                <c:pt idx="5">
                  <c:v>-0.30205929247646662</c:v>
                </c:pt>
                <c:pt idx="6">
                  <c:v>-0.71956664060677211</c:v>
                </c:pt>
                <c:pt idx="7">
                  <c:v>0.39847610863053273</c:v>
                </c:pt>
                <c:pt idx="8">
                  <c:v>0.80107028313269024</c:v>
                </c:pt>
                <c:pt idx="9">
                  <c:v>1.2070250899860806</c:v>
                </c:pt>
                <c:pt idx="10">
                  <c:v>0.53056125360519424</c:v>
                </c:pt>
                <c:pt idx="11">
                  <c:v>0.2623272171694625</c:v>
                </c:pt>
                <c:pt idx="12">
                  <c:v>-3.9196048823818816E-2</c:v>
                </c:pt>
                <c:pt idx="13">
                  <c:v>-0.40403836868730231</c:v>
                </c:pt>
                <c:pt idx="14">
                  <c:v>-0.90340003396450952</c:v>
                </c:pt>
                <c:pt idx="15">
                  <c:v>1.201751777795012</c:v>
                </c:pt>
              </c:numCache>
            </c:numRef>
          </c:val>
          <c:extLst>
            <c:ext xmlns:c16="http://schemas.microsoft.com/office/drawing/2014/chart" uri="{C3380CC4-5D6E-409C-BE32-E72D297353CC}">
              <c16:uniqueId val="{00000003-4742-45A4-8C19-2BF15DED971F}"/>
            </c:ext>
          </c:extLst>
        </c:ser>
        <c:ser>
          <c:idx val="5"/>
          <c:order val="5"/>
          <c:tx>
            <c:strRef>
              <c:f>'G1-Státní rozpočet-příjmy-2020'!$A$34</c:f>
              <c:strCache>
                <c:ptCount val="1"/>
                <c:pt idx="0">
                  <c:v>DPH</c:v>
                </c:pt>
              </c:strCache>
            </c:strRef>
          </c:tx>
          <c:spPr>
            <a:solidFill>
              <a:srgbClr val="92D050"/>
            </a:solidFill>
            <a:ln>
              <a:noFill/>
            </a:ln>
          </c:spPr>
          <c:invertIfNegative val="0"/>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rozpočet-příjmy-2020'!$D$34:$S$34</c:f>
              <c:numCache>
                <c:formatCode>0.0</c:formatCode>
                <c:ptCount val="16"/>
                <c:pt idx="0">
                  <c:v>3.3918979648612186</c:v>
                </c:pt>
                <c:pt idx="1">
                  <c:v>2.6467822114738673</c:v>
                </c:pt>
                <c:pt idx="2">
                  <c:v>-0.12764962873734884</c:v>
                </c:pt>
                <c:pt idx="3">
                  <c:v>3.1416213083880091</c:v>
                </c:pt>
                <c:pt idx="4">
                  <c:v>0.64965377732825402</c:v>
                </c:pt>
                <c:pt idx="5">
                  <c:v>-0.30588282782426718</c:v>
                </c:pt>
                <c:pt idx="6">
                  <c:v>4.1746137739640954</c:v>
                </c:pt>
                <c:pt idx="7">
                  <c:v>2.047216704890801</c:v>
                </c:pt>
                <c:pt idx="8">
                  <c:v>4.5179668896857879E-2</c:v>
                </c:pt>
                <c:pt idx="9">
                  <c:v>2.2948585507802108</c:v>
                </c:pt>
                <c:pt idx="10">
                  <c:v>4.0193099619044688</c:v>
                </c:pt>
                <c:pt idx="11">
                  <c:v>2.915867913922086</c:v>
                </c:pt>
                <c:pt idx="12">
                  <c:v>1.9070905134623093</c:v>
                </c:pt>
                <c:pt idx="13">
                  <c:v>-0.75630542506162945</c:v>
                </c:pt>
                <c:pt idx="14">
                  <c:v>3.0448827044485705</c:v>
                </c:pt>
                <c:pt idx="15">
                  <c:v>7.9524262275546294</c:v>
                </c:pt>
              </c:numCache>
            </c:numRef>
          </c:val>
          <c:extLst>
            <c:ext xmlns:c16="http://schemas.microsoft.com/office/drawing/2014/chart" uri="{C3380CC4-5D6E-409C-BE32-E72D297353CC}">
              <c16:uniqueId val="{00000004-4742-45A4-8C19-2BF15DED971F}"/>
            </c:ext>
          </c:extLst>
        </c:ser>
        <c:dLbls>
          <c:showLegendKey val="0"/>
          <c:showVal val="0"/>
          <c:showCatName val="0"/>
          <c:showSerName val="0"/>
          <c:showPercent val="0"/>
          <c:showBubbleSize val="0"/>
        </c:dLbls>
        <c:gapWidth val="105"/>
        <c:overlap val="100"/>
        <c:axId val="77256576"/>
        <c:axId val="77258112"/>
      </c:barChart>
      <c:lineChart>
        <c:grouping val="standard"/>
        <c:varyColors val="0"/>
        <c:ser>
          <c:idx val="0"/>
          <c:order val="0"/>
          <c:tx>
            <c:strRef>
              <c:f>'G1-Státní rozpočet-příjmy-2020'!$A$29</c:f>
              <c:strCache>
                <c:ptCount val="1"/>
                <c:pt idx="0">
                  <c:v>Celk.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rozpočet-příjmy-2020'!$D$29:$S$29</c:f>
              <c:numCache>
                <c:formatCode>0.0</c:formatCode>
                <c:ptCount val="16"/>
                <c:pt idx="0">
                  <c:v>11.496073102356128</c:v>
                </c:pt>
                <c:pt idx="1">
                  <c:v>6.7561083280551344</c:v>
                </c:pt>
                <c:pt idx="2">
                  <c:v>-13.128135056902977</c:v>
                </c:pt>
                <c:pt idx="3">
                  <c:v>6.4012086342846661</c:v>
                </c:pt>
                <c:pt idx="4">
                  <c:v>1.7420273477009258</c:v>
                </c:pt>
                <c:pt idx="5">
                  <c:v>1.7566654405920734</c:v>
                </c:pt>
                <c:pt idx="6">
                  <c:v>2.7842220428979987</c:v>
                </c:pt>
                <c:pt idx="7">
                  <c:v>5.1903979528772162</c:v>
                </c:pt>
                <c:pt idx="8">
                  <c:v>3.5099952205412142</c:v>
                </c:pt>
                <c:pt idx="9">
                  <c:v>8.8454600270201453</c:v>
                </c:pt>
                <c:pt idx="10">
                  <c:v>7.0052593426592722</c:v>
                </c:pt>
                <c:pt idx="11">
                  <c:v>6.6418503933034572</c:v>
                </c:pt>
                <c:pt idx="12">
                  <c:v>6.7824246788723741</c:v>
                </c:pt>
                <c:pt idx="13">
                  <c:v>-6.9509621840886746</c:v>
                </c:pt>
                <c:pt idx="14">
                  <c:v>2.547978413275473</c:v>
                </c:pt>
                <c:pt idx="15">
                  <c:v>15.44909975168018</c:v>
                </c:pt>
              </c:numCache>
            </c:numRef>
          </c:val>
          <c:smooth val="0"/>
          <c:extLst>
            <c:ext xmlns:c16="http://schemas.microsoft.com/office/drawing/2014/chart" uri="{C3380CC4-5D6E-409C-BE32-E72D297353CC}">
              <c16:uniqueId val="{00000005-4742-45A4-8C19-2BF15DED971F}"/>
            </c:ext>
          </c:extLst>
        </c:ser>
        <c:dLbls>
          <c:showLegendKey val="0"/>
          <c:showVal val="0"/>
          <c:showCatName val="0"/>
          <c:showSerName val="0"/>
          <c:showPercent val="0"/>
          <c:showBubbleSize val="0"/>
        </c:dLbls>
        <c:marker val="1"/>
        <c:smooth val="0"/>
        <c:axId val="77256576"/>
        <c:axId val="77258112"/>
      </c:lineChart>
      <c:lineChart>
        <c:grouping val="standard"/>
        <c:varyColors val="0"/>
        <c:ser>
          <c:idx val="6"/>
          <c:order val="6"/>
          <c:tx>
            <c:strRef>
              <c:f>'G1-Státní rozpočet-příjmy-2020'!$A$35</c:f>
              <c:strCache>
                <c:ptCount val="1"/>
                <c:pt idx="0">
                  <c:v>Saldo státního rozpočtu (pravá osa)</c:v>
                </c:pt>
              </c:strCache>
            </c:strRef>
          </c:tx>
          <c:spPr>
            <a:ln w="19050">
              <a:solidFill>
                <a:schemeClr val="tx1">
                  <a:lumMod val="65000"/>
                  <a:lumOff val="35000"/>
                </a:schemeClr>
              </a:solidFill>
            </a:ln>
          </c:spPr>
          <c:marker>
            <c:symbol val="none"/>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rozpočet-příjmy-2020'!$D$35:$S$35</c:f>
              <c:numCache>
                <c:formatCode>#\ ##0.0</c:formatCode>
                <c:ptCount val="16"/>
                <c:pt idx="0">
                  <c:v>36.316000000000003</c:v>
                </c:pt>
                <c:pt idx="1">
                  <c:v>10.473000000000004</c:v>
                </c:pt>
                <c:pt idx="2">
                  <c:v>-87.296000000000006</c:v>
                </c:pt>
                <c:pt idx="3">
                  <c:v>-99.554999999999993</c:v>
                </c:pt>
                <c:pt idx="4">
                  <c:v>-105.13800000000001</c:v>
                </c:pt>
                <c:pt idx="5">
                  <c:v>-71.412000000000006</c:v>
                </c:pt>
                <c:pt idx="6">
                  <c:v>-38.241</c:v>
                </c:pt>
                <c:pt idx="7">
                  <c:v>-34.39</c:v>
                </c:pt>
                <c:pt idx="8">
                  <c:v>-2.77</c:v>
                </c:pt>
                <c:pt idx="9">
                  <c:v>82.27</c:v>
                </c:pt>
                <c:pt idx="10">
                  <c:v>17.399999999999999</c:v>
                </c:pt>
                <c:pt idx="11">
                  <c:v>16.77</c:v>
                </c:pt>
                <c:pt idx="12">
                  <c:v>-20.99</c:v>
                </c:pt>
                <c:pt idx="13">
                  <c:v>-252.66738666548997</c:v>
                </c:pt>
                <c:pt idx="14">
                  <c:v>-326.27150374008011</c:v>
                </c:pt>
                <c:pt idx="15">
                  <c:v>-270.87650309327927</c:v>
                </c:pt>
              </c:numCache>
            </c:numRef>
          </c:val>
          <c:smooth val="0"/>
          <c:extLst>
            <c:ext xmlns:c16="http://schemas.microsoft.com/office/drawing/2014/chart" uri="{C3380CC4-5D6E-409C-BE32-E72D297353CC}">
              <c16:uniqueId val="{00000006-4742-45A4-8C19-2BF15DED971F}"/>
            </c:ext>
          </c:extLst>
        </c:ser>
        <c:ser>
          <c:idx val="7"/>
          <c:order val="7"/>
          <c:tx>
            <c:strRef>
              <c:f>'G1-Státní rozpočet-příjmy-2020'!$A$36</c:f>
              <c:strCache>
                <c:ptCount val="1"/>
                <c:pt idx="0">
                  <c:v>Saldo SR očišť. o vliv EU a FM (pr. osa)</c:v>
                </c:pt>
              </c:strCache>
            </c:strRef>
          </c:tx>
          <c:spPr>
            <a:ln w="19050">
              <a:solidFill>
                <a:schemeClr val="bg1">
                  <a:lumMod val="50000"/>
                </a:schemeClr>
              </a:solidFill>
              <a:prstDash val="sysDash"/>
            </a:ln>
          </c:spPr>
          <c:marker>
            <c:symbol val="none"/>
          </c:marker>
          <c:cat>
            <c:numRef>
              <c:f>'G1-Státní rozpočet-příjmy-2020'!$D$28:$S$28</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'G1-Státní rozpočet-příjmy-2020'!$D$36:$S$36</c:f>
              <c:numCache>
                <c:formatCode>General</c:formatCode>
                <c:ptCount val="16"/>
                <c:pt idx="6" formatCode="#\ ##0.0">
                  <c:v>-65.2</c:v>
                </c:pt>
                <c:pt idx="7" formatCode="#\ ##0.0">
                  <c:v>-52.7</c:v>
                </c:pt>
                <c:pt idx="8" formatCode="#\ ##0.0">
                  <c:v>-40.5</c:v>
                </c:pt>
                <c:pt idx="9" formatCode="#\ ##0.0">
                  <c:v>-7.2</c:v>
                </c:pt>
                <c:pt idx="10" formatCode="#\ ##0.0">
                  <c:v>0.9</c:v>
                </c:pt>
                <c:pt idx="11" formatCode="#\ ##0.0">
                  <c:v>-4.8</c:v>
                </c:pt>
                <c:pt idx="12" formatCode="#\ ##0.0">
                  <c:v>-19</c:v>
                </c:pt>
                <c:pt idx="13" formatCode="#\ ##0.0">
                  <c:v>-256.58390719528029</c:v>
                </c:pt>
                <c:pt idx="14" formatCode="#\ ##0.0">
                  <c:v>-325.0604759008105</c:v>
                </c:pt>
                <c:pt idx="15" formatCode="#\ ##0.0">
                  <c:v>-255.5572431768494</c:v>
                </c:pt>
              </c:numCache>
            </c:numRef>
          </c:val>
          <c:smooth val="0"/>
          <c:extLst>
            <c:ext xmlns:c16="http://schemas.microsoft.com/office/drawing/2014/chart" uri="{C3380CC4-5D6E-409C-BE32-E72D297353CC}">
              <c16:uniqueId val="{00000007-4742-45A4-8C19-2BF15DED971F}"/>
            </c:ext>
          </c:extLst>
        </c:ser>
        <c:dLbls>
          <c:showLegendKey val="0"/>
          <c:showVal val="0"/>
          <c:showCatName val="0"/>
          <c:showSerName val="0"/>
          <c:showPercent val="0"/>
          <c:showBubbleSize val="0"/>
        </c:dLbls>
        <c:marker val="1"/>
        <c:smooth val="0"/>
        <c:axId val="77664256"/>
        <c:axId val="77624832"/>
      </c:lineChart>
      <c:catAx>
        <c:axId val="77256576"/>
        <c:scaling>
          <c:orientation val="minMax"/>
        </c:scaling>
        <c:delete val="0"/>
        <c:axPos val="b"/>
        <c:numFmt formatCode="General" sourceLinked="1"/>
        <c:majorTickMark val="out"/>
        <c:minorTickMark val="none"/>
        <c:tickLblPos val="low"/>
        <c:spPr>
          <a:ln w="6350">
            <a:solidFill>
              <a:schemeClr val="tx1"/>
            </a:solidFill>
          </a:ln>
        </c:spPr>
        <c:txPr>
          <a:bodyPr/>
          <a:lstStyle/>
          <a:p>
            <a:pPr>
              <a:defRPr sz="800" b="0" i="0"/>
            </a:pPr>
            <a:endParaRPr lang="cs-CZ"/>
          </a:p>
        </c:txPr>
        <c:crossAx val="77258112"/>
        <c:crosses val="autoZero"/>
        <c:auto val="1"/>
        <c:lblAlgn val="ctr"/>
        <c:lblOffset val="0"/>
        <c:noMultiLvlLbl val="0"/>
      </c:catAx>
      <c:valAx>
        <c:axId val="77258112"/>
        <c:scaling>
          <c:orientation val="minMax"/>
          <c:max val="16"/>
          <c:min val="-28"/>
        </c:scaling>
        <c:delete val="0"/>
        <c:axPos val="l"/>
        <c:majorGridlines>
          <c:spPr>
            <a:ln w="6350">
              <a:solidFill>
                <a:schemeClr val="bg1">
                  <a:lumMod val="75000"/>
                </a:schemeClr>
              </a:solidFill>
            </a:ln>
          </c:spPr>
        </c:majorGridlines>
        <c:title>
          <c:tx>
            <c:rich>
              <a:bodyPr/>
              <a:lstStyle/>
              <a:p>
                <a:pPr>
                  <a:defRPr b="0"/>
                </a:pPr>
                <a:r>
                  <a:rPr lang="cs-CZ" b="0"/>
                  <a:t>Příspěvek k růstu celkových daňových příjmů</a:t>
                </a:r>
              </a:p>
            </c:rich>
          </c:tx>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77256576"/>
        <c:crosses val="autoZero"/>
        <c:crossBetween val="between"/>
        <c:majorUnit val="4"/>
      </c:valAx>
      <c:valAx>
        <c:axId val="77624832"/>
        <c:scaling>
          <c:orientation val="minMax"/>
          <c:max val="200"/>
          <c:min val="-350"/>
        </c:scaling>
        <c:delete val="0"/>
        <c:axPos val="r"/>
        <c:title>
          <c:tx>
            <c:rich>
              <a:bodyPr/>
              <a:lstStyle/>
              <a:p>
                <a:pPr>
                  <a:defRPr b="0"/>
                </a:pPr>
                <a:r>
                  <a:rPr lang="cs-CZ" b="0"/>
                  <a:t>Saldo státního rozpočtu</a:t>
                </a:r>
              </a:p>
            </c:rich>
          </c:tx>
          <c:layout>
            <c:manualLayout>
              <c:xMode val="edge"/>
              <c:yMode val="edge"/>
              <c:x val="0.97036646544776517"/>
              <c:y val="0.20963215506367219"/>
            </c:manualLayout>
          </c:layout>
          <c:overlay val="0"/>
        </c:title>
        <c:numFmt formatCode="#,##0" sourceLinked="0"/>
        <c:majorTickMark val="out"/>
        <c:minorTickMark val="none"/>
        <c:tickLblPos val="nextTo"/>
        <c:txPr>
          <a:bodyPr/>
          <a:lstStyle/>
          <a:p>
            <a:pPr>
              <a:defRPr sz="800" b="0" i="0"/>
            </a:pPr>
            <a:endParaRPr lang="cs-CZ"/>
          </a:p>
        </c:txPr>
        <c:crossAx val="77664256"/>
        <c:crosses val="max"/>
        <c:crossBetween val="between"/>
        <c:majorUnit val="50"/>
      </c:valAx>
      <c:catAx>
        <c:axId val="77664256"/>
        <c:scaling>
          <c:orientation val="minMax"/>
        </c:scaling>
        <c:delete val="1"/>
        <c:axPos val="b"/>
        <c:numFmt formatCode="General" sourceLinked="1"/>
        <c:majorTickMark val="out"/>
        <c:minorTickMark val="none"/>
        <c:tickLblPos val="none"/>
        <c:crossAx val="77624832"/>
        <c:crosses val="autoZero"/>
        <c:auto val="1"/>
        <c:lblAlgn val="ctr"/>
        <c:lblOffset val="100"/>
        <c:noMultiLvlLbl val="0"/>
      </c:catAx>
      <c:spPr>
        <a:ln w="6350">
          <a:solidFill>
            <a:schemeClr val="tx1"/>
          </a:solidFill>
        </a:ln>
      </c:spPr>
    </c:plotArea>
    <c:legend>
      <c:legendPos val="b"/>
      <c:layout>
        <c:manualLayout>
          <c:xMode val="edge"/>
          <c:yMode val="edge"/>
          <c:x val="1.0646178276027379E-2"/>
          <c:y val="0.86844331714374456"/>
          <c:w val="0.98608481551790739"/>
          <c:h val="0.1242422828760682"/>
        </c:manualLayout>
      </c:layout>
      <c:overlay val="0"/>
      <c:spPr>
        <a:ln w="6350">
          <a:solidFill>
            <a:schemeClr val="tx1"/>
          </a:solidFill>
        </a:ln>
      </c:spPr>
      <c:txPr>
        <a:bodyPr/>
        <a:lstStyle/>
        <a:p>
          <a:pPr>
            <a:defRPr sz="75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888679630405102E-2"/>
          <c:y val="1.7112323287741892E-2"/>
          <c:w val="0.8430501130701733"/>
          <c:h val="0.76067747074773961"/>
        </c:manualLayout>
      </c:layout>
      <c:barChart>
        <c:barDir val="col"/>
        <c:grouping val="clustered"/>
        <c:varyColors val="0"/>
        <c:ser>
          <c:idx val="0"/>
          <c:order val="0"/>
          <c:tx>
            <c:strRef>
              <c:f>'G2-St.rozpočet-výdaje-1q'!$B$35</c:f>
              <c:strCache>
                <c:ptCount val="1"/>
                <c:pt idx="0">
                  <c:v>Běžné výdaje celkem (pravá osa)</c:v>
                </c:pt>
              </c:strCache>
            </c:strRef>
          </c:tx>
          <c:spPr>
            <a:solidFill>
              <a:srgbClr val="D3D3D3"/>
            </a:solidFill>
            <a:ln>
              <a:noFill/>
            </a:ln>
          </c:spPr>
          <c:invertIfNegative val="0"/>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'G2-St.rozpočet-výdaje-1q'!$B$38:$B$53</c:f>
              <c:numCache>
                <c:formatCode>0.0</c:formatCode>
                <c:ptCount val="16"/>
                <c:pt idx="0">
                  <c:v>657.35999999999956</c:v>
                </c:pt>
                <c:pt idx="1">
                  <c:v>707.04</c:v>
                </c:pt>
                <c:pt idx="2">
                  <c:v>734.05</c:v>
                </c:pt>
                <c:pt idx="3">
                  <c:v>754.15</c:v>
                </c:pt>
                <c:pt idx="4">
                  <c:v>764.93</c:v>
                </c:pt>
                <c:pt idx="5">
                  <c:v>755.57</c:v>
                </c:pt>
                <c:pt idx="6">
                  <c:v>786.27000000000044</c:v>
                </c:pt>
                <c:pt idx="7">
                  <c:v>801.1</c:v>
                </c:pt>
                <c:pt idx="8">
                  <c:v>822.78000000000043</c:v>
                </c:pt>
                <c:pt idx="9">
                  <c:v>831.32999999999959</c:v>
                </c:pt>
                <c:pt idx="10">
                  <c:v>881.38</c:v>
                </c:pt>
                <c:pt idx="11">
                  <c:v>946.49</c:v>
                </c:pt>
                <c:pt idx="12">
                  <c:v>1039.0999999999999</c:v>
                </c:pt>
                <c:pt idx="13">
                  <c:v>1205.0999999999999</c:v>
                </c:pt>
                <c:pt idx="14">
                  <c:v>1305.6640510130499</c:v>
                </c:pt>
                <c:pt idx="15">
                  <c:v>1325.9885927240009</c:v>
                </c:pt>
              </c:numCache>
            </c:numRef>
          </c:val>
          <c:extLst>
            <c:ext xmlns:c16="http://schemas.microsoft.com/office/drawing/2014/chart" uri="{C3380CC4-5D6E-409C-BE32-E72D297353CC}">
              <c16:uniqueId val="{00000000-B3B9-4C56-AEC5-5365453C0FDA}"/>
            </c:ext>
          </c:extLst>
        </c:ser>
        <c:dLbls>
          <c:showLegendKey val="0"/>
          <c:showVal val="0"/>
          <c:showCatName val="0"/>
          <c:showSerName val="0"/>
          <c:showPercent val="0"/>
          <c:showBubbleSize val="0"/>
        </c:dLbls>
        <c:gapWidth val="70"/>
        <c:axId val="109055360"/>
        <c:axId val="109053440"/>
      </c:barChart>
      <c:lineChart>
        <c:grouping val="standard"/>
        <c:varyColors val="0"/>
        <c:ser>
          <c:idx val="1"/>
          <c:order val="1"/>
          <c:tx>
            <c:strRef>
              <c:f>'G2-St.rozpočet-výdaje-1q'!$C$35</c:f>
              <c:strCache>
                <c:ptCount val="1"/>
                <c:pt idx="0">
                  <c:v>Platy státních zaměstnanců*</c:v>
                </c:pt>
              </c:strCache>
            </c:strRef>
          </c:tx>
          <c:spPr>
            <a:ln w="15875">
              <a:solidFill>
                <a:srgbClr val="F8A124"/>
              </a:solidFill>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'G2-St.rozpočet-výdaje-1q'!$C$38:$C$53</c:f>
              <c:numCache>
                <c:formatCode>0.0</c:formatCode>
                <c:ptCount val="16"/>
                <c:pt idx="0">
                  <c:v>61.35</c:v>
                </c:pt>
                <c:pt idx="1">
                  <c:v>61.44</c:v>
                </c:pt>
                <c:pt idx="2">
                  <c:v>63.790000000000013</c:v>
                </c:pt>
                <c:pt idx="3">
                  <c:v>63.5</c:v>
                </c:pt>
                <c:pt idx="4">
                  <c:v>57.88</c:v>
                </c:pt>
                <c:pt idx="5">
                  <c:v>58.77</c:v>
                </c:pt>
                <c:pt idx="6">
                  <c:v>60.04</c:v>
                </c:pt>
                <c:pt idx="7">
                  <c:v>61.89</c:v>
                </c:pt>
                <c:pt idx="8">
                  <c:v>67.66</c:v>
                </c:pt>
                <c:pt idx="9">
                  <c:v>70.25</c:v>
                </c:pt>
                <c:pt idx="10">
                  <c:v>76.149999999999991</c:v>
                </c:pt>
                <c:pt idx="11">
                  <c:v>86.54</c:v>
                </c:pt>
                <c:pt idx="12">
                  <c:v>93.2</c:v>
                </c:pt>
                <c:pt idx="13">
                  <c:v>97.9</c:v>
                </c:pt>
                <c:pt idx="14">
                  <c:v>99.897257290169975</c:v>
                </c:pt>
                <c:pt idx="15">
                  <c:v>99.177095956479889</c:v>
                </c:pt>
              </c:numCache>
            </c:numRef>
          </c:val>
          <c:smooth val="0"/>
          <c:extLst>
            <c:ext xmlns:c16="http://schemas.microsoft.com/office/drawing/2014/chart" uri="{C3380CC4-5D6E-409C-BE32-E72D297353CC}">
              <c16:uniqueId val="{00000001-B3B9-4C56-AEC5-5365453C0FDA}"/>
            </c:ext>
          </c:extLst>
        </c:ser>
        <c:ser>
          <c:idx val="6"/>
          <c:order val="2"/>
          <c:tx>
            <c:strRef>
              <c:f>'G2-St.rozpočet-výdaje-1q'!$D$35</c:f>
              <c:strCache>
                <c:ptCount val="1"/>
                <c:pt idx="0">
                  <c:v>Podpora v nezaměstnanosti</c:v>
                </c:pt>
              </c:strCache>
            </c:strRef>
          </c:tx>
          <c:spPr>
            <a:ln w="15875">
              <a:solidFill>
                <a:srgbClr val="48AEE7"/>
              </a:solidFill>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'G2-St.rozpočet-výdaje-1q'!$D$38:$D$53</c:f>
              <c:numCache>
                <c:formatCode>0.0</c:formatCode>
                <c:ptCount val="16"/>
                <c:pt idx="0">
                  <c:v>5.44</c:v>
                </c:pt>
                <c:pt idx="1">
                  <c:v>5.29</c:v>
                </c:pt>
                <c:pt idx="2">
                  <c:v>11.41</c:v>
                </c:pt>
                <c:pt idx="3">
                  <c:v>10.65</c:v>
                </c:pt>
                <c:pt idx="4">
                  <c:v>8.3600000000000048</c:v>
                </c:pt>
                <c:pt idx="5">
                  <c:v>6.78</c:v>
                </c:pt>
                <c:pt idx="6">
                  <c:v>7.53</c:v>
                </c:pt>
                <c:pt idx="7">
                  <c:v>7.33</c:v>
                </c:pt>
                <c:pt idx="8">
                  <c:v>6.46</c:v>
                </c:pt>
                <c:pt idx="9">
                  <c:v>6.39</c:v>
                </c:pt>
                <c:pt idx="10">
                  <c:v>6.1099999999999985</c:v>
                </c:pt>
                <c:pt idx="11">
                  <c:v>5.7700000000000014</c:v>
                </c:pt>
                <c:pt idx="12">
                  <c:v>6.1899999999999995</c:v>
                </c:pt>
                <c:pt idx="13">
                  <c:v>7.9929069491999947</c:v>
                </c:pt>
                <c:pt idx="14">
                  <c:v>7.7627423478799962</c:v>
                </c:pt>
                <c:pt idx="15">
                  <c:v>7.4674833824899975</c:v>
                </c:pt>
              </c:numCache>
            </c:numRef>
          </c:val>
          <c:smooth val="0"/>
          <c:extLst>
            <c:ext xmlns:c16="http://schemas.microsoft.com/office/drawing/2014/chart" uri="{C3380CC4-5D6E-409C-BE32-E72D297353CC}">
              <c16:uniqueId val="{00000002-B3B9-4C56-AEC5-5365453C0FDA}"/>
            </c:ext>
          </c:extLst>
        </c:ser>
        <c:ser>
          <c:idx val="7"/>
          <c:order val="3"/>
          <c:tx>
            <c:strRef>
              <c:f>'G2-St.rozpočet-výdaje-1q'!$E$35</c:f>
              <c:strCache>
                <c:ptCount val="1"/>
                <c:pt idx="0">
                  <c:v>Státní sociální podpora**</c:v>
                </c:pt>
              </c:strCache>
            </c:strRef>
          </c:tx>
          <c:spPr>
            <a:ln w="15875">
              <a:solidFill>
                <a:srgbClr val="00B050"/>
              </a:solidFill>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'G2-St.rozpočet-výdaje-1q'!$E$38:$E$53</c:f>
              <c:numCache>
                <c:formatCode>0.0</c:formatCode>
                <c:ptCount val="16"/>
                <c:pt idx="0">
                  <c:v>36.410000000000004</c:v>
                </c:pt>
                <c:pt idx="1">
                  <c:v>31.979999999999986</c:v>
                </c:pt>
                <c:pt idx="2">
                  <c:v>30.95</c:v>
                </c:pt>
                <c:pt idx="3">
                  <c:v>30.85</c:v>
                </c:pt>
                <c:pt idx="4">
                  <c:v>27.32</c:v>
                </c:pt>
                <c:pt idx="5">
                  <c:v>26.77</c:v>
                </c:pt>
                <c:pt idx="6">
                  <c:v>28.04</c:v>
                </c:pt>
                <c:pt idx="7">
                  <c:v>28.22</c:v>
                </c:pt>
                <c:pt idx="8">
                  <c:v>28.27</c:v>
                </c:pt>
                <c:pt idx="9">
                  <c:v>28.38</c:v>
                </c:pt>
                <c:pt idx="10">
                  <c:v>28.02</c:v>
                </c:pt>
                <c:pt idx="11">
                  <c:v>29.32</c:v>
                </c:pt>
                <c:pt idx="12">
                  <c:v>28.279999999999987</c:v>
                </c:pt>
                <c:pt idx="13">
                  <c:v>38.692716178420063</c:v>
                </c:pt>
                <c:pt idx="14">
                  <c:v>36.585763589110002</c:v>
                </c:pt>
                <c:pt idx="15">
                  <c:v>42.267435564380001</c:v>
                </c:pt>
              </c:numCache>
            </c:numRef>
          </c:val>
          <c:smooth val="0"/>
          <c:extLst>
            <c:ext xmlns:c16="http://schemas.microsoft.com/office/drawing/2014/chart" uri="{C3380CC4-5D6E-409C-BE32-E72D297353CC}">
              <c16:uniqueId val="{00000003-B3B9-4C56-AEC5-5365453C0FDA}"/>
            </c:ext>
          </c:extLst>
        </c:ser>
        <c:ser>
          <c:idx val="2"/>
          <c:order val="4"/>
          <c:tx>
            <c:strRef>
              <c:f>'G2-St.rozpočet-výdaje-1q'!$F$35</c:f>
              <c:strCache>
                <c:ptCount val="1"/>
                <c:pt idx="0">
                  <c:v>Dávky nemocenského pojištění</c:v>
                </c:pt>
              </c:strCache>
            </c:strRef>
          </c:tx>
          <c:spPr>
            <a:ln w="15875">
              <a:solidFill>
                <a:srgbClr val="0071BC"/>
              </a:solidFill>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'G2-St.rozpočet-výdaje-1q'!$F$38:$F$53</c:f>
              <c:numCache>
                <c:formatCode>0.0</c:formatCode>
                <c:ptCount val="16"/>
                <c:pt idx="0">
                  <c:v>26.130000000000013</c:v>
                </c:pt>
                <c:pt idx="1">
                  <c:v>24.12</c:v>
                </c:pt>
                <c:pt idx="2">
                  <c:v>20.07</c:v>
                </c:pt>
                <c:pt idx="3">
                  <c:v>16.8</c:v>
                </c:pt>
                <c:pt idx="4">
                  <c:v>16.82</c:v>
                </c:pt>
                <c:pt idx="5">
                  <c:v>14.84</c:v>
                </c:pt>
                <c:pt idx="6">
                  <c:v>15.44</c:v>
                </c:pt>
                <c:pt idx="7">
                  <c:v>16.649999999999999</c:v>
                </c:pt>
                <c:pt idx="8">
                  <c:v>18.23</c:v>
                </c:pt>
                <c:pt idx="9">
                  <c:v>19.88</c:v>
                </c:pt>
                <c:pt idx="10">
                  <c:v>21.43</c:v>
                </c:pt>
                <c:pt idx="11">
                  <c:v>25.479999999999986</c:v>
                </c:pt>
                <c:pt idx="12">
                  <c:v>29.3</c:v>
                </c:pt>
                <c:pt idx="13">
                  <c:v>43.2</c:v>
                </c:pt>
                <c:pt idx="14">
                  <c:v>39.6</c:v>
                </c:pt>
                <c:pt idx="15">
                  <c:v>36.6</c:v>
                </c:pt>
              </c:numCache>
            </c:numRef>
          </c:val>
          <c:smooth val="0"/>
          <c:extLst>
            <c:ext xmlns:c16="http://schemas.microsoft.com/office/drawing/2014/chart" uri="{C3380CC4-5D6E-409C-BE32-E72D297353CC}">
              <c16:uniqueId val="{00000004-B3B9-4C56-AEC5-5365453C0FDA}"/>
            </c:ext>
          </c:extLst>
        </c:ser>
        <c:ser>
          <c:idx val="3"/>
          <c:order val="5"/>
          <c:tx>
            <c:strRef>
              <c:f>'G2-St.rozpočet-výdaje-1q'!$G$35</c:f>
              <c:strCache>
                <c:ptCount val="1"/>
                <c:pt idx="0">
                  <c:v>Dávky sociální péče***</c:v>
                </c:pt>
              </c:strCache>
            </c:strRef>
          </c:tx>
          <c:spPr>
            <a:ln w="15875">
              <a:solidFill>
                <a:srgbClr val="7030A0"/>
              </a:solidFill>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'G2-St.rozpočet-výdaje-1q'!$G$38:$G$53</c:f>
              <c:numCache>
                <c:formatCode>0.0</c:formatCode>
                <c:ptCount val="16"/>
                <c:pt idx="0">
                  <c:v>16.7</c:v>
                </c:pt>
                <c:pt idx="1">
                  <c:v>18.600000000000001</c:v>
                </c:pt>
                <c:pt idx="2">
                  <c:v>18.899999999999999</c:v>
                </c:pt>
                <c:pt idx="3">
                  <c:v>19.600000000000001</c:v>
                </c:pt>
                <c:pt idx="4">
                  <c:v>19.100000000000001</c:v>
                </c:pt>
                <c:pt idx="5">
                  <c:v>20.309999999999999</c:v>
                </c:pt>
                <c:pt idx="6">
                  <c:v>23.73</c:v>
                </c:pt>
                <c:pt idx="7">
                  <c:v>25.18</c:v>
                </c:pt>
                <c:pt idx="8">
                  <c:v>25.259999999999987</c:v>
                </c:pt>
                <c:pt idx="9">
                  <c:v>25.4</c:v>
                </c:pt>
                <c:pt idx="10">
                  <c:v>25.959999999999987</c:v>
                </c:pt>
                <c:pt idx="11">
                  <c:v>25.547999999999988</c:v>
                </c:pt>
                <c:pt idx="12">
                  <c:v>27.04</c:v>
                </c:pt>
                <c:pt idx="13">
                  <c:v>30.3</c:v>
                </c:pt>
                <c:pt idx="14">
                  <c:v>30.5</c:v>
                </c:pt>
                <c:pt idx="15">
                  <c:v>40</c:v>
                </c:pt>
              </c:numCache>
            </c:numRef>
          </c:val>
          <c:smooth val="0"/>
          <c:extLst>
            <c:ext xmlns:c16="http://schemas.microsoft.com/office/drawing/2014/chart" uri="{C3380CC4-5D6E-409C-BE32-E72D297353CC}">
              <c16:uniqueId val="{00000005-B3B9-4C56-AEC5-5365453C0FDA}"/>
            </c:ext>
          </c:extLst>
        </c:ser>
        <c:ser>
          <c:idx val="4"/>
          <c:order val="6"/>
          <c:tx>
            <c:strRef>
              <c:f>'G2-St.rozpočet-výdaje-1q'!$H$35</c:f>
              <c:strCache>
                <c:ptCount val="1"/>
                <c:pt idx="0">
                  <c:v>Neinvestič. nákupy a souvis. výdaje****</c:v>
                </c:pt>
              </c:strCache>
            </c:strRef>
          </c:tx>
          <c:spPr>
            <a:ln w="15875">
              <a:solidFill>
                <a:srgbClr val="D5D000"/>
              </a:solidFill>
              <a:prstDash val="solid"/>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'G2-St.rozpočet-výdaje-1q'!$H$38:$H$53</c:f>
              <c:numCache>
                <c:formatCode>0.0</c:formatCode>
                <c:ptCount val="16"/>
                <c:pt idx="0">
                  <c:v>41.124000000000002</c:v>
                </c:pt>
                <c:pt idx="1">
                  <c:v>46.384999999999998</c:v>
                </c:pt>
                <c:pt idx="2">
                  <c:v>46.423000000000002</c:v>
                </c:pt>
                <c:pt idx="3">
                  <c:v>43.067</c:v>
                </c:pt>
                <c:pt idx="4">
                  <c:v>38.64</c:v>
                </c:pt>
                <c:pt idx="5">
                  <c:v>34.99</c:v>
                </c:pt>
                <c:pt idx="6">
                  <c:v>33.93</c:v>
                </c:pt>
                <c:pt idx="7">
                  <c:v>33.94</c:v>
                </c:pt>
                <c:pt idx="8">
                  <c:v>38.31</c:v>
                </c:pt>
                <c:pt idx="9">
                  <c:v>36.660000000000011</c:v>
                </c:pt>
                <c:pt idx="10">
                  <c:v>41.17</c:v>
                </c:pt>
                <c:pt idx="11">
                  <c:v>42.379999999999995</c:v>
                </c:pt>
                <c:pt idx="12">
                  <c:v>43.46</c:v>
                </c:pt>
                <c:pt idx="13">
                  <c:v>50.548159175920013</c:v>
                </c:pt>
                <c:pt idx="14">
                  <c:v>49.815340486699995</c:v>
                </c:pt>
                <c:pt idx="15">
                  <c:v>63.740723337000013</c:v>
                </c:pt>
              </c:numCache>
            </c:numRef>
          </c:val>
          <c:smooth val="0"/>
          <c:extLst>
            <c:ext xmlns:c16="http://schemas.microsoft.com/office/drawing/2014/chart" uri="{C3380CC4-5D6E-409C-BE32-E72D297353CC}">
              <c16:uniqueId val="{00000006-B3B9-4C56-AEC5-5365453C0FDA}"/>
            </c:ext>
          </c:extLst>
        </c:ser>
        <c:ser>
          <c:idx val="5"/>
          <c:order val="7"/>
          <c:tx>
            <c:strRef>
              <c:f>'G2-St.rozpočet-výdaje-1q'!$I$35</c:f>
              <c:strCache>
                <c:ptCount val="1"/>
                <c:pt idx="0">
                  <c:v>Státní dluh (čisté výdaje)*****</c:v>
                </c:pt>
              </c:strCache>
            </c:strRef>
          </c:tx>
          <c:spPr>
            <a:ln w="15875">
              <a:solidFill>
                <a:srgbClr val="996633"/>
              </a:solidFill>
              <a:prstDash val="sysDash"/>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'G2-St.rozpočet-výdaje-1q'!$I$38:$I$53</c:f>
              <c:numCache>
                <c:formatCode>0.0</c:formatCode>
                <c:ptCount val="16"/>
                <c:pt idx="0">
                  <c:v>25.084</c:v>
                </c:pt>
                <c:pt idx="1">
                  <c:v>24.459999999999987</c:v>
                </c:pt>
                <c:pt idx="2">
                  <c:v>33.33</c:v>
                </c:pt>
                <c:pt idx="3">
                  <c:v>24.919999999999987</c:v>
                </c:pt>
                <c:pt idx="4">
                  <c:v>35.89</c:v>
                </c:pt>
                <c:pt idx="5">
                  <c:v>35.86</c:v>
                </c:pt>
                <c:pt idx="6">
                  <c:v>44.55</c:v>
                </c:pt>
                <c:pt idx="7">
                  <c:v>43.160000000000011</c:v>
                </c:pt>
                <c:pt idx="8">
                  <c:v>41.03</c:v>
                </c:pt>
                <c:pt idx="9">
                  <c:v>38.1</c:v>
                </c:pt>
                <c:pt idx="10">
                  <c:v>33.849999999999994</c:v>
                </c:pt>
                <c:pt idx="11">
                  <c:v>32.617000000000004</c:v>
                </c:pt>
                <c:pt idx="12">
                  <c:v>33.350999999999999</c:v>
                </c:pt>
                <c:pt idx="13">
                  <c:v>32.136847667729974</c:v>
                </c:pt>
                <c:pt idx="14">
                  <c:v>34.590381461649955</c:v>
                </c:pt>
                <c:pt idx="15">
                  <c:v>32.168013688010035</c:v>
                </c:pt>
              </c:numCache>
            </c:numRef>
          </c:val>
          <c:smooth val="0"/>
          <c:extLst>
            <c:ext xmlns:c16="http://schemas.microsoft.com/office/drawing/2014/chart" uri="{C3380CC4-5D6E-409C-BE32-E72D297353CC}">
              <c16:uniqueId val="{00000007-B3B9-4C56-AEC5-5365453C0FDA}"/>
            </c:ext>
          </c:extLst>
        </c:ser>
        <c:ser>
          <c:idx val="8"/>
          <c:order val="8"/>
          <c:tx>
            <c:strRef>
              <c:f>'G2-St.rozpočet-výdaje-1q'!$J$35</c:f>
              <c:strCache>
                <c:ptCount val="1"/>
                <c:pt idx="0">
                  <c:v>Neinvestič. transfery podnikatelům</c:v>
                </c:pt>
              </c:strCache>
            </c:strRef>
          </c:tx>
          <c:spPr>
            <a:ln w="15875">
              <a:solidFill>
                <a:schemeClr val="tx1">
                  <a:lumMod val="95000"/>
                  <a:lumOff val="5000"/>
                </a:schemeClr>
              </a:solidFill>
              <a:prstDash val="dash"/>
            </a:ln>
          </c:spPr>
          <c:marker>
            <c:symbol val="none"/>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'G2-St.rozpočet-výdaje-1q'!$J$38:$J$53</c:f>
              <c:numCache>
                <c:formatCode>General</c:formatCode>
                <c:ptCount val="16"/>
                <c:pt idx="0" formatCode="0.0">
                  <c:v>10.618</c:v>
                </c:pt>
                <c:pt idx="1">
                  <c:v>11.3</c:v>
                </c:pt>
                <c:pt idx="2" formatCode="0.0">
                  <c:v>11.452000000000007</c:v>
                </c:pt>
                <c:pt idx="3" formatCode="0.0">
                  <c:v>11.497</c:v>
                </c:pt>
                <c:pt idx="4" formatCode="0.0">
                  <c:v>15.079000000000002</c:v>
                </c:pt>
                <c:pt idx="5" formatCode="0.0">
                  <c:v>25.56</c:v>
                </c:pt>
                <c:pt idx="6" formatCode="0.0">
                  <c:v>24.34</c:v>
                </c:pt>
                <c:pt idx="7" formatCode="0.0">
                  <c:v>27.89</c:v>
                </c:pt>
                <c:pt idx="8" formatCode="0.0">
                  <c:v>27.62</c:v>
                </c:pt>
                <c:pt idx="9" formatCode="0.0">
                  <c:v>26.25</c:v>
                </c:pt>
                <c:pt idx="10" formatCode="0.0">
                  <c:v>33.24</c:v>
                </c:pt>
                <c:pt idx="11" formatCode="0.0">
                  <c:v>40.24</c:v>
                </c:pt>
                <c:pt idx="12" formatCode="0.0">
                  <c:v>40.870000000000005</c:v>
                </c:pt>
                <c:pt idx="13" formatCode="0.0">
                  <c:v>73.104724736179989</c:v>
                </c:pt>
                <c:pt idx="14" formatCode="0.0">
                  <c:v>106.18042459115</c:v>
                </c:pt>
                <c:pt idx="15" formatCode="0.0">
                  <c:v>64.933555084700075</c:v>
                </c:pt>
              </c:numCache>
            </c:numRef>
          </c:val>
          <c:smooth val="0"/>
          <c:extLst>
            <c:ext xmlns:c16="http://schemas.microsoft.com/office/drawing/2014/chart" uri="{C3380CC4-5D6E-409C-BE32-E72D297353CC}">
              <c16:uniqueId val="{00000008-B3B9-4C56-AEC5-5365453C0FDA}"/>
            </c:ext>
          </c:extLst>
        </c:ser>
        <c:ser>
          <c:idx val="9"/>
          <c:order val="9"/>
          <c:tx>
            <c:strRef>
              <c:f>'G2-St.rozpočet-výdaje-1q'!$K$35</c:f>
              <c:strCache>
                <c:ptCount val="1"/>
                <c:pt idx="0">
                  <c:v>Kapitálové výdaje</c:v>
                </c:pt>
              </c:strCache>
            </c:strRef>
          </c:tx>
          <c:spPr>
            <a:ln w="9525">
              <a:solidFill>
                <a:srgbClr val="C00000"/>
              </a:solidFill>
              <a:prstDash val="sysDot"/>
            </a:ln>
          </c:spPr>
          <c:marker>
            <c:symbol val="circle"/>
            <c:size val="4"/>
            <c:spPr>
              <a:solidFill>
                <a:srgbClr val="C00000"/>
              </a:solidFill>
              <a:ln>
                <a:noFill/>
              </a:ln>
            </c:spPr>
          </c:marker>
          <c:cat>
            <c:numRef>
              <c:f>'G2-St.rozpočet-výdaje-1q'!$A$38:$A$53</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'G2-St.rozpočet-výdaje-1q'!$K$38:$K$53</c:f>
              <c:numCache>
                <c:formatCode>0.0</c:formatCode>
                <c:ptCount val="16"/>
                <c:pt idx="0">
                  <c:v>54.85</c:v>
                </c:pt>
                <c:pt idx="1">
                  <c:v>76.95</c:v>
                </c:pt>
                <c:pt idx="2">
                  <c:v>80.024000000000001</c:v>
                </c:pt>
                <c:pt idx="3">
                  <c:v>91.36</c:v>
                </c:pt>
                <c:pt idx="4">
                  <c:v>82.07</c:v>
                </c:pt>
                <c:pt idx="5">
                  <c:v>72.98</c:v>
                </c:pt>
                <c:pt idx="6">
                  <c:v>58.39</c:v>
                </c:pt>
                <c:pt idx="7">
                  <c:v>59.67</c:v>
                </c:pt>
                <c:pt idx="8">
                  <c:v>88.53</c:v>
                </c:pt>
                <c:pt idx="9">
                  <c:v>51.6</c:v>
                </c:pt>
                <c:pt idx="10">
                  <c:v>41.37</c:v>
                </c:pt>
                <c:pt idx="11">
                  <c:v>60.93</c:v>
                </c:pt>
                <c:pt idx="12">
                  <c:v>85.1</c:v>
                </c:pt>
                <c:pt idx="13">
                  <c:v>105.9</c:v>
                </c:pt>
                <c:pt idx="14">
                  <c:v>99.658233900700012</c:v>
                </c:pt>
                <c:pt idx="15">
                  <c:v>112.81934098769995</c:v>
                </c:pt>
              </c:numCache>
            </c:numRef>
          </c:val>
          <c:smooth val="0"/>
          <c:extLst>
            <c:ext xmlns:c16="http://schemas.microsoft.com/office/drawing/2014/chart" uri="{C3380CC4-5D6E-409C-BE32-E72D297353CC}">
              <c16:uniqueId val="{00000009-B3B9-4C56-AEC5-5365453C0FDA}"/>
            </c:ext>
          </c:extLst>
        </c:ser>
        <c:dLbls>
          <c:showLegendKey val="0"/>
          <c:showVal val="0"/>
          <c:showCatName val="0"/>
          <c:showSerName val="0"/>
          <c:showPercent val="0"/>
          <c:showBubbleSize val="0"/>
        </c:dLbls>
        <c:marker val="1"/>
        <c:smooth val="0"/>
        <c:axId val="109006848"/>
        <c:axId val="109009152"/>
      </c:lineChart>
      <c:catAx>
        <c:axId val="109006848"/>
        <c:scaling>
          <c:orientation val="minMax"/>
        </c:scaling>
        <c:delete val="0"/>
        <c:axPos val="b"/>
        <c:numFmt formatCode="General" sourceLinked="1"/>
        <c:majorTickMark val="out"/>
        <c:minorTickMark val="none"/>
        <c:tickLblPos val="low"/>
        <c:spPr>
          <a:ln w="6350">
            <a:solidFill>
              <a:schemeClr val="bg1">
                <a:lumMod val="50000"/>
              </a:schemeClr>
            </a:solidFill>
          </a:ln>
        </c:spPr>
        <c:crossAx val="109009152"/>
        <c:crosses val="autoZero"/>
        <c:auto val="1"/>
        <c:lblAlgn val="ctr"/>
        <c:lblOffset val="20"/>
        <c:noMultiLvlLbl val="0"/>
      </c:catAx>
      <c:valAx>
        <c:axId val="109009152"/>
        <c:scaling>
          <c:orientation val="minMax"/>
          <c:max val="140"/>
          <c:min val="0"/>
        </c:scaling>
        <c:delete val="0"/>
        <c:axPos val="l"/>
        <c:majorGridlines>
          <c:spPr>
            <a:ln w="6350">
              <a:solidFill>
                <a:schemeClr val="bg1">
                  <a:lumMod val="75000"/>
                </a:schemeClr>
              </a:solidFill>
            </a:ln>
          </c:spPr>
        </c:majorGridlines>
        <c:title>
          <c:tx>
            <c:rich>
              <a:bodyPr/>
              <a:lstStyle/>
              <a:p>
                <a:pPr>
                  <a:defRPr sz="700" b="0" i="1"/>
                </a:pPr>
                <a:r>
                  <a:rPr lang="cs-CZ" sz="700" b="0" i="1"/>
                  <a:t>Vybrané</a:t>
                </a:r>
                <a:r>
                  <a:rPr lang="cs-CZ" sz="700" b="0" i="1" baseline="0"/>
                  <a:t> </a:t>
                </a:r>
                <a:r>
                  <a:rPr lang="cs-CZ" sz="700" b="0" i="1"/>
                  <a:t>výdaje</a:t>
                </a:r>
              </a:p>
            </c:rich>
          </c:tx>
          <c:overlay val="0"/>
        </c:title>
        <c:numFmt formatCode="0" sourceLinked="0"/>
        <c:majorTickMark val="out"/>
        <c:minorTickMark val="none"/>
        <c:tickLblPos val="nextTo"/>
        <c:spPr>
          <a:ln w="6350">
            <a:solidFill>
              <a:schemeClr val="tx1"/>
            </a:solidFill>
          </a:ln>
        </c:spPr>
        <c:crossAx val="109006848"/>
        <c:crosses val="autoZero"/>
        <c:crossBetween val="between"/>
        <c:majorUnit val="10"/>
      </c:valAx>
      <c:valAx>
        <c:axId val="109053440"/>
        <c:scaling>
          <c:orientation val="minMax"/>
          <c:max val="1400"/>
          <c:min val="0"/>
        </c:scaling>
        <c:delete val="0"/>
        <c:axPos val="r"/>
        <c:title>
          <c:tx>
            <c:rich>
              <a:bodyPr/>
              <a:lstStyle/>
              <a:p>
                <a:pPr>
                  <a:defRPr sz="700" b="0" i="1"/>
                </a:pPr>
                <a:r>
                  <a:rPr lang="cs-CZ" sz="700" b="0" i="1"/>
                  <a:t>Běžné výdaje celkem</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109055360"/>
        <c:crosses val="max"/>
        <c:crossBetween val="between"/>
        <c:majorUnit val="100"/>
        <c:minorUnit val="10"/>
      </c:valAx>
      <c:catAx>
        <c:axId val="109055360"/>
        <c:scaling>
          <c:orientation val="minMax"/>
        </c:scaling>
        <c:delete val="1"/>
        <c:axPos val="b"/>
        <c:numFmt formatCode="General" sourceLinked="1"/>
        <c:majorTickMark val="out"/>
        <c:minorTickMark val="none"/>
        <c:tickLblPos val="none"/>
        <c:crossAx val="109053440"/>
        <c:crosses val="autoZero"/>
        <c:auto val="1"/>
        <c:lblAlgn val="ctr"/>
        <c:lblOffset val="100"/>
        <c:noMultiLvlLbl val="0"/>
      </c:catAx>
      <c:spPr>
        <a:ln w="6350">
          <a:solidFill>
            <a:schemeClr val="tx1"/>
          </a:solidFill>
        </a:ln>
      </c:spPr>
    </c:plotArea>
    <c:legend>
      <c:legendPos val="b"/>
      <c:layout>
        <c:manualLayout>
          <c:xMode val="edge"/>
          <c:yMode val="edge"/>
          <c:x val="3.7248029150339215E-2"/>
          <c:y val="0.82695581191689693"/>
          <c:w val="0.93094378929198951"/>
          <c:h val="0.16585489978301932"/>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72E-2"/>
          <c:y val="2.8458510079622041E-2"/>
          <c:w val="0.93688386524822698"/>
          <c:h val="0.6497469886299676"/>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3'!$D$26:$D$48</c:f>
              <c:numCache>
                <c:formatCode>#\ ##0.0</c:formatCode>
                <c:ptCount val="23"/>
                <c:pt idx="0">
                  <c:v>1.1724461062125429</c:v>
                </c:pt>
                <c:pt idx="1">
                  <c:v>1.3838280833932579</c:v>
                </c:pt>
                <c:pt idx="2">
                  <c:v>1.3029633342515596</c:v>
                </c:pt>
                <c:pt idx="3">
                  <c:v>1.0570981809373126</c:v>
                </c:pt>
                <c:pt idx="4">
                  <c:v>1.5755125159315497</c:v>
                </c:pt>
                <c:pt idx="5">
                  <c:v>1.2433932618107362</c:v>
                </c:pt>
                <c:pt idx="6">
                  <c:v>0.98503190180886568</c:v>
                </c:pt>
                <c:pt idx="7">
                  <c:v>0.86242373693181429</c:v>
                </c:pt>
                <c:pt idx="8">
                  <c:v>0.93405360633092538</c:v>
                </c:pt>
                <c:pt idx="9">
                  <c:v>1.3264749570937773</c:v>
                </c:pt>
                <c:pt idx="10">
                  <c:v>1.0320858874492613</c:v>
                </c:pt>
                <c:pt idx="11">
                  <c:v>1.1072516380596786</c:v>
                </c:pt>
                <c:pt idx="12">
                  <c:v>-1.02008988814419</c:v>
                </c:pt>
                <c:pt idx="13">
                  <c:v>-3.319130632152298</c:v>
                </c:pt>
                <c:pt idx="14">
                  <c:v>-1.7922184957520035</c:v>
                </c:pt>
                <c:pt idx="15">
                  <c:v>-4.4205469928881964</c:v>
                </c:pt>
                <c:pt idx="16">
                  <c:v>-3.0401890570142882</c:v>
                </c:pt>
                <c:pt idx="17">
                  <c:v>1.8966230839871685</c:v>
                </c:pt>
                <c:pt idx="18">
                  <c:v>1.8963311636525795</c:v>
                </c:pt>
                <c:pt idx="19">
                  <c:v>3.3087731869590207</c:v>
                </c:pt>
                <c:pt idx="20">
                  <c:v>3.2739647443452307</c:v>
                </c:pt>
                <c:pt idx="21">
                  <c:v>0.10935883533289308</c:v>
                </c:pt>
                <c:pt idx="22">
                  <c:v>-3.0355928753805514</c:v>
                </c:pt>
              </c:numCache>
            </c:numRef>
          </c:val>
          <c:extLst>
            <c:ext xmlns:c16="http://schemas.microsoft.com/office/drawing/2014/chart" uri="{C3380CC4-5D6E-409C-BE32-E72D297353CC}">
              <c16:uniqueId val="{00000000-3501-4240-BC51-43E12FA58E41}"/>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3'!$E$26:$E$48</c:f>
              <c:numCache>
                <c:formatCode>#\ ##0.0</c:formatCode>
                <c:ptCount val="23"/>
                <c:pt idx="0">
                  <c:v>0.43568874146674708</c:v>
                </c:pt>
                <c:pt idx="1">
                  <c:v>0.31651507948948115</c:v>
                </c:pt>
                <c:pt idx="2">
                  <c:v>0.23074272942367355</c:v>
                </c:pt>
                <c:pt idx="3">
                  <c:v>0.28553793240162245</c:v>
                </c:pt>
                <c:pt idx="4">
                  <c:v>0.57412630446352575</c:v>
                </c:pt>
                <c:pt idx="5">
                  <c:v>0.65995211680089272</c:v>
                </c:pt>
                <c:pt idx="6">
                  <c:v>0.81778085262984579</c:v>
                </c:pt>
                <c:pt idx="7">
                  <c:v>0.8108648897803995</c:v>
                </c:pt>
                <c:pt idx="8">
                  <c:v>0.45281581800869158</c:v>
                </c:pt>
                <c:pt idx="9">
                  <c:v>0.47909637272946881</c:v>
                </c:pt>
                <c:pt idx="10">
                  <c:v>0.44460153705879735</c:v>
                </c:pt>
                <c:pt idx="11">
                  <c:v>0.33726571383782206</c:v>
                </c:pt>
                <c:pt idx="12">
                  <c:v>0.80451284992688032</c:v>
                </c:pt>
                <c:pt idx="13">
                  <c:v>0.70708681585804789</c:v>
                </c:pt>
                <c:pt idx="14">
                  <c:v>0.41395179326421955</c:v>
                </c:pt>
                <c:pt idx="15">
                  <c:v>1.2239863422317081</c:v>
                </c:pt>
                <c:pt idx="16">
                  <c:v>0.23876321267224979</c:v>
                </c:pt>
                <c:pt idx="17">
                  <c:v>0.14798139922500297</c:v>
                </c:pt>
                <c:pt idx="18">
                  <c:v>0.72276006050732244</c:v>
                </c:pt>
                <c:pt idx="19">
                  <c:v>-1.5205554772728589E-2</c:v>
                </c:pt>
                <c:pt idx="20">
                  <c:v>0.43825331667962947</c:v>
                </c:pt>
                <c:pt idx="21">
                  <c:v>0.37419493131713782</c:v>
                </c:pt>
                <c:pt idx="22">
                  <c:v>-0.27960649892480444</c:v>
                </c:pt>
              </c:numCache>
            </c:numRef>
          </c:val>
          <c:extLst>
            <c:ext xmlns:c16="http://schemas.microsoft.com/office/drawing/2014/chart" uri="{C3380CC4-5D6E-409C-BE32-E72D297353CC}">
              <c16:uniqueId val="{00000001-3501-4240-BC51-43E12FA58E41}"/>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3'!$G$26:$G$48</c:f>
              <c:numCache>
                <c:formatCode>#\ ##0.0</c:formatCode>
                <c:ptCount val="23"/>
                <c:pt idx="0">
                  <c:v>-0.96460420103508682</c:v>
                </c:pt>
                <c:pt idx="1">
                  <c:v>0.50244635297633933</c:v>
                </c:pt>
                <c:pt idx="2">
                  <c:v>1.4868373962562362</c:v>
                </c:pt>
                <c:pt idx="3">
                  <c:v>2.3482189542959593</c:v>
                </c:pt>
                <c:pt idx="4">
                  <c:v>2.6506947871686037</c:v>
                </c:pt>
                <c:pt idx="5">
                  <c:v>1.708177336511435</c:v>
                </c:pt>
                <c:pt idx="6">
                  <c:v>1.9279335844788141</c:v>
                </c:pt>
                <c:pt idx="7">
                  <c:v>0.6722990284973398</c:v>
                </c:pt>
                <c:pt idx="8">
                  <c:v>1.5906650874354977</c:v>
                </c:pt>
                <c:pt idx="9">
                  <c:v>-0.19146224798983871</c:v>
                </c:pt>
                <c:pt idx="10">
                  <c:v>0.25415698160207922</c:v>
                </c:pt>
                <c:pt idx="11">
                  <c:v>2.4122891717477368</c:v>
                </c:pt>
                <c:pt idx="12">
                  <c:v>0.69791730489126835</c:v>
                </c:pt>
                <c:pt idx="13">
                  <c:v>0.95595711935685235</c:v>
                </c:pt>
                <c:pt idx="14">
                  <c:v>-2.7554209500001341</c:v>
                </c:pt>
                <c:pt idx="15">
                  <c:v>-3.482468456540178</c:v>
                </c:pt>
                <c:pt idx="16">
                  <c:v>1.1011189473188194</c:v>
                </c:pt>
                <c:pt idx="17">
                  <c:v>2.8854783221045768</c:v>
                </c:pt>
                <c:pt idx="18">
                  <c:v>6.8433224518195184</c:v>
                </c:pt>
                <c:pt idx="19">
                  <c:v>6.5998296681056825</c:v>
                </c:pt>
                <c:pt idx="20">
                  <c:v>3.8125560653605937</c:v>
                </c:pt>
                <c:pt idx="21">
                  <c:v>3.2423795254364793</c:v>
                </c:pt>
                <c:pt idx="22">
                  <c:v>1.3611433773455637</c:v>
                </c:pt>
              </c:numCache>
            </c:numRef>
          </c:val>
          <c:extLst>
            <c:ext xmlns:c16="http://schemas.microsoft.com/office/drawing/2014/chart" uri="{C3380CC4-5D6E-409C-BE32-E72D297353CC}">
              <c16:uniqueId val="{00000002-3501-4240-BC51-43E12FA58E41}"/>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3'!$F$26:$F$48</c:f>
              <c:numCache>
                <c:formatCode>#\ ##0.0</c:formatCode>
                <c:ptCount val="23"/>
                <c:pt idx="0">
                  <c:v>2.9754675891551932</c:v>
                </c:pt>
                <c:pt idx="1">
                  <c:v>3.63036253408232</c:v>
                </c:pt>
                <c:pt idx="2">
                  <c:v>2.7474075811976943</c:v>
                </c:pt>
                <c:pt idx="3">
                  <c:v>2.1271051366721982</c:v>
                </c:pt>
                <c:pt idx="4">
                  <c:v>-0.18190275978441589</c:v>
                </c:pt>
                <c:pt idx="5">
                  <c:v>-0.9011007424628219</c:v>
                </c:pt>
                <c:pt idx="6">
                  <c:v>-1.1419594143316307</c:v>
                </c:pt>
                <c:pt idx="7">
                  <c:v>0.16780244720397519</c:v>
                </c:pt>
                <c:pt idx="8">
                  <c:v>-3.0487770722796199E-2</c:v>
                </c:pt>
                <c:pt idx="9">
                  <c:v>1.401018621045631</c:v>
                </c:pt>
                <c:pt idx="10">
                  <c:v>1.245438224612009</c:v>
                </c:pt>
                <c:pt idx="11">
                  <c:v>-1.1377389757832601</c:v>
                </c:pt>
                <c:pt idx="12">
                  <c:v>-1.982621142964861</c:v>
                </c:pt>
                <c:pt idx="13">
                  <c:v>-9.1465234127285502</c:v>
                </c:pt>
                <c:pt idx="14">
                  <c:v>-1.0987632014143376</c:v>
                </c:pt>
                <c:pt idx="15">
                  <c:v>2.0622607746427408</c:v>
                </c:pt>
                <c:pt idx="16">
                  <c:v>-0.24354289734345663</c:v>
                </c:pt>
                <c:pt idx="17">
                  <c:v>4.1602944561301305</c:v>
                </c:pt>
                <c:pt idx="18">
                  <c:v>-5.7268617561215125</c:v>
                </c:pt>
                <c:pt idx="19">
                  <c:v>-6.4551933605702825</c:v>
                </c:pt>
                <c:pt idx="20">
                  <c:v>-2.8651052852945993</c:v>
                </c:pt>
                <c:pt idx="21">
                  <c:v>-0.1761527674677659</c:v>
                </c:pt>
                <c:pt idx="22">
                  <c:v>3.633393580222311</c:v>
                </c:pt>
              </c:numCache>
            </c:numRef>
          </c:val>
          <c:extLst>
            <c:ext xmlns:c16="http://schemas.microsoft.com/office/drawing/2014/chart" uri="{C3380CC4-5D6E-409C-BE32-E72D297353CC}">
              <c16:uniqueId val="{00000003-3501-4240-BC51-43E12FA58E41}"/>
            </c:ext>
          </c:extLst>
        </c:ser>
        <c:dLbls>
          <c:showLegendKey val="0"/>
          <c:showVal val="0"/>
          <c:showCatName val="0"/>
          <c:showSerName val="0"/>
          <c:showPercent val="0"/>
          <c:showBubbleSize val="0"/>
        </c:dLbls>
        <c:gapWidth val="40"/>
        <c:overlap val="100"/>
        <c:axId val="114295552"/>
        <c:axId val="114297088"/>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3'!$C$26:$C$48</c:f>
              <c:numCache>
                <c:formatCode>#\ ##0.0</c:formatCode>
                <c:ptCount val="23"/>
                <c:pt idx="0">
                  <c:v>3.6950522088079945</c:v>
                </c:pt>
                <c:pt idx="1">
                  <c:v>5.9154979768352085</c:v>
                </c:pt>
                <c:pt idx="2">
                  <c:v>5.8516739490936533</c:v>
                </c:pt>
                <c:pt idx="3">
                  <c:v>5.8958373145450755</c:v>
                </c:pt>
                <c:pt idx="4">
                  <c:v>4.7409433615299719</c:v>
                </c:pt>
                <c:pt idx="5">
                  <c:v>2.8213141032059932</c:v>
                </c:pt>
                <c:pt idx="6">
                  <c:v>2.6958490566037767</c:v>
                </c:pt>
                <c:pt idx="7">
                  <c:v>2.6197232600124938</c:v>
                </c:pt>
                <c:pt idx="8">
                  <c:v>2.997816378260354</c:v>
                </c:pt>
                <c:pt idx="9">
                  <c:v>3.0711985153536427</c:v>
                </c:pt>
                <c:pt idx="10">
                  <c:v>3.0292786172026638</c:v>
                </c:pt>
                <c:pt idx="11">
                  <c:v>2.7680914244993042</c:v>
                </c:pt>
                <c:pt idx="12">
                  <c:v>-1.4628912343715539</c:v>
                </c:pt>
                <c:pt idx="13">
                  <c:v>-10.782881996253849</c:v>
                </c:pt>
                <c:pt idx="14">
                  <c:v>-5.2160051898008977</c:v>
                </c:pt>
                <c:pt idx="15">
                  <c:v>-4.5960486594733538</c:v>
                </c:pt>
                <c:pt idx="16">
                  <c:v>-1.9074265997161177</c:v>
                </c:pt>
                <c:pt idx="17">
                  <c:v>9.1293352142031097</c:v>
                </c:pt>
                <c:pt idx="18">
                  <c:v>3.7680592280892995</c:v>
                </c:pt>
                <c:pt idx="19">
                  <c:v>3.4667113627178603</c:v>
                </c:pt>
                <c:pt idx="20">
                  <c:v>4.6485281301099795</c:v>
                </c:pt>
                <c:pt idx="21">
                  <c:v>3.5808918690836293</c:v>
                </c:pt>
                <c:pt idx="22">
                  <c:v>1.6868698666581141</c:v>
                </c:pt>
              </c:numCache>
            </c:numRef>
          </c:val>
          <c:smooth val="0"/>
          <c:extLst>
            <c:ext xmlns:c16="http://schemas.microsoft.com/office/drawing/2014/chart" uri="{C3380CC4-5D6E-409C-BE32-E72D297353CC}">
              <c16:uniqueId val="{00000004-3501-4240-BC51-43E12FA58E41}"/>
            </c:ext>
          </c:extLst>
        </c:ser>
        <c:dLbls>
          <c:showLegendKey val="0"/>
          <c:showVal val="0"/>
          <c:showCatName val="0"/>
          <c:showSerName val="0"/>
          <c:showPercent val="0"/>
          <c:showBubbleSize val="0"/>
        </c:dLbls>
        <c:marker val="1"/>
        <c:smooth val="0"/>
        <c:axId val="114295552"/>
        <c:axId val="114297088"/>
      </c:lineChart>
      <c:catAx>
        <c:axId val="114295552"/>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4297088"/>
        <c:crosses val="autoZero"/>
        <c:auto val="1"/>
        <c:lblAlgn val="ctr"/>
        <c:lblOffset val="100"/>
        <c:noMultiLvlLbl val="0"/>
      </c:catAx>
      <c:valAx>
        <c:axId val="114297088"/>
        <c:scaling>
          <c:orientation val="minMax"/>
          <c:max val="10"/>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4295552"/>
        <c:crosses val="autoZero"/>
        <c:crossBetween val="between"/>
        <c:majorUnit val="2"/>
      </c:valAx>
      <c:spPr>
        <a:ln>
          <a:solidFill>
            <a:schemeClr val="tx1"/>
          </a:solidFill>
        </a:ln>
      </c:spPr>
    </c:plotArea>
    <c:legend>
      <c:legendPos val="b"/>
      <c:layout>
        <c:manualLayout>
          <c:xMode val="edge"/>
          <c:yMode val="edge"/>
          <c:x val="4.7571766295170556E-2"/>
          <c:y val="0.79301446583361457"/>
          <c:w val="0.9378159827760891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75E-2"/>
          <c:y val="2.94998869886235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4'!$C$26:$C$48</c:f>
              <c:numCache>
                <c:formatCode>#\ ##0.0</c:formatCode>
                <c:ptCount val="23"/>
                <c:pt idx="0">
                  <c:v>-1.3480202956280746E-2</c:v>
                </c:pt>
                <c:pt idx="1">
                  <c:v>-0.10834731479250073</c:v>
                </c:pt>
                <c:pt idx="2">
                  <c:v>-0.17283036507391236</c:v>
                </c:pt>
                <c:pt idx="3">
                  <c:v>-5.7499524058591905E-2</c:v>
                </c:pt>
                <c:pt idx="4">
                  <c:v>3.3101048510961691E-2</c:v>
                </c:pt>
                <c:pt idx="5">
                  <c:v>7.1756948575291107E-2</c:v>
                </c:pt>
                <c:pt idx="6">
                  <c:v>0.13149584386693969</c:v>
                </c:pt>
                <c:pt idx="7">
                  <c:v>0.13446361914513513</c:v>
                </c:pt>
                <c:pt idx="8">
                  <c:v>7.2918853884007803E-2</c:v>
                </c:pt>
                <c:pt idx="9">
                  <c:v>8.5676115253478527E-2</c:v>
                </c:pt>
                <c:pt idx="10">
                  <c:v>0.11352421571245842</c:v>
                </c:pt>
                <c:pt idx="11">
                  <c:v>0.1297955956354544</c:v>
                </c:pt>
                <c:pt idx="12">
                  <c:v>0.21206913343969144</c:v>
                </c:pt>
                <c:pt idx="13">
                  <c:v>0.23393026126693053</c:v>
                </c:pt>
                <c:pt idx="14">
                  <c:v>0.24441243980560465</c:v>
                </c:pt>
                <c:pt idx="15">
                  <c:v>0.21978387176272146</c:v>
                </c:pt>
                <c:pt idx="16">
                  <c:v>-0.18194845399556908</c:v>
                </c:pt>
                <c:pt idx="17">
                  <c:v>-0.33768164627213537</c:v>
                </c:pt>
                <c:pt idx="18">
                  <c:v>-0.36813605985710435</c:v>
                </c:pt>
                <c:pt idx="19">
                  <c:v>-0.39400715540029935</c:v>
                </c:pt>
                <c:pt idx="20">
                  <c:v>-0.10994257097185264</c:v>
                </c:pt>
                <c:pt idx="21">
                  <c:v>1.3825805970472818E-2</c:v>
                </c:pt>
                <c:pt idx="22">
                  <c:v>-5.1816505022774462E-2</c:v>
                </c:pt>
              </c:numCache>
            </c:numRef>
          </c:val>
          <c:extLst>
            <c:ext xmlns:c16="http://schemas.microsoft.com/office/drawing/2014/chart" uri="{C3380CC4-5D6E-409C-BE32-E72D297353CC}">
              <c16:uniqueId val="{00000000-6242-4F29-B780-696BD7841C8D}"/>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4'!$D$26:$D$48</c:f>
              <c:numCache>
                <c:formatCode>#\ ##0.0</c:formatCode>
                <c:ptCount val="23"/>
                <c:pt idx="0">
                  <c:v>1.4029354561354297</c:v>
                </c:pt>
                <c:pt idx="1">
                  <c:v>3.052112169616799</c:v>
                </c:pt>
                <c:pt idx="2">
                  <c:v>3.068994740968527</c:v>
                </c:pt>
                <c:pt idx="3">
                  <c:v>2.3434131051105536</c:v>
                </c:pt>
                <c:pt idx="4">
                  <c:v>1.4988954552402798</c:v>
                </c:pt>
                <c:pt idx="5">
                  <c:v>0.14865466019918347</c:v>
                </c:pt>
                <c:pt idx="6">
                  <c:v>8.6548845664065881E-3</c:v>
                </c:pt>
                <c:pt idx="7">
                  <c:v>0.32252729120432627</c:v>
                </c:pt>
                <c:pt idx="8">
                  <c:v>0.78403714445772932</c:v>
                </c:pt>
                <c:pt idx="9">
                  <c:v>1.3396178430313301</c:v>
                </c:pt>
                <c:pt idx="10">
                  <c:v>1.4312708537266536</c:v>
                </c:pt>
                <c:pt idx="11">
                  <c:v>0.95608213895270111</c:v>
                </c:pt>
                <c:pt idx="12">
                  <c:v>-1.2099063790338638</c:v>
                </c:pt>
                <c:pt idx="13">
                  <c:v>-5.9215879942171474</c:v>
                </c:pt>
                <c:pt idx="14">
                  <c:v>-2.4830139549614358</c:v>
                </c:pt>
                <c:pt idx="15">
                  <c:v>-1.8545602201995735</c:v>
                </c:pt>
                <c:pt idx="16">
                  <c:v>0.14475123724007066</c:v>
                </c:pt>
                <c:pt idx="17">
                  <c:v>4.8361073743358629</c:v>
                </c:pt>
                <c:pt idx="18">
                  <c:v>0.14490824443150033</c:v>
                </c:pt>
                <c:pt idx="19">
                  <c:v>-0.36463732746079763</c:v>
                </c:pt>
                <c:pt idx="20">
                  <c:v>-9.1495292683194715E-2</c:v>
                </c:pt>
                <c:pt idx="21">
                  <c:v>8.3273176199987226E-2</c:v>
                </c:pt>
                <c:pt idx="22">
                  <c:v>0.75115411667827903</c:v>
                </c:pt>
              </c:numCache>
            </c:numRef>
          </c:val>
          <c:extLst>
            <c:ext xmlns:c16="http://schemas.microsoft.com/office/drawing/2014/chart" uri="{C3380CC4-5D6E-409C-BE32-E72D297353CC}">
              <c16:uniqueId val="{00000001-6242-4F29-B780-696BD7841C8D}"/>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4'!$E$26:$E$48</c:f>
              <c:numCache>
                <c:formatCode>#\ ##0.0</c:formatCode>
                <c:ptCount val="23"/>
                <c:pt idx="0">
                  <c:v>0.20896030591717263</c:v>
                </c:pt>
                <c:pt idx="1">
                  <c:v>7.609302170335E-2</c:v>
                </c:pt>
                <c:pt idx="2">
                  <c:v>0.11363564757057359</c:v>
                </c:pt>
                <c:pt idx="3">
                  <c:v>-2.1455946351557575E-2</c:v>
                </c:pt>
                <c:pt idx="4">
                  <c:v>-7.5503829252544313E-2</c:v>
                </c:pt>
                <c:pt idx="5">
                  <c:v>-2.1457218474246786E-4</c:v>
                </c:pt>
                <c:pt idx="6" formatCode="General">
                  <c:v>0.11499031724354705</c:v>
                </c:pt>
                <c:pt idx="7" formatCode="General">
                  <c:v>-5.8063785050184689E-2</c:v>
                </c:pt>
                <c:pt idx="8" formatCode="General">
                  <c:v>-0.20753253585572426</c:v>
                </c:pt>
                <c:pt idx="9" formatCode="General">
                  <c:v>-0.39259990964881186</c:v>
                </c:pt>
                <c:pt idx="10" formatCode="General">
                  <c:v>-0.67997190068436786</c:v>
                </c:pt>
                <c:pt idx="11" formatCode="General">
                  <c:v>-0.47224783032630291</c:v>
                </c:pt>
                <c:pt idx="12" formatCode="General">
                  <c:v>-0.35554388462432995</c:v>
                </c:pt>
                <c:pt idx="13" formatCode="General">
                  <c:v>-0.29945450798864243</c:v>
                </c:pt>
                <c:pt idx="14" formatCode="General">
                  <c:v>8.9909890553686894E-2</c:v>
                </c:pt>
                <c:pt idx="15" formatCode="General">
                  <c:v>0.40350778052436731</c:v>
                </c:pt>
                <c:pt idx="16" formatCode="General">
                  <c:v>0.12665493966344515</c:v>
                </c:pt>
                <c:pt idx="17" formatCode="General">
                  <c:v>0.22679919998026948</c:v>
                </c:pt>
                <c:pt idx="18" formatCode="General">
                  <c:v>-5.9676233810593326E-4</c:v>
                </c:pt>
                <c:pt idx="19" formatCode="General">
                  <c:v>-0.29674507348686718</c:v>
                </c:pt>
                <c:pt idx="20" formatCode="General">
                  <c:v>-2.274853427494327E-2</c:v>
                </c:pt>
                <c:pt idx="21" formatCode="General">
                  <c:v>-5.5954150515274852E-2</c:v>
                </c:pt>
                <c:pt idx="22" formatCode="General">
                  <c:v>0.14037656230159273</c:v>
                </c:pt>
              </c:numCache>
            </c:numRef>
          </c:val>
          <c:extLst>
            <c:ext xmlns:c16="http://schemas.microsoft.com/office/drawing/2014/chart" uri="{C3380CC4-5D6E-409C-BE32-E72D297353CC}">
              <c16:uniqueId val="{00000002-6242-4F29-B780-696BD7841C8D}"/>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4'!$F$26:$F$48</c:f>
              <c:numCache>
                <c:formatCode>#\ ##0.0</c:formatCode>
                <c:ptCount val="23"/>
                <c:pt idx="0">
                  <c:v>-0.11971252971432786</c:v>
                </c:pt>
                <c:pt idx="1">
                  <c:v>0.12513537674207531</c:v>
                </c:pt>
                <c:pt idx="2">
                  <c:v>7.5639144896938418E-2</c:v>
                </c:pt>
                <c:pt idx="3">
                  <c:v>0.16915702258933868</c:v>
                </c:pt>
                <c:pt idx="4">
                  <c:v>0.12251647468928518</c:v>
                </c:pt>
                <c:pt idx="5">
                  <c:v>4.4465884869504145E-3</c:v>
                </c:pt>
                <c:pt idx="6">
                  <c:v>-1.6359859988612904E-2</c:v>
                </c:pt>
                <c:pt idx="7">
                  <c:v>-0.12156128779443696</c:v>
                </c:pt>
                <c:pt idx="8">
                  <c:v>-0.15734451118480144</c:v>
                </c:pt>
                <c:pt idx="9">
                  <c:v>-4.5532361519053814E-2</c:v>
                </c:pt>
                <c:pt idx="10">
                  <c:v>-9.8757103245276603E-2</c:v>
                </c:pt>
                <c:pt idx="11">
                  <c:v>-0.10368709258279592</c:v>
                </c:pt>
                <c:pt idx="12">
                  <c:v>-0.34540850854541616</c:v>
                </c:pt>
                <c:pt idx="13">
                  <c:v>-0.70801073477756959</c:v>
                </c:pt>
                <c:pt idx="14">
                  <c:v>-0.63145687961935903</c:v>
                </c:pt>
                <c:pt idx="15">
                  <c:v>-0.60465596754463613</c:v>
                </c:pt>
                <c:pt idx="16">
                  <c:v>-0.5621453748945191</c:v>
                </c:pt>
                <c:pt idx="17">
                  <c:v>-0.11692747497662004</c:v>
                </c:pt>
                <c:pt idx="18">
                  <c:v>-2.3744641328194087E-2</c:v>
                </c:pt>
                <c:pt idx="19">
                  <c:v>6.3997671725291846E-2</c:v>
                </c:pt>
                <c:pt idx="20">
                  <c:v>0.44573641172078676</c:v>
                </c:pt>
                <c:pt idx="21">
                  <c:v>0.33353230157643166</c:v>
                </c:pt>
                <c:pt idx="22">
                  <c:v>-4.0253589393298352E-2</c:v>
                </c:pt>
              </c:numCache>
            </c:numRef>
          </c:val>
          <c:extLst>
            <c:ext xmlns:c16="http://schemas.microsoft.com/office/drawing/2014/chart" uri="{C3380CC4-5D6E-409C-BE32-E72D297353CC}">
              <c16:uniqueId val="{00000003-6242-4F29-B780-696BD7841C8D}"/>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4'!$G$26:$G$48</c:f>
              <c:numCache>
                <c:formatCode>#\ ##0.0</c:formatCode>
                <c:ptCount val="23"/>
                <c:pt idx="0">
                  <c:v>2.2567846902239754</c:v>
                </c:pt>
                <c:pt idx="1">
                  <c:v>2.9186309791713847</c:v>
                </c:pt>
                <c:pt idx="2">
                  <c:v>2.9697548900570792</c:v>
                </c:pt>
                <c:pt idx="3">
                  <c:v>3.2819135077275554</c:v>
                </c:pt>
                <c:pt idx="4">
                  <c:v>3.1084812332896234</c:v>
                </c:pt>
                <c:pt idx="5">
                  <c:v>2.7563352038547313</c:v>
                </c:pt>
                <c:pt idx="6" formatCode="General">
                  <c:v>2.6924043929265342</c:v>
                </c:pt>
                <c:pt idx="7" formatCode="General">
                  <c:v>2.6316200146897137</c:v>
                </c:pt>
                <c:pt idx="8" formatCode="General">
                  <c:v>2.491900392623644</c:v>
                </c:pt>
                <c:pt idx="9" formatCode="General">
                  <c:v>2.2093063938623412</c:v>
                </c:pt>
                <c:pt idx="10" formatCode="General">
                  <c:v>2.1316318226048487</c:v>
                </c:pt>
                <c:pt idx="11" formatCode="General">
                  <c:v>2.1602853151609636</c:v>
                </c:pt>
                <c:pt idx="12" formatCode="General">
                  <c:v>0.60230691969475514</c:v>
                </c:pt>
                <c:pt idx="13" formatCode="General">
                  <c:v>-4.2582563012779078</c:v>
                </c:pt>
                <c:pt idx="14" formatCode="General">
                  <c:v>-2.0902678469504177</c:v>
                </c:pt>
                <c:pt idx="15" formatCode="General">
                  <c:v>-2.3497385311278536</c:v>
                </c:pt>
                <c:pt idx="16" formatCode="General">
                  <c:v>-1.3712021908072103</c:v>
                </c:pt>
                <c:pt idx="17" formatCode="General">
                  <c:v>4.7512811953342799</c:v>
                </c:pt>
                <c:pt idx="18" formatCode="General">
                  <c:v>3.6631661011885033</c:v>
                </c:pt>
                <c:pt idx="19" formatCode="General">
                  <c:v>4.0145526999127279</c:v>
                </c:pt>
                <c:pt idx="20" formatCode="General">
                  <c:v>3.7760025615952122</c:v>
                </c:pt>
                <c:pt idx="21" formatCode="General">
                  <c:v>2.9168299003719569</c:v>
                </c:pt>
                <c:pt idx="22" formatCode="General">
                  <c:v>0.63064526066744075</c:v>
                </c:pt>
              </c:numCache>
            </c:numRef>
          </c:val>
          <c:extLst>
            <c:ext xmlns:c16="http://schemas.microsoft.com/office/drawing/2014/chart" uri="{C3380CC4-5D6E-409C-BE32-E72D297353CC}">
              <c16:uniqueId val="{00000004-6242-4F29-B780-696BD7841C8D}"/>
            </c:ext>
          </c:extLst>
        </c:ser>
        <c:dLbls>
          <c:showLegendKey val="0"/>
          <c:showVal val="0"/>
          <c:showCatName val="0"/>
          <c:showSerName val="0"/>
          <c:showPercent val="0"/>
          <c:showBubbleSize val="0"/>
        </c:dLbls>
        <c:gapWidth val="70"/>
        <c:overlap val="100"/>
        <c:axId val="114678016"/>
        <c:axId val="114712576"/>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4'!$A$26:$B$48</c:f>
              <c:multiLvlStrCache>
                <c:ptCount val="2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lvl>
                <c:lvl>
                  <c:pt idx="0">
                    <c:v>2017</c:v>
                  </c:pt>
                  <c:pt idx="4">
                    <c:v>2018</c:v>
                  </c:pt>
                  <c:pt idx="8">
                    <c:v>2019</c:v>
                  </c:pt>
                  <c:pt idx="12">
                    <c:v>2020</c:v>
                  </c:pt>
                  <c:pt idx="16">
                    <c:v>2021</c:v>
                  </c:pt>
                  <c:pt idx="20">
                    <c:v>2022</c:v>
                  </c:pt>
                </c:lvl>
              </c:multiLvlStrCache>
            </c:multiLvlStrRef>
          </c:cat>
          <c:val>
            <c:numRef>
              <c:f>'souhrnná výkonnost 4'!$H$26:$H$48</c:f>
              <c:numCache>
                <c:formatCode>#\ ##0.0</c:formatCode>
                <c:ptCount val="23"/>
                <c:pt idx="0">
                  <c:v>3.7354703358596737</c:v>
                </c:pt>
                <c:pt idx="1">
                  <c:v>6.0635693129024588</c:v>
                </c:pt>
                <c:pt idx="2">
                  <c:v>6.0551704530576114</c:v>
                </c:pt>
                <c:pt idx="3">
                  <c:v>5.7157111017319409</c:v>
                </c:pt>
                <c:pt idx="4">
                  <c:v>4.7985438750560263</c:v>
                </c:pt>
                <c:pt idx="5">
                  <c:v>2.9808255360502329</c:v>
                </c:pt>
                <c:pt idx="6">
                  <c:v>2.9311807438003408</c:v>
                </c:pt>
                <c:pt idx="7">
                  <c:v>2.9093096332303503</c:v>
                </c:pt>
                <c:pt idx="8">
                  <c:v>2.9841391815935912</c:v>
                </c:pt>
                <c:pt idx="9">
                  <c:v>3.1966587652537282</c:v>
                </c:pt>
                <c:pt idx="10">
                  <c:v>2.8977411942901767</c:v>
                </c:pt>
                <c:pt idx="11">
                  <c:v>2.6699223236542764</c:v>
                </c:pt>
                <c:pt idx="12">
                  <c:v>-1.0965543495417909</c:v>
                </c:pt>
                <c:pt idx="13">
                  <c:v>-10.953400191597822</c:v>
                </c:pt>
                <c:pt idx="14">
                  <c:v>-4.8704580385287244</c:v>
                </c:pt>
                <c:pt idx="15">
                  <c:v>-4.1854633683910549</c:v>
                </c:pt>
                <c:pt idx="16">
                  <c:v>-1.8438705492779799</c:v>
                </c:pt>
                <c:pt idx="17">
                  <c:v>9.3597124602441717</c:v>
                </c:pt>
                <c:pt idx="18">
                  <c:v>3.4156908050202182</c:v>
                </c:pt>
                <c:pt idx="19">
                  <c:v>3.0229281746453722</c:v>
                </c:pt>
                <c:pt idx="20">
                  <c:v>3.9977741356299106</c:v>
                </c:pt>
                <c:pt idx="21">
                  <c:v>3.2914435881516377</c:v>
                </c:pt>
                <c:pt idx="22">
                  <c:v>1.4301709451619757</c:v>
                </c:pt>
              </c:numCache>
            </c:numRef>
          </c:val>
          <c:smooth val="0"/>
          <c:extLst>
            <c:ext xmlns:c16="http://schemas.microsoft.com/office/drawing/2014/chart" uri="{C3380CC4-5D6E-409C-BE32-E72D297353CC}">
              <c16:uniqueId val="{00000005-6242-4F29-B780-696BD7841C8D}"/>
            </c:ext>
          </c:extLst>
        </c:ser>
        <c:dLbls>
          <c:showLegendKey val="0"/>
          <c:showVal val="0"/>
          <c:showCatName val="0"/>
          <c:showSerName val="0"/>
          <c:showPercent val="0"/>
          <c:showBubbleSize val="0"/>
        </c:dLbls>
        <c:marker val="1"/>
        <c:smooth val="0"/>
        <c:axId val="114678016"/>
        <c:axId val="114712576"/>
      </c:lineChart>
      <c:catAx>
        <c:axId val="11467801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4712576"/>
        <c:crosses val="autoZero"/>
        <c:auto val="1"/>
        <c:lblAlgn val="ctr"/>
        <c:lblOffset val="100"/>
        <c:noMultiLvlLbl val="0"/>
      </c:catAx>
      <c:valAx>
        <c:axId val="114712576"/>
        <c:scaling>
          <c:orientation val="minMax"/>
          <c:max val="10"/>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4678016"/>
        <c:crosses val="autoZero"/>
        <c:crossBetween val="between"/>
        <c:majorUnit val="2"/>
      </c:valAx>
      <c:spPr>
        <a:ln>
          <a:solidFill>
            <a:schemeClr val="tx1"/>
          </a:solidFill>
        </a:ln>
      </c:spPr>
    </c:plotArea>
    <c:legend>
      <c:legendPos val="b"/>
      <c:layout>
        <c:manualLayout>
          <c:xMode val="edge"/>
          <c:yMode val="edge"/>
          <c:x val="5.4144292468760548E-2"/>
          <c:y val="0.79016604750647301"/>
          <c:w val="0.92386482607227283"/>
          <c:h val="0.1946248452099493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089545606768723E-2"/>
          <c:y val="1.5804777005479873E-2"/>
          <c:w val="0.84971237457630788"/>
          <c:h val="0.70867754321612186"/>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IPP'!$R$27:$AV$27</c:f>
              <c:numCache>
                <c:formatCode>0.0</c:formatCode>
                <c:ptCount val="31"/>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-1.5402455662309271</c:v>
                </c:pt>
                <c:pt idx="21">
                  <c:v>-9.3904500983178529</c:v>
                </c:pt>
                <c:pt idx="22">
                  <c:v>-0.18484894361250637</c:v>
                </c:pt>
                <c:pt idx="23">
                  <c:v>2.0392469803827944</c:v>
                </c:pt>
                <c:pt idx="24">
                  <c:v>1.8759291678296397</c:v>
                </c:pt>
                <c:pt idx="25">
                  <c:v>11.009030464808232</c:v>
                </c:pt>
                <c:pt idx="26">
                  <c:v>-3.7884988742978507</c:v>
                </c:pt>
                <c:pt idx="27">
                  <c:v>-3.2670773167715765</c:v>
                </c:pt>
                <c:pt idx="28">
                  <c:v>-1.9589398342834685</c:v>
                </c:pt>
                <c:pt idx="29">
                  <c:v>-5.7414410491794465E-2</c:v>
                </c:pt>
                <c:pt idx="30">
                  <c:v>5.5651364590323311</c:v>
                </c:pt>
              </c:numCache>
            </c:numRef>
          </c:val>
          <c:extLst>
            <c:ext xmlns:c16="http://schemas.microsoft.com/office/drawing/2014/chart" uri="{C3380CC4-5D6E-409C-BE32-E72D297353CC}">
              <c16:uniqueId val="{00000000-2C5D-4D79-A13C-195A18493848}"/>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IPP'!$R$28:$AV$28</c:f>
              <c:numCache>
                <c:formatCode>0.0</c:formatCode>
                <c:ptCount val="31"/>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-0.53386769400704515</c:v>
                </c:pt>
                <c:pt idx="21">
                  <c:v>-4.0551444930052307</c:v>
                </c:pt>
                <c:pt idx="22">
                  <c:v>-0.43167140643618573</c:v>
                </c:pt>
                <c:pt idx="23">
                  <c:v>0.57148883598763711</c:v>
                </c:pt>
                <c:pt idx="24">
                  <c:v>0.71708988859933953</c:v>
                </c:pt>
                <c:pt idx="25">
                  <c:v>5.5177633853210528</c:v>
                </c:pt>
                <c:pt idx="26">
                  <c:v>0.63013310737050976</c:v>
                </c:pt>
                <c:pt idx="27">
                  <c:v>-0.40485316732441945</c:v>
                </c:pt>
                <c:pt idx="28">
                  <c:v>5.3082372413727208E-2</c:v>
                </c:pt>
                <c:pt idx="29">
                  <c:v>3.4161228209457162E-2</c:v>
                </c:pt>
                <c:pt idx="30">
                  <c:v>0.43620333291979424</c:v>
                </c:pt>
              </c:numCache>
            </c:numRef>
          </c:val>
          <c:extLst>
            <c:ext xmlns:c16="http://schemas.microsoft.com/office/drawing/2014/chart" uri="{C3380CC4-5D6E-409C-BE32-E72D297353CC}">
              <c16:uniqueId val="{00000001-2C5D-4D79-A13C-195A18493848}"/>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IPP'!$R$29:$AV$29</c:f>
              <c:numCache>
                <c:formatCode>0.0</c:formatCode>
                <c:ptCount val="31"/>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-0.70070857290029465</c:v>
                </c:pt>
                <c:pt idx="21">
                  <c:v>-2.1439518127357715</c:v>
                </c:pt>
                <c:pt idx="22">
                  <c:v>-0.79742744226132456</c:v>
                </c:pt>
                <c:pt idx="23">
                  <c:v>-0.53363467705880407</c:v>
                </c:pt>
                <c:pt idx="24">
                  <c:v>7.5409558142297439E-2</c:v>
                </c:pt>
                <c:pt idx="25">
                  <c:v>2.0977969917253128</c:v>
                </c:pt>
                <c:pt idx="26">
                  <c:v>0.54501450372800453</c:v>
                </c:pt>
                <c:pt idx="27">
                  <c:v>0.28246794146081411</c:v>
                </c:pt>
                <c:pt idx="28">
                  <c:v>0.35952437283238337</c:v>
                </c:pt>
                <c:pt idx="29">
                  <c:v>7.7772574988680815E-2</c:v>
                </c:pt>
                <c:pt idx="30">
                  <c:v>0.44609725915001675</c:v>
                </c:pt>
              </c:numCache>
            </c:numRef>
          </c:val>
          <c:extLst>
            <c:ext xmlns:c16="http://schemas.microsoft.com/office/drawing/2014/chart" uri="{C3380CC4-5D6E-409C-BE32-E72D297353CC}">
              <c16:uniqueId val="{00000002-2C5D-4D79-A13C-195A18493848}"/>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IPP'!$R$30:$AV$30</c:f>
              <c:numCache>
                <c:formatCode>0.0</c:formatCode>
                <c:ptCount val="31"/>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-0.60281049456131075</c:v>
                </c:pt>
                <c:pt idx="21">
                  <c:v>-2.0861954788425607</c:v>
                </c:pt>
                <c:pt idx="22">
                  <c:v>-0.54448462883764237</c:v>
                </c:pt>
                <c:pt idx="23">
                  <c:v>0.14163094411535945</c:v>
                </c:pt>
                <c:pt idx="24">
                  <c:v>0.49049251376238834</c:v>
                </c:pt>
                <c:pt idx="25">
                  <c:v>3.0212528991296015</c:v>
                </c:pt>
                <c:pt idx="26">
                  <c:v>0.73399224112891204</c:v>
                </c:pt>
                <c:pt idx="27">
                  <c:v>-5.3473928905020625E-2</c:v>
                </c:pt>
                <c:pt idx="28">
                  <c:v>-6.0400508730000862E-3</c:v>
                </c:pt>
                <c:pt idx="29">
                  <c:v>-0.60416923368807007</c:v>
                </c:pt>
                <c:pt idx="30">
                  <c:v>-0.57713680054466765</c:v>
                </c:pt>
              </c:numCache>
            </c:numRef>
          </c:val>
          <c:extLst>
            <c:ext xmlns:c16="http://schemas.microsoft.com/office/drawing/2014/chart" uri="{C3380CC4-5D6E-409C-BE32-E72D297353CC}">
              <c16:uniqueId val="{00000003-2C5D-4D79-A13C-195A18493848}"/>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IPP'!$R$31:$AV$31</c:f>
              <c:numCache>
                <c:formatCode>0.0</c:formatCode>
                <c:ptCount val="31"/>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-9.3038606014309314E-2</c:v>
                </c:pt>
                <c:pt idx="21">
                  <c:v>-0.28123947830113627</c:v>
                </c:pt>
                <c:pt idx="22">
                  <c:v>4.928216360451528E-3</c:v>
                </c:pt>
                <c:pt idx="23">
                  <c:v>-6.4929215180494207E-3</c:v>
                </c:pt>
                <c:pt idx="24">
                  <c:v>0.12370548541407449</c:v>
                </c:pt>
                <c:pt idx="25">
                  <c:v>0.16424422913293343</c:v>
                </c:pt>
                <c:pt idx="26">
                  <c:v>0.21927080668644869</c:v>
                </c:pt>
                <c:pt idx="27">
                  <c:v>-0.2179928150760102</c:v>
                </c:pt>
                <c:pt idx="28">
                  <c:v>1.2961992438444881E-2</c:v>
                </c:pt>
                <c:pt idx="29">
                  <c:v>-1.5899811729245393E-2</c:v>
                </c:pt>
                <c:pt idx="30">
                  <c:v>7.0578468040549916E-2</c:v>
                </c:pt>
              </c:numCache>
            </c:numRef>
          </c:val>
          <c:extLst>
            <c:ext xmlns:c16="http://schemas.microsoft.com/office/drawing/2014/chart" uri="{C3380CC4-5D6E-409C-BE32-E72D297353CC}">
              <c16:uniqueId val="{00000004-2C5D-4D79-A13C-195A18493848}"/>
            </c:ext>
          </c:extLst>
        </c:ser>
        <c:ser>
          <c:idx val="5"/>
          <c:order val="5"/>
          <c:tx>
            <c:strRef>
              <c:f>'GRAF příspěvky IPP'!$A$32</c:f>
              <c:strCache>
                <c:ptCount val="1"/>
                <c:pt idx="0">
                  <c:v>Chemický a farmaceutický pr. (20, 21)</c:v>
                </c:pt>
              </c:strCache>
            </c:strRef>
          </c:tx>
          <c:spPr>
            <a:solidFill>
              <a:srgbClr val="F8A124"/>
            </a:solidFill>
            <a:ln>
              <a:noFill/>
            </a:ln>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IPP'!$R$32:$AV$32</c:f>
              <c:numCache>
                <c:formatCode>0.0</c:formatCode>
                <c:ptCount val="31"/>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-3.2282293071107387E-2</c:v>
                </c:pt>
                <c:pt idx="21">
                  <c:v>-0.54854126720456842</c:v>
                </c:pt>
                <c:pt idx="22">
                  <c:v>-0.213470084635413</c:v>
                </c:pt>
                <c:pt idx="23">
                  <c:v>0.43258721577895853</c:v>
                </c:pt>
                <c:pt idx="24">
                  <c:v>0.29002166534767471</c:v>
                </c:pt>
                <c:pt idx="25">
                  <c:v>0.79640555462778906</c:v>
                </c:pt>
                <c:pt idx="26">
                  <c:v>0.31295511636296708</c:v>
                </c:pt>
                <c:pt idx="27">
                  <c:v>7.1904732388590423E-2</c:v>
                </c:pt>
                <c:pt idx="28">
                  <c:v>0.26251502201013766</c:v>
                </c:pt>
                <c:pt idx="29">
                  <c:v>0.22023630158607899</c:v>
                </c:pt>
                <c:pt idx="30">
                  <c:v>-6.7988610518413539E-2</c:v>
                </c:pt>
              </c:numCache>
            </c:numRef>
          </c:val>
          <c:extLst>
            <c:ext xmlns:c16="http://schemas.microsoft.com/office/drawing/2014/chart" uri="{C3380CC4-5D6E-409C-BE32-E72D297353CC}">
              <c16:uniqueId val="{00000005-2C5D-4D79-A13C-195A18493848}"/>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IPP'!$R$33:$AV$33</c:f>
              <c:numCache>
                <c:formatCode>0.0</c:formatCode>
                <c:ptCount val="31"/>
                <c:pt idx="0">
                  <c:v>0.99790191745106926</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7.6609618916825523E-2</c:v>
                </c:pt>
                <c:pt idx="21">
                  <c:v>-2.8303696478855001</c:v>
                </c:pt>
                <c:pt idx="22">
                  <c:v>8.2080517943730724E-2</c:v>
                </c:pt>
                <c:pt idx="23">
                  <c:v>9.7914848543596444E-2</c:v>
                </c:pt>
                <c:pt idx="24">
                  <c:v>0.23952263058523876</c:v>
                </c:pt>
                <c:pt idx="25">
                  <c:v>5.2059308294074489</c:v>
                </c:pt>
                <c:pt idx="26">
                  <c:v>1.0243206410932242</c:v>
                </c:pt>
                <c:pt idx="27">
                  <c:v>0.88675207754026841</c:v>
                </c:pt>
                <c:pt idx="28">
                  <c:v>1.09447477577437</c:v>
                </c:pt>
                <c:pt idx="29">
                  <c:v>-1.5567506056762208E-2</c:v>
                </c:pt>
                <c:pt idx="30">
                  <c:v>-0.98888649727476152</c:v>
                </c:pt>
              </c:numCache>
            </c:numRef>
          </c:val>
          <c:extLst>
            <c:ext xmlns:c16="http://schemas.microsoft.com/office/drawing/2014/chart" uri="{C3380CC4-5D6E-409C-BE32-E72D297353CC}">
              <c16:uniqueId val="{00000006-2C5D-4D79-A13C-195A18493848}"/>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IPP'!$R$34:$AV$34</c:f>
              <c:numCache>
                <c:formatCode>0.0</c:formatCode>
                <c:ptCount val="31"/>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-0.97349792913183197</c:v>
                </c:pt>
                <c:pt idx="21">
                  <c:v>-1.5874257911073824</c:v>
                </c:pt>
                <c:pt idx="22">
                  <c:v>-0.71569130332110786</c:v>
                </c:pt>
                <c:pt idx="23">
                  <c:v>-0.69509435773149675</c:v>
                </c:pt>
                <c:pt idx="24">
                  <c:v>0.48046622491935642</c:v>
                </c:pt>
                <c:pt idx="25">
                  <c:v>0.46350950234762489</c:v>
                </c:pt>
                <c:pt idx="26">
                  <c:v>0.22192497842778175</c:v>
                </c:pt>
                <c:pt idx="27">
                  <c:v>0.8136174788873507</c:v>
                </c:pt>
                <c:pt idx="28">
                  <c:v>-0.2397470908125966</c:v>
                </c:pt>
                <c:pt idx="29">
                  <c:v>0.21111532498164806</c:v>
                </c:pt>
                <c:pt idx="30">
                  <c:v>0.35450375009515112</c:v>
                </c:pt>
              </c:numCache>
            </c:numRef>
          </c:val>
          <c:extLst>
            <c:ext xmlns:c16="http://schemas.microsoft.com/office/drawing/2014/chart" uri="{C3380CC4-5D6E-409C-BE32-E72D297353CC}">
              <c16:uniqueId val="{00000007-2C5D-4D79-A13C-195A18493848}"/>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až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IPP'!$R$35:$AV$35</c:f>
              <c:numCache>
                <c:formatCode>0.0</c:formatCode>
                <c:ptCount val="31"/>
                <c:pt idx="0">
                  <c:v>4.8680422143000044</c:v>
                </c:pt>
                <c:pt idx="1">
                  <c:v>5.3061961757999967</c:v>
                </c:pt>
                <c:pt idx="2">
                  <c:v>5.6206823339000067</c:v>
                </c:pt>
                <c:pt idx="3">
                  <c:v>2.3853754886000047</c:v>
                </c:pt>
                <c:pt idx="4">
                  <c:v>4.4725174610999971</c:v>
                </c:pt>
                <c:pt idx="5">
                  <c:v>2.6060872329999967</c:v>
                </c:pt>
                <c:pt idx="6">
                  <c:v>1.6853621782999966</c:v>
                </c:pt>
                <c:pt idx="7">
                  <c:v>3.5082011612000059</c:v>
                </c:pt>
                <c:pt idx="8">
                  <c:v>4.7795069544999933</c:v>
                </c:pt>
                <c:pt idx="9">
                  <c:v>8.0197279076000001</c:v>
                </c:pt>
                <c:pt idx="10">
                  <c:v>6.5554667266000024</c:v>
                </c:pt>
                <c:pt idx="11">
                  <c:v>7.5425890917999965</c:v>
                </c:pt>
                <c:pt idx="12">
                  <c:v>4.2592401254999999</c:v>
                </c:pt>
                <c:pt idx="13">
                  <c:v>2.4107410409999943</c:v>
                </c:pt>
                <c:pt idx="14">
                  <c:v>3.7310032274999969</c:v>
                </c:pt>
                <c:pt idx="15">
                  <c:v>1.964924632000006</c:v>
                </c:pt>
                <c:pt idx="16">
                  <c:v>0.8561743111999931</c:v>
                </c:pt>
                <c:pt idx="17">
                  <c:v>0.96967285750000087</c:v>
                </c:pt>
                <c:pt idx="18">
                  <c:v>-1.1387464505999958</c:v>
                </c:pt>
                <c:pt idx="19">
                  <c:v>-2.0704594092999997</c:v>
                </c:pt>
                <c:pt idx="20">
                  <c:v>-4.3895227027000061</c:v>
                </c:pt>
                <c:pt idx="21">
                  <c:v>-22.944354622899994</c:v>
                </c:pt>
                <c:pt idx="22">
                  <c:v>-2.8132525742999945</c:v>
                </c:pt>
                <c:pt idx="23">
                  <c:v>2.0498311354999998</c:v>
                </c:pt>
                <c:pt idx="24">
                  <c:v>4.2926371346000085</c:v>
                </c:pt>
                <c:pt idx="25">
                  <c:v>28.275933856499996</c:v>
                </c:pt>
                <c:pt idx="26">
                  <c:v>-0.10088747950000275</c:v>
                </c:pt>
                <c:pt idx="27">
                  <c:v>-1.8886549978000025</c:v>
                </c:pt>
                <c:pt idx="28">
                  <c:v>-0.42216844050000191</c:v>
                </c:pt>
                <c:pt idx="29">
                  <c:v>-0.1497655322000071</c:v>
                </c:pt>
                <c:pt idx="30">
                  <c:v>5.2385073609000017</c:v>
                </c:pt>
              </c:numCache>
            </c:numRef>
          </c:val>
          <c:smooth val="0"/>
          <c:extLst>
            <c:ext xmlns:c16="http://schemas.microsoft.com/office/drawing/2014/chart" uri="{C3380CC4-5D6E-409C-BE32-E72D297353CC}">
              <c16:uniqueId val="{00000008-2C5D-4D79-A13C-195A18493848}"/>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IPP'!$R$36:$AV$36</c:f>
              <c:numCache>
                <c:formatCode>General</c:formatCode>
                <c:ptCount val="31"/>
              </c:numCache>
            </c:numRef>
          </c:val>
          <c:smooth val="0"/>
          <c:extLst>
            <c:ext xmlns:c16="http://schemas.microsoft.com/office/drawing/2014/chart" uri="{C3380CC4-5D6E-409C-BE32-E72D297353CC}">
              <c16:uniqueId val="{00000009-2C5D-4D79-A13C-195A18493848}"/>
            </c:ext>
          </c:extLst>
        </c:ser>
        <c:ser>
          <c:idx val="10"/>
          <c:order val="10"/>
          <c:tx>
            <c:strRef>
              <c:f>'GRAF příspěvky IPP'!$A$37</c:f>
              <c:strCache>
                <c:ptCount val="1"/>
                <c:pt idx="0">
                  <c:v>Produkce, prům. celkem (báze 2015=100)</c:v>
                </c:pt>
              </c:strCache>
            </c:strRef>
          </c:tx>
          <c:spPr>
            <a:ln w="15875">
              <a:solidFill>
                <a:schemeClr val="tx1">
                  <a:lumMod val="95000"/>
                  <a:lumOff val="5000"/>
                </a:schemeClr>
              </a:solidFill>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IPP'!$R$37:$AV$37</c:f>
              <c:numCache>
                <c:formatCode>##0.0</c:formatCode>
                <c:ptCount val="31"/>
                <c:pt idx="0">
                  <c:v>98.574612999999999</c:v>
                </c:pt>
                <c:pt idx="1">
                  <c:v>100.2847516667</c:v>
                </c:pt>
                <c:pt idx="2">
                  <c:v>101.35576500000001</c:v>
                </c:pt>
                <c:pt idx="3">
                  <c:v>100.49027700000001</c:v>
                </c:pt>
                <c:pt idx="4">
                  <c:v>102.93201833329999</c:v>
                </c:pt>
                <c:pt idx="5">
                  <c:v>102.6976626667</c:v>
                </c:pt>
                <c:pt idx="6">
                  <c:v>102.9735696667</c:v>
                </c:pt>
                <c:pt idx="7">
                  <c:v>104.036576</c:v>
                </c:pt>
                <c:pt idx="8">
                  <c:v>107.47989200000001</c:v>
                </c:pt>
                <c:pt idx="9">
                  <c:v>110.71636599999999</c:v>
                </c:pt>
                <c:pt idx="10">
                  <c:v>110.16904433329999</c:v>
                </c:pt>
                <c:pt idx="11">
                  <c:v>112.0549596667</c:v>
                </c:pt>
                <c:pt idx="12">
                  <c:v>112.30386300000001</c:v>
                </c:pt>
                <c:pt idx="13">
                  <c:v>113.5290806667</c:v>
                </c:pt>
                <c:pt idx="14">
                  <c:v>114.5448653333</c:v>
                </c:pt>
                <c:pt idx="15">
                  <c:v>113.75430799999999</c:v>
                </c:pt>
                <c:pt idx="16">
                  <c:v>113.2837286667</c:v>
                </c:pt>
                <c:pt idx="17">
                  <c:v>115.0417716667</c:v>
                </c:pt>
                <c:pt idx="18">
                  <c:v>112.92627733330001</c:v>
                </c:pt>
                <c:pt idx="19">
                  <c:v>111.2318066667</c:v>
                </c:pt>
                <c:pt idx="20">
                  <c:v>108.62233999999999</c:v>
                </c:pt>
                <c:pt idx="21">
                  <c:v>89.012085333300007</c:v>
                </c:pt>
                <c:pt idx="22">
                  <c:v>109.83611233329999</c:v>
                </c:pt>
                <c:pt idx="23">
                  <c:v>113.58640990329999</c:v>
                </c:pt>
                <c:pt idx="24">
                  <c:v>112.38678738669999</c:v>
                </c:pt>
                <c:pt idx="25">
                  <c:v>113.2495135967</c:v>
                </c:pt>
                <c:pt idx="26">
                  <c:v>110.3644090067</c:v>
                </c:pt>
                <c:pt idx="27">
                  <c:v>111.04524074</c:v>
                </c:pt>
                <c:pt idx="28">
                  <c:v>112.46713381329999</c:v>
                </c:pt>
                <c:pt idx="29">
                  <c:v>113.44647088000001</c:v>
                </c:pt>
                <c:pt idx="30">
                  <c:v>115.6123771</c:v>
                </c:pt>
              </c:numCache>
            </c:numRef>
          </c:val>
          <c:smooth val="0"/>
          <c:extLst>
            <c:ext xmlns:c16="http://schemas.microsoft.com/office/drawing/2014/chart" uri="{C3380CC4-5D6E-409C-BE32-E72D297353CC}">
              <c16:uniqueId val="{0000000A-2C5D-4D79-A13C-195A18493848}"/>
            </c:ext>
          </c:extLst>
        </c:ser>
        <c:ser>
          <c:idx val="11"/>
          <c:order val="11"/>
          <c:tx>
            <c:strRef>
              <c:f>'GRAF příspěvky IPP'!$A$38</c:f>
              <c:strCache>
                <c:ptCount val="1"/>
                <c:pt idx="0">
                  <c:v>Tržby, prům. celkem (báze 2015=100)</c:v>
                </c:pt>
              </c:strCache>
            </c:strRef>
          </c:tx>
          <c:spPr>
            <a:ln w="15875">
              <a:solidFill>
                <a:schemeClr val="tx1">
                  <a:lumMod val="50000"/>
                  <a:lumOff val="50000"/>
                </a:schemeClr>
              </a:solidFill>
              <a:prstDash val="sysDash"/>
            </a:ln>
          </c:spPr>
          <c:marker>
            <c:symbol val="none"/>
          </c:marker>
          <c:cat>
            <c:multiLvlStrRef>
              <c:f>'GRAF příspěvky IPP'!$R$25:$AV$26</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IPP'!$R$38:$AV$38</c:f>
              <c:numCache>
                <c:formatCode>##0.0</c:formatCode>
                <c:ptCount val="31"/>
                <c:pt idx="0">
                  <c:v>98.907043999999999</c:v>
                </c:pt>
                <c:pt idx="1">
                  <c:v>100.54670466669999</c:v>
                </c:pt>
                <c:pt idx="2">
                  <c:v>100.773518</c:v>
                </c:pt>
                <c:pt idx="3">
                  <c:v>99.772733333299996</c:v>
                </c:pt>
                <c:pt idx="4">
                  <c:v>100.10357233329999</c:v>
                </c:pt>
                <c:pt idx="5">
                  <c:v>99.118572666700004</c:v>
                </c:pt>
                <c:pt idx="6">
                  <c:v>100.72800933329999</c:v>
                </c:pt>
                <c:pt idx="7">
                  <c:v>103.334605</c:v>
                </c:pt>
                <c:pt idx="8">
                  <c:v>106.6903113333</c:v>
                </c:pt>
                <c:pt idx="9">
                  <c:v>109.487612</c:v>
                </c:pt>
                <c:pt idx="10">
                  <c:v>107.757486</c:v>
                </c:pt>
                <c:pt idx="11">
                  <c:v>109.0894736667</c:v>
                </c:pt>
                <c:pt idx="12">
                  <c:v>109.80780633329999</c:v>
                </c:pt>
                <c:pt idx="13">
                  <c:v>110.94641900000001</c:v>
                </c:pt>
                <c:pt idx="14">
                  <c:v>113.397482</c:v>
                </c:pt>
                <c:pt idx="15">
                  <c:v>114.4444003333</c:v>
                </c:pt>
                <c:pt idx="16">
                  <c:v>113.07990866670001</c:v>
                </c:pt>
                <c:pt idx="17">
                  <c:v>115.1605773333</c:v>
                </c:pt>
                <c:pt idx="18">
                  <c:v>112.71459033329999</c:v>
                </c:pt>
                <c:pt idx="19">
                  <c:v>111.6593636667</c:v>
                </c:pt>
                <c:pt idx="20">
                  <c:v>108.8700823333</c:v>
                </c:pt>
                <c:pt idx="21">
                  <c:v>88.635897666700004</c:v>
                </c:pt>
                <c:pt idx="22">
                  <c:v>111.65176</c:v>
                </c:pt>
                <c:pt idx="23">
                  <c:v>116.71428941000001</c:v>
                </c:pt>
                <c:pt idx="24">
                  <c:v>115.62027859</c:v>
                </c:pt>
                <c:pt idx="25">
                  <c:v>117.8506913267</c:v>
                </c:pt>
                <c:pt idx="26">
                  <c:v>115.4832010267</c:v>
                </c:pt>
                <c:pt idx="27">
                  <c:v>120.5923307667</c:v>
                </c:pt>
                <c:pt idx="28">
                  <c:v>127.0243110967</c:v>
                </c:pt>
                <c:pt idx="29">
                  <c:v>133.25488970999999</c:v>
                </c:pt>
                <c:pt idx="30">
                  <c:v>141.0416487633</c:v>
                </c:pt>
              </c:numCache>
            </c:numRef>
          </c:val>
          <c:smooth val="0"/>
          <c:extLst>
            <c:ext xmlns:c16="http://schemas.microsoft.com/office/drawing/2014/chart" uri="{C3380CC4-5D6E-409C-BE32-E72D297353CC}">
              <c16:uniqueId val="{0000000B-2C5D-4D79-A13C-195A18493848}"/>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1"/>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a:t>
                </a:r>
                <a:r>
                  <a:rPr lang="cs-CZ" sz="700" b="0" i="1" baseline="0">
                    <a:latin typeface="Arial" panose="020B0604020202020204" pitchFamily="34" charset="0"/>
                    <a:cs typeface="Arial" panose="020B0604020202020204" pitchFamily="34" charset="0"/>
                  </a:rPr>
                  <a:t> produkce v dílčích odvětvích (příspěvek k růstu)</a:t>
                </a:r>
                <a:endParaRPr lang="cs-CZ" sz="700" b="0" i="1">
                  <a:latin typeface="Arial" panose="020B0604020202020204" pitchFamily="34" charset="0"/>
                  <a:cs typeface="Arial" panose="020B0604020202020204" pitchFamily="34" charset="0"/>
                </a:endParaRPr>
              </a:p>
            </c:rich>
          </c:tx>
          <c:layout>
            <c:manualLayout>
              <c:xMode val="edge"/>
              <c:yMode val="edge"/>
              <c:x val="0"/>
              <c:y val="7.0405396341755536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42"/>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Produkce,</a:t>
                </a:r>
                <a:r>
                  <a:rPr lang="cs-CZ" sz="700" b="0" i="1" baseline="0">
                    <a:latin typeface="Arial" panose="020B0604020202020204" pitchFamily="34" charset="0"/>
                    <a:cs typeface="Arial" panose="020B0604020202020204" pitchFamily="34" charset="0"/>
                  </a:rPr>
                  <a:t> tržby v celém průmyslu (báze 2015=100)</a:t>
                </a:r>
                <a:endParaRPr lang="cs-CZ" sz="700" b="0" i="1">
                  <a:latin typeface="Arial" panose="020B0604020202020204" pitchFamily="34" charset="0"/>
                  <a:cs typeface="Arial" panose="020B0604020202020204" pitchFamily="34" charset="0"/>
                </a:endParaRP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10"/>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2543385995838137"/>
          <c:w val="0.98919860566585194"/>
          <c:h val="0.1675613345282420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Průmyslové zakázky celkem</c:v>
                </c:pt>
              </c:strCache>
            </c:strRef>
          </c:tx>
          <c:spPr>
            <a:solidFill>
              <a:schemeClr val="bg1">
                <a:lumMod val="75000"/>
              </a:schemeClr>
            </a:solidFill>
            <a:ln>
              <a:noFill/>
            </a:ln>
          </c:spPr>
          <c:invertIfNegative val="0"/>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2'!$R$36:$AW$36</c:f>
              <c:numCache>
                <c:formatCode>##0.0</c:formatCode>
                <c:ptCount val="32"/>
                <c:pt idx="0">
                  <c:v>8.5341066790000042</c:v>
                </c:pt>
                <c:pt idx="1">
                  <c:v>6.3751337507000017</c:v>
                </c:pt>
                <c:pt idx="2">
                  <c:v>6.0389152520999971</c:v>
                </c:pt>
                <c:pt idx="3">
                  <c:v>5.2688806407000044</c:v>
                </c:pt>
                <c:pt idx="4">
                  <c:v>2.6303368083000009</c:v>
                </c:pt>
                <c:pt idx="5">
                  <c:v>7.5468571480000008</c:v>
                </c:pt>
                <c:pt idx="6">
                  <c:v>2.3582562295000002</c:v>
                </c:pt>
                <c:pt idx="7">
                  <c:v>6.6387502374000036</c:v>
                </c:pt>
                <c:pt idx="8">
                  <c:v>7.2930461770999955</c:v>
                </c:pt>
                <c:pt idx="9">
                  <c:v>8.1858416139999974</c:v>
                </c:pt>
                <c:pt idx="10">
                  <c:v>7.9475457356000021</c:v>
                </c:pt>
                <c:pt idx="11">
                  <c:v>7.3525292791999988</c:v>
                </c:pt>
                <c:pt idx="12">
                  <c:v>3.4332835439000036</c:v>
                </c:pt>
                <c:pt idx="13">
                  <c:v>3.7186041536999994</c:v>
                </c:pt>
                <c:pt idx="14">
                  <c:v>3.8026421203999945</c:v>
                </c:pt>
                <c:pt idx="15">
                  <c:v>3.106459229500004</c:v>
                </c:pt>
                <c:pt idx="16">
                  <c:v>3.2183595436000019</c:v>
                </c:pt>
                <c:pt idx="17">
                  <c:v>1.4149495925999958</c:v>
                </c:pt>
                <c:pt idx="18">
                  <c:v>-0.22815532609999423</c:v>
                </c:pt>
                <c:pt idx="19">
                  <c:v>-3.810834207100001</c:v>
                </c:pt>
                <c:pt idx="20">
                  <c:v>-2.0840873764000065</c:v>
                </c:pt>
                <c:pt idx="21">
                  <c:v>-27.668452791999997</c:v>
                </c:pt>
                <c:pt idx="22">
                  <c:v>-1.3192166399000058</c:v>
                </c:pt>
                <c:pt idx="23">
                  <c:v>7.153462935099995</c:v>
                </c:pt>
                <c:pt idx="24">
                  <c:v>8.3618521875999932</c:v>
                </c:pt>
                <c:pt idx="25">
                  <c:v>47.900516242999998</c:v>
                </c:pt>
                <c:pt idx="26">
                  <c:v>7.3165497560000006</c:v>
                </c:pt>
                <c:pt idx="27">
                  <c:v>3.5770040907000009</c:v>
                </c:pt>
                <c:pt idx="28">
                  <c:v>5.5831255238999944</c:v>
                </c:pt>
                <c:pt idx="29">
                  <c:v>9.2535418332000035</c:v>
                </c:pt>
                <c:pt idx="30">
                  <c:v>14.473776296200001</c:v>
                </c:pt>
              </c:numCache>
            </c:numRef>
          </c:val>
          <c:extLst>
            <c:ext xmlns:c16="http://schemas.microsoft.com/office/drawing/2014/chart" uri="{C3380CC4-5D6E-409C-BE32-E72D297353CC}">
              <c16:uniqueId val="{00000000-F791-4EF0-8D06-04E4A92072C4}"/>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z toho: zakázky z tuzemska</c:v>
                </c:pt>
              </c:strCache>
            </c:strRef>
          </c:tx>
          <c:spPr>
            <a:ln w="15875">
              <a:noFill/>
              <a:prstDash val="sysDot"/>
            </a:ln>
          </c:spPr>
          <c:marker>
            <c:symbol val="diamond"/>
            <c:size val="5"/>
            <c:spPr>
              <a:solidFill>
                <a:srgbClr val="984807"/>
              </a:solidFill>
              <a:ln>
                <a:noFill/>
              </a:ln>
            </c:spPr>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2'!$R$37:$AW$37</c:f>
              <c:numCache>
                <c:formatCode>##0.0</c:formatCode>
                <c:ptCount val="32"/>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43.475840820900004</c:v>
                </c:pt>
                <c:pt idx="26">
                  <c:v>9.2877708039000026</c:v>
                </c:pt>
                <c:pt idx="27">
                  <c:v>5.4031698789000018</c:v>
                </c:pt>
                <c:pt idx="28">
                  <c:v>7.1583554226999979</c:v>
                </c:pt>
                <c:pt idx="29">
                  <c:v>14.109943314099993</c:v>
                </c:pt>
                <c:pt idx="30">
                  <c:v>25.329859091900005</c:v>
                </c:pt>
              </c:numCache>
            </c:numRef>
          </c:val>
          <c:smooth val="0"/>
          <c:extLst>
            <c:ext xmlns:c16="http://schemas.microsoft.com/office/drawing/2014/chart" uri="{C3380CC4-5D6E-409C-BE32-E72D297353CC}">
              <c16:uniqueId val="{00000001-F791-4EF0-8D06-04E4A92072C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Využití výrob. kapacit v průmyslu celkem</c:v>
                </c:pt>
              </c:strCache>
            </c:strRef>
          </c:tx>
          <c:spPr>
            <a:ln w="15875">
              <a:solidFill>
                <a:schemeClr val="accent6">
                  <a:lumMod val="75000"/>
                </a:schemeClr>
              </a:solidFill>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2'!$R$38:$AW$38</c:f>
              <c:numCache>
                <c:formatCode>##0.0</c:formatCode>
                <c:ptCount val="32"/>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numCache>
            </c:numRef>
          </c:val>
          <c:smooth val="0"/>
          <c:extLst>
            <c:ext xmlns:c16="http://schemas.microsoft.com/office/drawing/2014/chart" uri="{C3380CC4-5D6E-409C-BE32-E72D297353CC}">
              <c16:uniqueId val="{00000002-F791-4EF0-8D06-04E4A92072C4}"/>
            </c:ext>
          </c:extLst>
        </c:ser>
        <c:ser>
          <c:idx val="3"/>
          <c:order val="3"/>
          <c:tx>
            <c:strRef>
              <c:f>'výkonnost odvětví 2'!$A$39</c:f>
              <c:strCache>
                <c:ptCount val="1"/>
                <c:pt idx="0">
                  <c:v>Využití výrob. kapacit v automobil. prům.</c:v>
                </c:pt>
              </c:strCache>
            </c:strRef>
          </c:tx>
          <c:spPr>
            <a:ln w="15875">
              <a:solidFill>
                <a:schemeClr val="accent6">
                  <a:lumMod val="75000"/>
                </a:schemeClr>
              </a:solidFill>
              <a:prstDash val="sys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2'!$R$39:$AW$39</c:f>
              <c:numCache>
                <c:formatCode>##0.0</c:formatCode>
                <c:ptCount val="32"/>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numCache>
            </c:numRef>
          </c:val>
          <c:smooth val="0"/>
          <c:extLst>
            <c:ext xmlns:c16="http://schemas.microsoft.com/office/drawing/2014/chart" uri="{C3380CC4-5D6E-409C-BE32-E72D297353CC}">
              <c16:uniqueId val="{00000003-F791-4EF0-8D06-04E4A92072C4}"/>
            </c:ext>
          </c:extLst>
        </c:ser>
        <c:ser>
          <c:idx val="4"/>
          <c:order val="4"/>
          <c:tx>
            <c:strRef>
              <c:f>'výkonnost odvětví 2'!$A$40</c:f>
              <c:strCache>
                <c:ptCount val="1"/>
                <c:pt idx="0">
                  <c:v>Bariéra růstu: nedostatečná poptávka</c:v>
                </c:pt>
              </c:strCache>
            </c:strRef>
          </c:tx>
          <c:spPr>
            <a:ln w="15875">
              <a:solidFill>
                <a:srgbClr val="00B050"/>
              </a:solidFill>
              <a:prstDash val="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2'!$R$40:$AW$40</c:f>
              <c:numCache>
                <c:formatCode>#\ ##0.0</c:formatCode>
                <c:ptCount val="32"/>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numCache>
            </c:numRef>
          </c:val>
          <c:smooth val="0"/>
          <c:extLst>
            <c:ext xmlns:c16="http://schemas.microsoft.com/office/drawing/2014/chart" uri="{C3380CC4-5D6E-409C-BE32-E72D297353CC}">
              <c16:uniqueId val="{00000004-F791-4EF0-8D06-04E4A92072C4}"/>
            </c:ext>
          </c:extLst>
        </c:ser>
        <c:ser>
          <c:idx val="5"/>
          <c:order val="5"/>
          <c:tx>
            <c:strRef>
              <c:f>'výkonnost odvětví 2'!$A$41</c:f>
              <c:strCache>
                <c:ptCount val="1"/>
                <c:pt idx="0">
                  <c:v>Bariéra růstu: nedostatek pracovníků</c:v>
                </c:pt>
              </c:strCache>
            </c:strRef>
          </c:tx>
          <c:spPr>
            <a:ln w="15875">
              <a:solidFill>
                <a:srgbClr val="92D050"/>
              </a:solidFill>
              <a:prstDash val="sysDash"/>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2'!$R$41:$AW$41</c:f>
              <c:numCache>
                <c:formatCode>#\ ##0.0</c:formatCode>
                <c:ptCount val="32"/>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numCache>
            </c:numRef>
          </c:val>
          <c:smooth val="0"/>
          <c:extLst>
            <c:ext xmlns:c16="http://schemas.microsoft.com/office/drawing/2014/chart" uri="{C3380CC4-5D6E-409C-BE32-E72D297353CC}">
              <c16:uniqueId val="{00000005-F791-4EF0-8D06-04E4A92072C4}"/>
            </c:ext>
          </c:extLst>
        </c:ser>
        <c:ser>
          <c:idx val="6"/>
          <c:order val="6"/>
          <c:tx>
            <c:strRef>
              <c:f>'výkonnost odvětví 2'!$A$42</c:f>
              <c:strCache>
                <c:ptCount val="1"/>
                <c:pt idx="0">
                  <c:v>Bariéra růstu: nedost. materiálu a zařízení</c:v>
                </c:pt>
              </c:strCache>
            </c:strRef>
          </c:tx>
          <c:spPr>
            <a:ln w="15875">
              <a:solidFill>
                <a:srgbClr val="00B050"/>
              </a:solidFill>
              <a:prstDash val="solid"/>
            </a:ln>
          </c:spPr>
          <c:marker>
            <c:symbol val="none"/>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2'!$R$42:$AW$42</c:f>
              <c:numCache>
                <c:formatCode>#\ ##0.0</c:formatCode>
                <c:ptCount val="32"/>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numCache>
            </c:numRef>
          </c:val>
          <c:smooth val="0"/>
          <c:extLst>
            <c:ext xmlns:c16="http://schemas.microsoft.com/office/drawing/2014/chart" uri="{C3380CC4-5D6E-409C-BE32-E72D297353CC}">
              <c16:uniqueId val="{00000006-F791-4EF0-8D06-04E4A92072C4}"/>
            </c:ext>
          </c:extLst>
        </c:ser>
        <c:ser>
          <c:idx val="7"/>
          <c:order val="7"/>
          <c:tx>
            <c:strRef>
              <c:f>'výkonnost odvětví 2'!$A$43</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2'!$R$34:$AW$35</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2'!$R$43:$AW$43</c:f>
              <c:numCache>
                <c:formatCode>#\ ##0.0</c:formatCode>
                <c:ptCount val="32"/>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formatCode="0.0">
                  <c:v>-8.3000000000000007</c:v>
                </c:pt>
              </c:numCache>
            </c:numRef>
          </c:val>
          <c:smooth val="0"/>
          <c:extLst>
            <c:ext xmlns:c16="http://schemas.microsoft.com/office/drawing/2014/chart" uri="{C3380CC4-5D6E-409C-BE32-E72D297353CC}">
              <c16:uniqueId val="{00000007-F791-4EF0-8D06-04E4A92072C4}"/>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60"/>
          <c:min val="-40"/>
        </c:scaling>
        <c:delete val="0"/>
        <c:axPos val="l"/>
        <c:majorGridlines>
          <c:spPr>
            <a:ln>
              <a:solidFill>
                <a:srgbClr val="BEBEBE"/>
              </a:solidFill>
            </a:ln>
          </c:spPr>
        </c:majorGridlines>
        <c:title>
          <c:tx>
            <c:rich>
              <a:bodyPr/>
              <a:lstStyle/>
              <a:p>
                <a:pPr>
                  <a:defRPr sz="700" b="0" i="1"/>
                </a:pPr>
                <a:r>
                  <a:rPr lang="cs-CZ" sz="700" b="0" i="1"/>
                  <a:t>Zakázky</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b="0" i="1"/>
                  <a:t>Využití výrob.</a:t>
                </a:r>
                <a:r>
                  <a:rPr lang="cs-CZ" sz="700" b="0" i="1" baseline="0"/>
                  <a:t> </a:t>
                </a:r>
                <a:r>
                  <a:rPr lang="cs-CZ" sz="700" b="0" i="1"/>
                  <a:t>kapacit, bariéry růstu, </a:t>
                </a:r>
                <a:r>
                  <a:rPr lang="cs-CZ" sz="700" b="0" i="1" baseline="0">
                    <a:effectLst/>
                  </a:rPr>
                  <a:t>saldo důvěry</a:t>
                </a:r>
                <a:endParaRPr lang="cs-CZ" sz="700" i="1">
                  <a:effectLst/>
                </a:endParaRP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0623952307722555E-2"/>
          <c:y val="0.85586448957034"/>
          <c:w val="0.98342327494608206"/>
          <c:h val="0.14063307954958187"/>
        </c:manualLayout>
      </c:layout>
      <c:overlay val="0"/>
      <c:spPr>
        <a:ln w="6350">
          <a:solidFill>
            <a:prstClr val="black">
              <a:lumMod val="95000"/>
              <a:lumOff val="5000"/>
            </a:prstClr>
          </a:solidFill>
        </a:ln>
      </c:spPr>
      <c:txPr>
        <a:bodyPr/>
        <a:lstStyle/>
        <a:p>
          <a:pPr>
            <a:defRPr sz="78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a:noFill/>
            </a:ln>
          </c:spPr>
          <c:invertIfNegative val="0"/>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3'!$Y$31:$Y$62</c:f>
              <c:numCache>
                <c:formatCode>0.0</c:formatCode>
                <c:ptCount val="32"/>
                <c:pt idx="0">
                  <c:v>6.1308568518511448</c:v>
                </c:pt>
                <c:pt idx="1">
                  <c:v>5.1607018747060769</c:v>
                </c:pt>
                <c:pt idx="2">
                  <c:v>0.83732221166829823</c:v>
                </c:pt>
                <c:pt idx="3">
                  <c:v>-1.7965809449797592</c:v>
                </c:pt>
                <c:pt idx="4">
                  <c:v>-5.0554353718564</c:v>
                </c:pt>
                <c:pt idx="5">
                  <c:v>-5.0997154609815611</c:v>
                </c:pt>
                <c:pt idx="6">
                  <c:v>0.80416326897207957</c:v>
                </c:pt>
                <c:pt idx="7">
                  <c:v>4.0227938260413483</c:v>
                </c:pt>
                <c:pt idx="8">
                  <c:v>2.3492102404454331</c:v>
                </c:pt>
                <c:pt idx="9">
                  <c:v>10.148433192468758</c:v>
                </c:pt>
                <c:pt idx="10">
                  <c:v>3.5041123802431988</c:v>
                </c:pt>
                <c:pt idx="11">
                  <c:v>2.7003043634714752</c:v>
                </c:pt>
                <c:pt idx="12">
                  <c:v>13.605896032750319</c:v>
                </c:pt>
                <c:pt idx="13">
                  <c:v>6.2914622667002371</c:v>
                </c:pt>
                <c:pt idx="14">
                  <c:v>7.7044737794970466</c:v>
                </c:pt>
                <c:pt idx="15">
                  <c:v>2.5958937852329327</c:v>
                </c:pt>
                <c:pt idx="16">
                  <c:v>2.9033079599696401</c:v>
                </c:pt>
                <c:pt idx="17">
                  <c:v>2.4302292749395131</c:v>
                </c:pt>
                <c:pt idx="18">
                  <c:v>-0.70910271480086584</c:v>
                </c:pt>
                <c:pt idx="19">
                  <c:v>2.432342690784179</c:v>
                </c:pt>
                <c:pt idx="20">
                  <c:v>-0.35783188994578496</c:v>
                </c:pt>
                <c:pt idx="21">
                  <c:v>-7.4200129464916591</c:v>
                </c:pt>
                <c:pt idx="22">
                  <c:v>-7.1642694858098803</c:v>
                </c:pt>
                <c:pt idx="23">
                  <c:v>-8.6176422401549555</c:v>
                </c:pt>
                <c:pt idx="24">
                  <c:v>-5.13904453453247</c:v>
                </c:pt>
                <c:pt idx="25">
                  <c:v>3.2583720731397245</c:v>
                </c:pt>
                <c:pt idx="26">
                  <c:v>2.9865124354853494</c:v>
                </c:pt>
                <c:pt idx="27">
                  <c:v>6.0577763522274122</c:v>
                </c:pt>
                <c:pt idx="28">
                  <c:v>6.6221453252314708</c:v>
                </c:pt>
                <c:pt idx="29">
                  <c:v>3.1159467927198503</c:v>
                </c:pt>
                <c:pt idx="30">
                  <c:v>-1.3142425548264225</c:v>
                </c:pt>
              </c:numCache>
            </c:numRef>
          </c:val>
          <c:extLst>
            <c:ext xmlns:c16="http://schemas.microsoft.com/office/drawing/2014/chart" uri="{C3380CC4-5D6E-409C-BE32-E72D297353CC}">
              <c16:uniqueId val="{00000000-2C17-46D6-91F4-DB986DB191EA}"/>
            </c:ext>
          </c:extLst>
        </c:ser>
        <c:ser>
          <c:idx val="2"/>
          <c:order val="2"/>
          <c:tx>
            <c:strRef>
              <c:f>'výkonnost odvětví 3'!$Z$10</c:f>
              <c:strCache>
                <c:ptCount val="1"/>
                <c:pt idx="0">
                  <c:v>Inženýrské stavitelství (příspěvek v p. b.)</c:v>
                </c:pt>
              </c:strCache>
            </c:strRef>
          </c:tx>
          <c:spPr>
            <a:solidFill>
              <a:srgbClr val="E8AFB2"/>
            </a:solidFill>
            <a:ln>
              <a:noFill/>
            </a:ln>
          </c:spPr>
          <c:invertIfNegative val="0"/>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3'!$Z$31:$Z$62</c:f>
              <c:numCache>
                <c:formatCode>0.0</c:formatCode>
                <c:ptCount val="32"/>
                <c:pt idx="0">
                  <c:v>3.0630580809132377</c:v>
                </c:pt>
                <c:pt idx="1">
                  <c:v>6.8176109939388247</c:v>
                </c:pt>
                <c:pt idx="2">
                  <c:v>7.0251452781808128</c:v>
                </c:pt>
                <c:pt idx="3">
                  <c:v>2.7276419848972755</c:v>
                </c:pt>
                <c:pt idx="4">
                  <c:v>-1.205227141283097</c:v>
                </c:pt>
                <c:pt idx="5">
                  <c:v>-5.1481596916982086</c:v>
                </c:pt>
                <c:pt idx="6">
                  <c:v>-6.7102047822986526</c:v>
                </c:pt>
                <c:pt idx="7">
                  <c:v>-5.6729778140324045</c:v>
                </c:pt>
                <c:pt idx="8">
                  <c:v>-3.2133606526027174</c:v>
                </c:pt>
                <c:pt idx="9">
                  <c:v>-1.1291534248956654</c:v>
                </c:pt>
                <c:pt idx="10">
                  <c:v>-1.4416251874947317</c:v>
                </c:pt>
                <c:pt idx="11">
                  <c:v>0.23547548081532094</c:v>
                </c:pt>
                <c:pt idx="12">
                  <c:v>1.7597078207679104</c:v>
                </c:pt>
                <c:pt idx="13">
                  <c:v>1.2027115222385714</c:v>
                </c:pt>
                <c:pt idx="14">
                  <c:v>4.7042342586933934</c:v>
                </c:pt>
                <c:pt idx="15">
                  <c:v>1.7013650015145463</c:v>
                </c:pt>
                <c:pt idx="16">
                  <c:v>0.73361885474343291</c:v>
                </c:pt>
                <c:pt idx="17">
                  <c:v>1.8774662818610086</c:v>
                </c:pt>
                <c:pt idx="18">
                  <c:v>0.74664987633445457</c:v>
                </c:pt>
                <c:pt idx="19">
                  <c:v>0.84906917828074113</c:v>
                </c:pt>
                <c:pt idx="20">
                  <c:v>3.2013845804657359</c:v>
                </c:pt>
                <c:pt idx="21">
                  <c:v>1.2155224180687338</c:v>
                </c:pt>
                <c:pt idx="22">
                  <c:v>-1.8677834831470379</c:v>
                </c:pt>
                <c:pt idx="23">
                  <c:v>0.34630377590534417</c:v>
                </c:pt>
                <c:pt idx="24">
                  <c:v>-4.1111349954051912E-2</c:v>
                </c:pt>
                <c:pt idx="25">
                  <c:v>1.0235478015601918</c:v>
                </c:pt>
                <c:pt idx="26">
                  <c:v>-0.24162716964276268</c:v>
                </c:pt>
                <c:pt idx="27">
                  <c:v>-0.88482045587157132</c:v>
                </c:pt>
                <c:pt idx="28">
                  <c:v>3.2300746856570721</c:v>
                </c:pt>
                <c:pt idx="29">
                  <c:v>-0.12174043394342274</c:v>
                </c:pt>
                <c:pt idx="30">
                  <c:v>-0.4291425139822761</c:v>
                </c:pt>
              </c:numCache>
            </c:numRef>
          </c:val>
          <c:extLst>
            <c:ext xmlns:c16="http://schemas.microsoft.com/office/drawing/2014/chart" uri="{C3380CC4-5D6E-409C-BE32-E72D297353CC}">
              <c16:uniqueId val="{00000001-2C17-46D6-91F4-DB986DB191EA}"/>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Celková stavební produkce</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3'!$X$31:$X$62</c:f>
              <c:numCache>
                <c:formatCode>0.0</c:formatCode>
                <c:ptCount val="32"/>
                <c:pt idx="0">
                  <c:v>9.1939149327643861</c:v>
                </c:pt>
                <c:pt idx="1">
                  <c:v>11.978312868644906</c:v>
                </c:pt>
                <c:pt idx="2">
                  <c:v>7.8624674898491094</c:v>
                </c:pt>
                <c:pt idx="3">
                  <c:v>0.93106103991749478</c:v>
                </c:pt>
                <c:pt idx="4">
                  <c:v>-6.2606625131395077</c:v>
                </c:pt>
                <c:pt idx="5">
                  <c:v>-10.247875152679768</c:v>
                </c:pt>
                <c:pt idx="6">
                  <c:v>-5.9060415133265707</c:v>
                </c:pt>
                <c:pt idx="7">
                  <c:v>-1.6501839879910563</c:v>
                </c:pt>
                <c:pt idx="8">
                  <c:v>-0.86415041215724386</c:v>
                </c:pt>
                <c:pt idx="9">
                  <c:v>9.0192797675730816</c:v>
                </c:pt>
                <c:pt idx="10">
                  <c:v>2.0624871927484918</c:v>
                </c:pt>
                <c:pt idx="11">
                  <c:v>2.9357798442867846</c:v>
                </c:pt>
                <c:pt idx="12">
                  <c:v>15.365603853518238</c:v>
                </c:pt>
                <c:pt idx="13">
                  <c:v>7.4941737889388236</c:v>
                </c:pt>
                <c:pt idx="14">
                  <c:v>12.408708038190426</c:v>
                </c:pt>
                <c:pt idx="15">
                  <c:v>4.2972587867474914</c:v>
                </c:pt>
                <c:pt idx="16">
                  <c:v>3.6369268147130356</c:v>
                </c:pt>
                <c:pt idx="17">
                  <c:v>4.3076955568005104</c:v>
                </c:pt>
                <c:pt idx="18">
                  <c:v>3.7547161533595386E-2</c:v>
                </c:pt>
                <c:pt idx="19">
                  <c:v>3.2814118690648968</c:v>
                </c:pt>
                <c:pt idx="20">
                  <c:v>2.8431217393574855</c:v>
                </c:pt>
                <c:pt idx="21">
                  <c:v>-6.20452740534067</c:v>
                </c:pt>
                <c:pt idx="22">
                  <c:v>-9.031736306143344</c:v>
                </c:pt>
                <c:pt idx="23">
                  <c:v>-8.2712134963929316</c:v>
                </c:pt>
                <c:pt idx="24">
                  <c:v>-5.1800424365855235</c:v>
                </c:pt>
                <c:pt idx="25">
                  <c:v>4.2811919149449125</c:v>
                </c:pt>
                <c:pt idx="26">
                  <c:v>2.7452051825273713</c:v>
                </c:pt>
                <c:pt idx="27">
                  <c:v>5.1725823393403658</c:v>
                </c:pt>
                <c:pt idx="28">
                  <c:v>9.8522200108885443</c:v>
                </c:pt>
                <c:pt idx="29">
                  <c:v>2.9942063587764096</c:v>
                </c:pt>
                <c:pt idx="30">
                  <c:v>-1.7433850688087063</c:v>
                </c:pt>
              </c:numCache>
            </c:numRef>
          </c:val>
          <c:smooth val="0"/>
          <c:extLst>
            <c:ext xmlns:c16="http://schemas.microsoft.com/office/drawing/2014/chart" uri="{C3380CC4-5D6E-409C-BE32-E72D297353CC}">
              <c16:uniqueId val="{00000002-2C17-46D6-91F4-DB986DB191EA}"/>
            </c:ext>
          </c:extLst>
        </c:ser>
        <c:ser>
          <c:idx val="3"/>
          <c:order val="3"/>
          <c:tx>
            <c:strRef>
              <c:f>'výkonnost odvětví 3'!$AA$10</c:f>
              <c:strCache>
                <c:ptCount val="1"/>
                <c:pt idx="0">
                  <c:v>Nové stavební zakázky v tuzemsku</c:v>
                </c:pt>
              </c:strCache>
            </c:strRef>
          </c:tx>
          <c:spPr>
            <a:ln w="15875">
              <a:solidFill>
                <a:srgbClr val="984807"/>
              </a:solidFill>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3'!$AA$31:$AA$62</c:f>
              <c:numCache>
                <c:formatCode>0.0</c:formatCode>
                <c:ptCount val="32"/>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13.060554636931542</c:v>
                </c:pt>
                <c:pt idx="29">
                  <c:v>16.270833674648699</c:v>
                </c:pt>
                <c:pt idx="30">
                  <c:v>12.568154276551738</c:v>
                </c:pt>
              </c:numCache>
            </c:numRef>
          </c:val>
          <c:smooth val="0"/>
          <c:extLst>
            <c:ext xmlns:c16="http://schemas.microsoft.com/office/drawing/2014/chart" uri="{C3380CC4-5D6E-409C-BE32-E72D297353CC}">
              <c16:uniqueId val="{00000003-2C17-46D6-91F4-DB986DB191EA}"/>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Bariéra růstu: nedostatečná poptávka</c:v>
                </c:pt>
              </c:strCache>
            </c:strRef>
          </c:tx>
          <c:spPr>
            <a:ln w="15875">
              <a:solidFill>
                <a:srgbClr val="92D050"/>
              </a:solidFill>
              <a:prstDash val="dash"/>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3'!$AB$31:$AB$62</c:f>
              <c:numCache>
                <c:formatCode>#\ ##0.0</c:formatCode>
                <c:ptCount val="32"/>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c:v>19.5</c:v>
                </c:pt>
                <c:pt idx="28">
                  <c:v>21.3</c:v>
                </c:pt>
                <c:pt idx="29">
                  <c:v>21.1</c:v>
                </c:pt>
                <c:pt idx="30">
                  <c:v>19.3</c:v>
                </c:pt>
                <c:pt idx="31">
                  <c:v>20.6</c:v>
                </c:pt>
              </c:numCache>
            </c:numRef>
          </c:val>
          <c:smooth val="0"/>
          <c:extLst>
            <c:ext xmlns:c16="http://schemas.microsoft.com/office/drawing/2014/chart" uri="{C3380CC4-5D6E-409C-BE32-E72D297353CC}">
              <c16:uniqueId val="{00000004-2C17-46D6-91F4-DB986DB191EA}"/>
            </c:ext>
          </c:extLst>
        </c:ser>
        <c:ser>
          <c:idx val="5"/>
          <c:order val="5"/>
          <c:tx>
            <c:strRef>
              <c:f>'výkonnost odvětví 3'!$AC$10</c:f>
              <c:strCache>
                <c:ptCount val="1"/>
                <c:pt idx="0">
                  <c:v>Bariéra růstu: nedostatek pracovníků</c:v>
                </c:pt>
              </c:strCache>
            </c:strRef>
          </c:tx>
          <c:spPr>
            <a:ln w="15875">
              <a:solidFill>
                <a:srgbClr val="00B050"/>
              </a:solidFill>
              <a:prstDash val="solid"/>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3'!$AC$31:$AC$62</c:f>
              <c:numCache>
                <c:formatCode>#\ ##0.0</c:formatCode>
                <c:ptCount val="32"/>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57.7</c:v>
                </c:pt>
                <c:pt idx="29">
                  <c:v>44.3</c:v>
                </c:pt>
                <c:pt idx="30">
                  <c:v>39</c:v>
                </c:pt>
                <c:pt idx="31">
                  <c:v>46.8</c:v>
                </c:pt>
              </c:numCache>
            </c:numRef>
          </c:val>
          <c:smooth val="0"/>
          <c:extLst>
            <c:ext xmlns:c16="http://schemas.microsoft.com/office/drawing/2014/chart" uri="{C3380CC4-5D6E-409C-BE32-E72D297353CC}">
              <c16:uniqueId val="{00000005-2C17-46D6-91F4-DB986DB191EA}"/>
            </c:ext>
          </c:extLst>
        </c:ser>
        <c:ser>
          <c:idx val="6"/>
          <c:order val="6"/>
          <c:tx>
            <c:strRef>
              <c:f>'výkonnost odvětví 3'!$AD$10</c:f>
              <c:strCache>
                <c:ptCount val="1"/>
                <c:pt idx="0">
                  <c:v>Bariéra růstu: nedost. materiálu a vybavení</c:v>
                </c:pt>
              </c:strCache>
            </c:strRef>
          </c:tx>
          <c:spPr>
            <a:ln w="15875">
              <a:solidFill>
                <a:srgbClr val="00B050"/>
              </a:solidFill>
              <a:prstDash val="sysDash"/>
            </a:ln>
          </c:spPr>
          <c:marker>
            <c:symbol val="none"/>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3'!$AD$31:$AD$62</c:f>
              <c:numCache>
                <c:formatCode>#\ ##0.0</c:formatCode>
                <c:ptCount val="32"/>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c:v>22.8</c:v>
                </c:pt>
                <c:pt idx="28">
                  <c:v>24.7</c:v>
                </c:pt>
                <c:pt idx="29">
                  <c:v>41.3</c:v>
                </c:pt>
                <c:pt idx="30">
                  <c:v>38.6</c:v>
                </c:pt>
                <c:pt idx="31">
                  <c:v>23.4</c:v>
                </c:pt>
              </c:numCache>
            </c:numRef>
          </c:val>
          <c:smooth val="0"/>
          <c:extLst>
            <c:ext xmlns:c16="http://schemas.microsoft.com/office/drawing/2014/chart" uri="{C3380CC4-5D6E-409C-BE32-E72D297353CC}">
              <c16:uniqueId val="{00000006-2C17-46D6-91F4-DB986DB191EA}"/>
            </c:ext>
          </c:extLst>
        </c:ser>
        <c:ser>
          <c:idx val="7"/>
          <c:order val="7"/>
          <c:tx>
            <c:strRef>
              <c:f>'výkonnost odvětví 3'!$AE$10</c:f>
              <c:strCache>
                <c:ptCount val="1"/>
                <c:pt idx="0">
                  <c:v>Saldo indikátoru důvěry ve stavebnictví</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3'!$V$31:$W$62</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3'!$AE$31:$AE$62</c:f>
              <c:numCache>
                <c:formatCode>0.0</c:formatCode>
                <c:ptCount val="32"/>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numCache>
            </c:numRef>
          </c:val>
          <c:smooth val="0"/>
          <c:extLst>
            <c:ext xmlns:c16="http://schemas.microsoft.com/office/drawing/2014/chart" uri="{C3380CC4-5D6E-409C-BE32-E72D297353CC}">
              <c16:uniqueId val="{00000007-2C17-46D6-91F4-DB986DB191EA}"/>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70"/>
          <c:min val="-3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Zakázky, příspěvky k změně stavební produkce</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 důvěry, bariéry růstu</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08"/>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růstu-4'!$D$33</c:f>
              <c:strCache>
                <c:ptCount val="1"/>
                <c:pt idx="0">
                  <c:v>Doprava a skladování</c:v>
                </c:pt>
              </c:strCache>
            </c:strRef>
          </c:tx>
          <c:spPr>
            <a:solidFill>
              <a:srgbClr val="92D05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růstu-4'!$D$46:$D$77</c:f>
              <c:numCache>
                <c:formatCode>0.0</c:formatCode>
                <c:ptCount val="32"/>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-0.15347897642490088</c:v>
                </c:pt>
                <c:pt idx="25">
                  <c:v>6.9484387481567991</c:v>
                </c:pt>
                <c:pt idx="26">
                  <c:v>4.1004414878492002</c:v>
                </c:pt>
                <c:pt idx="27">
                  <c:v>4.5430976046433731</c:v>
                </c:pt>
                <c:pt idx="28">
                  <c:v>4.7748073605734254</c:v>
                </c:pt>
                <c:pt idx="29">
                  <c:v>4.8749495136867065</c:v>
                </c:pt>
                <c:pt idx="30">
                  <c:v>3.8212777797796873</c:v>
                </c:pt>
              </c:numCache>
            </c:numRef>
          </c:val>
          <c:extLst>
            <c:ext xmlns:c16="http://schemas.microsoft.com/office/drawing/2014/chart" uri="{C3380CC4-5D6E-409C-BE32-E72D297353CC}">
              <c16:uniqueId val="{00000000-A4DA-4633-A4B7-E89D422C4C55}"/>
            </c:ext>
          </c:extLst>
        </c:ser>
        <c:ser>
          <c:idx val="1"/>
          <c:order val="2"/>
          <c:tx>
            <c:strRef>
              <c:f>'Služby-příspěvkyk růstu-4'!$E$33</c:f>
              <c:strCache>
                <c:ptCount val="1"/>
                <c:pt idx="0">
                  <c:v>Ubytování, stravování a pohostinství</c:v>
                </c:pt>
              </c:strCache>
            </c:strRef>
          </c:tx>
          <c:spPr>
            <a:solidFill>
              <a:srgbClr val="00B0F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růstu-4'!$E$46:$E$77</c:f>
              <c:numCache>
                <c:formatCode>0.0</c:formatCode>
                <c:ptCount val="32"/>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-3.6941640008937502</c:v>
                </c:pt>
                <c:pt idx="25">
                  <c:v>1.373173366912539</c:v>
                </c:pt>
                <c:pt idx="26">
                  <c:v>0.63565591352220041</c:v>
                </c:pt>
                <c:pt idx="27">
                  <c:v>2.8398555259503393</c:v>
                </c:pt>
                <c:pt idx="28">
                  <c:v>2.8890805368554999</c:v>
                </c:pt>
                <c:pt idx="29">
                  <c:v>2.6738330890326609</c:v>
                </c:pt>
                <c:pt idx="30">
                  <c:v>-0.38569569322033903</c:v>
                </c:pt>
              </c:numCache>
            </c:numRef>
          </c:val>
          <c:extLst>
            <c:ext xmlns:c16="http://schemas.microsoft.com/office/drawing/2014/chart" uri="{C3380CC4-5D6E-409C-BE32-E72D297353CC}">
              <c16:uniqueId val="{00000001-A4DA-4633-A4B7-E89D422C4C55}"/>
            </c:ext>
          </c:extLst>
        </c:ser>
        <c:ser>
          <c:idx val="2"/>
          <c:order val="3"/>
          <c:tx>
            <c:strRef>
              <c:f>'Služby-příspěvkyk růstu-4'!$F$33</c:f>
              <c:strCache>
                <c:ptCount val="1"/>
                <c:pt idx="0">
                  <c:v>Informační a komunikační činnosti</c:v>
                </c:pt>
              </c:strCache>
            </c:strRef>
          </c:tx>
          <c:spPr>
            <a:solidFill>
              <a:srgbClr val="E6E100"/>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růstu-4'!$F$46:$F$77</c:f>
              <c:numCache>
                <c:formatCode>0.0</c:formatCode>
                <c:ptCount val="32"/>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0.71325645285200023</c:v>
                </c:pt>
                <c:pt idx="25">
                  <c:v>1.5474731889590174</c:v>
                </c:pt>
                <c:pt idx="26">
                  <c:v>1.4413384891517995</c:v>
                </c:pt>
                <c:pt idx="27">
                  <c:v>1.9062822530739725</c:v>
                </c:pt>
                <c:pt idx="28">
                  <c:v>1.0270453089532987</c:v>
                </c:pt>
                <c:pt idx="29">
                  <c:v>0.60584727885599932</c:v>
                </c:pt>
                <c:pt idx="30">
                  <c:v>0.66491454178709586</c:v>
                </c:pt>
              </c:numCache>
            </c:numRef>
          </c:val>
          <c:extLst>
            <c:ext xmlns:c16="http://schemas.microsoft.com/office/drawing/2014/chart" uri="{C3380CC4-5D6E-409C-BE32-E72D297353CC}">
              <c16:uniqueId val="{00000002-A4DA-4633-A4B7-E89D422C4C55}"/>
            </c:ext>
          </c:extLst>
        </c:ser>
        <c:ser>
          <c:idx val="4"/>
          <c:order val="4"/>
          <c:tx>
            <c:strRef>
              <c:f>'Služby-příspěvkyk růstu-4'!$G$33</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růstu-4'!$G$46:$G$77</c:f>
              <c:numCache>
                <c:formatCode>0.0</c:formatCode>
                <c:ptCount val="32"/>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-0.20165418253469941</c:v>
                </c:pt>
                <c:pt idx="25">
                  <c:v>0.43420759111079932</c:v>
                </c:pt>
                <c:pt idx="26">
                  <c:v>3.1409050384998238E-3</c:v>
                </c:pt>
                <c:pt idx="27">
                  <c:v>0.23844068912159988</c:v>
                </c:pt>
                <c:pt idx="28">
                  <c:v>0.32776895446879983</c:v>
                </c:pt>
                <c:pt idx="29">
                  <c:v>0.22296015353599954</c:v>
                </c:pt>
                <c:pt idx="30">
                  <c:v>0.31296289323947418</c:v>
                </c:pt>
              </c:numCache>
            </c:numRef>
          </c:val>
          <c:extLst>
            <c:ext xmlns:c16="http://schemas.microsoft.com/office/drawing/2014/chart" uri="{C3380CC4-5D6E-409C-BE32-E72D297353CC}">
              <c16:uniqueId val="{00000003-A4DA-4633-A4B7-E89D422C4C55}"/>
            </c:ext>
          </c:extLst>
        </c:ser>
        <c:ser>
          <c:idx val="5"/>
          <c:order val="5"/>
          <c:tx>
            <c:strRef>
              <c:f>'Služby-příspěvkyk růstu-4'!$H$33</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růstu-4'!$H$46:$H$77</c:f>
              <c:numCache>
                <c:formatCode>0.0</c:formatCode>
                <c:ptCount val="32"/>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-1.588935390641379</c:v>
                </c:pt>
                <c:pt idx="25">
                  <c:v>2.7158121706898006</c:v>
                </c:pt>
                <c:pt idx="26">
                  <c:v>1.7629796367065986</c:v>
                </c:pt>
                <c:pt idx="27">
                  <c:v>2.0928711739649493</c:v>
                </c:pt>
                <c:pt idx="28">
                  <c:v>2.4382628790191987</c:v>
                </c:pt>
                <c:pt idx="29">
                  <c:v>1.5538202271999986</c:v>
                </c:pt>
                <c:pt idx="30">
                  <c:v>0.54328554626086834</c:v>
                </c:pt>
              </c:numCache>
            </c:numRef>
          </c:val>
          <c:extLst>
            <c:ext xmlns:c16="http://schemas.microsoft.com/office/drawing/2014/chart" uri="{C3380CC4-5D6E-409C-BE32-E72D297353CC}">
              <c16:uniqueId val="{00000004-A4DA-4633-A4B7-E89D422C4C55}"/>
            </c:ext>
          </c:extLst>
        </c:ser>
        <c:ser>
          <c:idx val="6"/>
          <c:order val="6"/>
          <c:tx>
            <c:strRef>
              <c:f>'Služby-příspěvkyk růstu-4'!$I$33</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růstu-4'!$I$46:$I$77</c:f>
              <c:numCache>
                <c:formatCode>0.0</c:formatCode>
                <c:ptCount val="32"/>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-1.4734237324863002</c:v>
                </c:pt>
                <c:pt idx="25">
                  <c:v>1.7705052781510096</c:v>
                </c:pt>
                <c:pt idx="26">
                  <c:v>1.8501366320900006</c:v>
                </c:pt>
                <c:pt idx="27">
                  <c:v>1.0500963362564886</c:v>
                </c:pt>
                <c:pt idx="28">
                  <c:v>1.6937716289754843</c:v>
                </c:pt>
                <c:pt idx="29">
                  <c:v>2.102868846504673</c:v>
                </c:pt>
                <c:pt idx="30">
                  <c:v>1.8641173209481992</c:v>
                </c:pt>
              </c:numCache>
            </c:numRef>
          </c:val>
          <c:extLst>
            <c:ext xmlns:c16="http://schemas.microsoft.com/office/drawing/2014/chart" uri="{C3380CC4-5D6E-409C-BE32-E72D297353CC}">
              <c16:uniqueId val="{00000005-A4DA-4633-A4B7-E89D422C4C55}"/>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růstu-4'!$C$46:$C$77</c:f>
              <c:numCache>
                <c:formatCode>0.0</c:formatCode>
                <c:ptCount val="32"/>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-6.4053667019999949</c:v>
                </c:pt>
                <c:pt idx="25">
                  <c:v>14.781963729699996</c:v>
                </c:pt>
                <c:pt idx="26">
                  <c:v>9.8370396180999933</c:v>
                </c:pt>
                <c:pt idx="27">
                  <c:v>12.664069853599997</c:v>
                </c:pt>
                <c:pt idx="28">
                  <c:v>13.138640175700004</c:v>
                </c:pt>
                <c:pt idx="29">
                  <c:v>12.063833192100006</c:v>
                </c:pt>
                <c:pt idx="30">
                  <c:v>6.8513517702999991</c:v>
                </c:pt>
              </c:numCache>
            </c:numRef>
          </c:val>
          <c:smooth val="0"/>
          <c:extLst>
            <c:ext xmlns:c16="http://schemas.microsoft.com/office/drawing/2014/chart" uri="{C3380CC4-5D6E-409C-BE32-E72D297353CC}">
              <c16:uniqueId val="{00000006-A4DA-4633-A4B7-E89D422C4C5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růstu-4'!$J$46:$J$77</c:f>
              <c:numCache>
                <c:formatCode>0.0</c:formatCode>
                <c:ptCount val="32"/>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numCache>
            </c:numRef>
          </c:val>
          <c:smooth val="0"/>
          <c:extLst>
            <c:ext xmlns:c16="http://schemas.microsoft.com/office/drawing/2014/chart" uri="{C3380CC4-5D6E-409C-BE32-E72D297353CC}">
              <c16:uniqueId val="{00000007-A4DA-4633-A4B7-E89D422C4C55}"/>
            </c:ext>
          </c:extLst>
        </c:ser>
        <c:ser>
          <c:idx val="8"/>
          <c:order val="8"/>
          <c:tx>
            <c:strRef>
              <c:f>'Služby-příspěvkyk růstu-4'!$K$33</c:f>
              <c:strCache>
                <c:ptCount val="1"/>
                <c:pt idx="0">
                  <c:v>Bariéra růstu: nedostatečná poptávka</c:v>
                </c:pt>
              </c:strCache>
            </c:strRef>
          </c:tx>
          <c:spPr>
            <a:ln w="15875">
              <a:solidFill>
                <a:srgbClr val="984807"/>
              </a:solidFill>
            </a:ln>
          </c:spPr>
          <c:marker>
            <c:symbol val="none"/>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růstu-4'!$K$46:$K$77</c:f>
              <c:numCache>
                <c:formatCode>#\ ##0.0</c:formatCode>
                <c:ptCount val="32"/>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numCache>
            </c:numRef>
          </c:val>
          <c:smooth val="0"/>
          <c:extLst>
            <c:ext xmlns:c16="http://schemas.microsoft.com/office/drawing/2014/chart" uri="{C3380CC4-5D6E-409C-BE32-E72D297353CC}">
              <c16:uniqueId val="{00000008-A4DA-4633-A4B7-E89D422C4C55}"/>
            </c:ext>
          </c:extLst>
        </c:ser>
        <c:ser>
          <c:idx val="9"/>
          <c:order val="9"/>
          <c:tx>
            <c:strRef>
              <c:f>'Služby-příspěvkyk růstu-4'!$L$33</c:f>
              <c:strCache>
                <c:ptCount val="1"/>
                <c:pt idx="0">
                  <c:v>Bariéra růstu: nedostatek pracovníků</c:v>
                </c:pt>
              </c:strCache>
            </c:strRef>
          </c:tx>
          <c:spPr>
            <a:ln w="15875">
              <a:solidFill>
                <a:srgbClr val="984807"/>
              </a:solidFill>
              <a:prstDash val="sysDash"/>
            </a:ln>
          </c:spPr>
          <c:marker>
            <c:symbol val="none"/>
          </c:marker>
          <c:cat>
            <c:multiLvlStrRef>
              <c:f>'Služby-příspěvkyk růstu-4'!$A$46:$B$77</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'Služby-příspěvkyk růstu-4'!$L$46:$L$77</c:f>
              <c:numCache>
                <c:formatCode>#\ ##0.0</c:formatCode>
                <c:ptCount val="32"/>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numCache>
            </c:numRef>
          </c:val>
          <c:smooth val="0"/>
          <c:extLst>
            <c:ext xmlns:c16="http://schemas.microsoft.com/office/drawing/2014/chart" uri="{C3380CC4-5D6E-409C-BE32-E72D297353CC}">
              <c16:uniqueId val="{00000009-A4DA-4633-A4B7-E89D422C4C55}"/>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Příspěvky ke změně tržeb ve službách</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důvěry, bariéry růstu</a:t>
                </a:r>
              </a:p>
            </c:rich>
          </c:tx>
          <c:layout>
            <c:manualLayout>
              <c:xMode val="edge"/>
              <c:yMode val="edge"/>
              <c:x val="0.97060568193100361"/>
              <c:y val="0.20830133644625787"/>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8678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Maloobchod s potravinami (příspěvek)</c:v>
                </c:pt>
              </c:strCache>
            </c:strRef>
          </c:tx>
          <c:spPr>
            <a:solidFill>
              <a:srgbClr val="92D050"/>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5a'!$E$67:$E$98</c:f>
              <c:numCache>
                <c:formatCode>#\ ##0.0</c:formatCode>
                <c:ptCount val="32"/>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-1.1892501751301237</c:v>
                </c:pt>
                <c:pt idx="22">
                  <c:v>-0.41434297088657085</c:v>
                </c:pt>
                <c:pt idx="23">
                  <c:v>0.2523159215096436</c:v>
                </c:pt>
                <c:pt idx="24">
                  <c:v>-0.45560759819109747</c:v>
                </c:pt>
                <c:pt idx="25">
                  <c:v>0.43675419622644712</c:v>
                </c:pt>
                <c:pt idx="26">
                  <c:v>-0.30064320672318345</c:v>
                </c:pt>
                <c:pt idx="27">
                  <c:v>-0.18775849051188609</c:v>
                </c:pt>
                <c:pt idx="28">
                  <c:v>-0.51549456327988796</c:v>
                </c:pt>
                <c:pt idx="29">
                  <c:v>-1.4600466044669602</c:v>
                </c:pt>
                <c:pt idx="30">
                  <c:v>-2.0323816050311585</c:v>
                </c:pt>
              </c:numCache>
            </c:numRef>
          </c:val>
          <c:extLst>
            <c:ext xmlns:c16="http://schemas.microsoft.com/office/drawing/2014/chart" uri="{C3380CC4-5D6E-409C-BE32-E72D297353CC}">
              <c16:uniqueId val="{00000000-4C8D-4573-9B1A-4E6420973128}"/>
            </c:ext>
          </c:extLst>
        </c:ser>
        <c:ser>
          <c:idx val="1"/>
          <c:order val="2"/>
          <c:tx>
            <c:strRef>
              <c:f>'výkonnost odvětví 5a'!$F$66</c:f>
              <c:strCache>
                <c:ptCount val="1"/>
                <c:pt idx="0">
                  <c:v>Mal. s nepotravinářským zbož. (příspěvek)</c:v>
                </c:pt>
              </c:strCache>
            </c:strRef>
          </c:tx>
          <c:spPr>
            <a:solidFill>
              <a:schemeClr val="accent1">
                <a:lumMod val="40000"/>
                <a:lumOff val="60000"/>
              </a:schemeClr>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5a'!$F$67:$F$98</c:f>
              <c:numCache>
                <c:formatCode>#\ ##0.0</c:formatCode>
                <c:ptCount val="32"/>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0.37119655070725915</c:v>
                </c:pt>
                <c:pt idx="22">
                  <c:v>1.7563841743771158</c:v>
                </c:pt>
                <c:pt idx="23">
                  <c:v>-1.0635995175948736</c:v>
                </c:pt>
                <c:pt idx="24">
                  <c:v>1.0565069627889698</c:v>
                </c:pt>
                <c:pt idx="25">
                  <c:v>5.7180806581158485</c:v>
                </c:pt>
                <c:pt idx="26">
                  <c:v>3.8086850458419526</c:v>
                </c:pt>
                <c:pt idx="27">
                  <c:v>5.2451695472478281</c:v>
                </c:pt>
                <c:pt idx="28">
                  <c:v>5.4605957230962723</c:v>
                </c:pt>
                <c:pt idx="29">
                  <c:v>-1.0836129740522915</c:v>
                </c:pt>
                <c:pt idx="30">
                  <c:v>-3.8351231134396362</c:v>
                </c:pt>
              </c:numCache>
            </c:numRef>
          </c:val>
          <c:extLst>
            <c:ext xmlns:c16="http://schemas.microsoft.com/office/drawing/2014/chart" uri="{C3380CC4-5D6E-409C-BE32-E72D297353CC}">
              <c16:uniqueId val="{00000001-4C8D-4573-9B1A-4E6420973128}"/>
            </c:ext>
          </c:extLst>
        </c:ser>
        <c:ser>
          <c:idx val="4"/>
          <c:order val="3"/>
          <c:tx>
            <c:strRef>
              <c:f>'výkonnost odvětví 5a'!$G$66</c:f>
              <c:strCache>
                <c:ptCount val="1"/>
                <c:pt idx="0">
                  <c:v>Maloobchodní prodej PHM (příspěvek)</c:v>
                </c:pt>
              </c:strCache>
            </c:strRef>
          </c:tx>
          <c:spPr>
            <a:solidFill>
              <a:srgbClr val="FFFF00"/>
            </a:solidFill>
            <a:ln w="15875">
              <a:noFill/>
            </a:ln>
          </c:spPr>
          <c:invertIfNegative val="0"/>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5a'!$G$67:$G$98</c:f>
              <c:numCache>
                <c:formatCode>#\ ##0.0</c:formatCode>
                <c:ptCount val="32"/>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-2.0525636652551786</c:v>
                </c:pt>
                <c:pt idx="22">
                  <c:v>-4.8190565938666122E-2</c:v>
                </c:pt>
                <c:pt idx="23">
                  <c:v>-1.2030433782358603</c:v>
                </c:pt>
                <c:pt idx="24">
                  <c:v>-0.80249013033675154</c:v>
                </c:pt>
                <c:pt idx="25">
                  <c:v>1.0345884225732003</c:v>
                </c:pt>
                <c:pt idx="26">
                  <c:v>0.39020781556166589</c:v>
                </c:pt>
                <c:pt idx="27">
                  <c:v>0.99376502890666796</c:v>
                </c:pt>
                <c:pt idx="28">
                  <c:v>1.4238597783800477</c:v>
                </c:pt>
                <c:pt idx="29">
                  <c:v>-0.42444319481434362</c:v>
                </c:pt>
                <c:pt idx="30">
                  <c:v>-1.2179104810302597</c:v>
                </c:pt>
              </c:numCache>
            </c:numRef>
          </c:val>
          <c:extLst>
            <c:ext xmlns:c16="http://schemas.microsoft.com/office/drawing/2014/chart" uri="{C3380CC4-5D6E-409C-BE32-E72D297353CC}">
              <c16:uniqueId val="{00000002-4C8D-4573-9B1A-4E6420973128}"/>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Maloobchod celkem (meziroční růst)</c:v>
                </c:pt>
              </c:strCache>
            </c:strRef>
          </c:tx>
          <c:spPr>
            <a:ln>
              <a:noFill/>
            </a:ln>
          </c:spPr>
          <c:marker>
            <c:symbol val="dash"/>
            <c:size val="7"/>
            <c:spPr>
              <a:solidFill>
                <a:schemeClr val="tx1">
                  <a:lumMod val="85000"/>
                  <a:lumOff val="15000"/>
                </a:schemeClr>
              </a:solidFill>
              <a:ln w="6350">
                <a:noFill/>
              </a:ln>
            </c:spPr>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5a'!$D$67:$D$98</c:f>
              <c:numCache>
                <c:formatCode>#\ ##0.0</c:formatCode>
                <c:ptCount val="32"/>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5.6584053785000066</c:v>
                </c:pt>
                <c:pt idx="17">
                  <c:v>4.8300705571000009</c:v>
                </c:pt>
                <c:pt idx="18">
                  <c:v>4.5406581594999977</c:v>
                </c:pt>
                <c:pt idx="19">
                  <c:v>4.196988668399996</c:v>
                </c:pt>
                <c:pt idx="20">
                  <c:v>0.12908216239999604</c:v>
                </c:pt>
                <c:pt idx="21">
                  <c:v>-2.8976566770000005</c:v>
                </c:pt>
                <c:pt idx="22">
                  <c:v>1.3167079177000005</c:v>
                </c:pt>
                <c:pt idx="23">
                  <c:v>-2.0203436890000006</c:v>
                </c:pt>
                <c:pt idx="24">
                  <c:v>-0.22508043409999345</c:v>
                </c:pt>
                <c:pt idx="25">
                  <c:v>7.2735882146999984</c:v>
                </c:pt>
                <c:pt idx="26">
                  <c:v>3.9152922324999935</c:v>
                </c:pt>
                <c:pt idx="27">
                  <c:v>6.1643203046999986</c:v>
                </c:pt>
                <c:pt idx="28">
                  <c:v>6.3656713426999971</c:v>
                </c:pt>
                <c:pt idx="29">
                  <c:v>-2.9668378195000003</c:v>
                </c:pt>
                <c:pt idx="30">
                  <c:v>-7.0854213390999945</c:v>
                </c:pt>
              </c:numCache>
            </c:numRef>
          </c:val>
          <c:smooth val="0"/>
          <c:extLst>
            <c:ext xmlns:c16="http://schemas.microsoft.com/office/drawing/2014/chart" uri="{C3380CC4-5D6E-409C-BE32-E72D297353CC}">
              <c16:uniqueId val="{00000003-4C8D-4573-9B1A-4E6420973128}"/>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Maloobchod, bez motor. segm. (2015=100)</c:v>
                </c:pt>
              </c:strCache>
            </c:strRef>
          </c:tx>
          <c:spPr>
            <a:ln w="15875">
              <a:solidFill>
                <a:schemeClr val="tx1">
                  <a:lumMod val="95000"/>
                  <a:lumOff val="5000"/>
                </a:schemeClr>
              </a:solidFill>
              <a:prstDash val="solid"/>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5a'!$H$67:$H$98</c:f>
              <c:numCache>
                <c:formatCode>#\ ##0.0</c:formatCode>
                <c:ptCount val="32"/>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c:v>127.69453672669999</c:v>
                </c:pt>
                <c:pt idx="26">
                  <c:v>130.1842819933</c:v>
                </c:pt>
                <c:pt idx="27">
                  <c:v>128.10368428999999</c:v>
                </c:pt>
                <c:pt idx="28">
                  <c:v>126.8445376633</c:v>
                </c:pt>
                <c:pt idx="29">
                  <c:v>123.52209386</c:v>
                </c:pt>
                <c:pt idx="30">
                  <c:v>121.02139153</c:v>
                </c:pt>
              </c:numCache>
            </c:numRef>
          </c:val>
          <c:smooth val="0"/>
          <c:extLst>
            <c:ext xmlns:c16="http://schemas.microsoft.com/office/drawing/2014/chart" uri="{C3380CC4-5D6E-409C-BE32-E72D297353CC}">
              <c16:uniqueId val="{00000004-4C8D-4573-9B1A-4E6420973128}"/>
            </c:ext>
          </c:extLst>
        </c:ser>
        <c:ser>
          <c:idx val="2"/>
          <c:order val="5"/>
          <c:tx>
            <c:strRef>
              <c:f>'výkonnost odvětví 5a'!$I$66</c:f>
              <c:strCache>
                <c:ptCount val="1"/>
                <c:pt idx="0">
                  <c:v>Maloobchodní prodej PHM (2015=100)</c:v>
                </c:pt>
              </c:strCache>
            </c:strRef>
          </c:tx>
          <c:spPr>
            <a:ln w="15875">
              <a:solidFill>
                <a:schemeClr val="bg2">
                  <a:lumMod val="50000"/>
                </a:schemeClr>
              </a:solidFill>
              <a:prstDash val="sysDash"/>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5a'!$I$67:$I$98</c:f>
              <c:numCache>
                <c:formatCode>#\ ##0.0</c:formatCode>
                <c:ptCount val="32"/>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c:v>110.80961229</c:v>
                </c:pt>
                <c:pt idx="26">
                  <c:v>117.4384127467</c:v>
                </c:pt>
                <c:pt idx="27">
                  <c:v>114.4217492933</c:v>
                </c:pt>
                <c:pt idx="28">
                  <c:v>116.0300498167</c:v>
                </c:pt>
                <c:pt idx="29">
                  <c:v>107.0406866233</c:v>
                </c:pt>
                <c:pt idx="30">
                  <c:v>106.07107391</c:v>
                </c:pt>
              </c:numCache>
            </c:numRef>
          </c:val>
          <c:smooth val="0"/>
          <c:extLst>
            <c:ext xmlns:c16="http://schemas.microsoft.com/office/drawing/2014/chart" uri="{C3380CC4-5D6E-409C-BE32-E72D297353CC}">
              <c16:uniqueId val="{00000005-4C8D-4573-9B1A-4E6420973128}"/>
            </c:ext>
          </c:extLst>
        </c:ser>
        <c:ser>
          <c:idx val="6"/>
          <c:order val="6"/>
          <c:tx>
            <c:strRef>
              <c:f>'výkonnost odvětví 5a'!$J$66</c:f>
              <c:strCache>
                <c:ptCount val="1"/>
                <c:pt idx="0">
                  <c:v>Obchod a opravy motor. vozidel (2015=100)</c:v>
                </c:pt>
              </c:strCache>
            </c:strRef>
          </c:tx>
          <c:spPr>
            <a:ln w="15875">
              <a:solidFill>
                <a:srgbClr val="984807"/>
              </a:solidFill>
              <a:prstDash val="solid"/>
            </a:ln>
          </c:spPr>
          <c:marker>
            <c:symbol val="none"/>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5a'!$J$67:$J$98</c:f>
              <c:numCache>
                <c:formatCode>#\ ##0.0</c:formatCode>
                <c:ptCount val="32"/>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c:v>105.1354329</c:v>
                </c:pt>
                <c:pt idx="26">
                  <c:v>99.389720890000007</c:v>
                </c:pt>
                <c:pt idx="27">
                  <c:v>97.988759779999995</c:v>
                </c:pt>
                <c:pt idx="28">
                  <c:v>98.355937710000006</c:v>
                </c:pt>
                <c:pt idx="29">
                  <c:v>96.723569316699994</c:v>
                </c:pt>
                <c:pt idx="30">
                  <c:v>95.835509500000001</c:v>
                </c:pt>
              </c:numCache>
            </c:numRef>
          </c:val>
          <c:smooth val="0"/>
          <c:extLst>
            <c:ext xmlns:c16="http://schemas.microsoft.com/office/drawing/2014/chart" uri="{C3380CC4-5D6E-409C-BE32-E72D297353CC}">
              <c16:uniqueId val="{00000006-4C8D-4573-9B1A-4E6420973128}"/>
            </c:ext>
          </c:extLst>
        </c:ser>
        <c:ser>
          <c:idx val="7"/>
          <c:order val="7"/>
          <c:tx>
            <c:strRef>
              <c:f>'výkonnost odvětví 5a'!$K$66</c:f>
              <c:strCache>
                <c:ptCount val="1"/>
                <c:pt idx="0">
                  <c:v>Saldo indikátoru důvěry spotřebitelů</c:v>
                </c:pt>
              </c:strCache>
            </c:strRef>
          </c:tx>
          <c:spPr>
            <a:ln w="3175">
              <a:solidFill>
                <a:schemeClr val="bg1">
                  <a:lumMod val="50000"/>
                </a:schemeClr>
              </a:solidFill>
              <a:prstDash val="sysDash"/>
            </a:ln>
          </c:spPr>
          <c:marker>
            <c:symbol val="diamond"/>
            <c:size val="5"/>
            <c:spPr>
              <a:solidFill>
                <a:srgbClr val="FFFF00"/>
              </a:solidFill>
              <a:ln w="3175">
                <a:solidFill>
                  <a:schemeClr val="bg1">
                    <a:lumMod val="50000"/>
                  </a:schemeClr>
                </a:solidFill>
              </a:ln>
            </c:spPr>
          </c:marker>
          <c:cat>
            <c:multiLvlStrRef>
              <c:f>'výkonnost odvětví 5a'!$B$67:$C$98</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'výkonnost odvětví 5a'!$K$67:$K$98</c:f>
              <c:numCache>
                <c:formatCode>0.0</c:formatCode>
                <c:ptCount val="32"/>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numCache>
            </c:numRef>
          </c:val>
          <c:smooth val="0"/>
          <c:extLst>
            <c:ext xmlns:c16="http://schemas.microsoft.com/office/drawing/2014/chart" uri="{C3380CC4-5D6E-409C-BE32-E72D297353CC}">
              <c16:uniqueId val="{00000007-4C8D-4573-9B1A-4E6420973128}"/>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8"/>
          <c:min val="-9"/>
        </c:scaling>
        <c:delete val="0"/>
        <c:axPos val="l"/>
        <c:majorGridlines>
          <c:spPr>
            <a:ln w="6350">
              <a:solidFill>
                <a:schemeClr val="bg1">
                  <a:lumMod val="75000"/>
                </a:schemeClr>
              </a:solidFill>
            </a:ln>
          </c:spPr>
        </c:majorGridlines>
        <c:title>
          <c:tx>
            <c:rich>
              <a:bodyPr/>
              <a:lstStyle/>
              <a:p>
                <a:pPr>
                  <a:defRPr sz="750" b="0" i="1"/>
                </a:pPr>
                <a:r>
                  <a:rPr lang="cs-CZ" sz="750" b="0" i="1"/>
                  <a:t>Tržby</a:t>
                </a:r>
                <a:r>
                  <a:rPr lang="cs-CZ" sz="750" b="0" i="1" baseline="0"/>
                  <a:t> (příspěvěk k meziroč. růstu)</a:t>
                </a:r>
                <a:endParaRPr lang="cs-CZ" sz="750" b="0" i="1"/>
              </a:p>
            </c:rich>
          </c:tx>
          <c:layout>
            <c:manualLayout>
              <c:xMode val="edge"/>
              <c:yMode val="edge"/>
              <c:x val="2.6087065478328942E-3"/>
              <c:y val="0.18186950815930616"/>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875563695"/>
        <c:scaling>
          <c:orientation val="minMax"/>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Tržby</a:t>
                </a:r>
                <a:r>
                  <a:rPr lang="cs-CZ" sz="750" b="0" i="1" baseline="0">
                    <a:latin typeface="Arial" panose="020B0604020202020204" pitchFamily="34" charset="0"/>
                    <a:cs typeface="Arial" panose="020B0604020202020204" pitchFamily="34" charset="0"/>
                  </a:rPr>
                  <a:t> (rok 2015=100), </a:t>
                </a:r>
                <a:r>
                  <a:rPr lang="cs-CZ" sz="750" b="0" i="1" u="none" strike="noStrike" baseline="0">
                    <a:effectLst/>
                    <a:latin typeface="Arial" panose="020B0604020202020204" pitchFamily="34" charset="0"/>
                    <a:cs typeface="Arial" panose="020B0604020202020204" pitchFamily="34" charset="0"/>
                  </a:rPr>
                  <a:t>důvěra domácností (p. b.)</a:t>
                </a:r>
                <a:endParaRPr lang="cs-CZ" sz="750" b="0" i="1">
                  <a:latin typeface="Arial" panose="020B0604020202020204" pitchFamily="34" charset="0"/>
                  <a:cs typeface="Arial" panose="020B0604020202020204" pitchFamily="34" charset="0"/>
                </a:endParaRP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1.8412489557226401E-2"/>
          <c:y val="0.84434351832471732"/>
          <c:w val="0.968374269005848"/>
          <c:h val="0.15203331631057587"/>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11717884667364E-2"/>
          <c:y val="2.3304908251716775E-2"/>
          <c:w val="0.92378402700888473"/>
          <c:h val="0.69508533791523497"/>
        </c:manualLayout>
      </c:layout>
      <c:barChart>
        <c:barDir val="col"/>
        <c:grouping val="clustered"/>
        <c:varyColors val="0"/>
        <c:ser>
          <c:idx val="1"/>
          <c:order val="1"/>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2'!$B$7:$N$7</c:f>
              <c:numCache>
                <c:formatCode>General</c:formatCode>
                <c:ptCount val="13"/>
                <c:pt idx="0">
                  <c:v>-99.288881421999989</c:v>
                </c:pt>
                <c:pt idx="1">
                  <c:v>-30.504640991999988</c:v>
                </c:pt>
                <c:pt idx="2">
                  <c:v>-27.190228539</c:v>
                </c:pt>
                <c:pt idx="3">
                  <c:v>-18.508205496000009</c:v>
                </c:pt>
                <c:pt idx="4">
                  <c:v>-98.952872156999931</c:v>
                </c:pt>
                <c:pt idx="5">
                  <c:v>-55.898592136000019</c:v>
                </c:pt>
                <c:pt idx="6">
                  <c:v>19.813763094000009</c:v>
                </c:pt>
                <c:pt idx="7">
                  <c:v>-107.55420051999998</c:v>
                </c:pt>
                <c:pt idx="8">
                  <c:v>48.442075828000014</c:v>
                </c:pt>
                <c:pt idx="9">
                  <c:v>-27.818472847999988</c:v>
                </c:pt>
                <c:pt idx="10">
                  <c:v>-0.24752860999999984</c:v>
                </c:pt>
                <c:pt idx="11">
                  <c:v>44.526249737000001</c:v>
                </c:pt>
                <c:pt idx="12">
                  <c:v>316.50489313500026</c:v>
                </c:pt>
              </c:numCache>
            </c:numRef>
          </c:val>
          <c:extLst>
            <c:ext xmlns:c16="http://schemas.microsoft.com/office/drawing/2014/chart" uri="{C3380CC4-5D6E-409C-BE32-E72D297353CC}">
              <c16:uniqueId val="{00000000-688A-4E97-9315-F5FA5A226DBF}"/>
            </c:ext>
          </c:extLst>
        </c:ser>
        <c:ser>
          <c:idx val="2"/>
          <c:order val="2"/>
          <c:tx>
            <c:strRef>
              <c:f>'Vnější vztahy 2'!$A$8</c:f>
              <c:strCache>
                <c:ptCount val="1"/>
                <c:pt idx="0">
                  <c:v>2022</c:v>
                </c:pt>
              </c:strCache>
            </c:strRef>
          </c:tx>
          <c:spPr>
            <a:solidFill>
              <a:srgbClr val="C00000"/>
            </a:solidFill>
          </c:spPr>
          <c:invertIfNegative val="0"/>
          <c:cat>
            <c:strRef>
              <c:f>'Vnější vztahy 2'!$B$5:$N$5</c:f>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2'!$B$8:$N$8</c:f>
              <c:numCache>
                <c:formatCode>General</c:formatCode>
                <c:ptCount val="13"/>
                <c:pt idx="0">
                  <c:v>-251.685389039</c:v>
                </c:pt>
                <c:pt idx="1">
                  <c:v>-37.373028053999995</c:v>
                </c:pt>
                <c:pt idx="2">
                  <c:v>-35.656708715000001</c:v>
                </c:pt>
                <c:pt idx="3">
                  <c:v>-37.239713132000034</c:v>
                </c:pt>
                <c:pt idx="4">
                  <c:v>-116.29385977599999</c:v>
                </c:pt>
                <c:pt idx="5">
                  <c:v>-55.409221068999997</c:v>
                </c:pt>
                <c:pt idx="6">
                  <c:v>22.133645022000007</c:v>
                </c:pt>
                <c:pt idx="7">
                  <c:v>-144.04473995000001</c:v>
                </c:pt>
                <c:pt idx="8">
                  <c:v>59.979317320000014</c:v>
                </c:pt>
                <c:pt idx="9">
                  <c:v>-17.758108816</c:v>
                </c:pt>
                <c:pt idx="10">
                  <c:v>-10.413865847</c:v>
                </c:pt>
                <c:pt idx="11">
                  <c:v>44.785181688000002</c:v>
                </c:pt>
                <c:pt idx="12">
                  <c:v>349.65721834400006</c:v>
                </c:pt>
              </c:numCache>
            </c:numRef>
          </c:val>
          <c:extLst>
            <c:ext xmlns:c16="http://schemas.microsoft.com/office/drawing/2014/chart" uri="{C3380CC4-5D6E-409C-BE32-E72D297353CC}">
              <c16:uniqueId val="{00000001-688A-4E97-9315-F5FA5A226DBF}"/>
            </c:ext>
          </c:extLst>
        </c:ser>
        <c:dLbls>
          <c:showLegendKey val="0"/>
          <c:showVal val="0"/>
          <c:showCatName val="0"/>
          <c:showSerName val="0"/>
          <c:showPercent val="0"/>
          <c:showBubbleSize val="0"/>
        </c:dLbls>
        <c:gapWidth val="97"/>
        <c:axId val="89160704"/>
        <c:axId val="91937024"/>
        <c:extLst>
          <c:ext xmlns:c15="http://schemas.microsoft.com/office/drawing/2012/chart" uri="{02D57815-91ED-43cb-92C2-25804820EDAC}">
            <c15:filteredBarSeries>
              <c15:ser>
                <c:idx val="0"/>
                <c:order val="0"/>
                <c:tx>
                  <c:strRef>
                    <c:extLst>
                      <c:ext uri="{02D57815-91ED-43cb-92C2-25804820EDAC}">
                        <c15:formulaRef>
                          <c15:sqref>'Vnější vztahy 2'!$A$6</c15:sqref>
                        </c15:formulaRef>
                      </c:ext>
                    </c:extLst>
                    <c:strCache>
                      <c:ptCount val="1"/>
                      <c:pt idx="0">
                        <c:v>2020</c:v>
                      </c:pt>
                    </c:strCache>
                  </c:strRef>
                </c:tx>
                <c:spPr>
                  <a:solidFill>
                    <a:schemeClr val="tx1">
                      <a:lumMod val="50000"/>
                      <a:lumOff val="50000"/>
                    </a:schemeClr>
                  </a:solidFill>
                  <a:ln>
                    <a:noFill/>
                  </a:ln>
                </c:spPr>
                <c:invertIfNegative val="0"/>
                <c:cat>
                  <c:strRef>
                    <c:extLst>
                      <c:ext uri="{02D57815-91ED-43cb-92C2-25804820EDAC}">
                        <c15:formulaRef>
                          <c15:sqref>'Vnější vztahy 2'!$B$5:$N$5</c15:sqref>
                        </c15:formulaRef>
                      </c:ext>
                    </c:extLst>
                    <c:strCache>
                      <c:ptCount val="13"/>
                      <c:pt idx="0">
                        <c:v>Ropa                                                                                           a zemní plyn</c:v>
                      </c:pt>
                      <c:pt idx="1">
                        <c:v>Potravinářské                                            výrobky</c:v>
                      </c:pt>
                      <c:pt idx="2">
                        <c:v>Oděvy</c:v>
                      </c:pt>
                      <c:pt idx="3">
                        <c:v>Koks, rafinované                                                          ropné prod.</c:v>
                      </c:pt>
                      <c:pt idx="4">
                        <c:v>Chemické látky                                                              a přípravky</c:v>
                      </c:pt>
                      <c:pt idx="5">
                        <c:v>Farmaceutické                                                                  výrobky</c:v>
                      </c:pt>
                      <c:pt idx="6">
                        <c:v>Ostat. nekovové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extLst>
                      <c:ext uri="{02D57815-91ED-43cb-92C2-25804820EDAC}">
                        <c15:formulaRef>
                          <c15:sqref>'Vnější vztahy 2'!$B$6:$N$6</c15:sqref>
                        </c15:formulaRef>
                      </c:ext>
                    </c:extLst>
                    <c:numCache>
                      <c:formatCode>General</c:formatCode>
                      <c:ptCount val="13"/>
                      <c:pt idx="0">
                        <c:v>-51.194003574</c:v>
                      </c:pt>
                      <c:pt idx="1">
                        <c:v>-31.603320737999997</c:v>
                      </c:pt>
                      <c:pt idx="2">
                        <c:v>-22.991153368999999</c:v>
                      </c:pt>
                      <c:pt idx="3">
                        <c:v>-16.539515687999998</c:v>
                      </c:pt>
                      <c:pt idx="4">
                        <c:v>-77.951368346999999</c:v>
                      </c:pt>
                      <c:pt idx="5">
                        <c:v>-46.048017641999998</c:v>
                      </c:pt>
                      <c:pt idx="6">
                        <c:v>17.993186326</c:v>
                      </c:pt>
                      <c:pt idx="7">
                        <c:v>-72.376743778999995</c:v>
                      </c:pt>
                      <c:pt idx="8">
                        <c:v>40.231702454999997</c:v>
                      </c:pt>
                      <c:pt idx="9">
                        <c:v>-25.566749839</c:v>
                      </c:pt>
                      <c:pt idx="10">
                        <c:v>15.530748351999998</c:v>
                      </c:pt>
                      <c:pt idx="11">
                        <c:v>43.490222725999999</c:v>
                      </c:pt>
                      <c:pt idx="12">
                        <c:v>290.914498477</c:v>
                      </c:pt>
                    </c:numCache>
                  </c:numRef>
                </c:val>
                <c:extLst>
                  <c:ext xmlns:c16="http://schemas.microsoft.com/office/drawing/2014/chart" uri="{C3380CC4-5D6E-409C-BE32-E72D297353CC}">
                    <c16:uniqueId val="{00000002-688A-4E97-9315-F5FA5A226DBF}"/>
                  </c:ext>
                </c:extLst>
              </c15:ser>
            </c15:filteredBarSeries>
          </c:ext>
        </c:extLst>
      </c:barChart>
      <c:catAx>
        <c:axId val="89160704"/>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91937024"/>
        <c:crosses val="autoZero"/>
        <c:auto val="1"/>
        <c:lblAlgn val="ctr"/>
        <c:lblOffset val="100"/>
        <c:noMultiLvlLbl val="0"/>
      </c:catAx>
      <c:valAx>
        <c:axId val="91937024"/>
        <c:scaling>
          <c:orientation val="minMax"/>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89160704"/>
        <c:crosses val="autoZero"/>
        <c:crossBetween val="between"/>
        <c:majorUnit val="50"/>
      </c:valAx>
      <c:spPr>
        <a:ln>
          <a:solidFill>
            <a:schemeClr val="tx1"/>
          </a:solidFill>
        </a:ln>
      </c:spPr>
    </c:plotArea>
    <c:legend>
      <c:legendPos val="t"/>
      <c:layout>
        <c:manualLayout>
          <c:xMode val="edge"/>
          <c:yMode val="edge"/>
          <c:x val="0.14065045404275039"/>
          <c:y val="6.1827033218785812E-2"/>
          <c:w val="0.26887915184156158"/>
          <c:h val="5.3991695303550982E-2"/>
        </c:manualLayout>
      </c:layout>
      <c:overlay val="0"/>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79350-D56E-4794-82D9-60659CC7F947}">
  <ds:schemaRefs>
    <ds:schemaRef ds:uri="http://schemas.openxmlformats.org/officeDocument/2006/bibliography"/>
  </ds:schemaRefs>
</ds:datastoreItem>
</file>

<file path=customXml/itemProps2.xml><?xml version="1.0" encoding="utf-8"?>
<ds:datastoreItem xmlns:ds="http://schemas.openxmlformats.org/officeDocument/2006/customXml" ds:itemID="{6BE02EAB-49C7-4DE4-9ED7-50D36407CF93}">
  <ds:schemaRefs>
    <ds:schemaRef ds:uri="http://schemas.openxmlformats.org/officeDocument/2006/bibliography"/>
  </ds:schemaRefs>
</ds:datastoreItem>
</file>

<file path=customXml/itemProps3.xml><?xml version="1.0" encoding="utf-8"?>
<ds:datastoreItem xmlns:ds="http://schemas.openxmlformats.org/officeDocument/2006/customXml" ds:itemID="{14E9E339-AB35-47EF-9F6F-ECC5E3DDE57D}"/>
</file>

<file path=customXml/itemProps4.xml><?xml version="1.0" encoding="utf-8"?>
<ds:datastoreItem xmlns:ds="http://schemas.openxmlformats.org/officeDocument/2006/customXml" ds:itemID="{6CAA25B3-AD19-4036-BE1F-F1BA880D2D8C}"/>
</file>

<file path=customXml/itemProps5.xml><?xml version="1.0" encoding="utf-8"?>
<ds:datastoreItem xmlns:ds="http://schemas.openxmlformats.org/officeDocument/2006/customXml" ds:itemID="{C2FE0CAC-392E-4D64-8F35-DB63DE7485AB}"/>
</file>

<file path=docProps/app.xml><?xml version="1.0" encoding="utf-8"?>
<Properties xmlns="http://schemas.openxmlformats.org/officeDocument/2006/extended-properties" xmlns:vt="http://schemas.openxmlformats.org/officeDocument/2006/docPropsVTypes">
  <Template>Q_analyza_Q12018</Template>
  <TotalTime>1</TotalTime>
  <Pages>40</Pages>
  <Words>15977</Words>
  <Characters>94269</Characters>
  <Application>Microsoft Office Word</Application>
  <DocSecurity>0</DocSecurity>
  <Lines>785</Lines>
  <Paragraphs>220</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110026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2</cp:revision>
  <cp:lastPrinted>2019-04-08T10:52:00Z</cp:lastPrinted>
  <dcterms:created xsi:type="dcterms:W3CDTF">2022-12-15T09:52:00Z</dcterms:created>
  <dcterms:modified xsi:type="dcterms:W3CDTF">2022-12-15T09:52:00Z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ies>
</file>