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DCF22" w14:textId="11CFD759" w:rsidR="005D4608" w:rsidRPr="00134FFF" w:rsidRDefault="005D4608" w:rsidP="005D4608">
      <w:pPr>
        <w:pStyle w:val="Nadpis11"/>
        <w:rPr>
          <w:sz w:val="2"/>
          <w:szCs w:val="2"/>
        </w:rPr>
      </w:pPr>
      <w:bookmarkStart w:id="0" w:name="_Toc90395912"/>
      <w:bookmarkStart w:id="1" w:name="_Toc98245443"/>
      <w:bookmarkStart w:id="2" w:name="_Toc90395913"/>
      <w:bookmarkStart w:id="3" w:name="_Toc50712130"/>
      <w:bookmarkStart w:id="4" w:name="_Toc58605377"/>
      <w:bookmarkStart w:id="5" w:name="_Toc26865023"/>
      <w:bookmarkStart w:id="6" w:name="_Toc74246554"/>
      <w:bookmarkStart w:id="7" w:name="_Toc66719933"/>
      <w:bookmarkStart w:id="8" w:name="_Toc50712132"/>
      <w:bookmarkStart w:id="9" w:name="_Toc114134047"/>
      <w:r>
        <w:t>4</w:t>
      </w:r>
      <w:bookmarkStart w:id="10" w:name="_Toc511215218"/>
      <w:bookmarkStart w:id="11" w:name="_Toc19090679"/>
      <w:bookmarkStart w:id="12" w:name="_Toc74643856"/>
      <w:bookmarkStart w:id="13" w:name="_Toc42852411"/>
      <w:bookmarkStart w:id="14" w:name="_Toc74643857"/>
      <w:bookmarkEnd w:id="10"/>
      <w:bookmarkEnd w:id="11"/>
      <w:r w:rsidRPr="009110F7">
        <w:t>.</w:t>
      </w:r>
      <w:r>
        <w:t> </w:t>
      </w:r>
      <w:r w:rsidRPr="009110F7">
        <w:t>Vnější vztahy</w:t>
      </w:r>
      <w:bookmarkEnd w:id="0"/>
      <w:bookmarkEnd w:id="1"/>
      <w:bookmarkEnd w:id="9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0"/>
        <w:gridCol w:w="223"/>
        <w:gridCol w:w="7656"/>
      </w:tblGrid>
      <w:tr w:rsidR="005D4608" w:rsidRPr="009110F7" w14:paraId="183A5C6A" w14:textId="77777777" w:rsidTr="00083457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017014B6" w14:textId="77777777" w:rsidR="005D4608" w:rsidRDefault="005D4608" w:rsidP="00083457">
            <w:pPr>
              <w:pStyle w:val="Marginlie"/>
            </w:pPr>
            <w:r>
              <w:t>Export zboží v 1. pololetí i samotném 2. kvartálu meziročně rostl.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3D736ED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262ED67" w14:textId="77777777" w:rsidR="005D4608" w:rsidRPr="00AF6F98" w:rsidRDefault="005D4608" w:rsidP="00083457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Hodnota vývozu zboží v 1. pololetí 2022 dosáhla 2 197,5 mld. korun. Export se ve srovnání se stejným obdobím loňského roku zvýšil o 192,3 mld. (9,6 %). Poměrně silný přírůstek lze přičíst růstu cen, především u různých surovin. V samotném 2. čtvrtletí 2022 vývoz zboží meziročně vzrostl o 114,6 mld. korun (11,2 %) na 1 137,2 mld. Meziroční dynamika oproti 1. kvartálu zrychlila, na čemž se podílelo posílení cenového růstu a také částečné zlepšení situace ohledně dodávek komponent v některých odvětvích. </w:t>
            </w:r>
          </w:p>
        </w:tc>
      </w:tr>
      <w:tr w:rsidR="005D4608" w:rsidRPr="009110F7" w14:paraId="79C575F2" w14:textId="77777777" w:rsidTr="00083457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11F819BD" w14:textId="77777777" w:rsidR="005D4608" w:rsidRDefault="005D4608" w:rsidP="00083457">
            <w:pPr>
              <w:pStyle w:val="Marginlie"/>
            </w:pPr>
            <w:r>
              <w:t xml:space="preserve">Za růstem exportu stojí téměř výhradně vývoz </w:t>
            </w:r>
            <w:r>
              <w:br/>
              <w:t>do EU.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6002938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F3A4712" w14:textId="77777777" w:rsidR="005D4608" w:rsidRDefault="005D4608" w:rsidP="00083457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 1. pololetí rostl výhradně export do Evropské unie (+194,8 mld. korun, 12,1 %). Naopak vývoz mimo EU byl meziročně nižší o 2,6 mld. korun (−0,7 %). V samotném 2. čtvrtletí vzrostl vývoz do EU meziročně o 113,7 mld. (13,8 %), což bylo vyšší tempo než v předchozím kvartálu. Export mimo EU stagnoval (+0,8 mld. korun, 0,4 %). Ve 2. čtvrtletí nejvíce meziročně rostla hodnota vývozu do Německa (+35,1 mld. korun, 11,1 %) a na Slovensko (+24,6 mld., 26,4 %), což podobně jako v 1. kvartálu z velké části souviselo s prudkým nárůstem hodnoty vývozu elektřiny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>. Výrazný byl i meziroční přírůstek vývozu do Polska (+10,6 mld. korun, 14,9 %), Spojených států (+8,1 mld., 36,5 %), Rakouska (+7,8 mld., 17,4 %), Itálie (+7,6 mld., 18,9 %) nebo Španělska (+5,9 mld., 21,8 %). Hodnota exportu zboží do většiny zemí meziročně rostla. Mezi výjimky, kam vývoz meziročně klesl, patřily například Rusko (−17,0 mld. korun, −72,8 %), Ukrajina (−2,7 mld., −30,8 %) nebo Irsko (−1,9 mld., −25,6 %).</w:t>
            </w:r>
          </w:p>
        </w:tc>
      </w:tr>
      <w:tr w:rsidR="005D4608" w:rsidRPr="009110F7" w14:paraId="2722A4AF" w14:textId="77777777" w:rsidTr="00083457">
        <w:trPr>
          <w:trHeight w:val="170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274AC139" w14:textId="77777777" w:rsidR="005D4608" w:rsidRDefault="005D4608" w:rsidP="00083457">
            <w:pPr>
              <w:pStyle w:val="Marginlie"/>
            </w:pPr>
            <w:r>
              <w:t>Export motorových vozidel se po třech čtvrtletích poklesů opět meziročně zvýšil.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9E3685E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427D4FD" w14:textId="77777777" w:rsidR="005D4608" w:rsidRPr="00AF6F98" w:rsidRDefault="005D4608" w:rsidP="00083457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 1. pololetí nejvíce meziročně vzrostla hodnota vývozu elektřiny, plynu, páry a klimatizovaného vzduchu (+35,3 mld. korun, 284,0 %), základních kovů (+25,9 mld., 30,9 %) a chemických látek a přípravků (+24,0 mld., 23,1 %). U všech zmíněných artiklů se na přírůstku značně podílelo navýšení cen. Jen u mála druhů zboží vývoz meziročně klesal, výrazně nižší byl jen export motorových vozidel (−12,1 mld. korun, −2,3 %) </w:t>
            </w:r>
            <w:r>
              <w:rPr>
                <w:spacing w:val="-4"/>
              </w:rPr>
              <w:br/>
              <w:t xml:space="preserve">a počítačů, elektronických a optických přístrojů (−6,1 mld., −3,0 %). V samotném </w:t>
            </w:r>
            <w:r>
              <w:rPr>
                <w:spacing w:val="-4"/>
              </w:rPr>
              <w:br/>
              <w:t xml:space="preserve">2. čtvrtletí nejvíce meziročně narůstal vývoz elektřiny, plynu, páry a klimatizovaného vzduchu (+14,3 mld. korun, 207,2 %), avšak přírůstek oproti předchozímu čtvrtletí zmírnil. Silně meziročně rostl i vývoz základních kovů (+13,0 mld. korun, 29,6 %), chemických látek a přípravků (+11,5 mld., 21,3 %), elektrických zařízení (+11,3 mld., 12,5 %) </w:t>
            </w:r>
            <w:r>
              <w:rPr>
                <w:spacing w:val="-4"/>
              </w:rPr>
              <w:br/>
              <w:t xml:space="preserve">a kovodělných výrobků (+10,3 mld., 16,0 %). Po třech čtvrtletích meziročních propadů se ve 2. čtvrtletí opět dostal do růstu export motorových vozidel (+12,8 mld. korun, 4,8 %). Vyšší byla i hodnota vývozu potravinářských výrobků (+6,9 mld. korun, 21,8 %), ropy </w:t>
            </w:r>
            <w:r>
              <w:rPr>
                <w:spacing w:val="-4"/>
              </w:rPr>
              <w:br/>
              <w:t>a zemního plynu (+5,2 mld.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), papíru a výrobků z něj (+5,2 mld., 30,2 %), koksu </w:t>
            </w:r>
            <w:r>
              <w:rPr>
                <w:spacing w:val="-4"/>
              </w:rPr>
              <w:br/>
              <w:t>a rafinovaných ropných výrobků (+4,9 mld., 47,1 %) nebo produktů zemědělství a myslivosti (+4,3 mld., 42,8 %) a strojů a zařízení (+4,2 mld., 3,8 %). Ve 2. čtvrtletí byl významně meziročně nižší jen vývoz počítačů, elektrických a optických přístrojů a zařízení (−5,0 mld. korun, −4,9 %).</w:t>
            </w:r>
          </w:p>
        </w:tc>
      </w:tr>
      <w:tr w:rsidR="005D4608" w:rsidRPr="009110F7" w14:paraId="4C10C9B4" w14:textId="77777777" w:rsidTr="00083457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77149EF1" w14:textId="77777777" w:rsidR="005D4608" w:rsidRDefault="005D4608" w:rsidP="00083457">
            <w:pPr>
              <w:pStyle w:val="Marginlie"/>
            </w:pPr>
            <w:r>
              <w:t>Dovoz se pod vlivem rostoucích cen surovin prudce zvyšoval.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D228DCB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1A68387" w14:textId="5D923CF7" w:rsidR="005D4608" w:rsidRPr="00AF6F98" w:rsidRDefault="005D4608" w:rsidP="00CB4C4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 1. pololetí bylo do Česka dovezeno zboží v hodnotě 2 274,7 mld. korun. To je meziročně o 344,4 mld. (17,8 %) více. Značný převis tempa ve srovnání s přírůstkem vývozu souvisí s prudkým nárůstem cen surovin (především ropa a zemní plyn). V samotném 2. čtvrtletí import zboží dosáhl 1 203,3 mld. korun a meziročně se </w:t>
            </w:r>
            <w:r w:rsidR="00CB4C48">
              <w:rPr>
                <w:spacing w:val="-4"/>
              </w:rPr>
              <w:t>zvýšil o 194,6</w:t>
            </w:r>
            <w:r>
              <w:rPr>
                <w:spacing w:val="-4"/>
              </w:rPr>
              <w:t xml:space="preserve"> mld. (19,3 %). Teritoriální struktura dovozu se lišila od vývozu. Ačkoli meziroční přírůstek importu z EU byl v 1. pololetí poměrně silný (+161,1 mld. korun, 13,0 %), zaostával za růstem dovozu ze zemí mimo EU (+180,9 mld., 26,7 %). Právě meziroční přírůstek importu mimo EU ve 2.</w:t>
            </w:r>
            <w:r w:rsidR="003F0148">
              <w:rPr>
                <w:spacing w:val="-4"/>
              </w:rPr>
              <w:t> </w:t>
            </w:r>
            <w:r>
              <w:rPr>
                <w:spacing w:val="-4"/>
              </w:rPr>
              <w:t xml:space="preserve">čtvrtletí výrazně posílil (+110,9 mld. korun, 31,3 %), zatímco dovoz z EU rostl podobným tempem jako v předchozím kvartálu (+82,6 mld., 12,7 %). Ve 2. čtvrtletí se nejvíce meziročně zvýšil dovoz z Ruska (+65,5 mld. korun, 209,9 %). Promítal se do toho prudký </w:t>
            </w:r>
            <w:r>
              <w:rPr>
                <w:spacing w:val="-4"/>
              </w:rPr>
              <w:lastRenderedPageBreak/>
              <w:t xml:space="preserve">nárůst cen plynu i zvýšený objem jeho dovozu ve snaze o naplnění zásobníků. </w:t>
            </w:r>
            <w:r w:rsidR="00CB4C48">
              <w:rPr>
                <w:spacing w:val="-4"/>
              </w:rPr>
              <w:t xml:space="preserve">Silný byl </w:t>
            </w:r>
            <w:r>
              <w:rPr>
                <w:spacing w:val="-4"/>
              </w:rPr>
              <w:t xml:space="preserve">i přírůstek importu z Polska (+19,7 mld. korun, 21,7 %) a Německa (+19,9 mld., 8,2 %), Číny (+15,2 mld., 13,8 %), Slovenska (+10,0 mld., 19,7 %), Rakouska (+8,8 mld., 29,6 %), Itálie (+7,3 mld., 15,6 %) a Spojených států (+5,9 mld., 24,6 %). Rostl i dovoz z Francie (+4,3 mld. korun, 13,8 %), Ázerbájdžánu (+3,9 mld., 72,4 %) nebo Nizozemska (+3,7 mld., 13,9 %). Výraznější pokles dovozu byl zaznamenán jen u Maďarska (−1,1 mld. korun, −3,5 %).   </w:t>
            </w:r>
          </w:p>
        </w:tc>
      </w:tr>
      <w:tr w:rsidR="005D4608" w:rsidRPr="009110F7" w14:paraId="5A676537" w14:textId="77777777" w:rsidTr="00083457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3B16DB4D" w14:textId="77777777" w:rsidR="005D4608" w:rsidRDefault="005D4608" w:rsidP="00083457">
            <w:pPr>
              <w:pStyle w:val="Marginlie"/>
            </w:pPr>
            <w:r>
              <w:lastRenderedPageBreak/>
              <w:t xml:space="preserve">Masivně se zvyšovala hodnota dovozu ropy </w:t>
            </w:r>
            <w:r>
              <w:br/>
              <w:t>a zemního plynu.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6E7FBCD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CB3D7B7" w14:textId="33F8944F" w:rsidR="005D4608" w:rsidRDefault="005D4608" w:rsidP="00CF35A7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Odvětvová struktura dovozu potvrzuje významnou roli cenového růstu ve vývoji zahraničního obchodu. Nejvíce se v 1. pololetí meziročně zvýšil import ropy a zemního plynu (+106,5 mld. korun, 202,1 %), základních kovů (+59,2 mld., 39,3 %) a chemických látek a přípravků (+34,0 mld., 20,0 %). Výrazný byl i přírůstek dovozu koksu a rafinovaných ropných výrobků (+23,5 mld. korun, 80,5 %) a elektrických zařízení (+22,6 mld., 12,8 %). V 1. pololetí významně meziročně klesl import počítačů, elektronických a optických přístrojů a zařízení (−10,3 mld. korun, −4,7 %) a motorových vozidel (−9,9 mld., −3,3 %). V samotném 2. čtvrtletí nejvíc meziročně rostl dovoz ropy a zemního plynu (+74,9 mld. korun, 241,6 %, přírůstek výrazně posílil oproti předchozímu čtvrtletí), základních kovů (+27,0 mld., 32,9 %), chemických látek a přípravků (+15,3 mld., 17,1 %) a koksu a</w:t>
            </w:r>
            <w:r w:rsidR="00CF35A7">
              <w:rPr>
                <w:spacing w:val="-4"/>
              </w:rPr>
              <w:t> </w:t>
            </w:r>
            <w:r>
              <w:rPr>
                <w:spacing w:val="-4"/>
              </w:rPr>
              <w:t xml:space="preserve">rafinovaných ropných výrobků (+14,1 mld., 85,6 %). Silně rostl i dovoz elektrických zařízení (+9,7 mld. korun, 10,4 %), potravinářských výrobků (+9,7 mld., 23,0 %), černého a hnědého uhlí a lignitu (+6,7 mld., 224,0 %) a elektřiny, plynu, páry a klimatizovaného vzduchu (+6,2 mld., 159,1 %). Významný meziroční pokles byl zaznamenán u počítačů, elektronických a optických přístrojů (−5,1 mld. korun, −4,6 %) a základních farmaceutických výrobků a přípravků (−2,3 mld., −6,7 %). </w:t>
            </w:r>
          </w:p>
        </w:tc>
      </w:tr>
      <w:tr w:rsidR="005D4608" w:rsidRPr="009110F7" w14:paraId="62CE7FD4" w14:textId="77777777" w:rsidTr="00083457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4BA2D1BC" w14:textId="77777777" w:rsidR="005D4608" w:rsidRDefault="005D4608" w:rsidP="00083457">
            <w:pPr>
              <w:pStyle w:val="Marginlie"/>
            </w:pPr>
            <w:r>
              <w:t xml:space="preserve">Bilance zahraničního obchodu v 1. pololetí </w:t>
            </w:r>
            <w:r>
              <w:br/>
              <w:t>i 2. čtvrtletí skončila v deficitu.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0550292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8507CC0" w14:textId="2F509DB9" w:rsidR="005D4608" w:rsidRPr="00AF6F98" w:rsidRDefault="005D4608" w:rsidP="00083457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Bilance zahraničního obchodu se zbožím v 1. pololetí 2022 skončila v deficitu </w:t>
            </w:r>
            <w:r>
              <w:rPr>
                <w:spacing w:val="-4"/>
              </w:rPr>
              <w:br/>
              <w:t xml:space="preserve">77,2 mld. korun. Došlo tak k meziročnímu zhoršení bilance o 152,1 mld. Většina z tohoto deficitu jde na vrub vývoje ve 2. kvartálu. Záporné saldo se ve 2. čtvrtletí meziročně zhoršilo o 80,0 mld. korun na −66,1 mld. Dál tak pokračovala série deficitů trvající od </w:t>
            </w:r>
            <w:r>
              <w:rPr>
                <w:spacing w:val="-4"/>
              </w:rPr>
              <w:br/>
              <w:t>3. kvartálu 2021. Přitom 2. kvartál je obvykle v rámci roku obdobím, kdy zahraniční obchod se zbožím dosahuje přebytku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 xml:space="preserve">. Celkové záporné saldo v 1. pololetí bylo způsobeno masivním zhoršením bilance obchodu se zeměmi mimo EU. Obvyklý deficit se totiž meziročně prohloubil o 183,5 mld. korun. Přebytek obchodu s EU se za stejné období meziročně zlepšil o 33,7 mld. korun. V samotném 2. čtvrtletí došlo k meziročnímu zvýšení přebytku obchodu s EU o 31,1 mld. korun, zatímco deficit se zeměmi mimo EU se propadl o 110,0 mld. Nejvíce ve směru deficitu působil obchod s Ruskem, jehož bilance se meziročně zhoršila o 82,5 mld. korun, a dále obchod s Čínou (−16,2 mld.), Polskem (−9,1 mld.) a Ázerbájdžánem (−3,8 mld.). Naopak se meziročně výrazně zlepšovala bilance obchodu s Německem (+15,2 mld. korun) a Slovenskem (+14,6 mld.). Zlepšení vykázalo i saldo obchodu s Maďarskem (+5,1 mld. korun), Španělskem (+3,5 mld.), </w:t>
            </w:r>
            <w:r w:rsidR="003F0148">
              <w:rPr>
                <w:spacing w:val="-4"/>
              </w:rPr>
              <w:t>Spojeným královstvím</w:t>
            </w:r>
            <w:r>
              <w:rPr>
                <w:spacing w:val="-4"/>
              </w:rPr>
              <w:t xml:space="preserve"> (+2,5 mld.) nebo Spojenými státy (+2,1 mld.). </w:t>
            </w:r>
          </w:p>
        </w:tc>
      </w:tr>
      <w:tr w:rsidR="005D4608" w:rsidRPr="009110F7" w14:paraId="398CD67B" w14:textId="77777777" w:rsidTr="00083457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270ADD0E" w14:textId="77777777" w:rsidR="005D4608" w:rsidRDefault="005D4608" w:rsidP="00083457">
            <w:pPr>
              <w:pStyle w:val="Marginlie"/>
            </w:pPr>
            <w:r>
              <w:t>Za deficitem stálo zejména prudké zhoršení bilance zahraničního obchodu se surovinami.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6CF3148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5A29722" w14:textId="1DB44853" w:rsidR="005D4608" w:rsidRDefault="005D4608" w:rsidP="00083457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Vývoj bilance nejvíce ovlivňoval zahraniční obchod se surovinami. Výsledkem prudkého nárůstu cen v 1. pololetí bylo masivní meziroční zhoršení bilance obchodu s ropou a zemním plynem (−101,1 mld. korun), základními kovy (−33,3 mld.), koksem a rafinovanými ropnými výrobky (−15,9 mld.), chemickými látkami a přípravky (−10,0 mld.) nebo černým a hnědým uhlím a lignitem (−8,2 mld.). Saldo se ale zhoršovalo u většiny druhů zboží. Naopak růst cen vedl v 1. pololetí k výraznému zlepšení bilance obchodu s elektřinou, plynem, párou a klimatizovaným vzduchem (+23,6 mld. korun). Ve směru meziročního zlepšení bilance významně působil i obchod s kovodělnými výrobky </w:t>
            </w:r>
            <w:r>
              <w:rPr>
                <w:spacing w:val="-4"/>
              </w:rPr>
              <w:br/>
              <w:t xml:space="preserve">(+8,5 mld. korun), produkty zemědělství a myslivosti (+4,9 mld.), základními farmaceutickými výrobky a přípravky (+4,5 mld.) a počítači, elektronickými a optickými přístroji a zařízeními (+4,2 mld.). Ve 2. čtvrtletí se nejvíce meziročně propadl deficit obchodu s ropou a zemním plynem (−69,7 mld. korun), základními kovy (−14,0 mld.) a koksem a </w:t>
            </w:r>
            <w:r>
              <w:rPr>
                <w:spacing w:val="-4"/>
              </w:rPr>
              <w:lastRenderedPageBreak/>
              <w:t xml:space="preserve">rafinovanými ropnými výrobky (−9,3 mld.). Horší bylo i saldo obchodu s černým a hnědým uhlím a lignitem (−5,5 mld. korun). Ve směru meziročního zlepšení bilance obchodu se zbožím nejvíce působila motorová vozidla (+12,3 mld. korun), kde se bilance zlepšila poprvé od loňského 2. kvartálu. Dále se zlepšovala bilance obchodu s elektřinou, plynem, párou a klimatizovaným vzduchem (+8,1 mld.), kovodělnými výrobky (+5,2 mld.), produkty zemědělství a myslivosti (+2,8 mld.) a základními farmaceutickými výrobky a přípravky (+2,7 mld.).   </w:t>
            </w:r>
          </w:p>
        </w:tc>
      </w:tr>
      <w:tr w:rsidR="005D4608" w:rsidRPr="009110F7" w14:paraId="4F61BC67" w14:textId="77777777" w:rsidTr="00083457">
        <w:trPr>
          <w:trHeight w:val="106"/>
        </w:trPr>
        <w:tc>
          <w:tcPr>
            <w:tcW w:w="1760" w:type="dxa"/>
            <w:vMerge w:val="restart"/>
            <w:shd w:val="clear" w:color="auto" w:fill="auto"/>
            <w:tcMar>
              <w:left w:w="0" w:type="dxa"/>
            </w:tcMar>
          </w:tcPr>
          <w:p w14:paraId="6B0D126F" w14:textId="77777777" w:rsidR="005D4608" w:rsidRDefault="005D4608" w:rsidP="00083457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6F891FC9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A955EC6" w14:textId="77777777" w:rsidR="005D4608" w:rsidRPr="00D75AC1" w:rsidRDefault="005D4608" w:rsidP="00083457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9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1. pololetí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5D4608" w:rsidRPr="009110F7" w14:paraId="5114E1A6" w14:textId="77777777" w:rsidTr="00083457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0" w:type="dxa"/>
            <w:vMerge/>
            <w:shd w:val="clear" w:color="auto" w:fill="auto"/>
          </w:tcPr>
          <w:p w14:paraId="7385999A" w14:textId="77777777" w:rsidR="005D4608" w:rsidRDefault="005D4608" w:rsidP="0008345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67628F25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4B1A755A" w14:textId="77777777" w:rsidR="005D4608" w:rsidRPr="00AF6F98" w:rsidRDefault="005D4608" w:rsidP="00083457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1F1114BA" wp14:editId="6D54ECFF">
                  <wp:extent cx="4771467" cy="3492000"/>
                  <wp:effectExtent l="0" t="0" r="0" b="0"/>
                  <wp:docPr id="36" name="Graf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D4608" w:rsidRPr="009110F7" w14:paraId="4181F75C" w14:textId="77777777" w:rsidTr="00083457">
        <w:trPr>
          <w:trHeight w:val="106"/>
        </w:trPr>
        <w:tc>
          <w:tcPr>
            <w:tcW w:w="1760" w:type="dxa"/>
            <w:vMerge/>
            <w:shd w:val="clear" w:color="auto" w:fill="auto"/>
            <w:tcMar>
              <w:left w:w="0" w:type="dxa"/>
            </w:tcMar>
          </w:tcPr>
          <w:p w14:paraId="292182FC" w14:textId="77777777" w:rsidR="005D4608" w:rsidRDefault="005D4608" w:rsidP="0008345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05AAC3AF" w14:textId="77777777" w:rsidR="005D4608" w:rsidRDefault="005D4608" w:rsidP="0008345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321C4A7" w14:textId="77777777" w:rsidR="005D4608" w:rsidRPr="00AF6F98" w:rsidRDefault="005D4608" w:rsidP="00083457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bookmarkEnd w:id="12"/>
      <w:bookmarkEnd w:id="13"/>
      <w:bookmarkEnd w:id="14"/>
    </w:tbl>
    <w:p w14:paraId="31FB6336" w14:textId="77777777" w:rsidR="005D4608" w:rsidRPr="00E42054" w:rsidRDefault="005D4608" w:rsidP="005D4608">
      <w:pPr>
        <w:pStyle w:val="Nadpis11"/>
        <w:rPr>
          <w:b w:val="0"/>
          <w:sz w:val="2"/>
          <w:szCs w:val="2"/>
        </w:rPr>
      </w:pPr>
    </w:p>
    <w:p w14:paraId="1419D07B" w14:textId="77777777" w:rsidR="005D4608" w:rsidRPr="000F45E7" w:rsidRDefault="005D4608" w:rsidP="005D4608">
      <w:pPr>
        <w:pStyle w:val="Nadpis11"/>
        <w:spacing w:after="0"/>
        <w:rPr>
          <w:b w:val="0"/>
          <w:sz w:val="2"/>
          <w:szCs w:val="2"/>
        </w:rPr>
      </w:pPr>
    </w:p>
    <w:p w14:paraId="3D5FCB8F" w14:textId="77777777" w:rsidR="005D4608" w:rsidRPr="00E42054" w:rsidRDefault="005D4608" w:rsidP="005D4608">
      <w:pPr>
        <w:pStyle w:val="Nadpis11"/>
        <w:rPr>
          <w:b w:val="0"/>
          <w:sz w:val="2"/>
          <w:szCs w:val="2"/>
        </w:rPr>
      </w:pPr>
    </w:p>
    <w:p w14:paraId="193F1041" w14:textId="77777777" w:rsidR="00E920DE" w:rsidRPr="00E42054" w:rsidRDefault="00E920DE" w:rsidP="00E920DE">
      <w:pPr>
        <w:pStyle w:val="Nadpis11"/>
        <w:rPr>
          <w:b w:val="0"/>
          <w:sz w:val="2"/>
          <w:szCs w:val="2"/>
        </w:rPr>
      </w:pPr>
      <w:bookmarkStart w:id="15" w:name="_GoBack"/>
      <w:bookmarkEnd w:id="2"/>
      <w:bookmarkEnd w:id="3"/>
      <w:bookmarkEnd w:id="4"/>
      <w:bookmarkEnd w:id="5"/>
      <w:bookmarkEnd w:id="6"/>
      <w:bookmarkEnd w:id="7"/>
      <w:bookmarkEnd w:id="8"/>
      <w:bookmarkEnd w:id="15"/>
    </w:p>
    <w:sectPr w:rsidR="00E920DE" w:rsidRPr="00E42054" w:rsidSect="00C91A9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4CFE" w14:textId="77777777" w:rsidR="00EF007A" w:rsidRDefault="00EF007A" w:rsidP="00E71A58">
      <w:r>
        <w:separator/>
      </w:r>
    </w:p>
  </w:endnote>
  <w:endnote w:type="continuationSeparator" w:id="0">
    <w:p w14:paraId="5AFCB6DF" w14:textId="77777777" w:rsidR="00EF007A" w:rsidRDefault="00EF007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3A3CE8DA" w:rsidR="00CF35A7" w:rsidRPr="00932443" w:rsidRDefault="00CF35A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91A9F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4DB9ED92" w:rsidR="00CF35A7" w:rsidRPr="00932443" w:rsidRDefault="00CF35A7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91A9F">
      <w:rPr>
        <w:rStyle w:val="ZpatChar"/>
        <w:szCs w:val="16"/>
      </w:rPr>
      <w:t>19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EAA3" w14:textId="77777777" w:rsidR="00EF007A" w:rsidRDefault="00EF007A" w:rsidP="00A21B4D">
      <w:pPr>
        <w:spacing w:after="0"/>
      </w:pPr>
      <w:r>
        <w:separator/>
      </w:r>
    </w:p>
  </w:footnote>
  <w:footnote w:type="continuationSeparator" w:id="0">
    <w:p w14:paraId="676D83C2" w14:textId="77777777" w:rsidR="00EF007A" w:rsidRDefault="00EF007A" w:rsidP="00E71A58">
      <w:r>
        <w:continuationSeparator/>
      </w:r>
    </w:p>
  </w:footnote>
  <w:footnote w:id="1">
    <w:p w14:paraId="6E14F323" w14:textId="77777777" w:rsidR="00CF35A7" w:rsidRPr="00DE472F" w:rsidRDefault="00CF35A7" w:rsidP="005D4608">
      <w:pPr>
        <w:pStyle w:val="Textpoznpodarou"/>
        <w:rPr>
          <w:sz w:val="16"/>
          <w:szCs w:val="16"/>
        </w:rPr>
      </w:pPr>
      <w:r w:rsidRPr="00DE472F">
        <w:rPr>
          <w:rStyle w:val="Znakapoznpodarou"/>
          <w:sz w:val="16"/>
          <w:szCs w:val="16"/>
        </w:rPr>
        <w:footnoteRef/>
      </w:r>
      <w:r w:rsidRPr="00DE472F">
        <w:rPr>
          <w:sz w:val="16"/>
          <w:szCs w:val="16"/>
        </w:rPr>
        <w:t xml:space="preserve"> Meziroční nárůst hodnoty vývozu elektřiny, plynu, páry a klimatizovaného vzduchu na Slovensko dosáhl 6,2 mld. korun a do Německa 7,4 mld.    </w:t>
      </w:r>
    </w:p>
  </w:footnote>
  <w:footnote w:id="2">
    <w:p w14:paraId="34C07356" w14:textId="77777777" w:rsidR="00CF35A7" w:rsidRPr="00D021B3" w:rsidRDefault="00CF35A7" w:rsidP="005D4608">
      <w:pPr>
        <w:pStyle w:val="Textpoznpodarou"/>
        <w:rPr>
          <w:sz w:val="16"/>
          <w:szCs w:val="16"/>
        </w:rPr>
      </w:pPr>
      <w:r w:rsidRPr="00D021B3">
        <w:rPr>
          <w:rStyle w:val="Znakapoznpodarou"/>
          <w:sz w:val="16"/>
          <w:szCs w:val="16"/>
        </w:rPr>
        <w:footnoteRef/>
      </w:r>
      <w:r w:rsidRPr="00D021B3">
        <w:rPr>
          <w:sz w:val="16"/>
          <w:szCs w:val="16"/>
        </w:rPr>
        <w:t xml:space="preserve"> Ve 2. čtvrtletí 2021 dosahoval export ropy a zemního plynu 16 mil</w:t>
      </w:r>
      <w:r>
        <w:rPr>
          <w:sz w:val="16"/>
          <w:szCs w:val="16"/>
        </w:rPr>
        <w:t xml:space="preserve">. </w:t>
      </w:r>
      <w:r w:rsidRPr="00D021B3">
        <w:rPr>
          <w:sz w:val="16"/>
          <w:szCs w:val="16"/>
        </w:rPr>
        <w:t xml:space="preserve">korun, letos to bylo 5,2 mld. </w:t>
      </w:r>
    </w:p>
  </w:footnote>
  <w:footnote w:id="3">
    <w:p w14:paraId="56157A31" w14:textId="77777777" w:rsidR="00CF35A7" w:rsidRPr="00697CA5" w:rsidRDefault="00CF35A7" w:rsidP="005D4608">
      <w:pPr>
        <w:pStyle w:val="Textpoznpodarou"/>
        <w:rPr>
          <w:sz w:val="16"/>
          <w:szCs w:val="16"/>
        </w:rPr>
      </w:pPr>
      <w:r w:rsidRPr="00697CA5">
        <w:rPr>
          <w:rStyle w:val="Znakapoznpodarou"/>
          <w:sz w:val="16"/>
          <w:szCs w:val="16"/>
        </w:rPr>
        <w:footnoteRef/>
      </w:r>
      <w:r w:rsidRPr="00697CA5">
        <w:rPr>
          <w:sz w:val="16"/>
          <w:szCs w:val="16"/>
        </w:rPr>
        <w:t xml:space="preserve"> V rámci </w:t>
      </w:r>
      <w:r>
        <w:rPr>
          <w:sz w:val="16"/>
          <w:szCs w:val="16"/>
        </w:rPr>
        <w:t>2</w:t>
      </w:r>
      <w:r w:rsidRPr="00697CA5">
        <w:rPr>
          <w:sz w:val="16"/>
          <w:szCs w:val="16"/>
        </w:rPr>
        <w:t xml:space="preserve">. čtvrtletí roku skončil zahraniční obchod se zbožím v deficitu </w:t>
      </w:r>
      <w:r>
        <w:rPr>
          <w:sz w:val="16"/>
          <w:szCs w:val="16"/>
        </w:rPr>
        <w:t>naposledy</w:t>
      </w:r>
      <w:r w:rsidRPr="00697CA5">
        <w:rPr>
          <w:sz w:val="16"/>
          <w:szCs w:val="16"/>
        </w:rPr>
        <w:t xml:space="preserve"> v roce 200</w:t>
      </w:r>
      <w:r>
        <w:rPr>
          <w:sz w:val="16"/>
          <w:szCs w:val="16"/>
        </w:rPr>
        <w:t>7</w:t>
      </w:r>
      <w:r w:rsidRPr="00697CA5">
        <w:rPr>
          <w:sz w:val="16"/>
          <w:szCs w:val="16"/>
        </w:rPr>
        <w:t xml:space="preserve"> (</w:t>
      </w:r>
      <w:r>
        <w:rPr>
          <w:sz w:val="16"/>
          <w:szCs w:val="16"/>
        </w:rPr>
        <w:t>−1,9</w:t>
      </w:r>
      <w:r w:rsidRPr="00697CA5">
        <w:rPr>
          <w:sz w:val="16"/>
          <w:szCs w:val="16"/>
        </w:rPr>
        <w:t xml:space="preserve"> mld. korun).</w:t>
      </w:r>
      <w:r w:rsidRPr="00697CA5">
        <w:rPr>
          <w:spacing w:val="-4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F35A7" w:rsidRDefault="00CF35A7" w:rsidP="00937AE2">
    <w:pPr>
      <w:pStyle w:val="Zhlav"/>
    </w:pPr>
    <w:r>
      <w:t>Vývoj ekonomiky České republiky</w:t>
    </w:r>
  </w:p>
  <w:p w14:paraId="3E881AB3" w14:textId="77777777" w:rsidR="00CF35A7" w:rsidRPr="006F5416" w:rsidRDefault="00CF35A7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F35A7" w:rsidRDefault="00CF35A7" w:rsidP="00937AE2">
    <w:pPr>
      <w:pStyle w:val="Zhlav"/>
    </w:pPr>
    <w:r>
      <w:t>Vývoj ekonomiky České republiky</w:t>
    </w:r>
  </w:p>
  <w:p w14:paraId="57266714" w14:textId="77777777" w:rsidR="00CF35A7" w:rsidRPr="006F5416" w:rsidRDefault="00CF35A7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931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A9F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07A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511717884667364E-2"/>
          <c:y val="2.3304908251716775E-2"/>
          <c:w val="0.92378402700888473"/>
          <c:h val="0.6950853379152349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                                                                                          a zemní plyn</c:v>
                </c:pt>
                <c:pt idx="1">
                  <c:v>Potravinářské                                            výrobky</c:v>
                </c:pt>
                <c:pt idx="2">
                  <c:v>Oděvy</c:v>
                </c:pt>
                <c:pt idx="3">
                  <c:v>Koks, rafinované                                                          ropné prod.</c:v>
                </c:pt>
                <c:pt idx="4">
                  <c:v>Chemické látky                                                              a přípravky</c:v>
                </c:pt>
                <c:pt idx="5">
                  <c:v>Farmaceutické                                                                  výrobky</c:v>
                </c:pt>
                <c:pt idx="6">
                  <c:v>Ostat. nekovové                                           minerály</c:v>
                </c:pt>
                <c:pt idx="7">
                  <c:v>Základní kovy</c:v>
                </c:pt>
                <c:pt idx="8">
                  <c:v>Kovodělné                                        výrobky</c:v>
                </c:pt>
                <c:pt idx="9">
                  <c:v>Počítače, opt.                                          a elektron. přístr.</c:v>
                </c:pt>
                <c:pt idx="10">
                  <c:v>Elektrická                                             zařízení</c:v>
                </c:pt>
                <c:pt idx="11">
                  <c:v>Stroje                                                            a zařízení j. n.</c:v>
                </c:pt>
                <c:pt idx="12">
                  <c:v>Motorová                                                             vozidla</c:v>
                </c:pt>
              </c:strCache>
            </c:strRef>
          </c:cat>
          <c:val>
            <c:numRef>
              <c:f>'Vnější vztahy 2'!$B$7:$N$7</c:f>
              <c:numCache>
                <c:formatCode>General</c:formatCode>
                <c:ptCount val="13"/>
                <c:pt idx="0">
                  <c:v>-52.609762409000005</c:v>
                </c:pt>
                <c:pt idx="1">
                  <c:v>-18.527083834000003</c:v>
                </c:pt>
                <c:pt idx="2">
                  <c:v>-15.897047210000004</c:v>
                </c:pt>
                <c:pt idx="3">
                  <c:v>-10.055834380000004</c:v>
                </c:pt>
                <c:pt idx="4">
                  <c:v>-65.899508188000013</c:v>
                </c:pt>
                <c:pt idx="5">
                  <c:v>-41.622600157000001</c:v>
                </c:pt>
                <c:pt idx="6">
                  <c:v>13.444061929999998</c:v>
                </c:pt>
                <c:pt idx="7">
                  <c:v>-66.851482992999962</c:v>
                </c:pt>
                <c:pt idx="8">
                  <c:v>33.682446567999996</c:v>
                </c:pt>
                <c:pt idx="9">
                  <c:v>-14.354854367000003</c:v>
                </c:pt>
                <c:pt idx="10">
                  <c:v>2.4351323099999997</c:v>
                </c:pt>
                <c:pt idx="11">
                  <c:v>32.786894883000002</c:v>
                </c:pt>
                <c:pt idx="12">
                  <c:v>238.04151548800002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5-4B31-AB45-E8438AF611E8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                                                                                          a zemní plyn</c:v>
                </c:pt>
                <c:pt idx="1">
                  <c:v>Potravinářské                                            výrobky</c:v>
                </c:pt>
                <c:pt idx="2">
                  <c:v>Oděvy</c:v>
                </c:pt>
                <c:pt idx="3">
                  <c:v>Koks, rafinované                                                          ropné prod.</c:v>
                </c:pt>
                <c:pt idx="4">
                  <c:v>Chemické látky                                                              a přípravky</c:v>
                </c:pt>
                <c:pt idx="5">
                  <c:v>Farmaceutické                                                                  výrobky</c:v>
                </c:pt>
                <c:pt idx="6">
                  <c:v>Ostat. nekovové                                           minerály</c:v>
                </c:pt>
                <c:pt idx="7">
                  <c:v>Základní kovy</c:v>
                </c:pt>
                <c:pt idx="8">
                  <c:v>Kovodělné                                        výrobky</c:v>
                </c:pt>
                <c:pt idx="9">
                  <c:v>Počítače, opt.                                          a elektron. přístr.</c:v>
                </c:pt>
                <c:pt idx="10">
                  <c:v>Elektrická                                             zařízení</c:v>
                </c:pt>
                <c:pt idx="11">
                  <c:v>Stroje                                                            a zařízení j. n.</c:v>
                </c:pt>
                <c:pt idx="12">
                  <c:v>Motorová                                                             vozidla</c:v>
                </c:pt>
              </c:strCache>
            </c:strRef>
          </c:cat>
          <c:val>
            <c:numRef>
              <c:f>'Vnější vztahy 2'!$B$8:$N$8</c:f>
              <c:numCache>
                <c:formatCode>General</c:formatCode>
                <c:ptCount val="13"/>
                <c:pt idx="0">
                  <c:v>-153.71756406199992</c:v>
                </c:pt>
                <c:pt idx="1">
                  <c:v>-24.376800112999998</c:v>
                </c:pt>
                <c:pt idx="2">
                  <c:v>-22.25893911</c:v>
                </c:pt>
                <c:pt idx="3">
                  <c:v>-25.979704458</c:v>
                </c:pt>
                <c:pt idx="4">
                  <c:v>-75.922501271000002</c:v>
                </c:pt>
                <c:pt idx="5">
                  <c:v>-37.075463236000012</c:v>
                </c:pt>
                <c:pt idx="6">
                  <c:v>15.057661433000002</c:v>
                </c:pt>
                <c:pt idx="7">
                  <c:v>-100.15953480100001</c:v>
                </c:pt>
                <c:pt idx="8">
                  <c:v>42.182610112000006</c:v>
                </c:pt>
                <c:pt idx="9">
                  <c:v>-10.160687635000004</c:v>
                </c:pt>
                <c:pt idx="10">
                  <c:v>-1.6163961280000001</c:v>
                </c:pt>
                <c:pt idx="11">
                  <c:v>30.848622992999985</c:v>
                </c:pt>
                <c:pt idx="12">
                  <c:v>235.86068781100008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5-4B31-AB45-E8438AF61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131116032"/>
        <c:axId val="1311431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'Vnější vztahy 2'!$A$6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tx1">
                      <a:lumMod val="50000"/>
                      <a:lumOff val="50000"/>
                    </a:schemeClr>
                  </a:solidFill>
                  <a:ln>
                    <a:noFill/>
                  </a:ln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'Vnější vztahy 2'!$B$5:$N$5</c15:sqref>
                        </c15:formulaRef>
                      </c:ext>
                    </c:extLst>
                    <c:strCache>
                      <c:ptCount val="13"/>
                      <c:pt idx="0">
                        <c:v>Ropa                                                                                           a zemní plyn</c:v>
                      </c:pt>
                      <c:pt idx="1">
                        <c:v>Potravinářské                                            výrobky</c:v>
                      </c:pt>
                      <c:pt idx="2">
                        <c:v>Oděvy</c:v>
                      </c:pt>
                      <c:pt idx="3">
                        <c:v>Koks, rafinované                                                          ropné prod.</c:v>
                      </c:pt>
                      <c:pt idx="4">
                        <c:v>Chemické látky                                                              a přípravky</c:v>
                      </c:pt>
                      <c:pt idx="5">
                        <c:v>Farmaceutické                                                                  výrobky</c:v>
                      </c:pt>
                      <c:pt idx="6">
                        <c:v>Ostat. nekovové                                           minerály</c:v>
                      </c:pt>
                      <c:pt idx="7">
                        <c:v>Základní kovy</c:v>
                      </c:pt>
                      <c:pt idx="8">
                        <c:v>Kovodělné                                        výrobky</c:v>
                      </c:pt>
                      <c:pt idx="9">
                        <c:v>Počítače, opt.                                          a elektron. přístr.</c:v>
                      </c:pt>
                      <c:pt idx="10">
                        <c:v>Elektrická                                             zařízení</c:v>
                      </c:pt>
                      <c:pt idx="11">
                        <c:v>Stroje                                                            a zařízení j. n.</c:v>
                      </c:pt>
                      <c:pt idx="12">
                        <c:v>Motorová                                                             vozidla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'Vnější vztahy 2'!$B$6:$N$6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-33.677153209000004</c:v>
                      </c:pt>
                      <c:pt idx="1">
                        <c:v>-21.217038187</c:v>
                      </c:pt>
                      <c:pt idx="2">
                        <c:v>-13.366729616000001</c:v>
                      </c:pt>
                      <c:pt idx="3">
                        <c:v>-12.104240898</c:v>
                      </c:pt>
                      <c:pt idx="4">
                        <c:v>-50.336415015999997</c:v>
                      </c:pt>
                      <c:pt idx="5">
                        <c:v>-31.039712752</c:v>
                      </c:pt>
                      <c:pt idx="6">
                        <c:v>11.899945500999999</c:v>
                      </c:pt>
                      <c:pt idx="7">
                        <c:v>-48.499220989000001</c:v>
                      </c:pt>
                      <c:pt idx="8">
                        <c:v>26.994280089</c:v>
                      </c:pt>
                      <c:pt idx="9">
                        <c:v>-18.671173458000002</c:v>
                      </c:pt>
                      <c:pt idx="10">
                        <c:v>9.1039277310000006</c:v>
                      </c:pt>
                      <c:pt idx="11">
                        <c:v>28.550681236999999</c:v>
                      </c:pt>
                      <c:pt idx="12">
                        <c:v>177.38512719899998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B4F5-4B31-AB45-E8438AF611E8}"/>
                  </c:ext>
                </c:extLst>
              </c15:ser>
            </c15:filteredBarSeries>
          </c:ext>
        </c:extLst>
      </c:barChart>
      <c:catAx>
        <c:axId val="13111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1143168"/>
        <c:crosses val="autoZero"/>
        <c:auto val="1"/>
        <c:lblAlgn val="ctr"/>
        <c:lblOffset val="100"/>
        <c:noMultiLvlLbl val="0"/>
      </c:catAx>
      <c:valAx>
        <c:axId val="131143168"/>
        <c:scaling>
          <c:orientation val="minMax"/>
          <c:max val="240"/>
          <c:min val="-16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1116032"/>
        <c:crosses val="autoZero"/>
        <c:crossBetween val="between"/>
        <c:majorUnit val="40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7.6764003780868881E-2"/>
          <c:y val="2.1822149481723972E-2"/>
          <c:w val="0.83050180345769264"/>
          <c:h val="5.3993782692057103E-2"/>
        </c:manualLayout>
      </c:layout>
      <c:overlay val="1"/>
      <c:spPr>
        <a:ln w="6350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260-3F20-4CA4-9B88-472FBC6B9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AC8B9-20A0-48C0-8786-0AF3C442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29</TotalTime>
  <Pages>1</Pages>
  <Words>1344</Words>
  <Characters>7931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9257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6</cp:revision>
  <cp:lastPrinted>2019-04-08T10:52:00Z</cp:lastPrinted>
  <dcterms:created xsi:type="dcterms:W3CDTF">2022-09-15T09:40:00Z</dcterms:created>
  <dcterms:modified xsi:type="dcterms:W3CDTF">2022-09-15T10:05:00Z</dcterms:modified>
</cp:coreProperties>
</file>