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D71C" w14:textId="77777777" w:rsidR="00A75E40" w:rsidRPr="009110F7" w:rsidRDefault="00BF4329" w:rsidP="006C3495">
      <w:pPr>
        <w:jc w:val="cente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c="http://schemas.openxmlformats.org/drawingml/2006/chart">
            <w:pict w14:anchorId="607FED41">
              <v:group id="Group 24" style="position:absolute;margin-left:45pt;margin-top:36.75pt;width:177.15pt;height:43.65pt;z-index:251657728;mso-position-horizontal-relative:page;mso-position-vertical-relative:page" coordsize="2714,667" coordorigin="567,851" o:spid="_x0000_s1026" w14:anchorId="6B642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style="position:absolute;left:1215;top:901;width:676;height:154;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o:lock v:ext="edit" aspectratio="t"/>
                </v:rect>
                <v:rect id="Rectangle 10" style="position:absolute;left:567;top:1131;width:1324;height:154;visibility:visible;mso-wrap-style:square;v-text-anchor:top" o:spid="_x0000_s1028"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o:lock v:ext="edit" aspectratio="t"/>
                </v:rect>
                <v:rect id="Rectangle 11" style="position:absolute;left:1288;top:1361;width:603;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o:lock v:ext="edit" aspectratio="t"/>
                </v:rect>
                <v:shape id="Freeform 12" style="position:absolute;left:1969;top:1311;width:600;height:207;visibility:visible;mso-wrap-style:square;v-text-anchor:top" coordsize="1200,415" o:spid="_x0000_s1030" fillcolor="#bd1b21" stroked="f"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verticies="t" aspectratio="t"/>
                </v:shape>
                <v:shape id="Freeform 13" style="position:absolute;left:1962;top:1081;width:1319;height:208;visibility:visible;mso-wrap-style:square;v-text-anchor:top" coordsize="2637,416" o:spid="_x0000_s1031" fillcolor="#bd1b21" stroked="f"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verticies="t" aspectratio="t"/>
                </v:shape>
                <v:shape id="Freeform 14" style="position:absolute;left:1962;top:851;width:679;height:208;visibility:visible;mso-wrap-style:square;v-text-anchor:top" coordsize="1358,416" o:spid="_x0000_s1032" fillcolor="#bd1b21" stroked="f"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verticies="t" aspectratio="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C8019E" w:rsidRDefault="00C8019E" w:rsidP="004924DC">
                            <w:r>
                              <w:t>Z</w:t>
                            </w:r>
                            <w:r w:rsidRPr="006C5577">
                              <w:t xml:space="preserve">pracoval: </w:t>
                            </w:r>
                            <w:r>
                              <w:t>o</w:t>
                            </w:r>
                            <w:r w:rsidRPr="006C5577">
                              <w:t>dbor</w:t>
                            </w:r>
                            <w:r>
                              <w:t xml:space="preserve"> Kancelář předsedy</w:t>
                            </w:r>
                          </w:p>
                          <w:p w14:paraId="6CC24131" w14:textId="77777777" w:rsidR="00C8019E" w:rsidRPr="006C5577" w:rsidRDefault="00C8019E" w:rsidP="004924DC">
                            <w:r w:rsidRPr="006C5577">
                              <w:t xml:space="preserve">Ředitel odboru: </w:t>
                            </w:r>
                            <w:proofErr w:type="spellStart"/>
                            <w:r>
                              <w:t>Egor</w:t>
                            </w:r>
                            <w:proofErr w:type="spellEnd"/>
                            <w:r>
                              <w:t xml:space="preserve"> </w:t>
                            </w:r>
                            <w:proofErr w:type="spellStart"/>
                            <w:r>
                              <w:t>Sidorov</w:t>
                            </w:r>
                            <w:proofErr w:type="spellEnd"/>
                            <w:r>
                              <w:t>, Ph.D.</w:t>
                            </w:r>
                          </w:p>
                          <w:p w14:paraId="734BD5FB" w14:textId="77777777" w:rsidR="00C8019E" w:rsidRPr="006C5577" w:rsidRDefault="00C8019E"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Z/1gEAAJEDAAAOAAAAZHJzL2Uyb0RvYy54bWysU9tu2zAMfR+wfxD0vjjOkGI14hRdiw4D&#10;ugvQ7QNoWbKN2aJGKbGzrx8lx+kub8NeBJqiDs85pHc309CLoybfoS1lvlpLoa3CurNNKb9+eXj1&#10;RgofwNbQo9WlPGkvb/YvX+xGV+gNttjXmgSDWF+MrpRtCK7IMq9aPYBfodOWLw3SAIE/qclqgpHR&#10;hz7brNdX2YhUO0Klvefs/Xwp9wnfGK3CJ2O8DqIvJXML6aR0VvHM9jsoGgLXdupMA/6BxQCd5aYX&#10;qHsIIA7U/QU1dIrQowkrhUOGxnRKJw2sJl//oeapBaeTFjbHu4tN/v/Bqo/HJ/eZRJje4sQDTCK8&#10;e0T1zQuLdy3YRt8S4dhqqLlxHi3LRueL89NotS98BKnGD1jzkOEQMAFNhoboCusUjM4DOF1M11MQ&#10;ipPb/PU6v9pKofjuerPNr7epBRTLa0c+vNM4iBiUknioCR2Ojz5ENlAsJbGZxYeu79Nge/tbggtj&#10;JrGPhGfqYaomro4qKqxPrINw3hPeaw5apB9SjLwjpfTfD0Baiv69ZS/iQi0BLUG1BGAVPy1lkGIO&#10;78K8eAdHXdMy8uy2xVv2y3RJyjOLM0+ee1J43tG4WL9+p6rnP2n/Ew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D6&#10;evZ/1gEAAJEDAAAOAAAAAAAAAAAAAAAAAC4CAABkcnMvZTJvRG9jLnhtbFBLAQItABQABgAIAAAA&#10;IQBU965p4gAAAA4BAAAPAAAAAAAAAAAAAAAAADAEAABkcnMvZG93bnJldi54bWxQSwUGAAAAAAQA&#10;BADzAAAAPwUAAAAA&#10;" filled="f" stroked="f">
                <v:textbox inset="0,0,0,0">
                  <w:txbxContent>
                    <w:p w14:paraId="71628CD8" w14:textId="77777777" w:rsidR="00C8019E" w:rsidRDefault="00C8019E" w:rsidP="004924DC">
                      <w:r>
                        <w:t>Z</w:t>
                      </w:r>
                      <w:r w:rsidRPr="006C5577">
                        <w:t xml:space="preserve">pracoval: </w:t>
                      </w:r>
                      <w:r>
                        <w:t>o</w:t>
                      </w:r>
                      <w:r w:rsidRPr="006C5577">
                        <w:t>dbor</w:t>
                      </w:r>
                      <w:r>
                        <w:t xml:space="preserve"> Kancelář předsedy</w:t>
                      </w:r>
                    </w:p>
                    <w:p w14:paraId="6CC24131" w14:textId="77777777" w:rsidR="00C8019E" w:rsidRPr="006C5577" w:rsidRDefault="00C8019E" w:rsidP="004924DC">
                      <w:r w:rsidRPr="006C5577">
                        <w:t xml:space="preserve">Ředitel odboru: </w:t>
                      </w:r>
                      <w:proofErr w:type="spellStart"/>
                      <w:r>
                        <w:t>Egor</w:t>
                      </w:r>
                      <w:proofErr w:type="spellEnd"/>
                      <w:r>
                        <w:t xml:space="preserve"> </w:t>
                      </w:r>
                      <w:proofErr w:type="spellStart"/>
                      <w:r>
                        <w:t>Sidorov</w:t>
                      </w:r>
                      <w:proofErr w:type="spellEnd"/>
                      <w:r>
                        <w:t>, Ph.D.</w:t>
                      </w:r>
                    </w:p>
                    <w:p w14:paraId="734BD5FB" w14:textId="77777777" w:rsidR="00C8019E" w:rsidRPr="006C5577" w:rsidRDefault="00C8019E"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32168C0B" w:rsidR="00C8019E" w:rsidRPr="004924DC" w:rsidRDefault="00C8019E" w:rsidP="004924DC">
                            <w:pPr>
                              <w:pStyle w:val="TLIdentifikace-sted"/>
                            </w:pPr>
                            <w:r>
                              <w:t>Souhrnná data o České republice</w:t>
                            </w:r>
                          </w:p>
                          <w:p w14:paraId="02C46271" w14:textId="34CC4D90" w:rsidR="00C8019E" w:rsidRPr="004924DC" w:rsidRDefault="00C8019E" w:rsidP="004924DC">
                            <w:pPr>
                              <w:pStyle w:val="TLIdentifikace-sted"/>
                            </w:pPr>
                            <w:r>
                              <w:t>Praha, 22. 3. 2023</w:t>
                            </w:r>
                          </w:p>
                          <w:p w14:paraId="43012AD8" w14:textId="4B43F444" w:rsidR="00C8019E" w:rsidRPr="00B23E6E" w:rsidRDefault="00C8019E" w:rsidP="004924DC">
                            <w:pPr>
                              <w:pStyle w:val="TLIdentifikace-sted"/>
                            </w:pPr>
                            <w:r w:rsidRPr="00B23E6E">
                              <w:t>Kód publikace: 320193-2</w:t>
                            </w:r>
                            <w:r>
                              <w:t>2</w:t>
                            </w:r>
                          </w:p>
                          <w:p w14:paraId="1ED5773E" w14:textId="14BFD9F0" w:rsidR="00C8019E" w:rsidRPr="00474646" w:rsidRDefault="00C8019E" w:rsidP="004924DC">
                            <w:pPr>
                              <w:pStyle w:val="TLIdentifikace-sted"/>
                              <w:rPr>
                                <w:rFonts w:cs="Arial"/>
                              </w:rPr>
                            </w:pPr>
                            <w:r w:rsidRPr="00ED0F73">
                              <w:rPr>
                                <w:rFonts w:cs="Arial"/>
                              </w:rPr>
                              <w:t xml:space="preserve">Č. j.: </w:t>
                            </w:r>
                            <w:r w:rsidRPr="00ED0F73">
                              <w:rPr>
                                <w:rFonts w:eastAsia="Calibri" w:cs="Arial"/>
                                <w:lang w:eastAsia="en-US"/>
                              </w:rPr>
                              <w:t>CSU-003509/2023-01</w:t>
                            </w:r>
                          </w:p>
                          <w:p w14:paraId="7E4C36AC" w14:textId="4D2D4BBB" w:rsidR="00C8019E" w:rsidRPr="004924DC" w:rsidRDefault="00C8019E" w:rsidP="004924DC">
                            <w:pPr>
                              <w:pStyle w:val="TLIdentifikace-sted"/>
                            </w:pPr>
                            <w:r w:rsidRPr="004924DC">
                              <w:t>Pořadové číslo v</w:t>
                            </w:r>
                            <w:r>
                              <w:t> </w:t>
                            </w:r>
                            <w:r w:rsidRPr="004924DC">
                              <w:t xml:space="preserve">roce: </w:t>
                            </w:r>
                            <w:r>
                              <w:t>4</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3E2AEAAJkDAAAOAAAAZHJzL2Uyb0RvYy54bWysU9uO0zAQfUfiHyy/07RFrZao6WrZVRHS&#10;cpEWPsBxnMQi8ZgZt0n5esZO0+XyhnixxjP28Tlnxrvbse/EySBZcIVcLZZSGKehsq4p5Ncvh1c3&#10;UlBQrlIdOFPIsyF5u3/5Yjf43Kyhha4yKBjEUT74QrYh+DzLSLemV7QAbxwXa8BeBd5ik1WoBkbv&#10;u2y9XG6zAbDyCNoQcfZhKsp9wq9ro8OnuiYTRFdI5hbSimkt45rtdypvUPnW6gsN9Q8semUdP3qF&#10;elBBiSPav6B6qxEI6rDQ0GdQ11abpIHVrJZ/qHlqlTdJC5tD/moT/T9Y/fH05D+jCONbGLmBSQT5&#10;R9DfSDi4b5VrzB0iDK1RFT+8ipZlg6f8cjVaTTlFkHL4ABU3WR0DJKCxxj66wjoFo3MDzlfTzRiE&#10;5uRmtX6zec0lzbXV9ma72aa2ZCqfr3uk8M5AL2JQSOSuJnh1eqQQ6ah8PhJfc3CwXZc627nfEnww&#10;ZhL9yHjiHsZyFLa6aItqSqjOrAdhmheebw5awB9SDDwrhaTvR4VGiu69Y0/iYM0BzkE5B8ppvlrI&#10;IMUU3odpAI8ebdMy8uz6Hft2sEnRM4sLXe5/EnqZ1Thgv+7Tqecftf8JAAD//wMAUEsDBBQABgAI&#10;AAAAIQDoocL63gAAAA0BAAAPAAAAZHJzL2Rvd25yZXYueG1sTI+xTsMwEIZ3JN7BOiQWRG2nUkJD&#10;nAohWNhoWdjc+Egi7HMUu0no0+NMsP2n+/Tfd9V+cZZNOIbekwK5EcCQGm96ahV8HF/vH4CFqMlo&#10;6wkV/GCAfX19VenS+JnecTrElqUSCqVW0MU4lJyHpkOnw8YPSGn35UenYxrHlptRz6ncWZ4JkXOn&#10;e0oXOj3gc4fN9+HsFOTLy3D3tsNsvjR2os+LlBGlUrc3y9MjsIhL/INh1U/qUCenkz+TCcwqyPLd&#10;NqEKim0hga2EKNZ0WpPICuB1xf9/Uf8CAAD//wMAUEsBAi0AFAAGAAgAAAAhALaDOJL+AAAA4QEA&#10;ABMAAAAAAAAAAAAAAAAAAAAAAFtDb250ZW50X1R5cGVzXS54bWxQSwECLQAUAAYACAAAACEAOP0h&#10;/9YAAACUAQAACwAAAAAAAAAAAAAAAAAvAQAAX3JlbHMvLnJlbHNQSwECLQAUAAYACAAAACEAlIFN&#10;xNgBAACZAwAADgAAAAAAAAAAAAAAAAAuAgAAZHJzL2Uyb0RvYy54bWxQSwECLQAUAAYACAAAACEA&#10;6KHC+t4AAAANAQAADwAAAAAAAAAAAAAAAAAyBAAAZHJzL2Rvd25yZXYueG1sUEsFBgAAAAAEAAQA&#10;8wAAAD0FAAAAAA==&#10;" filled="f" stroked="f">
                <v:textbox style="mso-fit-shape-to-text:t" inset="0,0,0,0">
                  <w:txbxContent>
                    <w:p w14:paraId="6B3C48DE" w14:textId="32168C0B" w:rsidR="00C8019E" w:rsidRPr="004924DC" w:rsidRDefault="00C8019E" w:rsidP="004924DC">
                      <w:pPr>
                        <w:pStyle w:val="TLIdentifikace-sted"/>
                      </w:pPr>
                      <w:r>
                        <w:t>Souhrnná data o České republice</w:t>
                      </w:r>
                    </w:p>
                    <w:p w14:paraId="02C46271" w14:textId="34CC4D90" w:rsidR="00C8019E" w:rsidRPr="004924DC" w:rsidRDefault="00C8019E" w:rsidP="004924DC">
                      <w:pPr>
                        <w:pStyle w:val="TLIdentifikace-sted"/>
                      </w:pPr>
                      <w:r>
                        <w:t>Praha, 22. 3. 2023</w:t>
                      </w:r>
                    </w:p>
                    <w:p w14:paraId="43012AD8" w14:textId="4B43F444" w:rsidR="00C8019E" w:rsidRPr="00B23E6E" w:rsidRDefault="00C8019E" w:rsidP="004924DC">
                      <w:pPr>
                        <w:pStyle w:val="TLIdentifikace-sted"/>
                      </w:pPr>
                      <w:r w:rsidRPr="00B23E6E">
                        <w:t>Kód publikace: 320193-2</w:t>
                      </w:r>
                      <w:r>
                        <w:t>2</w:t>
                      </w:r>
                    </w:p>
                    <w:p w14:paraId="1ED5773E" w14:textId="14BFD9F0" w:rsidR="00C8019E" w:rsidRPr="00474646" w:rsidRDefault="00C8019E" w:rsidP="004924DC">
                      <w:pPr>
                        <w:pStyle w:val="TLIdentifikace-sted"/>
                        <w:rPr>
                          <w:rFonts w:cs="Arial"/>
                        </w:rPr>
                      </w:pPr>
                      <w:r w:rsidRPr="00ED0F73">
                        <w:rPr>
                          <w:rFonts w:cs="Arial"/>
                        </w:rPr>
                        <w:t xml:space="preserve">Č. j.: </w:t>
                      </w:r>
                      <w:r w:rsidRPr="00ED0F73">
                        <w:rPr>
                          <w:rFonts w:eastAsia="Calibri" w:cs="Arial"/>
                          <w:lang w:eastAsia="en-US"/>
                        </w:rPr>
                        <w:t>CSU-003509/2023-01</w:t>
                      </w:r>
                    </w:p>
                    <w:p w14:paraId="7E4C36AC" w14:textId="4D2D4BBB" w:rsidR="00C8019E" w:rsidRPr="004924DC" w:rsidRDefault="00C8019E" w:rsidP="004924DC">
                      <w:pPr>
                        <w:pStyle w:val="TLIdentifikace-sted"/>
                      </w:pPr>
                      <w:r w:rsidRPr="004924DC">
                        <w:t>Pořadové číslo v</w:t>
                      </w:r>
                      <w:r>
                        <w:t> </w:t>
                      </w:r>
                      <w:r w:rsidRPr="004924DC">
                        <w:t xml:space="preserve">roce: </w:t>
                      </w:r>
                      <w:r>
                        <w:t>4</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C8019E" w:rsidRPr="000E6FBD" w:rsidRDefault="00C8019E" w:rsidP="000E6FBD">
                            <w:pPr>
                              <w:pStyle w:val="Nzev"/>
                            </w:pPr>
                            <w:r>
                              <w:t>Vývoj ekonomiky české republiky</w:t>
                            </w:r>
                          </w:p>
                          <w:p w14:paraId="6EF7822F" w14:textId="77777777" w:rsidR="00C8019E" w:rsidRPr="0012192F" w:rsidRDefault="00C8019E" w:rsidP="0012192F">
                            <w:pPr>
                              <w:pStyle w:val="Podnadpis"/>
                            </w:pPr>
                          </w:p>
                          <w:p w14:paraId="284A2D4D" w14:textId="0CD9CFA0" w:rsidR="00C8019E" w:rsidRPr="0012192F" w:rsidRDefault="00C8019E" w:rsidP="00720310">
                            <w:pPr>
                              <w:pStyle w:val="Podnadpis"/>
                            </w:pPr>
                            <w:r>
                              <w:t>rok 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dO2QEAAJkDAAAOAAAAZHJzL2Uyb0RvYy54bWysU1Fv0zAQfkfiP1h+p2kKAxY1ncamIqQx&#10;kMZ+gOM4jUXiM3duk/LrOTtNB+wN8WKdz/Z33/fdeX019p04GCQLrpT5YimFcRpq63alfPy2ffVe&#10;CgrK1aoDZ0p5NCSvNi9frAdfmBW00NUGBYM4KgZfyjYEX2QZ6db0ihbgjePDBrBXgbe4y2pUA6P3&#10;XbZaLt9mA2DtEbQh4uztdCg3Cb9pjA5fmoZMEF0pmVtIK6a1imu2Watih8q3Vp9oqH9g0SvruOgZ&#10;6lYFJfZon0H1ViMQNGGhoc+gaaw2SQOryZd/qXlolTdJC5tD/mwT/T9YfX948F9RhPEDjNzAJIL8&#10;HejvJBzctMrtzDUiDK1RNRfOo2XZ4Kk4PY1WU0ERpBo+Q81NVvsACWhssI+usE7B6NyA49l0Mwah&#10;OXmRry4vXvOR5rP8zbv8kjexhirm5x4pfDTQixiUErmrCV4d7ihMV+crsZqDre261NnO/ZFgzJhJ&#10;9CPjiXsYq1HYupSrWDeqqaA+sh6EaV54vjloAX9KMfCslJJ+7BUaKbpPjj2JgzUHOAfVHCin+Wkp&#10;gxRTeBOmAdx7tLuWkWfXr9m3rU2Knlic6HL/kyenWY0D9vs+3Xr6UZtfAAAA//8DAFBLAwQUAAYA&#10;CAAAACEACu176uAAAAAMAQAADwAAAGRycy9kb3ducmV2LnhtbEyPsU7DMBCGd6S+g3WVuiDqOCkp&#10;DXGqCsHCRmFhc+MjibDPUewmoU+PO8F2p/v03/eX+9kaNuLgO0cSxDoBhlQ73VEj4eP95e4BmA+K&#10;tDKOUMIPethXi5tSFdpN9IbjMTQshpAvlIQ2hL7g3NctWuXXrkeKty83WBXiOjRcD2qK4dbwNEly&#10;blVH8UOrenxqsf4+nq2EfH7ub193mE6X2oz0eREioJBytZwPj8ACzuEPhqt+VIcqOp3cmbRnRkKa&#10;77KIxiFL74FdiWS7FcBOEjb5JgNelfx/ieoXAAD//wMAUEsBAi0AFAAGAAgAAAAhALaDOJL+AAAA&#10;4QEAABMAAAAAAAAAAAAAAAAAAAAAAFtDb250ZW50X1R5cGVzXS54bWxQSwECLQAUAAYACAAAACEA&#10;OP0h/9YAAACUAQAACwAAAAAAAAAAAAAAAAAvAQAAX3JlbHMvLnJlbHNQSwECLQAUAAYACAAAACEA&#10;gbQ3TtkBAACZAwAADgAAAAAAAAAAAAAAAAAuAgAAZHJzL2Uyb0RvYy54bWxQSwECLQAUAAYACAAA&#10;ACEACu176uAAAAAMAQAADwAAAAAAAAAAAAAAAAAzBAAAZHJzL2Rvd25yZXYueG1sUEsFBgAAAAAE&#10;AAQA8wAAAEAFAAAAAA==&#10;" filled="f" stroked="f">
                <v:textbox style="mso-fit-shape-to-text:t" inset="0,0,0,0">
                  <w:txbxContent>
                    <w:p w14:paraId="723B7B56" w14:textId="77777777" w:rsidR="00C8019E" w:rsidRPr="000E6FBD" w:rsidRDefault="00C8019E" w:rsidP="000E6FBD">
                      <w:pPr>
                        <w:pStyle w:val="Nzev"/>
                      </w:pPr>
                      <w:r>
                        <w:t>Vývoj ekonomiky české republiky</w:t>
                      </w:r>
                    </w:p>
                    <w:p w14:paraId="6EF7822F" w14:textId="77777777" w:rsidR="00C8019E" w:rsidRPr="0012192F" w:rsidRDefault="00C8019E" w:rsidP="0012192F">
                      <w:pPr>
                        <w:pStyle w:val="Podnadpis"/>
                      </w:pPr>
                    </w:p>
                    <w:p w14:paraId="284A2D4D" w14:textId="0CD9CFA0" w:rsidR="00C8019E" w:rsidRPr="0012192F" w:rsidRDefault="00C8019E" w:rsidP="00720310">
                      <w:pPr>
                        <w:pStyle w:val="Podnadpis"/>
                      </w:pPr>
                      <w:r>
                        <w:t>rok 2022</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80F437A" w:rsidR="00C8019E" w:rsidRPr="004924DC" w:rsidRDefault="00C8019E" w:rsidP="004924DC">
                            <w:r w:rsidRPr="004924DC">
                              <w:t xml:space="preserve">© Český statistický úřad, </w:t>
                            </w:r>
                            <w:r>
                              <w:t>Praha</w:t>
                            </w:r>
                            <w:r w:rsidRPr="004924DC">
                              <w:t xml:space="preserve">, </w:t>
                            </w:r>
                            <w:r>
                              <w:t>2023</w:t>
                            </w:r>
                          </w:p>
                          <w:p w14:paraId="622736FE" w14:textId="77777777" w:rsidR="00C8019E" w:rsidRPr="005251DD" w:rsidRDefault="00C8019E" w:rsidP="00665BA4"/>
                          <w:p w14:paraId="157588CA" w14:textId="77777777" w:rsidR="00C8019E" w:rsidRPr="005251DD" w:rsidRDefault="00C8019E" w:rsidP="00FC684B"/>
                          <w:p w14:paraId="590D710B" w14:textId="77777777" w:rsidR="00C8019E" w:rsidRDefault="00C8019E"/>
                          <w:p w14:paraId="73B68DA8" w14:textId="77777777" w:rsidR="00C8019E" w:rsidRPr="00097407" w:rsidRDefault="00C8019E"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C8019E" w:rsidRPr="005251DD" w:rsidRDefault="00C8019E" w:rsidP="00665BA4"/>
                          <w:p w14:paraId="74D3ABC4" w14:textId="77777777" w:rsidR="00C8019E" w:rsidRPr="005251DD" w:rsidRDefault="00C8019E"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m42wEAAJgDAAAOAAAAZHJzL2Uyb0RvYy54bWysU9tu2zAMfR+wfxD0vthukXYz4hRdiw4D&#10;ugvQ7QNoWY6F2aJGKbGzrx8lx+kub8NeBIqSDs85pDY309CLgyZv0FayWOVSaKuwMXZXya9fHl69&#10;lsIHsA30aHUlj9rLm+3LF5vRlfoCO+wbTYJBrC9HV8kuBFdmmVedHsCv0GnLhy3SAIG3tMsagpHR&#10;hz67yPOrbERqHKHS3nP2fj6U24TftlqFT23rdRB9JZlbSCultY5rtt1AuSNwnVEnGvAPLAYwloue&#10;oe4hgNiT+QtqMIrQYxtWCocM29YonTSwmiL/Q81TB04nLWyOd2eb/P+DVR8PT+4ziTC9xYkbmER4&#10;94jqmxcW7zqwO31LhGOnoeHCRbQsG50vT0+j1b70EaQeP2DDTYZ9wAQ0tTREV1inYHRuwPFsup6C&#10;UJxcF5d5cbWWQvFZcf3mOl+nElAurx358E7jIGJQSeKmJnQ4PPoQ2UC5XInFLD6Yvk+N7e1vCb4Y&#10;M4l9JDxTD1M9CdNU8jLWjWJqbI4sh3AeFx5vDjqkH1KMPCqV9N/3QFqK/r1lS+JcLQEtQb0EYBU/&#10;rWSQYg7vwjx/e0dm1zHybLrFW7atNUnRM4sTXW5/Enoa1Thfv+7TrecPtf0JAAD//wMAUEsDBBQA&#10;BgAIAAAAIQAHZXB34QAAAA4BAAAPAAAAZHJzL2Rvd25yZXYueG1sTI/BToQwEIbvJr5DMybe3HZR&#10;QZCy2Rg9mRhZPHgsMAvN0inS7i6+veW0Hmf+L/98k29mM7ATTk5bkrBeCWBIjW01dRK+qre7J2DO&#10;K2rVYAkl/KKDTXF9laustWcq8bTzHQsl5DIlofd+zDh3TY9GuZUdkUK2t5NRPoxTx9tJnUO5GXgk&#10;RMyN0hQu9GrElx6bw+5oJGy/qXzVPx/1Z7kvdVWlgt7jg5S3N/P2GZjH2V9gWPSDOhTBqbZHah0b&#10;JERxeh/QEDyu0xjYgogkiYDVy+4hSYEXOf//RvEHAAD//wMAUEsBAi0AFAAGAAgAAAAhALaDOJL+&#10;AAAA4QEAABMAAAAAAAAAAAAAAAAAAAAAAFtDb250ZW50X1R5cGVzXS54bWxQSwECLQAUAAYACAAA&#10;ACEAOP0h/9YAAACUAQAACwAAAAAAAAAAAAAAAAAvAQAAX3JlbHMvLnJlbHNQSwECLQAUAAYACAAA&#10;ACEApOBZuNsBAACYAwAADgAAAAAAAAAAAAAAAAAuAgAAZHJzL2Uyb0RvYy54bWxQSwECLQAUAAYA&#10;CAAAACEAB2Vwd+EAAAAOAQAADwAAAAAAAAAAAAAAAAA1BAAAZHJzL2Rvd25yZXYueG1sUEsFBgAA&#10;AAAEAAQA8wAAAEMFAAAAAA==&#10;" filled="f" stroked="f">
                <v:textbox inset="0,0,0,0">
                  <w:txbxContent>
                    <w:p w14:paraId="0841DF7B" w14:textId="080F437A" w:rsidR="00C8019E" w:rsidRPr="004924DC" w:rsidRDefault="00C8019E" w:rsidP="004924DC">
                      <w:r w:rsidRPr="004924DC">
                        <w:t xml:space="preserve">© Český statistický úřad, </w:t>
                      </w:r>
                      <w:r>
                        <w:t>Praha</w:t>
                      </w:r>
                      <w:r w:rsidRPr="004924DC">
                        <w:t xml:space="preserve">, </w:t>
                      </w:r>
                      <w:r>
                        <w:t>2023</w:t>
                      </w:r>
                    </w:p>
                    <w:p w14:paraId="622736FE" w14:textId="77777777" w:rsidR="00C8019E" w:rsidRPr="005251DD" w:rsidRDefault="00C8019E" w:rsidP="00665BA4"/>
                    <w:p w14:paraId="157588CA" w14:textId="77777777" w:rsidR="00C8019E" w:rsidRPr="005251DD" w:rsidRDefault="00C8019E" w:rsidP="00FC684B"/>
                    <w:p w14:paraId="590D710B" w14:textId="77777777" w:rsidR="00C8019E" w:rsidRDefault="00C8019E"/>
                    <w:p w14:paraId="73B68DA8" w14:textId="77777777" w:rsidR="00C8019E" w:rsidRPr="00097407" w:rsidRDefault="00C8019E"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C8019E" w:rsidRPr="005251DD" w:rsidRDefault="00C8019E" w:rsidP="00665BA4"/>
                    <w:p w14:paraId="74D3ABC4" w14:textId="77777777" w:rsidR="00C8019E" w:rsidRPr="005251DD" w:rsidRDefault="00C8019E"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c="http://schemas.openxmlformats.org/drawingml/2006/chart">
            <w:pict w14:anchorId="1DF0136F">
              <v:line id="Přímá spojnice 33"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o:allowincell="f" strokecolor="windowText" strokeweight="1pt" from="134.65pt,737.1pt" to="538.6pt,737.1pt" w14:anchorId="6E67B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C8019E" w:rsidRPr="006F5416" w:rsidRDefault="00C8019E" w:rsidP="006F5416">
                            <w:pPr>
                              <w:pStyle w:val="TLKontaktyerven"/>
                            </w:pPr>
                            <w:r w:rsidRPr="006F5416">
                              <w:t>KONTAKTY V ÚSTŘEDÍ</w:t>
                            </w:r>
                          </w:p>
                          <w:p w14:paraId="3BEEAF5F" w14:textId="77777777" w:rsidR="00C8019E" w:rsidRPr="007D40DF" w:rsidRDefault="00C8019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C8019E" w:rsidRPr="00D235B7" w:rsidRDefault="00C8019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C8019E" w:rsidRPr="00D235B7" w:rsidRDefault="00C8019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C8019E" w:rsidRPr="00D235B7" w:rsidRDefault="00C8019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C8019E" w:rsidRPr="00D235B7" w:rsidRDefault="00C8019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C8019E" w:rsidRPr="004A61C5" w:rsidRDefault="00C8019E" w:rsidP="00825C4D">
                            <w:pPr>
                              <w:pStyle w:val="TLKontakty"/>
                              <w:spacing w:after="80" w:line="240" w:lineRule="auto"/>
                              <w:contextualSpacing w:val="0"/>
                              <w:rPr>
                                <w:color w:val="auto"/>
                              </w:rPr>
                            </w:pPr>
                          </w:p>
                          <w:p w14:paraId="29C57B67" w14:textId="77777777" w:rsidR="00C8019E" w:rsidRPr="00D66223" w:rsidRDefault="00C8019E" w:rsidP="00D66223">
                            <w:pPr>
                              <w:pStyle w:val="TLKontaktyerven"/>
                            </w:pPr>
                            <w:r w:rsidRPr="00D66223">
                              <w:t>INFORMAČNÍ SLUŽBY V REGIONECH</w:t>
                            </w:r>
                          </w:p>
                          <w:p w14:paraId="181BE30E" w14:textId="77777777" w:rsidR="00C8019E" w:rsidRPr="00992CF3" w:rsidRDefault="00C8019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C8019E" w:rsidRPr="00992CF3" w:rsidRDefault="00C8019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C8019E" w:rsidRPr="004A61C5" w:rsidRDefault="00C8019E" w:rsidP="00825C4D">
                            <w:pPr>
                              <w:pStyle w:val="TLKontakty"/>
                              <w:spacing w:after="80" w:line="240" w:lineRule="auto"/>
                              <w:rPr>
                                <w:color w:val="auto"/>
                              </w:rPr>
                            </w:pPr>
                          </w:p>
                          <w:p w14:paraId="39B5FB82" w14:textId="77777777" w:rsidR="00C8019E" w:rsidRPr="00992CF3" w:rsidRDefault="00C8019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C8019E" w:rsidRPr="00992CF3" w:rsidRDefault="00C8019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C8019E" w:rsidRPr="004A61C5" w:rsidRDefault="00C8019E" w:rsidP="00825C4D">
                            <w:pPr>
                              <w:pStyle w:val="TLKontakty"/>
                              <w:spacing w:after="80" w:line="240" w:lineRule="auto"/>
                              <w:rPr>
                                <w:color w:val="auto"/>
                              </w:rPr>
                            </w:pPr>
                          </w:p>
                          <w:p w14:paraId="5AF27889" w14:textId="77777777" w:rsidR="00C8019E" w:rsidRPr="00992CF3" w:rsidRDefault="00C8019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C8019E" w:rsidRPr="00992CF3" w:rsidRDefault="00C8019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C8019E" w:rsidRPr="004A61C5" w:rsidRDefault="00C8019E" w:rsidP="00825C4D">
                            <w:pPr>
                              <w:pStyle w:val="TLKontakty"/>
                              <w:spacing w:after="80" w:line="240" w:lineRule="auto"/>
                              <w:rPr>
                                <w:color w:val="auto"/>
                              </w:rPr>
                            </w:pPr>
                          </w:p>
                          <w:p w14:paraId="0065AFA0" w14:textId="77777777" w:rsidR="00C8019E" w:rsidRPr="00BC731E" w:rsidRDefault="00C8019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C8019E" w:rsidRPr="004A61C5" w:rsidRDefault="00C8019E" w:rsidP="00825C4D">
                            <w:pPr>
                              <w:pStyle w:val="TLKontakty"/>
                              <w:spacing w:after="80" w:line="240" w:lineRule="auto"/>
                              <w:rPr>
                                <w:color w:val="auto"/>
                              </w:rPr>
                            </w:pPr>
                          </w:p>
                          <w:p w14:paraId="345F7961" w14:textId="77777777" w:rsidR="00C8019E" w:rsidRPr="004A61C5" w:rsidRDefault="00C8019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C8019E" w:rsidRPr="004A61C5" w:rsidRDefault="00C8019E" w:rsidP="00825C4D">
                            <w:pPr>
                              <w:pStyle w:val="TLKontakty"/>
                              <w:spacing w:after="80" w:line="240" w:lineRule="auto"/>
                              <w:rPr>
                                <w:color w:val="auto"/>
                              </w:rPr>
                            </w:pPr>
                          </w:p>
                          <w:p w14:paraId="766F2288" w14:textId="77777777" w:rsidR="00C8019E" w:rsidRPr="004A61C5" w:rsidRDefault="00C8019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C8019E" w:rsidRPr="004A61C5" w:rsidRDefault="00C8019E" w:rsidP="00825C4D">
                            <w:pPr>
                              <w:pStyle w:val="TLKontakty"/>
                              <w:spacing w:after="80" w:line="240" w:lineRule="auto"/>
                              <w:rPr>
                                <w:color w:val="auto"/>
                              </w:rPr>
                            </w:pPr>
                          </w:p>
                          <w:p w14:paraId="0D4652E6" w14:textId="77777777" w:rsidR="00C8019E" w:rsidRPr="004A61C5" w:rsidRDefault="00C8019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C8019E" w:rsidRPr="004A61C5" w:rsidRDefault="00C8019E" w:rsidP="00825C4D">
                            <w:pPr>
                              <w:pStyle w:val="TLKontakty"/>
                              <w:spacing w:after="80" w:line="240" w:lineRule="auto"/>
                              <w:rPr>
                                <w:b w:val="0"/>
                                <w:color w:val="auto"/>
                              </w:rPr>
                            </w:pPr>
                          </w:p>
                          <w:p w14:paraId="231AC323" w14:textId="77777777" w:rsidR="00C8019E" w:rsidRPr="004A61C5" w:rsidRDefault="00C8019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C8019E" w:rsidRPr="004A61C5" w:rsidRDefault="00C8019E" w:rsidP="00825C4D">
                            <w:pPr>
                              <w:pStyle w:val="TLKontakty"/>
                              <w:spacing w:after="80" w:line="240" w:lineRule="auto"/>
                              <w:rPr>
                                <w:color w:val="auto"/>
                              </w:rPr>
                            </w:pPr>
                          </w:p>
                          <w:p w14:paraId="64319B27" w14:textId="77777777" w:rsidR="00C8019E" w:rsidRPr="004A61C5" w:rsidRDefault="00C8019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C8019E" w:rsidRPr="004A61C5" w:rsidRDefault="00C8019E" w:rsidP="00825C4D">
                            <w:pPr>
                              <w:pStyle w:val="TLKontakty"/>
                              <w:spacing w:after="80" w:line="240" w:lineRule="auto"/>
                              <w:rPr>
                                <w:b w:val="0"/>
                                <w:color w:val="auto"/>
                              </w:rPr>
                            </w:pPr>
                          </w:p>
                          <w:p w14:paraId="4068B566" w14:textId="77777777" w:rsidR="00C8019E" w:rsidRPr="004A61C5" w:rsidRDefault="00C8019E"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C8019E" w:rsidRDefault="00C8019E" w:rsidP="00825C4D">
                            <w:pPr>
                              <w:pStyle w:val="TLKontakty"/>
                              <w:spacing w:after="80" w:line="240" w:lineRule="auto"/>
                            </w:pPr>
                          </w:p>
                          <w:p w14:paraId="63ACC352" w14:textId="77777777" w:rsidR="00C8019E" w:rsidRPr="00BC731E" w:rsidRDefault="00C8019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C8019E" w:rsidRPr="004A61C5" w:rsidRDefault="00C8019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C8019E" w:rsidRPr="004A61C5" w:rsidRDefault="00C8019E" w:rsidP="00825C4D">
                            <w:pPr>
                              <w:pStyle w:val="TLKontakty"/>
                              <w:spacing w:after="80" w:line="240" w:lineRule="auto"/>
                              <w:rPr>
                                <w:b w:val="0"/>
                                <w:color w:val="auto"/>
                              </w:rPr>
                            </w:pPr>
                          </w:p>
                          <w:p w14:paraId="71AC5E72" w14:textId="77777777" w:rsidR="00C8019E" w:rsidRPr="005E7C78" w:rsidRDefault="00C8019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C8019E" w:rsidRPr="005E7C78" w:rsidRDefault="00C8019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C8019E" w:rsidRPr="005E7C78" w:rsidRDefault="00C8019E" w:rsidP="00825C4D">
                            <w:pPr>
                              <w:pStyle w:val="TLKontakty"/>
                              <w:spacing w:after="80" w:line="240" w:lineRule="auto"/>
                              <w:rPr>
                                <w:b w:val="0"/>
                                <w:color w:val="auto"/>
                              </w:rPr>
                            </w:pPr>
                          </w:p>
                          <w:p w14:paraId="00E77B80" w14:textId="77777777" w:rsidR="00C8019E" w:rsidRPr="005E7C78" w:rsidRDefault="00C8019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C8019E" w:rsidRDefault="00C8019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C8019E" w:rsidRPr="005E7C78" w:rsidRDefault="00C8019E" w:rsidP="00095135">
                            <w:pPr>
                              <w:pStyle w:val="TLKontakty"/>
                              <w:spacing w:after="80" w:line="240" w:lineRule="auto"/>
                              <w:rPr>
                                <w:b w:val="0"/>
                                <w:color w:val="auto"/>
                              </w:rPr>
                            </w:pPr>
                          </w:p>
                          <w:p w14:paraId="0275618D" w14:textId="77777777" w:rsidR="00C8019E" w:rsidRPr="005E7C78" w:rsidRDefault="00C8019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C8019E" w:rsidRPr="00095135" w:rsidRDefault="00C8019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U62wEAAJkDAAAOAAAAZHJzL2Uyb0RvYy54bWysU8lu2zAQvRfoPxC817IT12kEy0GawEWB&#10;dAHSfABFURJRicPO0Jbcr++Qtpwut6AXYjQkH98yWt+MfSf2BsmCK+RiNpfCOA2VdU0hn75t37yT&#10;goJylerAmUIeDMmbzetX68Hn5gJa6CqDgkEc5YMvZBuCz7OMdGt6RTPwxvFmDdirwJ/YZBWqgdH7&#10;LruYz1fZAFh5BG2IuHt/3JSbhF/XRocvdU0miK6QzC2kFdNaxjXbrFXeoPKt1Sca6gUsemUdP3qG&#10;uldBiR3af6B6qxEI6jDT0GdQ11abpIHVLOZ/qXlslTdJC5tD/mwT/T9Y/Xn/6L+iCON7GDnAJIL8&#10;A+jvJBzctco15hYRhtaoih9eRMuywVN+uhqtppwiSDl8gopDVrsACWissY+usE7B6BzA4Wy6GYPQ&#10;3FwtFtfL67dSaN67Wl1dXi5TLJnKp+seKXww0ItYFBI51QSv9g8UIh2VT0fiaw62tutSsp37o8EH&#10;YyfRj4yP3MNYjsJWhVxGbVFNCdWB9SAc54Xnm4sW8KcUA89KIenHTqGRovvo2JM4WFOBU1FOhXKa&#10;rxYySHEs78JxAHcebdMy8uT6Lfu2tUnRM4sTXc4/CT3Nahyw37/Tqec/avMLAAD//wMAUEsDBBQA&#10;BgAIAAAAIQCtGkZc4AAAAA0BAAAPAAAAZHJzL2Rvd25yZXYueG1sTI/BTsMwEETvSPyDtUhcUOs4&#10;lARCnAohuHCjcOnNTZYkwl5HsZuEfj3bE9x2tKOZeeV2cVZMOIbekwa1TkAg1b7pqdXw+fG6ugcR&#10;oqHGWE+o4QcDbKvLi9IUjZ/pHaddbAWHUCiMhi7GoZAy1B06E9Z+QOLflx+diSzHVjajmTncWZkm&#10;SSad6YkbOjPgc4f19+7oNGTLy3Dz9oDpfKrtRPuTUhGV1tdXy9MjiIhL/DPDeT5Ph4o3HfyRmiAs&#10;a7VhlqghTTNmODuSPM9BHPja3N6lIKtS/qeofgEAAP//AwBQSwECLQAUAAYACAAAACEAtoM4kv4A&#10;AADhAQAAEwAAAAAAAAAAAAAAAAAAAAAAW0NvbnRlbnRfVHlwZXNdLnhtbFBLAQItABQABgAIAAAA&#10;IQA4/SH/1gAAAJQBAAALAAAAAAAAAAAAAAAAAC8BAABfcmVscy8ucmVsc1BLAQItABQABgAIAAAA&#10;IQDj3lU62wEAAJkDAAAOAAAAAAAAAAAAAAAAAC4CAABkcnMvZTJvRG9jLnhtbFBLAQItABQABgAI&#10;AAAAIQCtGkZc4AAAAA0BAAAPAAAAAAAAAAAAAAAAADUEAABkcnMvZG93bnJldi54bWxQSwUGAAAA&#10;AAQABADzAAAAQgUAAAAA&#10;" filled="f" stroked="f">
                <v:textbox style="mso-fit-shape-to-text:t" inset="0,0,0,0">
                  <w:txbxContent>
                    <w:p w14:paraId="57F70E5B" w14:textId="77777777" w:rsidR="00C8019E" w:rsidRPr="006F5416" w:rsidRDefault="00C8019E" w:rsidP="006F5416">
                      <w:pPr>
                        <w:pStyle w:val="TLKontaktyerven"/>
                      </w:pPr>
                      <w:r w:rsidRPr="006F5416">
                        <w:t>KONTAKTY V ÚSTŘEDÍ</w:t>
                      </w:r>
                    </w:p>
                    <w:p w14:paraId="3BEEAF5F" w14:textId="77777777" w:rsidR="00C8019E" w:rsidRPr="007D40DF" w:rsidRDefault="00C8019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C8019E" w:rsidRPr="00D235B7" w:rsidRDefault="00C8019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C8019E" w:rsidRPr="00D235B7" w:rsidRDefault="00C8019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C8019E" w:rsidRPr="00D235B7" w:rsidRDefault="00C8019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C8019E" w:rsidRPr="00D235B7" w:rsidRDefault="00C8019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C8019E" w:rsidRPr="004A61C5" w:rsidRDefault="00C8019E" w:rsidP="00825C4D">
                      <w:pPr>
                        <w:pStyle w:val="TLKontakty"/>
                        <w:spacing w:after="80" w:line="240" w:lineRule="auto"/>
                        <w:contextualSpacing w:val="0"/>
                        <w:rPr>
                          <w:color w:val="auto"/>
                        </w:rPr>
                      </w:pPr>
                    </w:p>
                    <w:p w14:paraId="29C57B67" w14:textId="77777777" w:rsidR="00C8019E" w:rsidRPr="00D66223" w:rsidRDefault="00C8019E" w:rsidP="00D66223">
                      <w:pPr>
                        <w:pStyle w:val="TLKontaktyerven"/>
                      </w:pPr>
                      <w:r w:rsidRPr="00D66223">
                        <w:t>INFORMAČNÍ SLUŽBY V REGIONECH</w:t>
                      </w:r>
                    </w:p>
                    <w:p w14:paraId="181BE30E" w14:textId="77777777" w:rsidR="00C8019E" w:rsidRPr="00992CF3" w:rsidRDefault="00C8019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C8019E" w:rsidRPr="00992CF3" w:rsidRDefault="00C8019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C8019E" w:rsidRPr="004A61C5" w:rsidRDefault="00C8019E" w:rsidP="00825C4D">
                      <w:pPr>
                        <w:pStyle w:val="TLKontakty"/>
                        <w:spacing w:after="80" w:line="240" w:lineRule="auto"/>
                        <w:rPr>
                          <w:color w:val="auto"/>
                        </w:rPr>
                      </w:pPr>
                    </w:p>
                    <w:p w14:paraId="39B5FB82" w14:textId="77777777" w:rsidR="00C8019E" w:rsidRPr="00992CF3" w:rsidRDefault="00C8019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C8019E" w:rsidRPr="00992CF3" w:rsidRDefault="00C8019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C8019E" w:rsidRPr="004A61C5" w:rsidRDefault="00C8019E" w:rsidP="00825C4D">
                      <w:pPr>
                        <w:pStyle w:val="TLKontakty"/>
                        <w:spacing w:after="80" w:line="240" w:lineRule="auto"/>
                        <w:rPr>
                          <w:color w:val="auto"/>
                        </w:rPr>
                      </w:pPr>
                    </w:p>
                    <w:p w14:paraId="5AF27889" w14:textId="77777777" w:rsidR="00C8019E" w:rsidRPr="00992CF3" w:rsidRDefault="00C8019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C8019E" w:rsidRPr="00992CF3" w:rsidRDefault="00C8019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C8019E" w:rsidRPr="004A61C5" w:rsidRDefault="00C8019E" w:rsidP="00825C4D">
                      <w:pPr>
                        <w:pStyle w:val="TLKontakty"/>
                        <w:spacing w:after="80" w:line="240" w:lineRule="auto"/>
                        <w:rPr>
                          <w:color w:val="auto"/>
                        </w:rPr>
                      </w:pPr>
                    </w:p>
                    <w:p w14:paraId="0065AFA0" w14:textId="77777777" w:rsidR="00C8019E" w:rsidRPr="00BC731E" w:rsidRDefault="00C8019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C8019E" w:rsidRPr="004A61C5" w:rsidRDefault="00C8019E" w:rsidP="00825C4D">
                      <w:pPr>
                        <w:pStyle w:val="TLKontakty"/>
                        <w:spacing w:after="80" w:line="240" w:lineRule="auto"/>
                        <w:rPr>
                          <w:color w:val="auto"/>
                        </w:rPr>
                      </w:pPr>
                    </w:p>
                    <w:p w14:paraId="345F7961" w14:textId="77777777" w:rsidR="00C8019E" w:rsidRPr="004A61C5" w:rsidRDefault="00C8019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C8019E" w:rsidRPr="004A61C5" w:rsidRDefault="00C8019E" w:rsidP="00825C4D">
                      <w:pPr>
                        <w:pStyle w:val="TLKontakty"/>
                        <w:spacing w:after="80" w:line="240" w:lineRule="auto"/>
                        <w:rPr>
                          <w:color w:val="auto"/>
                        </w:rPr>
                      </w:pPr>
                    </w:p>
                    <w:p w14:paraId="766F2288" w14:textId="77777777" w:rsidR="00C8019E" w:rsidRPr="004A61C5" w:rsidRDefault="00C8019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C8019E" w:rsidRPr="004A61C5" w:rsidRDefault="00C8019E" w:rsidP="00825C4D">
                      <w:pPr>
                        <w:pStyle w:val="TLKontakty"/>
                        <w:spacing w:after="80" w:line="240" w:lineRule="auto"/>
                        <w:rPr>
                          <w:color w:val="auto"/>
                        </w:rPr>
                      </w:pPr>
                    </w:p>
                    <w:p w14:paraId="0D4652E6" w14:textId="77777777" w:rsidR="00C8019E" w:rsidRPr="004A61C5" w:rsidRDefault="00C8019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C8019E" w:rsidRPr="004A61C5" w:rsidRDefault="00C8019E" w:rsidP="00825C4D">
                      <w:pPr>
                        <w:pStyle w:val="TLKontakty"/>
                        <w:spacing w:after="80" w:line="240" w:lineRule="auto"/>
                        <w:rPr>
                          <w:b w:val="0"/>
                          <w:color w:val="auto"/>
                        </w:rPr>
                      </w:pPr>
                    </w:p>
                    <w:p w14:paraId="231AC323" w14:textId="77777777" w:rsidR="00C8019E" w:rsidRPr="004A61C5" w:rsidRDefault="00C8019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C8019E" w:rsidRPr="004A61C5" w:rsidRDefault="00C8019E" w:rsidP="00825C4D">
                      <w:pPr>
                        <w:pStyle w:val="TLKontakty"/>
                        <w:spacing w:after="80" w:line="240" w:lineRule="auto"/>
                        <w:rPr>
                          <w:color w:val="auto"/>
                        </w:rPr>
                      </w:pPr>
                    </w:p>
                    <w:p w14:paraId="64319B27" w14:textId="77777777" w:rsidR="00C8019E" w:rsidRPr="004A61C5" w:rsidRDefault="00C8019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C8019E" w:rsidRPr="004A61C5" w:rsidRDefault="00C8019E" w:rsidP="00825C4D">
                      <w:pPr>
                        <w:pStyle w:val="TLKontakty"/>
                        <w:spacing w:after="80" w:line="240" w:lineRule="auto"/>
                        <w:rPr>
                          <w:b w:val="0"/>
                          <w:color w:val="auto"/>
                        </w:rPr>
                      </w:pPr>
                    </w:p>
                    <w:p w14:paraId="4068B566" w14:textId="77777777" w:rsidR="00C8019E" w:rsidRPr="004A61C5" w:rsidRDefault="00C8019E"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C8019E" w:rsidRPr="004A61C5" w:rsidRDefault="00C8019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C8019E" w:rsidRDefault="00C8019E" w:rsidP="00825C4D">
                      <w:pPr>
                        <w:pStyle w:val="TLKontakty"/>
                        <w:spacing w:after="80" w:line="240" w:lineRule="auto"/>
                      </w:pPr>
                    </w:p>
                    <w:p w14:paraId="63ACC352" w14:textId="77777777" w:rsidR="00C8019E" w:rsidRPr="00BC731E" w:rsidRDefault="00C8019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C8019E" w:rsidRPr="004A61C5" w:rsidRDefault="00C8019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C8019E" w:rsidRPr="004A61C5" w:rsidRDefault="00C8019E" w:rsidP="00825C4D">
                      <w:pPr>
                        <w:pStyle w:val="TLKontakty"/>
                        <w:spacing w:after="80" w:line="240" w:lineRule="auto"/>
                        <w:rPr>
                          <w:b w:val="0"/>
                          <w:color w:val="auto"/>
                        </w:rPr>
                      </w:pPr>
                    </w:p>
                    <w:p w14:paraId="71AC5E72" w14:textId="77777777" w:rsidR="00C8019E" w:rsidRPr="005E7C78" w:rsidRDefault="00C8019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C8019E" w:rsidRPr="005E7C78" w:rsidRDefault="00C8019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C8019E" w:rsidRPr="005E7C78" w:rsidRDefault="00C8019E" w:rsidP="00825C4D">
                      <w:pPr>
                        <w:pStyle w:val="TLKontakty"/>
                        <w:spacing w:after="80" w:line="240" w:lineRule="auto"/>
                        <w:rPr>
                          <w:b w:val="0"/>
                          <w:color w:val="auto"/>
                        </w:rPr>
                      </w:pPr>
                    </w:p>
                    <w:p w14:paraId="00E77B80" w14:textId="77777777" w:rsidR="00C8019E" w:rsidRPr="005E7C78" w:rsidRDefault="00C8019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C8019E" w:rsidRDefault="00C8019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C8019E" w:rsidRPr="005E7C78" w:rsidRDefault="00C8019E" w:rsidP="00095135">
                      <w:pPr>
                        <w:pStyle w:val="TLKontakty"/>
                        <w:spacing w:after="80" w:line="240" w:lineRule="auto"/>
                        <w:rPr>
                          <w:b w:val="0"/>
                          <w:color w:val="auto"/>
                        </w:rPr>
                      </w:pPr>
                    </w:p>
                    <w:p w14:paraId="0275618D" w14:textId="77777777" w:rsidR="00C8019E" w:rsidRPr="005E7C78" w:rsidRDefault="00C8019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C8019E" w:rsidRPr="00095135" w:rsidRDefault="00C8019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2371D5AC" w:rsidR="00C8019E" w:rsidRPr="00321924" w:rsidRDefault="00C8019E" w:rsidP="00A16E1D">
                            <w:pPr>
                              <w:jc w:val="left"/>
                            </w:pPr>
                            <w:r w:rsidRPr="00321924">
                              <w:br/>
                              <w:t xml:space="preserve">© Český statistický úřad, </w:t>
                            </w:r>
                            <w:r>
                              <w:t>Praha, 2023</w:t>
                            </w:r>
                          </w:p>
                          <w:p w14:paraId="314CB98A" w14:textId="77777777" w:rsidR="00C8019E" w:rsidRDefault="00C8019E"/>
                          <w:p w14:paraId="6776AB5D" w14:textId="77777777" w:rsidR="00C8019E" w:rsidRPr="00841D9F" w:rsidRDefault="00C8019E" w:rsidP="000A3A2C">
                            <w:r w:rsidRPr="00841D9F">
                              <w:rPr>
                                <w:szCs w:val="26"/>
                              </w:rPr>
                              <w:t>ISBN XX-XXXX-XXX-</w:t>
                            </w:r>
                            <w:proofErr w:type="gramStart"/>
                            <w:r w:rsidRPr="00841D9F">
                              <w:rPr>
                                <w:szCs w:val="26"/>
                              </w:rPr>
                              <w:t>X</w:t>
                            </w:r>
                            <w:r>
                              <w:rPr>
                                <w:szCs w:val="26"/>
                              </w:rPr>
                              <w:t> </w:t>
                            </w:r>
                            <w:r w:rsidRPr="00841D9F">
                              <w:rPr>
                                <w:szCs w:val="26"/>
                              </w:rPr>
                              <w:t xml:space="preserve"> </w:t>
                            </w:r>
                            <w:r w:rsidRPr="00841D9F">
                              <w:t>(</w:t>
                            </w:r>
                            <w:proofErr w:type="gramEnd"/>
                            <w:r w:rsidRPr="00841D9F">
                              <w:t>pouze u</w:t>
                            </w:r>
                            <w:r>
                              <w:t> </w:t>
                            </w:r>
                            <w:r w:rsidRPr="00841D9F">
                              <w:t>nepravidelných a</w:t>
                            </w:r>
                            <w:r>
                              <w:t> </w:t>
                            </w:r>
                            <w:r w:rsidRPr="00841D9F">
                              <w:t>ročních publikací)</w:t>
                            </w:r>
                          </w:p>
                          <w:p w14:paraId="4E98EC85" w14:textId="77777777" w:rsidR="00C8019E" w:rsidRPr="00AF2852" w:rsidRDefault="00C8019E"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eC2AEAAJgDAAAOAAAAZHJzL2Uyb0RvYy54bWysU8Fu1DAQvSPxD5bvbLItrFC02aq0KkIq&#10;UKn0AxzHSSwSj5nxbrJ8PWNns6VwQ1ysyYz95r03k+3VNPTiYJAsuFKuV7kUxmmorWtL+fTt7s17&#10;KSgoV6senCnl0ZC82r1+tR19YS6gg742KBjEUTH6UnYh+CLLSHdmULQCbxwXG8BBBf7ENqtRjYw+&#10;9NlFnm+yEbD2CNoQcfZ2Lspdwm8ao8PXpiETRF9K5hbSiems4pnttqpoUfnO6hMN9Q8sBmUdNz1D&#10;3aqgxB7tX1CD1QgETVhpGDJoGqtN0sBq1vkfah475U3SwuaQP9tE/w9Wfzk8+gcUYfoAEw8wiSB/&#10;D/o7CQc3nXKtuUaEsTOq5sbraFk2eipOT6PVVFAEqcbPUPOQ1T5AApoaHKIrrFMwOg/geDbdTEFo&#10;Tm7WrPySS5prl5s8f/sutVDF8tojhY8GBhGDUiIPNaGrwz2FyEYVy5XYzMGd7fs02N69SPDFmEns&#10;I+GZepiqSdi6lKlvFFNBfWQ5CPO68Hpz0AH+lGLkVSkl/dgrNFL0nxxbEvdqCXAJqiVQTvPTUgYp&#10;5vAmzPu392jbjpFn0x1cs22NTYqeWZzo8viT0NOqxv36/Tvdev6hdr8AAAD//wMAUEsDBBQABgAI&#10;AAAAIQDV24r64gAAAA4BAAAPAAAAZHJzL2Rvd25yZXYueG1sTI/BTsMwEETvSPyDtUjcqN2SNjTE&#10;qSoEJyREGg4cndhNrMbrELtt+Hu2p3Kb0T7NzuSbyfXsZMZgPUqYzwQwg43XFlsJX9XbwxOwEBVq&#10;1Xs0En5NgE1xe5OrTPszlua0iy2jEAyZktDFOGSch6YzToWZHwzSbe9HpyLZseV6VGcKdz1fCLHi&#10;TlmkD50azEtnmsPu6CRsv7F8tT8f9We5L21VrQW+rw5S3t9N22dg0UzxCsOlPlWHgjrV/og6sJ78&#10;/DEhlESyTmjVBRFpugBWk1ouRQq8yPn/GcUfAAAA//8DAFBLAQItABQABgAIAAAAIQC2gziS/gAA&#10;AOEBAAATAAAAAAAAAAAAAAAAAAAAAABbQ29udGVudF9UeXBlc10ueG1sUEsBAi0AFAAGAAgAAAAh&#10;ADj9If/WAAAAlAEAAAsAAAAAAAAAAAAAAAAALwEAAF9yZWxzLy5yZWxzUEsBAi0AFAAGAAgAAAAh&#10;AOJ0R4LYAQAAmAMAAA4AAAAAAAAAAAAAAAAALgIAAGRycy9lMm9Eb2MueG1sUEsBAi0AFAAGAAgA&#10;AAAhANXbivriAAAADgEAAA8AAAAAAAAAAAAAAAAAMgQAAGRycy9kb3ducmV2LnhtbFBLBQYAAAAA&#10;BAAEAPMAAABBBQAAAAA=&#10;" filled="f" stroked="f">
                <v:textbox inset="0,0,0,0">
                  <w:txbxContent>
                    <w:p w14:paraId="45ED07B0" w14:textId="2371D5AC" w:rsidR="00C8019E" w:rsidRPr="00321924" w:rsidRDefault="00C8019E" w:rsidP="00A16E1D">
                      <w:pPr>
                        <w:jc w:val="left"/>
                      </w:pPr>
                      <w:r w:rsidRPr="00321924">
                        <w:br/>
                        <w:t xml:space="preserve">© Český statistický úřad, </w:t>
                      </w:r>
                      <w:r>
                        <w:t>Praha, 2023</w:t>
                      </w:r>
                    </w:p>
                    <w:p w14:paraId="314CB98A" w14:textId="77777777" w:rsidR="00C8019E" w:rsidRDefault="00C8019E"/>
                    <w:p w14:paraId="6776AB5D" w14:textId="77777777" w:rsidR="00C8019E" w:rsidRPr="00841D9F" w:rsidRDefault="00C8019E" w:rsidP="000A3A2C">
                      <w:r w:rsidRPr="00841D9F">
                        <w:rPr>
                          <w:szCs w:val="26"/>
                        </w:rPr>
                        <w:t>ISBN XX-XXXX-XXX-</w:t>
                      </w:r>
                      <w:proofErr w:type="gramStart"/>
                      <w:r w:rsidRPr="00841D9F">
                        <w:rPr>
                          <w:szCs w:val="26"/>
                        </w:rPr>
                        <w:t>X</w:t>
                      </w:r>
                      <w:r>
                        <w:rPr>
                          <w:szCs w:val="26"/>
                        </w:rPr>
                        <w:t> </w:t>
                      </w:r>
                      <w:r w:rsidRPr="00841D9F">
                        <w:rPr>
                          <w:szCs w:val="26"/>
                        </w:rPr>
                        <w:t xml:space="preserve"> </w:t>
                      </w:r>
                      <w:r w:rsidRPr="00841D9F">
                        <w:t>(</w:t>
                      </w:r>
                      <w:proofErr w:type="gramEnd"/>
                      <w:r w:rsidRPr="00841D9F">
                        <w:t>pouze u</w:t>
                      </w:r>
                      <w:r>
                        <w:t> </w:t>
                      </w:r>
                      <w:r w:rsidRPr="00841D9F">
                        <w:t>nepravidelných a</w:t>
                      </w:r>
                      <w:r>
                        <w:t> </w:t>
                      </w:r>
                      <w:r w:rsidRPr="00841D9F">
                        <w:t>ročních publikací)</w:t>
                      </w:r>
                    </w:p>
                    <w:p w14:paraId="4E98EC85" w14:textId="77777777" w:rsidR="00C8019E" w:rsidRPr="00AF2852" w:rsidRDefault="00C8019E"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C8019E" w:rsidRPr="009A1902" w:rsidRDefault="00C8019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Fh2QEAAJgDAAAOAAAAZHJzL2Uyb0RvYy54bWysU9uO0zAQfUfiHyy/07QVqdio6WrZVRHS&#10;cpEWPsBxnMYi8ZgZt0n5esZO0+XyhnixxmP7zDlnxtvbse/EySBZcKVcLZZSGKehtu5Qyq9f9q/e&#10;SEFBuVp14Ewpz4bk7e7li+3gC7OGFrraoGAQR8XgS9mG4IssI92aXtECvHF82AD2KvAWD1mNamD0&#10;vsvWy+UmGwBrj6ANEWcfpkO5S/hNY3T41DRkguhKydxCWjGtVVyz3VYVB1S+tfpCQ/0Di15Zx0Wv&#10;UA8qKHFE+xdUbzUCQRMWGvoMmsZqkzSwmtXyDzVPrfImaWFzyF9tov8Hqz+envxnFGF8CyM3MIkg&#10;/wj6GwkH961yB3OHCENrVM2FV9GybPBUXJ5Gq6mgCFINH6DmJqtjgAQ0NthHV1inYHRuwPlquhmD&#10;0JzcrFY3r29yKTSf5Xm+WeephCrm1x4pvDPQixiUErmpCV2dHilENqqYr8RiDva261JjO/dbgi/G&#10;TGIfCU/Uw1iNwtbMJNaNYiqozywHYRoXHm8OWsAfUgw8KqWk70eFRoruvWNL4lzNAc5BNQfKaX5a&#10;yiDFFN6Haf6OHu2hZeTZ9Du2bW+TomcWF7rc/iT0Mqpxvn7dp1vPH2r3EwAA//8DAFBLAwQUAAYA&#10;CAAAACEAgpbu4N0AAAAMAQAADwAAAGRycy9kb3ducmV2LnhtbEyPsU7DMBCG90q8g3WVWCpqO6CU&#10;hjgVQrCwUVjY3PhIotrnKHaT0KfHHRBs9+s+/fdduZudZSMOofOkQK4FMKTam44aBR/vLzf3wELU&#10;ZLT1hAq+McCuulqUujB+ojcc97FhqYRCoRW0MfYF56Fu0emw9j1S2n35wemY4tBwM+gplTvLMyFy&#10;7nRH6UKre3xqsT7uT05BPj/3q9ctZtO5tiN9nqWMKJW6Xs6PD8AizvEPhot+UocqOR38iUxgNmV5&#10;u03o73AhxGaTAzsoyIS8A16V/P8T1Q8AAAD//wMAUEsBAi0AFAAGAAgAAAAhALaDOJL+AAAA4QEA&#10;ABMAAAAAAAAAAAAAAAAAAAAAAFtDb250ZW50X1R5cGVzXS54bWxQSwECLQAUAAYACAAAACEAOP0h&#10;/9YAAACUAQAACwAAAAAAAAAAAAAAAAAvAQAAX3JlbHMvLnJlbHNQSwECLQAUAAYACAAAACEA/K3h&#10;YdkBAACYAwAADgAAAAAAAAAAAAAAAAAuAgAAZHJzL2Uyb0RvYy54bWxQSwECLQAUAAYACAAAACEA&#10;gpbu4N0AAAAMAQAADwAAAAAAAAAAAAAAAAAzBAAAZHJzL2Rvd25yZXYueG1sUEsFBgAAAAAEAAQA&#10;8wAAAD0FAAAAAA==&#10;" filled="f" stroked="f">
                <v:textbox style="mso-fit-shape-to-text:t" inset="0,0,0,0">
                  <w:txbxContent>
                    <w:p w14:paraId="054ED4D1" w14:textId="77777777" w:rsidR="00C8019E" w:rsidRPr="009A1902" w:rsidRDefault="00C8019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7777777" w:rsidR="00867DAB" w:rsidRPr="009110F7" w:rsidRDefault="00867DAB" w:rsidP="00867DAB">
          <w:pPr>
            <w:pStyle w:val="Obsah"/>
          </w:pPr>
          <w:r w:rsidRPr="009110F7">
            <w:t>Obsah</w:t>
          </w:r>
        </w:p>
        <w:p w14:paraId="4876A40D" w14:textId="4E2C8954" w:rsidR="005605F3"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30286016" w:history="1">
            <w:r w:rsidR="005605F3" w:rsidRPr="00B757B2">
              <w:rPr>
                <w:rStyle w:val="Hypertextovodkaz"/>
                <w:noProof/>
              </w:rPr>
              <w:t>1. Shrnutí</w:t>
            </w:r>
            <w:r w:rsidR="005605F3">
              <w:rPr>
                <w:noProof/>
                <w:webHidden/>
              </w:rPr>
              <w:tab/>
            </w:r>
            <w:r w:rsidR="005605F3">
              <w:rPr>
                <w:noProof/>
                <w:webHidden/>
              </w:rPr>
              <w:fldChar w:fldCharType="begin"/>
            </w:r>
            <w:r w:rsidR="005605F3">
              <w:rPr>
                <w:noProof/>
                <w:webHidden/>
              </w:rPr>
              <w:instrText xml:space="preserve"> PAGEREF _Toc130286016 \h </w:instrText>
            </w:r>
            <w:r w:rsidR="005605F3">
              <w:rPr>
                <w:noProof/>
                <w:webHidden/>
              </w:rPr>
            </w:r>
            <w:r w:rsidR="005605F3">
              <w:rPr>
                <w:noProof/>
                <w:webHidden/>
              </w:rPr>
              <w:fldChar w:fldCharType="separate"/>
            </w:r>
            <w:r w:rsidR="005605F3">
              <w:rPr>
                <w:noProof/>
                <w:webHidden/>
              </w:rPr>
              <w:t>4</w:t>
            </w:r>
            <w:r w:rsidR="005605F3">
              <w:rPr>
                <w:noProof/>
                <w:webHidden/>
              </w:rPr>
              <w:fldChar w:fldCharType="end"/>
            </w:r>
          </w:hyperlink>
        </w:p>
        <w:p w14:paraId="0A806BE1" w14:textId="7DBE4C91" w:rsidR="005605F3" w:rsidRDefault="005605F3">
          <w:pPr>
            <w:pStyle w:val="Obsah1"/>
            <w:rPr>
              <w:rFonts w:asciiTheme="minorHAnsi" w:eastAsiaTheme="minorEastAsia" w:hAnsiTheme="minorHAnsi" w:cstheme="minorBidi"/>
              <w:noProof/>
              <w:sz w:val="22"/>
              <w:szCs w:val="22"/>
            </w:rPr>
          </w:pPr>
          <w:hyperlink w:anchor="_Toc130286017" w:history="1">
            <w:r w:rsidRPr="00B757B2">
              <w:rPr>
                <w:rStyle w:val="Hypertextovodkaz"/>
                <w:noProof/>
              </w:rPr>
              <w:t>2. Souhrnná výkonnost</w:t>
            </w:r>
            <w:r>
              <w:rPr>
                <w:noProof/>
                <w:webHidden/>
              </w:rPr>
              <w:tab/>
            </w:r>
            <w:r>
              <w:rPr>
                <w:noProof/>
                <w:webHidden/>
              </w:rPr>
              <w:fldChar w:fldCharType="begin"/>
            </w:r>
            <w:r>
              <w:rPr>
                <w:noProof/>
                <w:webHidden/>
              </w:rPr>
              <w:instrText xml:space="preserve"> PAGEREF _Toc130286017 \h </w:instrText>
            </w:r>
            <w:r>
              <w:rPr>
                <w:noProof/>
                <w:webHidden/>
              </w:rPr>
            </w:r>
            <w:r>
              <w:rPr>
                <w:noProof/>
                <w:webHidden/>
              </w:rPr>
              <w:fldChar w:fldCharType="separate"/>
            </w:r>
            <w:r>
              <w:rPr>
                <w:noProof/>
                <w:webHidden/>
              </w:rPr>
              <w:t>6</w:t>
            </w:r>
            <w:r>
              <w:rPr>
                <w:noProof/>
                <w:webHidden/>
              </w:rPr>
              <w:fldChar w:fldCharType="end"/>
            </w:r>
          </w:hyperlink>
        </w:p>
        <w:p w14:paraId="7BB75274" w14:textId="6D31E8BA" w:rsidR="005605F3" w:rsidRDefault="005605F3">
          <w:pPr>
            <w:pStyle w:val="Obsah1"/>
            <w:rPr>
              <w:rFonts w:asciiTheme="minorHAnsi" w:eastAsiaTheme="minorEastAsia" w:hAnsiTheme="minorHAnsi" w:cstheme="minorBidi"/>
              <w:noProof/>
              <w:sz w:val="22"/>
              <w:szCs w:val="22"/>
            </w:rPr>
          </w:pPr>
          <w:hyperlink w:anchor="_Toc130286018" w:history="1">
            <w:r w:rsidRPr="00B757B2">
              <w:rPr>
                <w:rStyle w:val="Hypertextovodkaz"/>
                <w:noProof/>
              </w:rPr>
              <w:t>3. Výkonnost odvětví</w:t>
            </w:r>
            <w:r>
              <w:rPr>
                <w:noProof/>
                <w:webHidden/>
              </w:rPr>
              <w:tab/>
            </w:r>
            <w:r>
              <w:rPr>
                <w:noProof/>
                <w:webHidden/>
              </w:rPr>
              <w:fldChar w:fldCharType="begin"/>
            </w:r>
            <w:r>
              <w:rPr>
                <w:noProof/>
                <w:webHidden/>
              </w:rPr>
              <w:instrText xml:space="preserve"> PAGEREF _Toc130286018 \h </w:instrText>
            </w:r>
            <w:r>
              <w:rPr>
                <w:noProof/>
                <w:webHidden/>
              </w:rPr>
            </w:r>
            <w:r>
              <w:rPr>
                <w:noProof/>
                <w:webHidden/>
              </w:rPr>
              <w:fldChar w:fldCharType="separate"/>
            </w:r>
            <w:r>
              <w:rPr>
                <w:noProof/>
                <w:webHidden/>
              </w:rPr>
              <w:t>11</w:t>
            </w:r>
            <w:r>
              <w:rPr>
                <w:noProof/>
                <w:webHidden/>
              </w:rPr>
              <w:fldChar w:fldCharType="end"/>
            </w:r>
          </w:hyperlink>
        </w:p>
        <w:p w14:paraId="42E3236D" w14:textId="1BEF712C" w:rsidR="005605F3" w:rsidRDefault="005605F3">
          <w:pPr>
            <w:pStyle w:val="Obsah1"/>
            <w:rPr>
              <w:rFonts w:asciiTheme="minorHAnsi" w:eastAsiaTheme="minorEastAsia" w:hAnsiTheme="minorHAnsi" w:cstheme="minorBidi"/>
              <w:noProof/>
              <w:sz w:val="22"/>
              <w:szCs w:val="22"/>
            </w:rPr>
          </w:pPr>
          <w:hyperlink w:anchor="_Toc130286019" w:history="1">
            <w:r w:rsidRPr="00B757B2">
              <w:rPr>
                <w:rStyle w:val="Hypertextovodkaz"/>
                <w:noProof/>
              </w:rPr>
              <w:t>4. Vnější vztahy</w:t>
            </w:r>
            <w:r>
              <w:rPr>
                <w:noProof/>
                <w:webHidden/>
              </w:rPr>
              <w:tab/>
            </w:r>
            <w:r>
              <w:rPr>
                <w:noProof/>
                <w:webHidden/>
              </w:rPr>
              <w:fldChar w:fldCharType="begin"/>
            </w:r>
            <w:r>
              <w:rPr>
                <w:noProof/>
                <w:webHidden/>
              </w:rPr>
              <w:instrText xml:space="preserve"> PAGEREF _Toc130286019 \h </w:instrText>
            </w:r>
            <w:r>
              <w:rPr>
                <w:noProof/>
                <w:webHidden/>
              </w:rPr>
            </w:r>
            <w:r>
              <w:rPr>
                <w:noProof/>
                <w:webHidden/>
              </w:rPr>
              <w:fldChar w:fldCharType="separate"/>
            </w:r>
            <w:r>
              <w:rPr>
                <w:noProof/>
                <w:webHidden/>
              </w:rPr>
              <w:t>21</w:t>
            </w:r>
            <w:r>
              <w:rPr>
                <w:noProof/>
                <w:webHidden/>
              </w:rPr>
              <w:fldChar w:fldCharType="end"/>
            </w:r>
          </w:hyperlink>
        </w:p>
        <w:p w14:paraId="1ED2ED08" w14:textId="5FCADE56" w:rsidR="005605F3" w:rsidRDefault="005605F3">
          <w:pPr>
            <w:pStyle w:val="Obsah1"/>
            <w:rPr>
              <w:rFonts w:asciiTheme="minorHAnsi" w:eastAsiaTheme="minorEastAsia" w:hAnsiTheme="minorHAnsi" w:cstheme="minorBidi"/>
              <w:noProof/>
              <w:sz w:val="22"/>
              <w:szCs w:val="22"/>
            </w:rPr>
          </w:pPr>
          <w:hyperlink w:anchor="_Toc130286020" w:history="1">
            <w:r w:rsidRPr="00B757B2">
              <w:rPr>
                <w:rStyle w:val="Hypertextovodkaz"/>
                <w:noProof/>
              </w:rPr>
              <w:t>5. Ceny</w:t>
            </w:r>
            <w:r>
              <w:rPr>
                <w:noProof/>
                <w:webHidden/>
              </w:rPr>
              <w:tab/>
            </w:r>
            <w:r>
              <w:rPr>
                <w:noProof/>
                <w:webHidden/>
              </w:rPr>
              <w:fldChar w:fldCharType="begin"/>
            </w:r>
            <w:r>
              <w:rPr>
                <w:noProof/>
                <w:webHidden/>
              </w:rPr>
              <w:instrText xml:space="preserve"> PAGEREF _Toc130286020 \h </w:instrText>
            </w:r>
            <w:r>
              <w:rPr>
                <w:noProof/>
                <w:webHidden/>
              </w:rPr>
            </w:r>
            <w:r>
              <w:rPr>
                <w:noProof/>
                <w:webHidden/>
              </w:rPr>
              <w:fldChar w:fldCharType="separate"/>
            </w:r>
            <w:r>
              <w:rPr>
                <w:noProof/>
                <w:webHidden/>
              </w:rPr>
              <w:t>25</w:t>
            </w:r>
            <w:r>
              <w:rPr>
                <w:noProof/>
                <w:webHidden/>
              </w:rPr>
              <w:fldChar w:fldCharType="end"/>
            </w:r>
          </w:hyperlink>
        </w:p>
        <w:p w14:paraId="1CDC1CFB" w14:textId="16977664" w:rsidR="005605F3" w:rsidRDefault="005605F3">
          <w:pPr>
            <w:pStyle w:val="Obsah1"/>
            <w:rPr>
              <w:rFonts w:asciiTheme="minorHAnsi" w:eastAsiaTheme="minorEastAsia" w:hAnsiTheme="minorHAnsi" w:cstheme="minorBidi"/>
              <w:noProof/>
              <w:sz w:val="22"/>
              <w:szCs w:val="22"/>
            </w:rPr>
          </w:pPr>
          <w:hyperlink w:anchor="_Toc130286021" w:history="1">
            <w:r w:rsidRPr="00B757B2">
              <w:rPr>
                <w:rStyle w:val="Hypertextovodkaz"/>
                <w:noProof/>
              </w:rPr>
              <w:t>6. Trh práce</w:t>
            </w:r>
            <w:r>
              <w:rPr>
                <w:noProof/>
                <w:webHidden/>
              </w:rPr>
              <w:tab/>
            </w:r>
            <w:r>
              <w:rPr>
                <w:noProof/>
                <w:webHidden/>
              </w:rPr>
              <w:fldChar w:fldCharType="begin"/>
            </w:r>
            <w:r>
              <w:rPr>
                <w:noProof/>
                <w:webHidden/>
              </w:rPr>
              <w:instrText xml:space="preserve"> PAGEREF _Toc130286021 \h </w:instrText>
            </w:r>
            <w:r>
              <w:rPr>
                <w:noProof/>
                <w:webHidden/>
              </w:rPr>
            </w:r>
            <w:r>
              <w:rPr>
                <w:noProof/>
                <w:webHidden/>
              </w:rPr>
              <w:fldChar w:fldCharType="separate"/>
            </w:r>
            <w:r>
              <w:rPr>
                <w:noProof/>
                <w:webHidden/>
              </w:rPr>
              <w:t>33</w:t>
            </w:r>
            <w:r>
              <w:rPr>
                <w:noProof/>
                <w:webHidden/>
              </w:rPr>
              <w:fldChar w:fldCharType="end"/>
            </w:r>
          </w:hyperlink>
        </w:p>
        <w:p w14:paraId="43509131" w14:textId="2B5C5DA8" w:rsidR="005605F3" w:rsidRDefault="005605F3">
          <w:pPr>
            <w:pStyle w:val="Obsah1"/>
            <w:rPr>
              <w:rFonts w:asciiTheme="minorHAnsi" w:eastAsiaTheme="minorEastAsia" w:hAnsiTheme="minorHAnsi" w:cstheme="minorBidi"/>
              <w:noProof/>
              <w:sz w:val="22"/>
              <w:szCs w:val="22"/>
            </w:rPr>
          </w:pPr>
          <w:hyperlink w:anchor="_Toc130286022" w:history="1">
            <w:r w:rsidRPr="00B757B2">
              <w:rPr>
                <w:rStyle w:val="Hypertextovodkaz"/>
                <w:noProof/>
              </w:rPr>
              <w:t>7. Měnové podmínky</w:t>
            </w:r>
            <w:r>
              <w:rPr>
                <w:noProof/>
                <w:webHidden/>
              </w:rPr>
              <w:tab/>
            </w:r>
            <w:r>
              <w:rPr>
                <w:noProof/>
                <w:webHidden/>
              </w:rPr>
              <w:fldChar w:fldCharType="begin"/>
            </w:r>
            <w:r>
              <w:rPr>
                <w:noProof/>
                <w:webHidden/>
              </w:rPr>
              <w:instrText xml:space="preserve"> PAGEREF _Toc130286022 \h </w:instrText>
            </w:r>
            <w:r>
              <w:rPr>
                <w:noProof/>
                <w:webHidden/>
              </w:rPr>
            </w:r>
            <w:r>
              <w:rPr>
                <w:noProof/>
                <w:webHidden/>
              </w:rPr>
              <w:fldChar w:fldCharType="separate"/>
            </w:r>
            <w:r>
              <w:rPr>
                <w:noProof/>
                <w:webHidden/>
              </w:rPr>
              <w:t>39</w:t>
            </w:r>
            <w:r>
              <w:rPr>
                <w:noProof/>
                <w:webHidden/>
              </w:rPr>
              <w:fldChar w:fldCharType="end"/>
            </w:r>
          </w:hyperlink>
        </w:p>
        <w:p w14:paraId="04DECDA3" w14:textId="7419AD0E" w:rsidR="005605F3" w:rsidRDefault="005605F3">
          <w:pPr>
            <w:pStyle w:val="Obsah1"/>
            <w:rPr>
              <w:rFonts w:asciiTheme="minorHAnsi" w:eastAsiaTheme="minorEastAsia" w:hAnsiTheme="minorHAnsi" w:cstheme="minorBidi"/>
              <w:noProof/>
              <w:sz w:val="22"/>
              <w:szCs w:val="22"/>
            </w:rPr>
          </w:pPr>
          <w:hyperlink w:anchor="_Toc130286023" w:history="1">
            <w:r w:rsidRPr="00B757B2">
              <w:rPr>
                <w:rStyle w:val="Hypertextovodkaz"/>
                <w:noProof/>
              </w:rPr>
              <w:t>8. Státní rozpočet</w:t>
            </w:r>
            <w:r>
              <w:rPr>
                <w:noProof/>
                <w:webHidden/>
              </w:rPr>
              <w:tab/>
            </w:r>
            <w:r>
              <w:rPr>
                <w:noProof/>
                <w:webHidden/>
              </w:rPr>
              <w:fldChar w:fldCharType="begin"/>
            </w:r>
            <w:r>
              <w:rPr>
                <w:noProof/>
                <w:webHidden/>
              </w:rPr>
              <w:instrText xml:space="preserve"> PAGEREF _Toc130286023 \h </w:instrText>
            </w:r>
            <w:r>
              <w:rPr>
                <w:noProof/>
                <w:webHidden/>
              </w:rPr>
            </w:r>
            <w:r>
              <w:rPr>
                <w:noProof/>
                <w:webHidden/>
              </w:rPr>
              <w:fldChar w:fldCharType="separate"/>
            </w:r>
            <w:r>
              <w:rPr>
                <w:noProof/>
                <w:webHidden/>
              </w:rPr>
              <w:t>41</w:t>
            </w:r>
            <w:r>
              <w:rPr>
                <w:noProof/>
                <w:webHidden/>
              </w:rPr>
              <w:fldChar w:fldCharType="end"/>
            </w:r>
          </w:hyperlink>
        </w:p>
        <w:p w14:paraId="39BB97E5" w14:textId="7283889B"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6F4027CD" w:rsidR="00003F5C" w:rsidRPr="009110F7" w:rsidRDefault="00ED0F73" w:rsidP="00003F5C">
      <w:pPr>
        <w:pStyle w:val="Textpoznpodarou"/>
        <w:jc w:val="both"/>
        <w:rPr>
          <w:rFonts w:cs="Arial"/>
          <w:color w:val="000000"/>
        </w:rPr>
      </w:pPr>
      <w:r>
        <w:rPr>
          <w:rFonts w:cs="Arial"/>
          <w:color w:val="000000"/>
        </w:rPr>
        <w:t>Hlavní z</w:t>
      </w:r>
      <w:r w:rsidR="00003F5C" w:rsidRPr="009110F7">
        <w:rPr>
          <w:rFonts w:cs="Arial"/>
          <w:color w:val="000000"/>
        </w:rPr>
        <w:t>droje dat v celé analýze: ČSÚ, MF</w:t>
      </w:r>
      <w:r w:rsidR="00A45489" w:rsidRPr="009110F7">
        <w:rPr>
          <w:rFonts w:cs="Arial"/>
          <w:color w:val="000000"/>
        </w:rPr>
        <w:t> </w:t>
      </w:r>
      <w:r w:rsidR="00003F5C" w:rsidRPr="009110F7">
        <w:rPr>
          <w:rFonts w:cs="Arial"/>
          <w:color w:val="000000"/>
        </w:rPr>
        <w:t xml:space="preserve">ČR, ČNB, MPSV, ČSSZ, </w:t>
      </w:r>
      <w:proofErr w:type="spellStart"/>
      <w:r w:rsidR="00003F5C" w:rsidRPr="009110F7">
        <w:rPr>
          <w:rFonts w:cs="Arial"/>
          <w:color w:val="000000"/>
        </w:rPr>
        <w:t>Eurostat</w:t>
      </w:r>
      <w:proofErr w:type="spellEnd"/>
      <w:r w:rsidR="00003F5C" w:rsidRPr="009110F7">
        <w:rPr>
          <w:rFonts w:cs="Arial"/>
          <w:color w:val="000000"/>
        </w:rPr>
        <w:t>, propočty ČSÚ.</w:t>
      </w:r>
    </w:p>
    <w:p w14:paraId="5658862B" w14:textId="290E5B97"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A35F33">
        <w:rPr>
          <w:rFonts w:cs="Arial"/>
          <w:color w:val="000000"/>
        </w:rPr>
        <w:t>e</w:t>
      </w:r>
      <w:r w:rsidR="00D23A99">
        <w:rPr>
          <w:rFonts w:cs="Arial"/>
          <w:color w:val="000000"/>
        </w:rPr>
        <w:t xml:space="preserve"> </w:t>
      </w:r>
      <w:r w:rsidR="002E631B">
        <w:rPr>
          <w:rFonts w:cs="Arial"/>
          <w:color w:val="000000"/>
        </w:rPr>
        <w:t>14</w:t>
      </w:r>
      <w:r w:rsidR="00D23A99">
        <w:rPr>
          <w:rFonts w:cs="Arial"/>
          <w:color w:val="000000"/>
        </w:rPr>
        <w:t xml:space="preserve">. </w:t>
      </w:r>
      <w:r w:rsidR="002E631B">
        <w:rPr>
          <w:rFonts w:cs="Arial"/>
          <w:color w:val="000000"/>
        </w:rPr>
        <w:t>března</w:t>
      </w:r>
      <w:r w:rsidR="00D23A99">
        <w:rPr>
          <w:rFonts w:cs="Arial"/>
          <w:color w:val="000000"/>
        </w:rPr>
        <w:t xml:space="preserve"> 202</w:t>
      </w:r>
      <w:r w:rsidR="002E631B">
        <w:rPr>
          <w:rFonts w:cs="Arial"/>
          <w:color w:val="000000"/>
        </w:rPr>
        <w:t>3</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0" w:name="_Toc97736114"/>
      <w:bookmarkStart w:id="1" w:name="_Toc444112494"/>
      <w:bookmarkStart w:id="2" w:name="_Toc511215208"/>
      <w:bookmarkStart w:id="3" w:name="_Toc26865017"/>
      <w:bookmarkStart w:id="4" w:name="_Toc74643854"/>
      <w:bookmarkStart w:id="5" w:name="_Toc66719928"/>
      <w:bookmarkStart w:id="6" w:name="_Toc19090676"/>
      <w:bookmarkStart w:id="7" w:name="_Toc58605372"/>
    </w:p>
    <w:p w14:paraId="7D6C4A73" w14:textId="77777777" w:rsidR="007C64F7" w:rsidRDefault="007C64F7" w:rsidP="007C64F7">
      <w:pPr>
        <w:pStyle w:val="Nadpis1"/>
      </w:pPr>
      <w:bookmarkStart w:id="8" w:name="_Toc114134045"/>
      <w:bookmarkStart w:id="9" w:name="_Toc58605374"/>
      <w:bookmarkStart w:id="10" w:name="_Toc66719930"/>
      <w:bookmarkStart w:id="11" w:name="_Toc532558287"/>
      <w:bookmarkStart w:id="12" w:name="_Toc58605375"/>
      <w:bookmarkStart w:id="13" w:name="_Toc82508186"/>
      <w:bookmarkStart w:id="14" w:name="_Toc114134047"/>
      <w:bookmarkStart w:id="15" w:name="_Toc114134048"/>
      <w:bookmarkStart w:id="16" w:name="_Toc97736119"/>
      <w:bookmarkStart w:id="17" w:name="_Toc74643859"/>
      <w:bookmarkStart w:id="18" w:name="_Toc90395915"/>
      <w:bookmarkStart w:id="19" w:name="_Toc98245446"/>
      <w:bookmarkStart w:id="20" w:name="_Toc74643860"/>
      <w:bookmarkStart w:id="21" w:name="_Toc130286016"/>
      <w:bookmarkEnd w:id="0"/>
      <w:bookmarkEnd w:id="1"/>
      <w:bookmarkEnd w:id="2"/>
      <w:bookmarkEnd w:id="3"/>
      <w:bookmarkEnd w:id="4"/>
      <w:bookmarkEnd w:id="5"/>
      <w:bookmarkEnd w:id="6"/>
      <w:bookmarkEnd w:id="7"/>
      <w:r>
        <w:lastRenderedPageBreak/>
        <w:t>1. Shrnutí</w:t>
      </w:r>
      <w:bookmarkEnd w:id="21"/>
    </w:p>
    <w:p w14:paraId="3E710687" w14:textId="77777777" w:rsidR="007C64F7" w:rsidRDefault="007C64F7" w:rsidP="007C64F7">
      <w:pPr>
        <w:pStyle w:val="Normalodrka"/>
        <w:spacing w:after="120"/>
        <w:rPr>
          <w:spacing w:val="-6"/>
        </w:rPr>
      </w:pPr>
      <w:r w:rsidRPr="00D60DAE">
        <w:rPr>
          <w:spacing w:val="-6"/>
        </w:rPr>
        <w:t>Hrubý domácí produkt (HDP) se v roce 2022 zvýšil o 2,4 %</w:t>
      </w:r>
      <w:r>
        <w:rPr>
          <w:rStyle w:val="Znakapoznpodarou"/>
          <w:spacing w:val="-6"/>
          <w:szCs w:val="20"/>
        </w:rPr>
        <w:footnoteReference w:id="1"/>
      </w:r>
      <w:r w:rsidRPr="00D60DAE">
        <w:rPr>
          <w:spacing w:val="-6"/>
        </w:rPr>
        <w:t>. K tomu přispěly zejména kapitálové výdaje a</w:t>
      </w:r>
      <w:r>
        <w:rPr>
          <w:spacing w:val="-6"/>
        </w:rPr>
        <w:t> </w:t>
      </w:r>
      <w:r w:rsidRPr="00D60DAE">
        <w:rPr>
          <w:spacing w:val="-6"/>
        </w:rPr>
        <w:t xml:space="preserve">zahraniční poptávka. Naopak domácí spotřeba loni klesala. Během roku </w:t>
      </w:r>
      <w:r>
        <w:rPr>
          <w:spacing w:val="-6"/>
        </w:rPr>
        <w:t xml:space="preserve">2022 </w:t>
      </w:r>
      <w:r w:rsidRPr="00D60DAE">
        <w:rPr>
          <w:spacing w:val="-6"/>
        </w:rPr>
        <w:t xml:space="preserve">růst oslaboval a ve 4. čtvrtletí se HDP meziročně zvýšil o 0,2 %. Ve druhé polovině roku meziroční ekonomický růst podporovala zejména zahraniční poptávka. Naopak se zmírnil pozitivní vliv kapitálových výdajů a prohluboval se pokles domácí spotřeby. Oproti 3. čtvrtletí HDP klesl o 0,4 % a šlo o druhý mezičtvrtletní pokles v řadě. </w:t>
      </w:r>
      <w:r w:rsidRPr="00D60DAE">
        <w:rPr>
          <w:spacing w:val="-2"/>
        </w:rPr>
        <w:t xml:space="preserve">Zahraniční poptávka v pozitivním směru působila také na mezičtvrtletní dynamiku HDP, ale spotřeba i kapitálové výdaje klesaly. V EU </w:t>
      </w:r>
      <w:r w:rsidRPr="00D60DAE">
        <w:rPr>
          <w:spacing w:val="-6"/>
        </w:rPr>
        <w:t>se hrubý domácí produkt</w:t>
      </w:r>
      <w:r>
        <w:rPr>
          <w:spacing w:val="-6"/>
        </w:rPr>
        <w:t xml:space="preserve"> ve 4. čtvrtletí</w:t>
      </w:r>
      <w:r w:rsidRPr="00D60DAE">
        <w:rPr>
          <w:spacing w:val="-6"/>
        </w:rPr>
        <w:t xml:space="preserve"> celkově meziročně zvýšil o </w:t>
      </w:r>
      <w:r>
        <w:rPr>
          <w:spacing w:val="-6"/>
        </w:rPr>
        <w:t>1,7</w:t>
      </w:r>
      <w:r w:rsidRPr="00D60DAE">
        <w:rPr>
          <w:spacing w:val="-6"/>
        </w:rPr>
        <w:t xml:space="preserve"> % a mezičtvrtletně </w:t>
      </w:r>
      <w:r>
        <w:rPr>
          <w:spacing w:val="-6"/>
        </w:rPr>
        <w:t xml:space="preserve">klesl </w:t>
      </w:r>
      <w:r w:rsidRPr="00D60DAE">
        <w:rPr>
          <w:spacing w:val="-6"/>
        </w:rPr>
        <w:t>o 0,</w:t>
      </w:r>
      <w:r>
        <w:rPr>
          <w:spacing w:val="-6"/>
        </w:rPr>
        <w:t>1</w:t>
      </w:r>
      <w:r w:rsidRPr="00D60DAE">
        <w:rPr>
          <w:spacing w:val="-6"/>
        </w:rPr>
        <w:t xml:space="preserve"> %.</w:t>
      </w:r>
      <w:r>
        <w:rPr>
          <w:spacing w:val="-6"/>
        </w:rPr>
        <w:t xml:space="preserve"> Česko tak v závěru roku patřilo k zemím s podprůměrnou dynamikou HDP.</w:t>
      </w:r>
    </w:p>
    <w:p w14:paraId="1114407D" w14:textId="059514BF" w:rsidR="007C64F7" w:rsidRDefault="007C64F7" w:rsidP="007C64F7">
      <w:pPr>
        <w:pStyle w:val="Normalodrka"/>
        <w:spacing w:after="120"/>
        <w:rPr>
          <w:spacing w:val="-6"/>
        </w:rPr>
      </w:pPr>
      <w:r w:rsidRPr="009B5B6E">
        <w:rPr>
          <w:spacing w:val="-6"/>
        </w:rPr>
        <w:t xml:space="preserve">Hrubá přidaná hodnota (HPH) v roce 2022 vzrostla o 2,5 %. </w:t>
      </w:r>
      <w:r>
        <w:t xml:space="preserve">K růstu přispívaly hlavně služby, zatímco v průmyslu přetrvávaly různé problémy – přerušení dodávek součástek nebo růst cen energií a surovin. Nejvíce se pod vlivem slabé srovnávací základny HPH zvýšila v ostatních činnostech. Dařilo se také informačním a komunikačním činnostem a profesním, vědeckým, technickým a administrativním činnostem. Pod vlivem příznivých výsledků ve výrobě motorových vozidel a přidružených oborech solidně rostla HPH ve zpracovatelském průmyslu, průmysl jako celek ale rostl mírněji. Pokles HPH se loni odehrál jen v zemědělství, lesnictví a rybářství. Ve 4. čtvrtletí HPH meziročně vzrostla o 1,0 % a mezičtvrtletně se zvýšila o 0,3 %. V závěru roku meziročně nejvíce rostla HPH ve zpracovatelském průmyslu. Naopak klesla ve významném uskupení obchod, doprava, ubytování a pohostinství. </w:t>
      </w:r>
    </w:p>
    <w:p w14:paraId="50FAADE9" w14:textId="77777777" w:rsidR="007C64F7" w:rsidRDefault="007C64F7" w:rsidP="007C64F7">
      <w:pPr>
        <w:pStyle w:val="Normalodrka"/>
        <w:spacing w:after="120"/>
        <w:rPr>
          <w:spacing w:val="-6"/>
        </w:rPr>
      </w:pPr>
      <w:r>
        <w:rPr>
          <w:spacing w:val="-6"/>
        </w:rPr>
        <w:t>Vývoz zboží a služeb i dovoz se loni reálně meziročně zvýšily shodně o 5,7 %</w:t>
      </w:r>
      <w:r>
        <w:rPr>
          <w:rStyle w:val="Znakapoznpodarou"/>
          <w:spacing w:val="-6"/>
        </w:rPr>
        <w:footnoteReference w:id="2"/>
      </w:r>
      <w:r>
        <w:rPr>
          <w:spacing w:val="-6"/>
        </w:rPr>
        <w:t xml:space="preserve">. Bilance zahraničního obchodu se zbožím a službami v běžných cenách poprvé od roku 2003 spadla do deficitu 8,3 mld. korun. </w:t>
      </w:r>
      <w:r>
        <w:t xml:space="preserve">Ve 4. čtvrtletí se export zboží a služeb reálně meziročně zvýšil o 9,7 %. Dovoz se meziročně zvýšil o 7,6 %. Bilance zahraničního obchodu se zbožím a službami se ve 4. čtvrtletí meziročně zhoršila o 4,9 mld. korun, zůstala ale přebytková (11,1 mld.). Na zhoršení bilance obchodu se zbožím loni nejvíce působil obchod s </w:t>
      </w:r>
      <w:r>
        <w:rPr>
          <w:spacing w:val="-4"/>
        </w:rPr>
        <w:t xml:space="preserve">ropou a zemním plynem i dalším dováženým zbožím a surovinami, u kterých došlo k výraznému růstu cen. Cenové vlivy stály i za zlepšením bilance obchodu s elektřinou, plynem, párou a klimatizovaným vzduchem </w:t>
      </w:r>
      <w:r>
        <w:rPr>
          <w:spacing w:val="-4"/>
        </w:rPr>
        <w:br/>
        <w:t xml:space="preserve">a pozitivně přispělo také oživení vývozu motorových vozidel. </w:t>
      </w:r>
      <w:r>
        <w:t xml:space="preserve"> </w:t>
      </w:r>
      <w:r>
        <w:rPr>
          <w:spacing w:val="-6"/>
        </w:rPr>
        <w:t xml:space="preserve"> </w:t>
      </w:r>
    </w:p>
    <w:p w14:paraId="3BEEADD2" w14:textId="109C0A44" w:rsidR="007C64F7" w:rsidRDefault="007C64F7" w:rsidP="007C64F7">
      <w:pPr>
        <w:pStyle w:val="Normalodrka"/>
        <w:spacing w:after="120"/>
        <w:rPr>
          <w:spacing w:val="-6"/>
        </w:rPr>
      </w:pPr>
      <w:r>
        <w:rPr>
          <w:spacing w:val="-6"/>
        </w:rPr>
        <w:t xml:space="preserve">Celková cenová hladina se loni (podle deflátoru HDP) zvýšila o 8,4 %. </w:t>
      </w:r>
      <w:r>
        <w:rPr>
          <w:szCs w:val="20"/>
        </w:rPr>
        <w:t>V průběhu roku meziroční růst cenové hladiny posiloval až na 10,7 % ve 4. čtvrtletí. Mezičtvrtletně se cenová hladina snížila o 0,5 %.</w:t>
      </w:r>
      <w:r w:rsidR="00E87D5B">
        <w:rPr>
          <w:szCs w:val="20"/>
        </w:rPr>
        <w:t xml:space="preserve"> </w:t>
      </w:r>
      <w:r>
        <w:rPr>
          <w:spacing w:val="-6"/>
        </w:rPr>
        <w:t xml:space="preserve">Spotřebitelské ceny se loni zvýšily o 15,1 %. Ve 4. čtvrtletí se jejich meziroční růst zmírnil na 15,7 %. </w:t>
      </w:r>
      <w:r>
        <w:t xml:space="preserve">Růst cen byl loni plošný a v 7 ze 12 oddílů spotřebního koše byl dvouciferný. </w:t>
      </w:r>
      <w:r>
        <w:rPr>
          <w:spacing w:val="-6"/>
        </w:rPr>
        <w:t xml:space="preserve">Největší vliv na růst cen měla loni trojice váhově nejvýznamnějších oddílů spotřebního koše, tedy bydlení a energie, potraviny a nealkoholické nápoje a doprava. U potravin růst ve druhé polovině roku zrychlil, v případě bydlení a energií a dopravy naopak dynamika zvolňovala. </w:t>
      </w:r>
    </w:p>
    <w:p w14:paraId="4E8F1386" w14:textId="77777777" w:rsidR="007C64F7" w:rsidRDefault="007C64F7" w:rsidP="007C64F7">
      <w:pPr>
        <w:pStyle w:val="Normalodrka"/>
        <w:spacing w:after="120"/>
        <w:rPr>
          <w:spacing w:val="-6"/>
        </w:rPr>
      </w:pPr>
      <w:proofErr w:type="spellStart"/>
      <w:r>
        <w:rPr>
          <w:spacing w:val="-6"/>
        </w:rPr>
        <w:t>Měnověpolitické</w:t>
      </w:r>
      <w:proofErr w:type="spellEnd"/>
      <w:r>
        <w:rPr>
          <w:spacing w:val="-6"/>
        </w:rPr>
        <w:t xml:space="preserve"> úrokové sazby se loni v 1. pololetí zvyšovaly a od června do konce roku setrvaly na stálé úrovni. Během roku rostly klientské sazby na termínovaných vkladech a zdražilo úvěrové financování pro domácnosti i podniky. Zřetelný byl přeliv prostředků z běžných účtů na termínované vklady.</w:t>
      </w:r>
    </w:p>
    <w:p w14:paraId="61ECEB65" w14:textId="77777777" w:rsidR="007C64F7" w:rsidRDefault="007C64F7" w:rsidP="007C64F7">
      <w:pPr>
        <w:pStyle w:val="Normalodrka"/>
        <w:spacing w:after="120"/>
        <w:rPr>
          <w:spacing w:val="-6"/>
        </w:rPr>
      </w:pPr>
      <w:r>
        <w:rPr>
          <w:spacing w:val="-6"/>
        </w:rPr>
        <w:t>Celková zaměstnanost</w:t>
      </w:r>
      <w:r>
        <w:rPr>
          <w:rStyle w:val="Znakapoznpodarou"/>
          <w:spacing w:val="-6"/>
        </w:rPr>
        <w:footnoteReference w:id="3"/>
      </w:r>
      <w:r>
        <w:rPr>
          <w:spacing w:val="-6"/>
        </w:rPr>
        <w:t xml:space="preserve"> loni vzrostla o 1,7 %. Ve 4. čtvrtletí se meziročně zvýšila o 1,3 %, mezičtvrtletně ale klesla podruhé v řadě, a to o 0,4 %. O</w:t>
      </w:r>
      <w:r w:rsidRPr="00A812A7">
        <w:rPr>
          <w:color w:val="0D0D0D" w:themeColor="text1" w:themeTint="F2"/>
          <w:spacing w:val="-4"/>
        </w:rPr>
        <w:t>becn</w:t>
      </w:r>
      <w:r>
        <w:rPr>
          <w:color w:val="0D0D0D" w:themeColor="text1" w:themeTint="F2"/>
          <w:spacing w:val="-4"/>
        </w:rPr>
        <w:t>á</w:t>
      </w:r>
      <w:r w:rsidRPr="00A812A7">
        <w:rPr>
          <w:color w:val="0D0D0D" w:themeColor="text1" w:themeTint="F2"/>
          <w:spacing w:val="-4"/>
        </w:rPr>
        <w:t xml:space="preserve"> mír</w:t>
      </w:r>
      <w:r>
        <w:rPr>
          <w:color w:val="0D0D0D" w:themeColor="text1" w:themeTint="F2"/>
          <w:spacing w:val="-4"/>
        </w:rPr>
        <w:t>a</w:t>
      </w:r>
      <w:r w:rsidRPr="00A812A7">
        <w:rPr>
          <w:color w:val="0D0D0D" w:themeColor="text1" w:themeTint="F2"/>
          <w:spacing w:val="-4"/>
        </w:rPr>
        <w:t xml:space="preserve"> nezaměstnanosti</w:t>
      </w:r>
      <w:r>
        <w:rPr>
          <w:color w:val="0D0D0D" w:themeColor="text1" w:themeTint="F2"/>
          <w:spacing w:val="-4"/>
        </w:rPr>
        <w:t xml:space="preserve"> od počátku roku stagnovala a v prosinci dosahovala u mužů 1,8 % a u žen 2,5 %.</w:t>
      </w:r>
      <w:r>
        <w:rPr>
          <w:color w:val="1D1B11" w:themeColor="background2" w:themeShade="1A"/>
          <w:spacing w:val="-6"/>
        </w:rPr>
        <w:t xml:space="preserve"> </w:t>
      </w:r>
      <w:r>
        <w:rPr>
          <w:color w:val="0D0D0D" w:themeColor="text1" w:themeTint="F2"/>
          <w:spacing w:val="-6"/>
        </w:rPr>
        <w:t>Průměrná hrubá měsíční nominální mzda loni dosáhla 40 353 korun. Nominálně se zvýšila o 6,5 %, vzhledem k silnému růstu spotřebitelských cen se ale reálně propadla o 7,5 %. Ve 4. čtvrtletí se průměrná mzda meziročně zvýšila o 7,9 % na 43 412 korun. Mezičtvrtletně byla vyšší o 2,1 %.</w:t>
      </w:r>
    </w:p>
    <w:p w14:paraId="590F7B39" w14:textId="77777777" w:rsidR="007C64F7" w:rsidRPr="00861EB6" w:rsidRDefault="007C64F7" w:rsidP="007C64F7">
      <w:pPr>
        <w:pStyle w:val="Normalodrka"/>
        <w:spacing w:after="120"/>
        <w:rPr>
          <w:spacing w:val="-6"/>
        </w:rPr>
      </w:pPr>
      <w:r w:rsidRPr="00861EB6">
        <w:rPr>
          <w:spacing w:val="-6"/>
        </w:rPr>
        <w:t xml:space="preserve">Hospodaření státního rozpočtu (SR) loni skončilo v deficitu 360,4 mld. korun. </w:t>
      </w:r>
      <w:bookmarkStart w:id="22" w:name="_Toc98245441"/>
      <w:bookmarkStart w:id="23" w:name="_Toc90395910"/>
      <w:r w:rsidRPr="00861EB6">
        <w:rPr>
          <w:spacing w:val="-6"/>
        </w:rPr>
        <w:t>K m</w:t>
      </w:r>
      <w:r w:rsidRPr="00861EB6">
        <w:rPr>
          <w:spacing w:val="-4"/>
        </w:rPr>
        <w:t xml:space="preserve">eziročnímu snížení celkového schodku přispělo hlavně příznivější hospodaření SR v 1. čtvrtletí. </w:t>
      </w:r>
      <w:r>
        <w:rPr>
          <w:spacing w:val="-4"/>
        </w:rPr>
        <w:t xml:space="preserve">Dopady </w:t>
      </w:r>
      <w:r w:rsidRPr="00861EB6">
        <w:rPr>
          <w:spacing w:val="-4"/>
        </w:rPr>
        <w:t xml:space="preserve">války na Ukrajině, tedy akcelerace růstu cen energií i paliv </w:t>
      </w:r>
      <w:r>
        <w:rPr>
          <w:spacing w:val="-4"/>
        </w:rPr>
        <w:t>a</w:t>
      </w:r>
      <w:r w:rsidRPr="00861EB6">
        <w:rPr>
          <w:spacing w:val="-4"/>
        </w:rPr>
        <w:t xml:space="preserve"> náklady spojené s uprchlickou vlnou se zpočátku negativně projevily spíše na výdajové straně rozpočtu. </w:t>
      </w:r>
      <w:r w:rsidRPr="00861EB6">
        <w:rPr>
          <w:spacing w:val="-5"/>
        </w:rPr>
        <w:t>V závěru roku byl ale stále více patrný</w:t>
      </w:r>
      <w:r w:rsidRPr="00861EB6">
        <w:rPr>
          <w:spacing w:val="-4"/>
        </w:rPr>
        <w:t xml:space="preserve"> i jejich negativní dopad na rozpočtové příjmy</w:t>
      </w:r>
      <w:r>
        <w:rPr>
          <w:spacing w:val="-4"/>
        </w:rPr>
        <w:t>, a to</w:t>
      </w:r>
      <w:r w:rsidRPr="00861EB6">
        <w:rPr>
          <w:spacing w:val="-4"/>
        </w:rPr>
        <w:t xml:space="preserve"> především v oblasti nepřímých daní. </w:t>
      </w:r>
    </w:p>
    <w:p w14:paraId="41F72B60" w14:textId="77777777" w:rsidR="007C64F7" w:rsidRPr="00C10805" w:rsidRDefault="007C64F7" w:rsidP="007C64F7">
      <w:pPr>
        <w:pStyle w:val="Normalodrka"/>
        <w:numPr>
          <w:ilvl w:val="0"/>
          <w:numId w:val="0"/>
        </w:numPr>
        <w:spacing w:after="0"/>
        <w:rPr>
          <w:b/>
          <w:sz w:val="2"/>
          <w:szCs w:val="2"/>
        </w:rPr>
      </w:pPr>
      <w:r>
        <w:rPr>
          <w:spacing w:val="-4"/>
        </w:rPr>
        <w:t xml:space="preserve"> </w:t>
      </w:r>
      <w:bookmarkEnd w:id="22"/>
      <w:bookmarkEnd w:id="23"/>
    </w:p>
    <w:p w14:paraId="4247CA68" w14:textId="77777777" w:rsidR="007C64F7" w:rsidRPr="00C10805" w:rsidRDefault="007C64F7" w:rsidP="007C64F7">
      <w:pPr>
        <w:pStyle w:val="Normalodrka"/>
        <w:numPr>
          <w:ilvl w:val="0"/>
          <w:numId w:val="0"/>
        </w:numPr>
        <w:spacing w:after="0"/>
        <w:rPr>
          <w:b/>
          <w:sz w:val="2"/>
          <w:szCs w:val="2"/>
        </w:rPr>
      </w:pPr>
      <w:r w:rsidRPr="00ED0F73">
        <w:rPr>
          <w:noProof/>
        </w:rPr>
        <w:lastRenderedPageBreak/>
        <w:drawing>
          <wp:inline distT="0" distB="0" distL="0" distR="0" wp14:anchorId="6C759DD0" wp14:editId="77341F55">
            <wp:extent cx="5857143" cy="882857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7143" cy="8828571"/>
                    </a:xfrm>
                    <a:prstGeom prst="rect">
                      <a:avLst/>
                    </a:prstGeom>
                  </pic:spPr>
                </pic:pic>
              </a:graphicData>
            </a:graphic>
          </wp:inline>
        </w:drawing>
      </w:r>
    </w:p>
    <w:p w14:paraId="7CB6BCBF" w14:textId="77777777" w:rsidR="008C3A32" w:rsidRPr="009110F7" w:rsidRDefault="008C3A32" w:rsidP="008C3A32">
      <w:pPr>
        <w:pStyle w:val="Nadpis1"/>
      </w:pPr>
      <w:bookmarkStart w:id="24" w:name="_Toc130286017"/>
      <w:bookmarkEnd w:id="8"/>
      <w:bookmarkEnd w:id="9"/>
      <w:bookmarkEnd w:id="10"/>
      <w:bookmarkEnd w:id="11"/>
      <w:bookmarkEnd w:id="12"/>
      <w:bookmarkEnd w:id="13"/>
      <w:r w:rsidRPr="0077605B">
        <w:lastRenderedPageBreak/>
        <w:t>2</w:t>
      </w:r>
      <w:r>
        <w:t>. </w:t>
      </w:r>
      <w:r w:rsidRPr="0077605B">
        <w:t>Souhrnná výkonnost</w:t>
      </w:r>
      <w:bookmarkEnd w:id="24"/>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8C3A32" w:rsidRPr="009110F7" w14:paraId="5933BC0A" w14:textId="77777777" w:rsidTr="52944939">
        <w:trPr>
          <w:trHeight w:val="145"/>
        </w:trPr>
        <w:tc>
          <w:tcPr>
            <w:tcW w:w="1806" w:type="dxa"/>
            <w:shd w:val="clear" w:color="auto" w:fill="auto"/>
            <w:tcMar>
              <w:left w:w="0" w:type="dxa"/>
            </w:tcMar>
          </w:tcPr>
          <w:p w14:paraId="0973E3BA" w14:textId="77777777" w:rsidR="008C3A32" w:rsidRDefault="008C3A32" w:rsidP="00163868">
            <w:pPr>
              <w:pStyle w:val="Marginlie"/>
            </w:pPr>
            <w:r>
              <w:t>Česká ekonomika si ve 4. čtvrtletí těsně udržela meziroční růst, mezičtvrtletně ale klesla podruhé v řadě.</w:t>
            </w:r>
          </w:p>
        </w:tc>
        <w:tc>
          <w:tcPr>
            <w:tcW w:w="223" w:type="dxa"/>
            <w:shd w:val="clear" w:color="auto" w:fill="auto"/>
            <w:tcMar>
              <w:left w:w="0" w:type="dxa"/>
            </w:tcMar>
          </w:tcPr>
          <w:p w14:paraId="3DF3FF42" w14:textId="77777777" w:rsidR="008C3A32" w:rsidRDefault="008C3A32" w:rsidP="00163868">
            <w:pPr>
              <w:pStyle w:val="Textpoznpodarou"/>
              <w:jc w:val="both"/>
              <w:rPr>
                <w:spacing w:val="-4"/>
              </w:rPr>
            </w:pPr>
          </w:p>
        </w:tc>
        <w:tc>
          <w:tcPr>
            <w:tcW w:w="7610" w:type="dxa"/>
            <w:shd w:val="clear" w:color="auto" w:fill="auto"/>
            <w:tcMar>
              <w:left w:w="0" w:type="dxa"/>
            </w:tcMar>
          </w:tcPr>
          <w:p w14:paraId="549452A7" w14:textId="77777777" w:rsidR="008C3A32" w:rsidRPr="00014ED0" w:rsidRDefault="008C3A32" w:rsidP="00163868">
            <w:pPr>
              <w:rPr>
                <w:spacing w:val="-2"/>
              </w:rPr>
            </w:pPr>
            <w:r>
              <w:rPr>
                <w:spacing w:val="-2"/>
              </w:rPr>
              <w:t>Hrubý domácí produkt (HDP) v roce 2022 vzrostl o 2,4 %</w:t>
            </w:r>
            <w:r w:rsidRPr="00014ED0">
              <w:rPr>
                <w:rStyle w:val="Znakapoznpodarou"/>
                <w:rFonts w:cs="Arial"/>
                <w:spacing w:val="-2"/>
              </w:rPr>
              <w:footnoteReference w:id="4"/>
            </w:r>
            <w:r>
              <w:rPr>
                <w:spacing w:val="-2"/>
              </w:rPr>
              <w:t xml:space="preserve">, což znamenalo zpomalení dynamiky oproti roku 2021. Růst HDP loni nejvíc podpořila tvorba hrubého kapitálu a zahraniční poptávka. Naopak domácí spotřeba brzdila ekonomický růst. Zejména domácnosti totiž v prostředí prudkého cenového růstu redukovaly výdaje. Reálná úroveň HDP (vyjádřená v cenách roku 2015) loni mírně překonala předpandemický rok 2019. V průběhu roku 2022 meziroční dynamika HDP postupně zpomalovala (přírůstky 4,7 %, 3,5 % a 1,5 % v 1., 2. a 3. čtvrtletí) a ve 4. kvartálu ekonomika meziročně stagnovala (0,2 %). Oproti 3. čtvrtletí se HDP snížil o 0,4 %, což byl druhý pokles v řadě. Meziroční růst HDP v závěru roku stál na pozitivním vývoji zahraniční poptávky. Oslabil ale příspěvek kapitálových výdajů a domácí spotřeba silně brzdila meziroční navýšení HDP. Zahraniční poptávka v pozitivním směru působila také na mezičtvrtletní dynamiku HDP, ale spotřeba i kapitálové výdaje klesaly.   </w:t>
            </w:r>
          </w:p>
        </w:tc>
      </w:tr>
      <w:tr w:rsidR="008C3A32" w:rsidRPr="009110F7" w14:paraId="0D61AD2E" w14:textId="77777777" w:rsidTr="52944939">
        <w:trPr>
          <w:trHeight w:val="145"/>
        </w:trPr>
        <w:tc>
          <w:tcPr>
            <w:tcW w:w="1806" w:type="dxa"/>
            <w:shd w:val="clear" w:color="auto" w:fill="auto"/>
            <w:tcMar>
              <w:left w:w="0" w:type="dxa"/>
            </w:tcMar>
          </w:tcPr>
          <w:p w14:paraId="30C1B0A3" w14:textId="77777777" w:rsidR="008C3A32" w:rsidRDefault="008C3A32" w:rsidP="00163868">
            <w:pPr>
              <w:pStyle w:val="Marginlie"/>
            </w:pPr>
            <w:r>
              <w:t>Ke zpomalování ekonomického růstu loni došlo i v EU.</w:t>
            </w:r>
          </w:p>
        </w:tc>
        <w:tc>
          <w:tcPr>
            <w:tcW w:w="223" w:type="dxa"/>
            <w:shd w:val="clear" w:color="auto" w:fill="auto"/>
            <w:tcMar>
              <w:left w:w="0" w:type="dxa"/>
            </w:tcMar>
          </w:tcPr>
          <w:p w14:paraId="11A2315D" w14:textId="77777777" w:rsidR="008C3A32" w:rsidRDefault="008C3A32" w:rsidP="00163868">
            <w:pPr>
              <w:pStyle w:val="Textpoznpodarou"/>
              <w:jc w:val="both"/>
              <w:rPr>
                <w:spacing w:val="-4"/>
              </w:rPr>
            </w:pPr>
          </w:p>
        </w:tc>
        <w:tc>
          <w:tcPr>
            <w:tcW w:w="7610" w:type="dxa"/>
            <w:shd w:val="clear" w:color="auto" w:fill="auto"/>
            <w:tcMar>
              <w:left w:w="0" w:type="dxa"/>
            </w:tcMar>
          </w:tcPr>
          <w:p w14:paraId="164C6F97" w14:textId="77777777" w:rsidR="008C3A32" w:rsidRDefault="008C3A32" w:rsidP="00163868">
            <w:pPr>
              <w:rPr>
                <w:spacing w:val="-2"/>
              </w:rPr>
            </w:pPr>
            <w:r>
              <w:t>Meziroční růst HDP v Evropské unii v průběhu celého roku 2022 zpomaloval a ve 4. čtvrtletí dosáhl 1,7 %</w:t>
            </w:r>
            <w:r>
              <w:rPr>
                <w:rStyle w:val="Znakapoznpodarou"/>
              </w:rPr>
              <w:footnoteReference w:id="5"/>
            </w:r>
            <w:r>
              <w:t xml:space="preserve">. Také mezičtvrtletní dynamika se během roku postupně utlumovala a oproti 3. čtvrtletí HDP v unii klesl o 0,1 %. V závěru roku bylo v zemích EU patrné ochlazení spotřeby i kapitálových výdajů. Nejsilněji meziročně rostl HDP ve 4. čtvrtletí v Irsku (13,1 %), Řecku (5,2 %) a v Rumunsku (4,9 %). Pokles ve srovnání se stejným obdobím roku 2021 naopak zaznamenaly ekonomiky Estonska (−4,4 %), Litvy (−0,4 %) a Švédska (−0,1 %). Blízko meziroční stagnace se kromě Česka (0,2 %) pohyboval HDP i ve Finsku (0,1 %). Největší nárůst oproti 3. čtvrtletí měl HDP v Řecku (1,4 %), na Maltě (1,2 %) a na Kypru (1,1 %). Nejvíce se mezičtvrtletně propadl HDP v Polsku (−2,4 %) a nižší byl také v Estonsku (−1,6 %), ve Finsku (−0,6 %), Švédsku (−0,5 %), Litvě (−0,5 %), Maďarsku (−0,4 %), Německu (−0,4 %), Česku (−0,4 %) a v Itálii (−0,1 %).     </w:t>
            </w:r>
          </w:p>
        </w:tc>
      </w:tr>
      <w:tr w:rsidR="008C3A32" w:rsidRPr="009110F7" w14:paraId="69859CBE" w14:textId="77777777" w:rsidTr="52944939">
        <w:trPr>
          <w:trHeight w:val="170"/>
        </w:trPr>
        <w:tc>
          <w:tcPr>
            <w:tcW w:w="1806" w:type="dxa"/>
            <w:vMerge w:val="restart"/>
            <w:shd w:val="clear" w:color="auto" w:fill="auto"/>
            <w:tcMar>
              <w:left w:w="0" w:type="dxa"/>
            </w:tcMar>
          </w:tcPr>
          <w:p w14:paraId="773D6F76" w14:textId="77777777" w:rsidR="008C3A32" w:rsidRDefault="008C3A32" w:rsidP="00163868">
            <w:pPr>
              <w:pStyle w:val="Marginlie"/>
            </w:pPr>
          </w:p>
        </w:tc>
        <w:tc>
          <w:tcPr>
            <w:tcW w:w="223" w:type="dxa"/>
            <w:vMerge w:val="restart"/>
            <w:shd w:val="clear" w:color="auto" w:fill="auto"/>
            <w:tcMar>
              <w:left w:w="0" w:type="dxa"/>
            </w:tcMar>
          </w:tcPr>
          <w:p w14:paraId="0AE9F316" w14:textId="77777777" w:rsidR="008C3A32" w:rsidRDefault="008C3A32" w:rsidP="00163868">
            <w:pPr>
              <w:pStyle w:val="Textpoznpodarou"/>
              <w:jc w:val="both"/>
              <w:rPr>
                <w:spacing w:val="-4"/>
              </w:rPr>
            </w:pPr>
          </w:p>
        </w:tc>
        <w:tc>
          <w:tcPr>
            <w:tcW w:w="7610" w:type="dxa"/>
            <w:shd w:val="clear" w:color="auto" w:fill="auto"/>
            <w:tcMar>
              <w:left w:w="0" w:type="dxa"/>
            </w:tcMar>
          </w:tcPr>
          <w:p w14:paraId="4C1F5827" w14:textId="77777777" w:rsidR="008C3A32" w:rsidRPr="00D721B4" w:rsidRDefault="008C3A32" w:rsidP="00163868">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8C3A32" w:rsidRPr="009110F7" w14:paraId="69E60004" w14:textId="77777777" w:rsidTr="52944939">
        <w:tblPrEx>
          <w:tblCellMar>
            <w:left w:w="70" w:type="dxa"/>
            <w:right w:w="70" w:type="dxa"/>
          </w:tblCellMar>
        </w:tblPrEx>
        <w:trPr>
          <w:trHeight w:val="170"/>
        </w:trPr>
        <w:tc>
          <w:tcPr>
            <w:tcW w:w="1806" w:type="dxa"/>
            <w:vMerge/>
          </w:tcPr>
          <w:p w14:paraId="45DB174A" w14:textId="77777777" w:rsidR="008C3A32" w:rsidRPr="009110F7" w:rsidRDefault="008C3A32" w:rsidP="00163868">
            <w:pPr>
              <w:pStyle w:val="Marginlie"/>
            </w:pPr>
          </w:p>
        </w:tc>
        <w:tc>
          <w:tcPr>
            <w:tcW w:w="223" w:type="dxa"/>
            <w:vMerge/>
          </w:tcPr>
          <w:p w14:paraId="01194BCD" w14:textId="77777777" w:rsidR="008C3A32" w:rsidRPr="009110F7" w:rsidRDefault="008C3A32" w:rsidP="00163868">
            <w:pPr>
              <w:pStyle w:val="Textpoznpodarou"/>
              <w:jc w:val="both"/>
              <w:rPr>
                <w:spacing w:val="-4"/>
              </w:rPr>
            </w:pPr>
          </w:p>
        </w:tc>
        <w:tc>
          <w:tcPr>
            <w:tcW w:w="7610" w:type="dxa"/>
            <w:shd w:val="clear" w:color="auto" w:fill="auto"/>
          </w:tcPr>
          <w:p w14:paraId="427DA9C0" w14:textId="11F43DF8" w:rsidR="008C3A32" w:rsidRPr="009110F7" w:rsidRDefault="00E647C1" w:rsidP="00163868">
            <w:pPr>
              <w:spacing w:after="0"/>
            </w:pPr>
            <w:r>
              <w:rPr>
                <w:noProof/>
              </w:rPr>
              <w:drawing>
                <wp:inline distT="0" distB="0" distL="0" distR="0" wp14:anchorId="61FA20F1" wp14:editId="53CEB330">
                  <wp:extent cx="4734425" cy="3375400"/>
                  <wp:effectExtent l="0" t="0" r="0" b="0"/>
                  <wp:docPr id="47" name="Graf 4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8C3A32" w:rsidRPr="009110F7" w14:paraId="0B9F6C7E" w14:textId="77777777" w:rsidTr="52944939">
        <w:trPr>
          <w:trHeight w:val="170"/>
        </w:trPr>
        <w:tc>
          <w:tcPr>
            <w:tcW w:w="1806" w:type="dxa"/>
            <w:vMerge/>
            <w:tcMar>
              <w:left w:w="0" w:type="dxa"/>
            </w:tcMar>
          </w:tcPr>
          <w:p w14:paraId="379B99E2" w14:textId="77777777" w:rsidR="008C3A32" w:rsidRPr="009110F7" w:rsidRDefault="008C3A32" w:rsidP="00163868">
            <w:pPr>
              <w:pStyle w:val="Marginlie"/>
            </w:pPr>
          </w:p>
        </w:tc>
        <w:tc>
          <w:tcPr>
            <w:tcW w:w="223" w:type="dxa"/>
            <w:vMerge/>
            <w:tcMar>
              <w:left w:w="0" w:type="dxa"/>
            </w:tcMar>
          </w:tcPr>
          <w:p w14:paraId="676B3350" w14:textId="77777777" w:rsidR="008C3A32" w:rsidRPr="009110F7" w:rsidRDefault="008C3A32" w:rsidP="00163868">
            <w:pPr>
              <w:pStyle w:val="Textpoznpodarou"/>
              <w:jc w:val="both"/>
              <w:rPr>
                <w:spacing w:val="-4"/>
              </w:rPr>
            </w:pPr>
          </w:p>
        </w:tc>
        <w:tc>
          <w:tcPr>
            <w:tcW w:w="7610" w:type="dxa"/>
            <w:shd w:val="clear" w:color="auto" w:fill="auto"/>
            <w:tcMar>
              <w:left w:w="0" w:type="dxa"/>
            </w:tcMar>
          </w:tcPr>
          <w:p w14:paraId="169C7774" w14:textId="77777777" w:rsidR="008C3A32" w:rsidRPr="009110F7" w:rsidRDefault="008C3A32" w:rsidP="00163868">
            <w:pPr>
              <w:spacing w:after="220"/>
              <w:rPr>
                <w:sz w:val="14"/>
                <w:szCs w:val="14"/>
              </w:rPr>
            </w:pPr>
            <w:r>
              <w:rPr>
                <w:sz w:val="14"/>
                <w:szCs w:val="14"/>
              </w:rPr>
              <w:t xml:space="preserve">Zdroj: ČSÚ, </w:t>
            </w:r>
            <w:proofErr w:type="spellStart"/>
            <w:r>
              <w:rPr>
                <w:sz w:val="14"/>
                <w:szCs w:val="14"/>
              </w:rPr>
              <w:t>Eurostat</w:t>
            </w:r>
            <w:proofErr w:type="spellEnd"/>
          </w:p>
        </w:tc>
      </w:tr>
      <w:tr w:rsidR="008C3A32" w:rsidRPr="009110F7" w14:paraId="0B5086D5" w14:textId="77777777" w:rsidTr="52944939">
        <w:trPr>
          <w:trHeight w:val="145"/>
        </w:trPr>
        <w:tc>
          <w:tcPr>
            <w:tcW w:w="1806" w:type="dxa"/>
            <w:shd w:val="clear" w:color="auto" w:fill="auto"/>
            <w:tcMar>
              <w:left w:w="0" w:type="dxa"/>
            </w:tcMar>
          </w:tcPr>
          <w:p w14:paraId="7E11DEF5" w14:textId="77777777" w:rsidR="008C3A32" w:rsidRDefault="008C3A32" w:rsidP="00163868">
            <w:pPr>
              <w:pStyle w:val="Marginlie"/>
            </w:pPr>
            <w:r>
              <w:lastRenderedPageBreak/>
              <w:t>Mzdy a platy se loni reálně propadly.</w:t>
            </w:r>
          </w:p>
        </w:tc>
        <w:tc>
          <w:tcPr>
            <w:tcW w:w="223" w:type="dxa"/>
            <w:shd w:val="clear" w:color="auto" w:fill="auto"/>
            <w:tcMar>
              <w:left w:w="0" w:type="dxa"/>
            </w:tcMar>
          </w:tcPr>
          <w:p w14:paraId="0EA35E42" w14:textId="77777777" w:rsidR="008C3A32" w:rsidRDefault="008C3A32" w:rsidP="00163868">
            <w:pPr>
              <w:pStyle w:val="Textpoznpodarou"/>
              <w:jc w:val="both"/>
              <w:rPr>
                <w:spacing w:val="-4"/>
              </w:rPr>
            </w:pPr>
          </w:p>
        </w:tc>
        <w:tc>
          <w:tcPr>
            <w:tcW w:w="7610" w:type="dxa"/>
            <w:shd w:val="clear" w:color="auto" w:fill="auto"/>
            <w:tcMar>
              <w:left w:w="0" w:type="dxa"/>
            </w:tcMar>
          </w:tcPr>
          <w:p w14:paraId="2C63CA31" w14:textId="3C7961AD" w:rsidR="008C3A32" w:rsidRPr="00014ED0" w:rsidRDefault="008C3A32" w:rsidP="00163868">
            <w:r>
              <w:rPr>
                <w:spacing w:val="-2"/>
              </w:rPr>
              <w:t>V roce 2022 celkový objem mezd a platů vzrostl o 8,8 % při růstu celkové zaměstnanosti o 1,7 %</w:t>
            </w:r>
            <w:r w:rsidRPr="00014ED0">
              <w:rPr>
                <w:rStyle w:val="Znakapoznpodarou"/>
                <w:spacing w:val="-2"/>
              </w:rPr>
              <w:footnoteReference w:id="6"/>
            </w:r>
            <w:r>
              <w:rPr>
                <w:spacing w:val="-2"/>
              </w:rPr>
              <w:t>. Nominální přírůstek mezd a platů tak zrychlil v porovnání s rokem 2021 a byl také vyšší než v předpandemickém roce 2019. Vzhledem k prudkému cenovému růstu ale výdělky domácností reálně klesaly. Reálně loni poklesly mzdy a platy o 6,4 %</w:t>
            </w:r>
            <w:r>
              <w:rPr>
                <w:rStyle w:val="Znakapoznpodarou"/>
                <w:spacing w:val="-2"/>
              </w:rPr>
              <w:footnoteReference w:id="7"/>
            </w:r>
            <w:r>
              <w:rPr>
                <w:spacing w:val="-2"/>
              </w:rPr>
              <w:t>. Největší nárůst objemu mezd a platů loni zaznamenaly činnosti v oblasti nemovitostí (19,5 % při růstu zaměstnanosti o 4,3 %), které navázaly na prudký přírůstek z roku 2021. Dále bylo vidět posílení růstu u odvětví silně zasažených pandemickým propadem. To byl případ obchodu, dopravy, ubytování a pohostinství (růst mezd a platů o 16,1 % při současném navýšení zaměstnanosti o 2,1 %) a ostatních činností</w:t>
            </w:r>
            <w:r>
              <w:rPr>
                <w:rStyle w:val="Znakapoznpodarou"/>
                <w:spacing w:val="-2"/>
              </w:rPr>
              <w:footnoteReference w:id="8"/>
            </w:r>
            <w:r>
              <w:rPr>
                <w:spacing w:val="-2"/>
              </w:rPr>
              <w:t xml:space="preserve"> (mzdy a platy 14,9 %, zaměstnanost 0,7 %). Posílení dynamiky mezd a platů doprovázené výrazným</w:t>
            </w:r>
            <w:r w:rsidR="00741F2A">
              <w:rPr>
                <w:spacing w:val="-2"/>
              </w:rPr>
              <w:t xml:space="preserve"> </w:t>
            </w:r>
            <w:r>
              <w:rPr>
                <w:spacing w:val="-2"/>
              </w:rPr>
              <w:t xml:space="preserve">navýšením zaměstnanosti se dotklo informačních a komunikačních činností (13,3 % při růstu zaměstnanosti o 3,9 %) a stavebnictví (10,5 %, zaměstnanost se zvýšila o 3,4 %). Nadprůměrně se zvýšil objem vyplacených mezd a platů v profesních, vědeckých, technických </w:t>
            </w:r>
            <w:r w:rsidRPr="009A4568">
              <w:t>a</w:t>
            </w:r>
            <w:r>
              <w:t> </w:t>
            </w:r>
            <w:r w:rsidRPr="009A4568">
              <w:t>administrativních</w:t>
            </w:r>
            <w:r>
              <w:rPr>
                <w:spacing w:val="-2"/>
              </w:rPr>
              <w:t xml:space="preserve"> činnostech (9,6 %, zaměstnanost byla vyšší o 1,1 %) a v peněžnictví a pojišťovnictví (9,6 %, zaměstnanost rostla o 0,5 %). Pod průměrem byl loni růst mezd a platů ve zpracovatelském průmyslu (8,7 %, růst zaměstnanosti o 0,7 %), zemědělství</w:t>
            </w:r>
            <w:r w:rsidR="48038D4B">
              <w:rPr>
                <w:spacing w:val="-2"/>
              </w:rPr>
              <w:t>, lesnictví a rybářství</w:t>
            </w:r>
            <w:r>
              <w:rPr>
                <w:spacing w:val="-2"/>
              </w:rPr>
              <w:t xml:space="preserve"> (7,8 %, zaměstnanost 0,4 %) a odvětvích s převahou vládního sektoru (1,0 %, zaměstnanost rostla o 2,3 %)</w:t>
            </w:r>
            <w:r>
              <w:rPr>
                <w:rStyle w:val="Znakapoznpodarou"/>
                <w:spacing w:val="-2"/>
              </w:rPr>
              <w:footnoteReference w:id="9"/>
            </w:r>
            <w:r>
              <w:rPr>
                <w:spacing w:val="-2"/>
              </w:rPr>
              <w:t xml:space="preserve">. </w:t>
            </w:r>
          </w:p>
        </w:tc>
      </w:tr>
      <w:tr w:rsidR="008C3A32" w:rsidRPr="009110F7" w14:paraId="0193F77F" w14:textId="77777777" w:rsidTr="52944939">
        <w:trPr>
          <w:trHeight w:val="145"/>
        </w:trPr>
        <w:tc>
          <w:tcPr>
            <w:tcW w:w="1806" w:type="dxa"/>
            <w:shd w:val="clear" w:color="auto" w:fill="auto"/>
            <w:tcMar>
              <w:left w:w="0" w:type="dxa"/>
            </w:tcMar>
          </w:tcPr>
          <w:p w14:paraId="2B51425E" w14:textId="77777777" w:rsidR="008C3A32" w:rsidRDefault="008C3A32" w:rsidP="00163868">
            <w:pPr>
              <w:pStyle w:val="Marginlie"/>
            </w:pPr>
            <w:r>
              <w:t>Ke konci roku byl patrný tlak na růst nominálních mezd a platů.</w:t>
            </w:r>
          </w:p>
        </w:tc>
        <w:tc>
          <w:tcPr>
            <w:tcW w:w="223" w:type="dxa"/>
            <w:shd w:val="clear" w:color="auto" w:fill="auto"/>
            <w:tcMar>
              <w:left w:w="0" w:type="dxa"/>
            </w:tcMar>
          </w:tcPr>
          <w:p w14:paraId="676BD155" w14:textId="77777777" w:rsidR="008C3A32" w:rsidRDefault="008C3A32" w:rsidP="00163868">
            <w:pPr>
              <w:pStyle w:val="Textpoznpodarou"/>
              <w:jc w:val="both"/>
              <w:rPr>
                <w:spacing w:val="-4"/>
              </w:rPr>
            </w:pPr>
          </w:p>
        </w:tc>
        <w:tc>
          <w:tcPr>
            <w:tcW w:w="7610" w:type="dxa"/>
            <w:shd w:val="clear" w:color="auto" w:fill="auto"/>
            <w:tcMar>
              <w:left w:w="0" w:type="dxa"/>
            </w:tcMar>
          </w:tcPr>
          <w:p w14:paraId="2E4AAB22" w14:textId="649637BF" w:rsidR="008C3A32" w:rsidRDefault="008C3A32" w:rsidP="00163868">
            <w:r>
              <w:rPr>
                <w:spacing w:val="-2"/>
              </w:rPr>
              <w:t xml:space="preserve">Ve 4. čtvrtletí meziroční růst objemu vyplacených mezd a platů mírně zrychlil na 8,0 %. Mezičtvrtletně se mzdy a platy zvýšily o 2,2 %. Meziroční růst zaměstnanosti přitom zpomalil na 1,3 % a mezičtvrtletně zaměstnanost klesla o 0,4 %. Ve </w:t>
            </w:r>
            <w:proofErr w:type="spellStart"/>
            <w:r>
              <w:rPr>
                <w:spacing w:val="-2"/>
              </w:rPr>
              <w:t>vysokoinflačním</w:t>
            </w:r>
            <w:proofErr w:type="spellEnd"/>
            <w:r>
              <w:rPr>
                <w:spacing w:val="-2"/>
              </w:rPr>
              <w:t xml:space="preserve"> prostředí tedy pokračoval tlak na růst mezd navzdory celkovému ekonomickému zpomalení. Reálně ale mzdy a platy meziročně klesly o 8,5 %. Nejvíce ve 4. čtvrtletí meziročně rostly mzdy a platy v činnostech v oblasti nemovitostí (18,7 % při růstu zaměstnanosti o 2,1 %). Pokračoval výrazný růst u informačních a komunikačních činností (13,9 % při růstu zaměstnanosti o 5,5 %). Nadprůměrné bylo meziroční navýšení v případě peněžnictví a pojišťovnictví (10,8 %, zaměstnanost rostla o 0,7 %), obchodu, dopravy, ubytování a pohostinství (10,3 % při současném navýšení zaměstnanosti o 0,8 %), stavebnictví (9,8 %, zaměstnanost byla vyšší o 3,2 %), zpracovatelského průmyslu (9,6 %, zaměstnanost o 0,4 %), v profesních, vědeckých, technických a administrativních činnostech (9,6 %, zaměstnanost byla vyšší o 1,6 %) a v zemědělství</w:t>
            </w:r>
            <w:r w:rsidR="50A35788">
              <w:rPr>
                <w:spacing w:val="-2"/>
              </w:rPr>
              <w:t>, lesnictví a rybářství</w:t>
            </w:r>
            <w:r>
              <w:rPr>
                <w:spacing w:val="-2"/>
              </w:rPr>
              <w:t xml:space="preserve"> (8,5 %, zaměstnanost se meziročně snížila o 2,0 %). Za průměrným navýšením naopak zaostávaly mzdy a platy v odvětvích s převahou vládního sektoru (1,4</w:t>
            </w:r>
            <w:r w:rsidR="00E87D5B">
              <w:rPr>
                <w:spacing w:val="-2"/>
              </w:rPr>
              <w:t> </w:t>
            </w:r>
            <w:r>
              <w:rPr>
                <w:spacing w:val="-2"/>
              </w:rPr>
              <w:t>% při růstu zaměstnanosti o 2,7 %) a ostatních činnostech (5,8 %, zaměstnanost klesla o 1,8 %).</w:t>
            </w:r>
          </w:p>
        </w:tc>
      </w:tr>
      <w:tr w:rsidR="008C3A32" w:rsidRPr="009110F7" w14:paraId="73F9BB65" w14:textId="77777777" w:rsidTr="52944939">
        <w:trPr>
          <w:trHeight w:val="145"/>
        </w:trPr>
        <w:tc>
          <w:tcPr>
            <w:tcW w:w="1806" w:type="dxa"/>
            <w:shd w:val="clear" w:color="auto" w:fill="auto"/>
            <w:tcMar>
              <w:left w:w="0" w:type="dxa"/>
            </w:tcMar>
          </w:tcPr>
          <w:p w14:paraId="248A62D5" w14:textId="77777777" w:rsidR="008C3A32" w:rsidRDefault="008C3A32" w:rsidP="00163868">
            <w:pPr>
              <w:pStyle w:val="Marginlie"/>
            </w:pPr>
            <w:r>
              <w:t>Mzdy a platy se mezičtvrtletně zvýšily ve všech odvětvích.</w:t>
            </w:r>
          </w:p>
        </w:tc>
        <w:tc>
          <w:tcPr>
            <w:tcW w:w="223" w:type="dxa"/>
            <w:shd w:val="clear" w:color="auto" w:fill="auto"/>
            <w:tcMar>
              <w:left w:w="0" w:type="dxa"/>
            </w:tcMar>
          </w:tcPr>
          <w:p w14:paraId="6BFE58D9" w14:textId="77777777" w:rsidR="008C3A32" w:rsidRDefault="008C3A32" w:rsidP="00163868">
            <w:pPr>
              <w:pStyle w:val="Textpoznpodarou"/>
              <w:jc w:val="both"/>
              <w:rPr>
                <w:spacing w:val="-4"/>
              </w:rPr>
            </w:pPr>
          </w:p>
        </w:tc>
        <w:tc>
          <w:tcPr>
            <w:tcW w:w="7610" w:type="dxa"/>
            <w:shd w:val="clear" w:color="auto" w:fill="auto"/>
            <w:tcMar>
              <w:left w:w="0" w:type="dxa"/>
            </w:tcMar>
          </w:tcPr>
          <w:p w14:paraId="17A36F83" w14:textId="77777777" w:rsidR="008C3A32" w:rsidRDefault="008C3A32" w:rsidP="00163868">
            <w:pPr>
              <w:rPr>
                <w:spacing w:val="-2"/>
              </w:rPr>
            </w:pPr>
            <w:r>
              <w:rPr>
                <w:spacing w:val="-2"/>
              </w:rPr>
              <w:t xml:space="preserve">Posílení mezičtvrtletní dynamiky mezd a platů se ve 4. čtvrtletí týkalo většiny odvětví. Nejvíce mezičtvrtletně rostly výdělky v peněžnictví a pojišťovnictví (6,2 %), v profesních, vědeckých, technických a administrativních činnostech (5,0 %), činnostech v oblasti nemovitostí (4,8 %), ostatních činnostech (4,2 %), zemědělství, lesnictví a rybářství (4,0 %) a informačních a komunikačních činnostech (3,0 %). Mírnější byl přírůstek v uskupení obchod, doprava, ubytování a pohostinství (2,5 %), stavebnictví (2,1 %) a ve zpracovatelském průmyslu (1,9 %). Mzdy a platy stagnovaly v odvětvích s převahou vládního sektoru (0,1 %).  </w:t>
            </w:r>
          </w:p>
        </w:tc>
      </w:tr>
      <w:tr w:rsidR="008C3A32" w:rsidRPr="009110F7" w14:paraId="127E68C8" w14:textId="77777777" w:rsidTr="52944939">
        <w:trPr>
          <w:trHeight w:val="145"/>
        </w:trPr>
        <w:tc>
          <w:tcPr>
            <w:tcW w:w="1806" w:type="dxa"/>
            <w:shd w:val="clear" w:color="auto" w:fill="auto"/>
            <w:tcMar>
              <w:left w:w="0" w:type="dxa"/>
            </w:tcMar>
          </w:tcPr>
          <w:p w14:paraId="4E97047B" w14:textId="77777777" w:rsidR="008C3A32" w:rsidRDefault="008C3A32" w:rsidP="00163868">
            <w:pPr>
              <w:pStyle w:val="Marginlie"/>
            </w:pPr>
            <w:r>
              <w:t>Propadla se spotřeba domácností.</w:t>
            </w:r>
          </w:p>
        </w:tc>
        <w:tc>
          <w:tcPr>
            <w:tcW w:w="223" w:type="dxa"/>
            <w:shd w:val="clear" w:color="auto" w:fill="auto"/>
            <w:tcMar>
              <w:left w:w="0" w:type="dxa"/>
            </w:tcMar>
          </w:tcPr>
          <w:p w14:paraId="1293C704" w14:textId="77777777" w:rsidR="008C3A32" w:rsidRDefault="008C3A32" w:rsidP="00163868">
            <w:pPr>
              <w:pStyle w:val="Textpoznpodarou"/>
              <w:jc w:val="both"/>
              <w:rPr>
                <w:spacing w:val="-4"/>
              </w:rPr>
            </w:pPr>
          </w:p>
        </w:tc>
        <w:tc>
          <w:tcPr>
            <w:tcW w:w="7610" w:type="dxa"/>
            <w:shd w:val="clear" w:color="auto" w:fill="auto"/>
            <w:tcMar>
              <w:left w:w="0" w:type="dxa"/>
            </w:tcMar>
          </w:tcPr>
          <w:p w14:paraId="4A46A03F" w14:textId="39BDBAEF" w:rsidR="008C3A32" w:rsidRDefault="008C3A32" w:rsidP="00163868">
            <w:pPr>
              <w:rPr>
                <w:spacing w:val="-2"/>
              </w:rPr>
            </w:pPr>
            <w:r>
              <w:rPr>
                <w:spacing w:val="-2"/>
              </w:rPr>
              <w:t xml:space="preserve">Domácí spotřeba v roce 2022 klesla o 0,4 %. Reálná úroveň spotřeby (v cenách roku 2019) tak po pandemickém propadu v roce 2020 stále nepřekonala rok 2019. Důvodem loňského poklesu byla jednoznačně redukce výdajů domácností (−0,9 %), které čelily </w:t>
            </w:r>
            <w:r>
              <w:rPr>
                <w:spacing w:val="-2"/>
              </w:rPr>
              <w:lastRenderedPageBreak/>
              <w:t>nebývalému propadu reálných výdělků. Reálná úroveň spotřeby domácností loni dokonce zaostávala i za rokem 2018. Spotřeba vládního sektoru byla naopak vyšší o 0,7 %. Výdaje na konečnou spotřebu působily ve směru poklesu HDP 0,5 p. b.</w:t>
            </w:r>
            <w:r w:rsidRPr="00014ED0">
              <w:rPr>
                <w:rStyle w:val="Znakapoznpodarou"/>
                <w:spacing w:val="-2"/>
              </w:rPr>
              <w:footnoteReference w:id="10"/>
            </w:r>
            <w:r w:rsidR="001C4D8C">
              <w:rPr>
                <w:spacing w:val="-2"/>
              </w:rPr>
              <w:t>.</w:t>
            </w:r>
            <w:r>
              <w:rPr>
                <w:spacing w:val="-2"/>
              </w:rPr>
              <w:t xml:space="preserve"> V samotném 4. čtvrtletí 2022 spotřeba podruhé v řadě meziročně klesla, a to o 3,4 %. Z toho se spotřeba domácností propadla o 5,5 %, zatímco u vládních institucí došlo k mírnému navýšení o 0,9 %. Mezičtvrtletně se spotřeba snížila o 0,6 %, popáté v řadě. U domácností se pokles oproti 3. kvartálu prohloubil na 2,8 %, naopak vládní instituce vykázaly výrazné navýšení o 3,9 %. </w:t>
            </w:r>
          </w:p>
        </w:tc>
      </w:tr>
      <w:tr w:rsidR="008C3A32" w:rsidRPr="009110F7" w14:paraId="0E6466F5" w14:textId="77777777" w:rsidTr="52944939">
        <w:trPr>
          <w:trHeight w:val="154"/>
        </w:trPr>
        <w:tc>
          <w:tcPr>
            <w:tcW w:w="1806" w:type="dxa"/>
            <w:vMerge w:val="restart"/>
            <w:shd w:val="clear" w:color="auto" w:fill="auto"/>
            <w:tcMar>
              <w:left w:w="0" w:type="dxa"/>
            </w:tcMar>
          </w:tcPr>
          <w:p w14:paraId="1686769C" w14:textId="77777777" w:rsidR="008C3A32" w:rsidRDefault="008C3A32" w:rsidP="00163868">
            <w:pPr>
              <w:pStyle w:val="Marginlie"/>
            </w:pPr>
          </w:p>
        </w:tc>
        <w:tc>
          <w:tcPr>
            <w:tcW w:w="223" w:type="dxa"/>
            <w:vMerge w:val="restart"/>
            <w:shd w:val="clear" w:color="auto" w:fill="auto"/>
            <w:tcMar>
              <w:left w:w="0" w:type="dxa"/>
            </w:tcMar>
          </w:tcPr>
          <w:p w14:paraId="3F80E9C2" w14:textId="77777777" w:rsidR="008C3A32" w:rsidRDefault="008C3A32" w:rsidP="00163868">
            <w:pPr>
              <w:pStyle w:val="Textpoznpodarou"/>
              <w:jc w:val="both"/>
              <w:rPr>
                <w:spacing w:val="-4"/>
              </w:rPr>
            </w:pPr>
          </w:p>
        </w:tc>
        <w:tc>
          <w:tcPr>
            <w:tcW w:w="7610" w:type="dxa"/>
            <w:shd w:val="clear" w:color="auto" w:fill="auto"/>
            <w:tcMar>
              <w:left w:w="0" w:type="dxa"/>
            </w:tcMar>
          </w:tcPr>
          <w:p w14:paraId="4F947BF6" w14:textId="77777777" w:rsidR="008C3A32" w:rsidRDefault="008C3A32" w:rsidP="00163868">
            <w:pPr>
              <w:spacing w:after="0"/>
            </w:pPr>
            <w:r w:rsidRPr="00D721B4">
              <w:rPr>
                <w:b/>
                <w:szCs w:val="20"/>
              </w:rPr>
              <w:t>Graf č. 2</w:t>
            </w:r>
            <w:r>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8C3A32" w:rsidRPr="009110F7" w14:paraId="60D37CA8" w14:textId="77777777" w:rsidTr="52944939">
        <w:trPr>
          <w:trHeight w:val="154"/>
        </w:trPr>
        <w:tc>
          <w:tcPr>
            <w:tcW w:w="1806" w:type="dxa"/>
            <w:vMerge/>
            <w:tcMar>
              <w:left w:w="0" w:type="dxa"/>
            </w:tcMar>
          </w:tcPr>
          <w:p w14:paraId="3CCE8FA2" w14:textId="77777777" w:rsidR="008C3A32" w:rsidRDefault="008C3A32" w:rsidP="00163868">
            <w:pPr>
              <w:pStyle w:val="Marginlie"/>
            </w:pPr>
          </w:p>
        </w:tc>
        <w:tc>
          <w:tcPr>
            <w:tcW w:w="223" w:type="dxa"/>
            <w:vMerge/>
            <w:tcMar>
              <w:left w:w="0" w:type="dxa"/>
            </w:tcMar>
          </w:tcPr>
          <w:p w14:paraId="5B691064" w14:textId="77777777" w:rsidR="008C3A32" w:rsidRDefault="008C3A32" w:rsidP="00163868">
            <w:pPr>
              <w:pStyle w:val="Textpoznpodarou"/>
              <w:jc w:val="both"/>
              <w:rPr>
                <w:spacing w:val="-4"/>
              </w:rPr>
            </w:pPr>
          </w:p>
        </w:tc>
        <w:tc>
          <w:tcPr>
            <w:tcW w:w="7610" w:type="dxa"/>
            <w:shd w:val="clear" w:color="auto" w:fill="auto"/>
            <w:tcMar>
              <w:left w:w="0" w:type="dxa"/>
            </w:tcMar>
          </w:tcPr>
          <w:p w14:paraId="68A6C4A9" w14:textId="77777777" w:rsidR="008C3A32" w:rsidRDefault="008C3A32" w:rsidP="00163868">
            <w:pPr>
              <w:spacing w:after="0"/>
            </w:pPr>
            <w:r>
              <w:rPr>
                <w:noProof/>
              </w:rPr>
              <w:drawing>
                <wp:inline distT="0" distB="0" distL="0" distR="0" wp14:anchorId="7E19DD0D" wp14:editId="414247EA">
                  <wp:extent cx="4737600" cy="3553200"/>
                  <wp:effectExtent l="0" t="0" r="6350" b="0"/>
                  <wp:docPr id="8" name="Graf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C3A32" w:rsidRPr="009110F7" w14:paraId="1170B150" w14:textId="77777777" w:rsidTr="52944939">
        <w:trPr>
          <w:trHeight w:val="154"/>
        </w:trPr>
        <w:tc>
          <w:tcPr>
            <w:tcW w:w="1806" w:type="dxa"/>
            <w:vMerge/>
            <w:tcMar>
              <w:left w:w="0" w:type="dxa"/>
            </w:tcMar>
          </w:tcPr>
          <w:p w14:paraId="2C621D23" w14:textId="77777777" w:rsidR="008C3A32" w:rsidRDefault="008C3A32" w:rsidP="00163868">
            <w:pPr>
              <w:pStyle w:val="Marginlie"/>
            </w:pPr>
          </w:p>
        </w:tc>
        <w:tc>
          <w:tcPr>
            <w:tcW w:w="223" w:type="dxa"/>
            <w:vMerge/>
            <w:tcMar>
              <w:left w:w="0" w:type="dxa"/>
            </w:tcMar>
          </w:tcPr>
          <w:p w14:paraId="4B0494F7" w14:textId="77777777" w:rsidR="008C3A32" w:rsidRDefault="008C3A32" w:rsidP="00163868">
            <w:pPr>
              <w:pStyle w:val="Textpoznpodarou"/>
              <w:jc w:val="both"/>
              <w:rPr>
                <w:spacing w:val="-4"/>
              </w:rPr>
            </w:pPr>
          </w:p>
        </w:tc>
        <w:tc>
          <w:tcPr>
            <w:tcW w:w="7610" w:type="dxa"/>
            <w:shd w:val="clear" w:color="auto" w:fill="auto"/>
            <w:tcMar>
              <w:left w:w="0" w:type="dxa"/>
            </w:tcMar>
          </w:tcPr>
          <w:p w14:paraId="09D3ABFD" w14:textId="77777777" w:rsidR="008C3A32" w:rsidRDefault="008C3A32" w:rsidP="00163868">
            <w:pPr>
              <w:spacing w:after="0"/>
              <w:rPr>
                <w:sz w:val="14"/>
                <w:szCs w:val="14"/>
              </w:rPr>
            </w:pPr>
            <w:r>
              <w:rPr>
                <w:sz w:val="14"/>
                <w:szCs w:val="14"/>
              </w:rPr>
              <w:t>Zdroj: ČSÚ</w:t>
            </w:r>
          </w:p>
          <w:p w14:paraId="1879BDBD" w14:textId="77777777" w:rsidR="008C3A32" w:rsidRDefault="008C3A32" w:rsidP="00163868">
            <w:r>
              <w:rPr>
                <w:sz w:val="14"/>
                <w:szCs w:val="14"/>
              </w:rPr>
              <w:t>* po vyloučení dovozu pro konečné užití</w:t>
            </w:r>
          </w:p>
        </w:tc>
      </w:tr>
      <w:tr w:rsidR="008C3A32" w:rsidRPr="009110F7" w14:paraId="31E2C4F9" w14:textId="77777777" w:rsidTr="52944939">
        <w:trPr>
          <w:trHeight w:val="145"/>
        </w:trPr>
        <w:tc>
          <w:tcPr>
            <w:tcW w:w="1806" w:type="dxa"/>
            <w:shd w:val="clear" w:color="auto" w:fill="auto"/>
            <w:tcMar>
              <w:left w:w="0" w:type="dxa"/>
            </w:tcMar>
          </w:tcPr>
          <w:p w14:paraId="2B4EFFA3" w14:textId="77777777" w:rsidR="008C3A32" w:rsidRDefault="008C3A32" w:rsidP="00163868">
            <w:pPr>
              <w:pStyle w:val="Marginlie"/>
            </w:pPr>
            <w:r>
              <w:t>Spotřeba služeb si udržela meziroční růst.</w:t>
            </w:r>
          </w:p>
        </w:tc>
        <w:tc>
          <w:tcPr>
            <w:tcW w:w="223" w:type="dxa"/>
            <w:shd w:val="clear" w:color="auto" w:fill="auto"/>
            <w:tcMar>
              <w:left w:w="0" w:type="dxa"/>
            </w:tcMar>
          </w:tcPr>
          <w:p w14:paraId="10B1E530" w14:textId="77777777" w:rsidR="008C3A32" w:rsidRDefault="008C3A32" w:rsidP="00163868">
            <w:pPr>
              <w:pStyle w:val="Textpoznpodarou"/>
              <w:jc w:val="both"/>
              <w:rPr>
                <w:spacing w:val="-4"/>
              </w:rPr>
            </w:pPr>
          </w:p>
        </w:tc>
        <w:tc>
          <w:tcPr>
            <w:tcW w:w="7610" w:type="dxa"/>
            <w:shd w:val="clear" w:color="auto" w:fill="auto"/>
            <w:tcMar>
              <w:left w:w="0" w:type="dxa"/>
            </w:tcMar>
          </w:tcPr>
          <w:p w14:paraId="13B2152B" w14:textId="77777777" w:rsidR="008C3A32" w:rsidRDefault="008C3A32" w:rsidP="00163868">
            <w:pPr>
              <w:rPr>
                <w:spacing w:val="-2"/>
              </w:rPr>
            </w:pPr>
            <w:r>
              <w:rPr>
                <w:spacing w:val="-2"/>
              </w:rPr>
              <w:t>Z hlediska trvanlivosti</w:t>
            </w:r>
            <w:r>
              <w:rPr>
                <w:rStyle w:val="Znakapoznpodarou"/>
              </w:rPr>
              <w:footnoteReference w:id="11"/>
            </w:r>
            <w:r>
              <w:rPr>
                <w:spacing w:val="-2"/>
              </w:rPr>
              <w:t xml:space="preserve"> loni nejvíce klesla poptávka po předmětech dlouhodobé spotřeby (−10,4 %). To odpovídá obvyklému chování spotřebitelů, kteří v období nejistoty právě v této oblasti omezují výdaje. Druhý největší pokles ale měla spotřeba netrvanlivého zboží (−5,6 %), což je velmi netypické a poukazuje to na omezování výdajů v oblasti nezbytných statků, jako jsou například potraviny. Spotřeba statků střednědobé trvanlivosti byla nižší o 1,6 %. Naopak u služeb loni posílil přírůstek spotřeby na 7,1 %. Ve 4. čtvrtletí se výdaje na předměty dlouhodobé spotřeby meziročně snížily o 16,4 %, střednědobé o 13,2 % a krátkodobé o 7,9 %. Spotřeba služeb si meziroční růst držela po celý rok a ve 4. kvartálu se zvýšila o 2,7 %. Oproti 3. čtvrtletí klesala pouze spotřeba netrvanlivých statků (−3,6 %), přičemž se propad prohluboval. Nejvíce mezičtvrtletně rostla spotřeba služeb (2,3 %) a dále předmětů dlouhodobé spotřeby (1,7 %). U střednědobé spotřeby došlo ke stagnaci (0,3 %) po sérii čtyř hlubokých propadů.</w:t>
            </w:r>
          </w:p>
        </w:tc>
      </w:tr>
      <w:tr w:rsidR="008C3A32" w:rsidRPr="009110F7" w14:paraId="5C5F7992" w14:textId="77777777" w:rsidTr="52944939">
        <w:trPr>
          <w:trHeight w:val="145"/>
        </w:trPr>
        <w:tc>
          <w:tcPr>
            <w:tcW w:w="1806" w:type="dxa"/>
            <w:shd w:val="clear" w:color="auto" w:fill="auto"/>
            <w:tcMar>
              <w:left w:w="0" w:type="dxa"/>
            </w:tcMar>
          </w:tcPr>
          <w:p w14:paraId="63AB60B1" w14:textId="77777777" w:rsidR="008C3A32" w:rsidRDefault="008C3A32" w:rsidP="00163868">
            <w:pPr>
              <w:pStyle w:val="Marginlie"/>
            </w:pPr>
            <w:r>
              <w:t>Investice loni rostly.</w:t>
            </w:r>
          </w:p>
        </w:tc>
        <w:tc>
          <w:tcPr>
            <w:tcW w:w="223" w:type="dxa"/>
            <w:shd w:val="clear" w:color="auto" w:fill="auto"/>
            <w:tcMar>
              <w:left w:w="0" w:type="dxa"/>
            </w:tcMar>
          </w:tcPr>
          <w:p w14:paraId="40A95725" w14:textId="77777777" w:rsidR="008C3A32" w:rsidRDefault="008C3A32" w:rsidP="00163868">
            <w:pPr>
              <w:pStyle w:val="Textpoznpodarou"/>
              <w:jc w:val="both"/>
              <w:rPr>
                <w:spacing w:val="-4"/>
              </w:rPr>
            </w:pPr>
          </w:p>
        </w:tc>
        <w:tc>
          <w:tcPr>
            <w:tcW w:w="7610" w:type="dxa"/>
            <w:shd w:val="clear" w:color="auto" w:fill="auto"/>
            <w:tcMar>
              <w:left w:w="0" w:type="dxa"/>
            </w:tcMar>
          </w:tcPr>
          <w:p w14:paraId="3B80EF0C" w14:textId="77777777" w:rsidR="008C3A32" w:rsidRDefault="008C3A32" w:rsidP="00163868">
            <w:r>
              <w:rPr>
                <w:spacing w:val="-2"/>
              </w:rPr>
              <w:t>Výdaje na tvorbu hrubého kapitálu loni reálně vzrostly o 8,4 %. Z toho výdaje na tvorbu hrubého fixního kapitálu (investice) byly vyšší o 6,2 %. Dále narůstaly i zásoby</w:t>
            </w:r>
            <w:r>
              <w:rPr>
                <w:rStyle w:val="Znakapoznpodarou"/>
              </w:rPr>
              <w:footnoteReference w:id="12"/>
            </w:r>
            <w:r>
              <w:rPr>
                <w:spacing w:val="-2"/>
              </w:rPr>
              <w:t xml:space="preserve"> – </w:t>
            </w:r>
            <w:r>
              <w:rPr>
                <w:spacing w:val="-2"/>
              </w:rPr>
              <w:lastRenderedPageBreak/>
              <w:t xml:space="preserve">zatímco v roce 2021 šlo hlavně o nedokončené výrobky v průmyslu, loni mělo vliv také zásobení se zemním plynem. K loňskému přírůstku HDP tvorba hrubého kapitálu přispěla 2,3 p. b., z toho fixní kapitál 1,4 p. b. Meziroční růst výdajů na tvorbu hrubého kapitálu během roku postupně slábnul – ve 4. čtvrtletí dosáhl přírůstek 2,6 %. Z toho ale investice vzrostly o 4,6 %. Mezičtvrtletně ale došlo k poklesu tvorby hrubého kapitálu o 1,3 % (druhé snížení v řadě). Investiční aktivita mezičtvrtletně klesla poprvé od 1. čtvrtletí, a to o 1,1 %.       </w:t>
            </w:r>
          </w:p>
        </w:tc>
      </w:tr>
      <w:tr w:rsidR="008C3A32" w:rsidRPr="009110F7" w14:paraId="1D0DFB42" w14:textId="77777777" w:rsidTr="52944939">
        <w:trPr>
          <w:trHeight w:val="145"/>
        </w:trPr>
        <w:tc>
          <w:tcPr>
            <w:tcW w:w="1806" w:type="dxa"/>
            <w:shd w:val="clear" w:color="auto" w:fill="auto"/>
            <w:tcMar>
              <w:left w:w="0" w:type="dxa"/>
            </w:tcMar>
          </w:tcPr>
          <w:p w14:paraId="55C7CA8D" w14:textId="77777777" w:rsidR="008C3A32" w:rsidRDefault="008C3A32" w:rsidP="00163868">
            <w:pPr>
              <w:pStyle w:val="Marginlie"/>
            </w:pPr>
            <w:r>
              <w:lastRenderedPageBreak/>
              <w:t>Klesaly investice do obydlí.</w:t>
            </w:r>
          </w:p>
        </w:tc>
        <w:tc>
          <w:tcPr>
            <w:tcW w:w="223" w:type="dxa"/>
            <w:shd w:val="clear" w:color="auto" w:fill="auto"/>
            <w:tcMar>
              <w:left w:w="0" w:type="dxa"/>
            </w:tcMar>
          </w:tcPr>
          <w:p w14:paraId="6CB26E5E" w14:textId="77777777" w:rsidR="008C3A32" w:rsidRDefault="008C3A32" w:rsidP="00163868">
            <w:pPr>
              <w:pStyle w:val="Textpoznpodarou"/>
              <w:jc w:val="both"/>
              <w:rPr>
                <w:spacing w:val="-4"/>
              </w:rPr>
            </w:pPr>
          </w:p>
        </w:tc>
        <w:tc>
          <w:tcPr>
            <w:tcW w:w="7610" w:type="dxa"/>
            <w:shd w:val="clear" w:color="auto" w:fill="auto"/>
            <w:tcMar>
              <w:left w:w="0" w:type="dxa"/>
            </w:tcMar>
          </w:tcPr>
          <w:p w14:paraId="1441029D" w14:textId="332A8354" w:rsidR="008C3A32" w:rsidRDefault="008C3A32" w:rsidP="00163868">
            <w:r>
              <w:rPr>
                <w:spacing w:val="-2"/>
              </w:rPr>
              <w:t>Věcné členění tvorby hrubého fixního kapitálu dokládá obavy domácností a propad trhu s nemovitostmi související s nárůstem úrokových sazeb a zhoršením dostupnosti hypoték. Investice do obydlí se totiž loni snížily o 1,2 %. Vedle toho ale rostly investice do dopravních prostředků a zařízení (14,9 %), ostatních budov a staveb (8,9 %), produktů duševního vlastnictví (6,3 %) i ICT a ostatních strojů a zařízení (5,9 %). Meziroční vývoj ve 4. čtvrtletí se tomu celoročnímu podobal – investice do obydlí jako jediné klesly o</w:t>
            </w:r>
            <w:r w:rsidR="00F53917">
              <w:rPr>
                <w:spacing w:val="-2"/>
              </w:rPr>
              <w:t> </w:t>
            </w:r>
            <w:r>
              <w:rPr>
                <w:spacing w:val="-2"/>
              </w:rPr>
              <w:t>4,7 %, ale růst ostatních investičních položek trval. Výdaje na produkty duševního vlastnictví tak byly meziročně vyšší o 9,7 %, na ICT a ostatní stroje a zařízení o 7,6 %, na ostatní budovy a stavby o 4,7 % a dopravní prostředky a zařízení o 2,6 %. Mezičtvrtletní dynamika ale ukazuje, že v závěru roku výrazně zpomalily investice do ostatních budov a staveb (−7,3 %) i dopravních prostředků a zařízení (−4,0 %). Mírně nižší byly výdaje na obydlí (−0,7 %). Mezičtvrtletně rostly naopak investice do produktů duševního vlastnictví (5,5 %) a ICT a ostatních strojů a zařízení (0,6 %).</w:t>
            </w:r>
          </w:p>
        </w:tc>
      </w:tr>
      <w:tr w:rsidR="008C3A32" w:rsidRPr="009110F7" w14:paraId="648559DB" w14:textId="77777777" w:rsidTr="52944939">
        <w:trPr>
          <w:trHeight w:val="145"/>
        </w:trPr>
        <w:tc>
          <w:tcPr>
            <w:tcW w:w="1806" w:type="dxa"/>
            <w:shd w:val="clear" w:color="auto" w:fill="auto"/>
            <w:tcMar>
              <w:left w:w="0" w:type="dxa"/>
            </w:tcMar>
          </w:tcPr>
          <w:p w14:paraId="3C6CCB9F" w14:textId="77777777" w:rsidR="008C3A32" w:rsidRDefault="008C3A32" w:rsidP="00163868">
            <w:pPr>
              <w:pStyle w:val="Marginlie"/>
            </w:pPr>
            <w:r>
              <w:t>Zahraniční poptávka loni přispěla k růstu HDP.</w:t>
            </w:r>
          </w:p>
        </w:tc>
        <w:tc>
          <w:tcPr>
            <w:tcW w:w="223" w:type="dxa"/>
            <w:shd w:val="clear" w:color="auto" w:fill="auto"/>
            <w:tcMar>
              <w:left w:w="0" w:type="dxa"/>
            </w:tcMar>
          </w:tcPr>
          <w:p w14:paraId="34CC78E4" w14:textId="77777777" w:rsidR="008C3A32" w:rsidRDefault="008C3A32" w:rsidP="00163868">
            <w:pPr>
              <w:pStyle w:val="Textpoznpodarou"/>
              <w:jc w:val="both"/>
              <w:rPr>
                <w:spacing w:val="-4"/>
              </w:rPr>
            </w:pPr>
          </w:p>
        </w:tc>
        <w:tc>
          <w:tcPr>
            <w:tcW w:w="7610" w:type="dxa"/>
            <w:shd w:val="clear" w:color="auto" w:fill="auto"/>
            <w:tcMar>
              <w:left w:w="0" w:type="dxa"/>
            </w:tcMar>
          </w:tcPr>
          <w:p w14:paraId="23468C69" w14:textId="77777777" w:rsidR="008C3A32" w:rsidRDefault="008C3A32" w:rsidP="00163868">
            <w:r>
              <w:t>Vývoz zboží a služeb v roce 2022 reálně vzrostl o 5,7 %</w:t>
            </w:r>
            <w:r w:rsidRPr="009110F7">
              <w:rPr>
                <w:rStyle w:val="Znakapoznpodarou"/>
              </w:rPr>
              <w:footnoteReference w:id="13"/>
            </w:r>
            <w:r>
              <w:t>. Z toho se export zboží zvýšil o 3,8 %, zatímco u služeb došlo k výraznému navýšení o 16,7 %. Dovoz byl loni také reálně vyšší o 5,7 %. Přírůstek importu zboží byl mírný (2,6 %), ale službám se dařilo dohánět pandemický propad (26,9 %). Zahraniční poptávka na reálný růst HDP loni působila pozitivně (příspěvek 0,6 p. b.). Celková bilance zahraničního obchodu se zbožím a službami v běžných cenách se loni zhoršila o 187,6 mld. korun a spadla do deficitu 8,3 mld., prvního od roku 2003. Stál za tím zejména obchod se zbožím (celkový deficit 100,4 mld. korun, zhoršení o 170,6 mld.), ale nepříznivým směrem se vyvíjelo také saldo obchodu se službami (zhoršení přebytku o 17,0 mld. korun na 92,1 mld.). Klíčový vliv na dramatické zhoršení bilance mělo prudké zvýšení cen ropy a zemního plynu i dalších surovin, které se dále přenášelo na ceny dalšího zboží.</w:t>
            </w:r>
          </w:p>
        </w:tc>
      </w:tr>
      <w:tr w:rsidR="008C3A32" w:rsidRPr="009110F7" w14:paraId="6956BC7C" w14:textId="77777777" w:rsidTr="52944939">
        <w:trPr>
          <w:trHeight w:val="145"/>
        </w:trPr>
        <w:tc>
          <w:tcPr>
            <w:tcW w:w="1806" w:type="dxa"/>
            <w:shd w:val="clear" w:color="auto" w:fill="auto"/>
            <w:tcMar>
              <w:left w:w="0" w:type="dxa"/>
            </w:tcMar>
          </w:tcPr>
          <w:p w14:paraId="6AD50BDC" w14:textId="77777777" w:rsidR="008C3A32" w:rsidRDefault="008C3A32" w:rsidP="00163868">
            <w:pPr>
              <w:pStyle w:val="Marginlie"/>
            </w:pPr>
            <w:r>
              <w:t>Bilance zahraničního obchodu se meziročně zhoršila.</w:t>
            </w:r>
          </w:p>
        </w:tc>
        <w:tc>
          <w:tcPr>
            <w:tcW w:w="223" w:type="dxa"/>
            <w:shd w:val="clear" w:color="auto" w:fill="auto"/>
            <w:tcMar>
              <w:left w:w="0" w:type="dxa"/>
            </w:tcMar>
          </w:tcPr>
          <w:p w14:paraId="0A34E6F1" w14:textId="77777777" w:rsidR="008C3A32" w:rsidRDefault="008C3A32" w:rsidP="00163868">
            <w:pPr>
              <w:pStyle w:val="Textpoznpodarou"/>
              <w:jc w:val="both"/>
              <w:rPr>
                <w:spacing w:val="-4"/>
              </w:rPr>
            </w:pPr>
          </w:p>
        </w:tc>
        <w:tc>
          <w:tcPr>
            <w:tcW w:w="7610" w:type="dxa"/>
            <w:shd w:val="clear" w:color="auto" w:fill="auto"/>
            <w:tcMar>
              <w:left w:w="0" w:type="dxa"/>
            </w:tcMar>
          </w:tcPr>
          <w:p w14:paraId="2A8C744F" w14:textId="3320898A" w:rsidR="008C3A32" w:rsidRDefault="008C3A32" w:rsidP="00163868">
            <w:r>
              <w:t xml:space="preserve">Ve 4. čtvrtletí se export zboží a služeb reálně meziročně zvýšil o 9,7 %. Z toho vývoz zboží rostl o 8,2 % a služeb o 18,4 %. Silný meziroční reálný růst exportu souvisel </w:t>
            </w:r>
            <w:r>
              <w:br/>
              <w:t xml:space="preserve">i se slabou srovnávací základnou druhé poloviny roku 2021, kdy exportérům komplikoval situaci vrcholící nedostatek součástek. Dovoz se ve 4. čtvrtletí meziročně zvýšil o 7,6 %. Import zboží byl reálně vyšší o 3,7 %, v případě služeb došlo k prudkému </w:t>
            </w:r>
            <w:r w:rsidR="001C4D8C">
              <w:t>nárůstu</w:t>
            </w:r>
            <w:r>
              <w:t xml:space="preserve"> o 33,3 %. Zahraniční poptávka působila na meziroční růst HDP ve 4. čtvrtletí pozitivně, příspěvek dosáhl 2,4 p. b. Mezičtvrtletně se export zboží </w:t>
            </w:r>
            <w:r>
              <w:br/>
              <w:t xml:space="preserve">a služeb ve 4. čtvrtletí reálně zvýšil o 0,5 % – u zboží vývoz klesl o 0,8 %, zatímco službám se dařilo (růst o 7,5 %). Import mezičtvrtletně stagnoval – dovoz zboží klesl </w:t>
            </w:r>
            <w:r>
              <w:br/>
              <w:t xml:space="preserve">o 1,5 %, naopak u služeb přírůstek dosáhl 8,1 %. Celková bilance zahraničního obchodu se zbožím a službami v běžných cenách se ve 4. čtvrtletí meziročně zhoršila o 4,9 mld. korun, zůstala ale přebytková (11,1 mld.). Bilance obchodu se zbožím skončila v deficitu 4,4 mld. korun (meziroční zlepšení o 10,6 mld.). V případě služeb se kladné saldo zhoršilo o 15,6 mld. korun na 15,4 mld.      </w:t>
            </w:r>
          </w:p>
        </w:tc>
      </w:tr>
      <w:tr w:rsidR="008C3A32" w:rsidRPr="009110F7" w14:paraId="064D4BEB" w14:textId="77777777" w:rsidTr="52944939">
        <w:trPr>
          <w:trHeight w:val="145"/>
        </w:trPr>
        <w:tc>
          <w:tcPr>
            <w:tcW w:w="1806" w:type="dxa"/>
            <w:shd w:val="clear" w:color="auto" w:fill="auto"/>
            <w:tcMar>
              <w:left w:w="0" w:type="dxa"/>
            </w:tcMar>
          </w:tcPr>
          <w:p w14:paraId="3F89CD52" w14:textId="77777777" w:rsidR="008C3A32" w:rsidRDefault="008C3A32" w:rsidP="00163868">
            <w:pPr>
              <w:pStyle w:val="Marginlie"/>
            </w:pPr>
            <w:r>
              <w:t>Hrubá přidaná hodnota loni rostla hlavně díky službám.</w:t>
            </w:r>
          </w:p>
        </w:tc>
        <w:tc>
          <w:tcPr>
            <w:tcW w:w="223" w:type="dxa"/>
            <w:shd w:val="clear" w:color="auto" w:fill="auto"/>
            <w:tcMar>
              <w:left w:w="0" w:type="dxa"/>
            </w:tcMar>
          </w:tcPr>
          <w:p w14:paraId="24968853" w14:textId="77777777" w:rsidR="008C3A32" w:rsidRDefault="008C3A32" w:rsidP="00163868">
            <w:pPr>
              <w:pStyle w:val="Textpoznpodarou"/>
              <w:jc w:val="both"/>
              <w:rPr>
                <w:spacing w:val="-4"/>
              </w:rPr>
            </w:pPr>
          </w:p>
        </w:tc>
        <w:tc>
          <w:tcPr>
            <w:tcW w:w="7610" w:type="dxa"/>
            <w:shd w:val="clear" w:color="auto" w:fill="auto"/>
            <w:tcMar>
              <w:left w:w="0" w:type="dxa"/>
            </w:tcMar>
          </w:tcPr>
          <w:p w14:paraId="3DF8A135" w14:textId="3BCE0A07" w:rsidR="008C3A32" w:rsidRPr="00F93F2C" w:rsidRDefault="008C3A32" w:rsidP="00000994">
            <w:r>
              <w:t xml:space="preserve">Hrubá přidaná hodnota (HPH) v roce 2022 vzrostla o 2,5 %. K růstu přispívaly hlavně služby, zatímco v průmyslu přetrvávaly různé problémy – přerušení dodávek součástek </w:t>
            </w:r>
            <w:r>
              <w:lastRenderedPageBreak/>
              <w:t>nebo růst cen energií a surovin. Nejvíce se HPH zvýšila v ostatních činnostech (9,5 %), kde se na přírůstku projevila nízká základna první poloviny roku 2021. Výrazné bylo navýšení v informačních a komunikačních činnostech (5,0 %), profesních, vědeckých, technických a administrativních činnostech (3,6 %) a v uskupení obchod, doprava, ubytování a pohostinství (3,4 %). Hrubá přidaná hodnota rostla i ve zpracovatelském průmyslu (2,9 %), průmysl jako celek ale rostl mírněji (1,6 %). Po dvou propadech loni rostly i činnosti v oblasti nemovitostí (2,9 %). Mírné bylo navýšení HPH ve stavebnictví (1,9 %), peněžnictví a pojišťovnictví (1,6 %) a odvětvích s převahou vládních institucí (1,2 %). Pokles zaznamenalo jen zemědělství, lesnictví a rybářství (</w:t>
            </w:r>
            <w:r w:rsidR="00000994">
              <w:t xml:space="preserve">−2,4 </w:t>
            </w:r>
            <w:r>
              <w:t xml:space="preserve">%).    </w:t>
            </w:r>
          </w:p>
        </w:tc>
      </w:tr>
      <w:tr w:rsidR="008C3A32" w:rsidRPr="009110F7" w14:paraId="7E78BA1B" w14:textId="77777777" w:rsidTr="52944939">
        <w:trPr>
          <w:trHeight w:val="145"/>
        </w:trPr>
        <w:tc>
          <w:tcPr>
            <w:tcW w:w="1806" w:type="dxa"/>
            <w:shd w:val="clear" w:color="auto" w:fill="auto"/>
            <w:tcMar>
              <w:left w:w="0" w:type="dxa"/>
            </w:tcMar>
          </w:tcPr>
          <w:p w14:paraId="5E662BCB" w14:textId="77777777" w:rsidR="008C3A32" w:rsidRDefault="008C3A32" w:rsidP="00163868">
            <w:pPr>
              <w:pStyle w:val="Marginlie"/>
            </w:pPr>
            <w:r>
              <w:lastRenderedPageBreak/>
              <w:t xml:space="preserve">Na konci roku se výrazně oživil růst HPH ve zpracovatelském průmyslu. </w:t>
            </w:r>
          </w:p>
        </w:tc>
        <w:tc>
          <w:tcPr>
            <w:tcW w:w="223" w:type="dxa"/>
            <w:shd w:val="clear" w:color="auto" w:fill="auto"/>
            <w:tcMar>
              <w:left w:w="0" w:type="dxa"/>
            </w:tcMar>
          </w:tcPr>
          <w:p w14:paraId="10AAF825" w14:textId="77777777" w:rsidR="008C3A32" w:rsidRDefault="008C3A32" w:rsidP="00163868">
            <w:pPr>
              <w:pStyle w:val="Textpoznpodarou"/>
              <w:jc w:val="both"/>
              <w:rPr>
                <w:spacing w:val="-4"/>
              </w:rPr>
            </w:pPr>
          </w:p>
        </w:tc>
        <w:tc>
          <w:tcPr>
            <w:tcW w:w="7610" w:type="dxa"/>
            <w:shd w:val="clear" w:color="auto" w:fill="auto"/>
            <w:tcMar>
              <w:left w:w="0" w:type="dxa"/>
            </w:tcMar>
          </w:tcPr>
          <w:p w14:paraId="09FE5E6A" w14:textId="77777777" w:rsidR="008C3A32" w:rsidRDefault="008C3A32" w:rsidP="00163868">
            <w:r>
              <w:t xml:space="preserve">Ve 4. čtvrtletí HPH meziročně vzrostla o 1,0 % a mezičtvrtletně se zvýšila o 0,3 %. Poměrně výrazný rozdíl mezi dynamikou HDP a HPH ve 4. čtvrtletí byl způsoben reálným poklesem vybraných daní z produktů, který souvisel s propadem spotřeby domácností. Efekt ve stejném směru mělo i zvýšení dotací. Meziročně nejvíce ve 4. čtvrtletí rostla HPH ve zpracovatelském průmyslu (6,0 %), v činnostech v oblasti nemovitostí (5,1 %), v ostatních činnostech (2,7 %) a v informačních a komunikačních činnostech (2,5 %). Jen mírně meziročně rostla HPH v odvětvích s převahou vládních institucí (0,7 %) a v peněžnictví a pojišťovnictví (0,6 %). Meziroční pokles HPH zaznamenalo uskupení obchod, doprava, ubytování a pohostinství (−2,9 %), stavebnictví (−2,8 %), zemědělství, lesnictví a rybářství (−1,4 %) a profesní, vědecké, technické a administrativní činnosti (−0,2 %). Největší nárůst HPH ve srovnání se 3. čtvrtletím měla HPH v peněžnictví a pojišťovnictví (3,6 %), činnostech v oblasti nemovitostí (2,4 %), zpracovatelském průmyslu (1,6 %) a v odvětvích s převahou vládních institucí (1,2 %). K oživení došlo také ve stavebnictví (0,9 %) a zemědělství, lesnictví a rybářství (0,8 %). Mírně rostly ostatní činnosti (0,3 %). Poprvé od 2. čtvrtletí 2020 mezičtvrtletně klesala HPH v informačních a komunikačních činnostech </w:t>
            </w:r>
            <w:r>
              <w:br/>
              <w:t xml:space="preserve">(−1,4 %) a nižší byla i v uskupení obchod, doprava, ubytování a pohostinství </w:t>
            </w:r>
            <w:r>
              <w:br/>
              <w:t>(−0,3 %).</w:t>
            </w:r>
          </w:p>
        </w:tc>
      </w:tr>
      <w:tr w:rsidR="008C3A32" w:rsidRPr="009110F7" w14:paraId="5A9C6CF8" w14:textId="77777777" w:rsidTr="52944939">
        <w:trPr>
          <w:trHeight w:val="170"/>
        </w:trPr>
        <w:tc>
          <w:tcPr>
            <w:tcW w:w="1806" w:type="dxa"/>
            <w:vMerge w:val="restart"/>
            <w:shd w:val="clear" w:color="auto" w:fill="auto"/>
            <w:tcMar>
              <w:left w:w="0" w:type="dxa"/>
            </w:tcMar>
          </w:tcPr>
          <w:p w14:paraId="7888A773" w14:textId="77777777" w:rsidR="008C3A32" w:rsidRDefault="008C3A32" w:rsidP="00163868">
            <w:pPr>
              <w:pStyle w:val="Marginlie"/>
            </w:pPr>
          </w:p>
        </w:tc>
        <w:tc>
          <w:tcPr>
            <w:tcW w:w="223" w:type="dxa"/>
            <w:vMerge w:val="restart"/>
            <w:shd w:val="clear" w:color="auto" w:fill="auto"/>
            <w:tcMar>
              <w:left w:w="0" w:type="dxa"/>
            </w:tcMar>
          </w:tcPr>
          <w:p w14:paraId="2D8CDA8B" w14:textId="77777777" w:rsidR="008C3A32" w:rsidRDefault="008C3A32" w:rsidP="00163868">
            <w:pPr>
              <w:pStyle w:val="Textpoznpodarou"/>
              <w:jc w:val="both"/>
              <w:rPr>
                <w:spacing w:val="-4"/>
              </w:rPr>
            </w:pPr>
          </w:p>
        </w:tc>
        <w:tc>
          <w:tcPr>
            <w:tcW w:w="7610" w:type="dxa"/>
            <w:shd w:val="clear" w:color="auto" w:fill="auto"/>
            <w:tcMar>
              <w:left w:w="0" w:type="dxa"/>
            </w:tcMar>
          </w:tcPr>
          <w:p w14:paraId="0FA8D267" w14:textId="77777777" w:rsidR="008C3A32" w:rsidRPr="00D721B4" w:rsidRDefault="008C3A32" w:rsidP="00163868">
            <w:pPr>
              <w:spacing w:after="0"/>
              <w:rPr>
                <w:szCs w:val="20"/>
              </w:rPr>
            </w:pPr>
            <w:r w:rsidRPr="00D721B4">
              <w:rPr>
                <w:b/>
                <w:szCs w:val="20"/>
              </w:rPr>
              <w:t>Graf č. 3</w:t>
            </w:r>
            <w:r>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8C3A32" w:rsidRPr="009110F7" w14:paraId="179A3007" w14:textId="77777777" w:rsidTr="52944939">
        <w:tblPrEx>
          <w:tblCellMar>
            <w:left w:w="70" w:type="dxa"/>
            <w:right w:w="70" w:type="dxa"/>
          </w:tblCellMar>
        </w:tblPrEx>
        <w:trPr>
          <w:trHeight w:val="170"/>
        </w:trPr>
        <w:tc>
          <w:tcPr>
            <w:tcW w:w="1806" w:type="dxa"/>
            <w:vMerge/>
          </w:tcPr>
          <w:p w14:paraId="3E0D3EBC" w14:textId="77777777" w:rsidR="008C3A32" w:rsidRPr="009110F7" w:rsidRDefault="008C3A32" w:rsidP="00163868">
            <w:pPr>
              <w:pStyle w:val="Marginlie"/>
            </w:pPr>
          </w:p>
        </w:tc>
        <w:tc>
          <w:tcPr>
            <w:tcW w:w="223" w:type="dxa"/>
            <w:vMerge/>
          </w:tcPr>
          <w:p w14:paraId="1D2C8791" w14:textId="77777777" w:rsidR="008C3A32" w:rsidRPr="009110F7" w:rsidRDefault="008C3A32" w:rsidP="00163868">
            <w:pPr>
              <w:pStyle w:val="Textpoznpodarou"/>
              <w:jc w:val="both"/>
              <w:rPr>
                <w:spacing w:val="-4"/>
              </w:rPr>
            </w:pPr>
          </w:p>
        </w:tc>
        <w:tc>
          <w:tcPr>
            <w:tcW w:w="7610" w:type="dxa"/>
            <w:shd w:val="clear" w:color="auto" w:fill="auto"/>
          </w:tcPr>
          <w:p w14:paraId="50599446" w14:textId="77777777" w:rsidR="008C3A32" w:rsidRPr="009110F7" w:rsidRDefault="008C3A32" w:rsidP="00163868">
            <w:pPr>
              <w:spacing w:after="0"/>
            </w:pPr>
            <w:r>
              <w:rPr>
                <w:noProof/>
              </w:rPr>
              <w:drawing>
                <wp:inline distT="0" distB="0" distL="0" distR="0" wp14:anchorId="26CDB027" wp14:editId="3BEBA155">
                  <wp:extent cx="4737600" cy="3486525"/>
                  <wp:effectExtent l="0" t="0" r="6350" b="0"/>
                  <wp:docPr id="12" name="Graf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C3A32" w:rsidRPr="009110F7" w14:paraId="15465E3F" w14:textId="77777777" w:rsidTr="52944939">
        <w:trPr>
          <w:trHeight w:val="170"/>
        </w:trPr>
        <w:tc>
          <w:tcPr>
            <w:tcW w:w="1806" w:type="dxa"/>
            <w:vMerge/>
            <w:tcMar>
              <w:left w:w="0" w:type="dxa"/>
            </w:tcMar>
          </w:tcPr>
          <w:p w14:paraId="113133EB" w14:textId="77777777" w:rsidR="008C3A32" w:rsidRPr="009110F7" w:rsidRDefault="008C3A32" w:rsidP="00163868">
            <w:pPr>
              <w:pStyle w:val="Marginlie"/>
            </w:pPr>
          </w:p>
        </w:tc>
        <w:tc>
          <w:tcPr>
            <w:tcW w:w="223" w:type="dxa"/>
            <w:vMerge/>
            <w:tcMar>
              <w:left w:w="0" w:type="dxa"/>
            </w:tcMar>
          </w:tcPr>
          <w:p w14:paraId="27A17AC4" w14:textId="77777777" w:rsidR="008C3A32" w:rsidRPr="009110F7" w:rsidRDefault="008C3A32" w:rsidP="00163868">
            <w:pPr>
              <w:pStyle w:val="Textpoznpodarou"/>
              <w:jc w:val="both"/>
              <w:rPr>
                <w:spacing w:val="-4"/>
              </w:rPr>
            </w:pPr>
          </w:p>
        </w:tc>
        <w:tc>
          <w:tcPr>
            <w:tcW w:w="7610" w:type="dxa"/>
            <w:shd w:val="clear" w:color="auto" w:fill="auto"/>
            <w:tcMar>
              <w:left w:w="0" w:type="dxa"/>
            </w:tcMar>
          </w:tcPr>
          <w:p w14:paraId="78EF741C" w14:textId="77777777" w:rsidR="008C3A32" w:rsidRPr="009110F7" w:rsidRDefault="008C3A32" w:rsidP="00163868">
            <w:pPr>
              <w:rPr>
                <w:sz w:val="14"/>
                <w:szCs w:val="14"/>
              </w:rPr>
            </w:pPr>
            <w:r w:rsidRPr="00A85DE1">
              <w:rPr>
                <w:sz w:val="14"/>
                <w:szCs w:val="14"/>
              </w:rPr>
              <w:t>Zdroj: ČSÚ</w:t>
            </w:r>
          </w:p>
        </w:tc>
      </w:tr>
    </w:tbl>
    <w:p w14:paraId="689537EA" w14:textId="77777777" w:rsidR="00E87D5B" w:rsidRPr="00ED0F73" w:rsidRDefault="00E87D5B" w:rsidP="00E87D5B">
      <w:pPr>
        <w:pStyle w:val="Nadpis11"/>
      </w:pPr>
      <w:bookmarkStart w:id="25" w:name="_Toc130286018"/>
      <w:bookmarkEnd w:id="14"/>
      <w:r w:rsidRPr="00ED0F73">
        <w:rPr>
          <w:szCs w:val="32"/>
        </w:rPr>
        <w:lastRenderedPageBreak/>
        <w:t>3</w:t>
      </w:r>
      <w:r w:rsidRPr="00ED0F73">
        <w:t>. Výkonnost odvětví</w:t>
      </w:r>
      <w:bookmarkEnd w:id="25"/>
    </w:p>
    <w:p w14:paraId="3F8F0252" w14:textId="77777777" w:rsidR="00E87D5B" w:rsidRPr="00E42054" w:rsidRDefault="00E87D5B" w:rsidP="00E87D5B">
      <w:pPr>
        <w:pStyle w:val="Nadpis11"/>
        <w:rPr>
          <w:b w:val="0"/>
          <w:sz w:val="2"/>
          <w:szCs w:val="2"/>
        </w:rPr>
      </w:pPr>
    </w:p>
    <w:p w14:paraId="6C58D65C" w14:textId="77777777" w:rsidR="00E87D5B" w:rsidRPr="00E42054" w:rsidRDefault="00E87D5B" w:rsidP="00E87D5B">
      <w:pPr>
        <w:pStyle w:val="Nadpis11"/>
        <w:rPr>
          <w:b w:val="0"/>
          <w:sz w:val="2"/>
          <w:szCs w:val="2"/>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55"/>
        <w:gridCol w:w="203"/>
        <w:gridCol w:w="7681"/>
      </w:tblGrid>
      <w:tr w:rsidR="00E87D5B" w:rsidRPr="003D1D6D" w14:paraId="258C5719" w14:textId="77777777" w:rsidTr="008B1850">
        <w:trPr>
          <w:trHeight w:val="145"/>
        </w:trPr>
        <w:tc>
          <w:tcPr>
            <w:tcW w:w="1814" w:type="dxa"/>
            <w:tcBorders>
              <w:top w:val="nil"/>
              <w:left w:val="nil"/>
              <w:bottom w:val="nil"/>
              <w:right w:val="nil"/>
            </w:tcBorders>
            <w:shd w:val="clear" w:color="auto" w:fill="auto"/>
            <w:tcMar>
              <w:left w:w="0" w:type="dxa"/>
            </w:tcMar>
          </w:tcPr>
          <w:p w14:paraId="272467B5" w14:textId="77777777" w:rsidR="00E87D5B" w:rsidRDefault="00E87D5B" w:rsidP="00C8019E">
            <w:pPr>
              <w:pStyle w:val="Marginlie"/>
              <w:rPr>
                <w:color w:val="0D0D0D" w:themeColor="text1" w:themeTint="F2"/>
                <w:spacing w:val="-5"/>
              </w:rPr>
            </w:pPr>
            <w:proofErr w:type="spellStart"/>
            <w:r w:rsidRPr="007E6076">
              <w:rPr>
                <w:color w:val="0D0D0D" w:themeColor="text1" w:themeTint="F2"/>
                <w:spacing w:val="-5"/>
              </w:rPr>
              <w:t>Mezikvartální</w:t>
            </w:r>
            <w:proofErr w:type="spellEnd"/>
            <w:r w:rsidRPr="007E6076">
              <w:rPr>
                <w:color w:val="0D0D0D" w:themeColor="text1" w:themeTint="F2"/>
                <w:spacing w:val="-5"/>
              </w:rPr>
              <w:t xml:space="preserve"> růst celkové</w:t>
            </w:r>
            <w:r>
              <w:rPr>
                <w:color w:val="0D0D0D" w:themeColor="text1" w:themeTint="F2"/>
                <w:spacing w:val="-5"/>
              </w:rPr>
              <w:t xml:space="preserve"> HPH</w:t>
            </w:r>
            <w:r w:rsidRPr="007E6076">
              <w:rPr>
                <w:color w:val="0D0D0D" w:themeColor="text1" w:themeTint="F2"/>
                <w:spacing w:val="-5"/>
              </w:rPr>
              <w:t xml:space="preserve"> se</w:t>
            </w:r>
            <w:r>
              <w:rPr>
                <w:color w:val="0D0D0D" w:themeColor="text1" w:themeTint="F2"/>
                <w:spacing w:val="-5"/>
              </w:rPr>
              <w:t xml:space="preserve"> ve 3. čtvrtletí</w:t>
            </w:r>
            <w:r w:rsidRPr="007E6076">
              <w:rPr>
                <w:color w:val="0D0D0D" w:themeColor="text1" w:themeTint="F2"/>
                <w:spacing w:val="-5"/>
              </w:rPr>
              <w:t xml:space="preserve"> zastavil. Nižší spotřeba domácností poznamenala výkon řady tržních služeb i </w:t>
            </w:r>
            <w:r>
              <w:rPr>
                <w:color w:val="0D0D0D" w:themeColor="text1" w:themeTint="F2"/>
                <w:spacing w:val="-5"/>
              </w:rPr>
              <w:t xml:space="preserve">oblast </w:t>
            </w:r>
            <w:r w:rsidRPr="007E6076">
              <w:rPr>
                <w:color w:val="0D0D0D" w:themeColor="text1" w:themeTint="F2"/>
                <w:spacing w:val="-5"/>
              </w:rPr>
              <w:t xml:space="preserve">energetiky. </w:t>
            </w:r>
          </w:p>
          <w:p w14:paraId="3AAB4DF7" w14:textId="77777777" w:rsidR="00E87D5B" w:rsidRDefault="00E87D5B" w:rsidP="00C8019E">
            <w:pPr>
              <w:pStyle w:val="Marginlie"/>
              <w:rPr>
                <w:color w:val="0D0D0D" w:themeColor="text1" w:themeTint="F2"/>
                <w:spacing w:val="-5"/>
              </w:rPr>
            </w:pPr>
          </w:p>
          <w:p w14:paraId="58DAD3F2" w14:textId="77777777" w:rsidR="00E87D5B" w:rsidRDefault="00E87D5B" w:rsidP="00C8019E">
            <w:pPr>
              <w:pStyle w:val="Marginlie"/>
              <w:rPr>
                <w:color w:val="0D0D0D" w:themeColor="text1" w:themeTint="F2"/>
                <w:spacing w:val="-5"/>
              </w:rPr>
            </w:pPr>
          </w:p>
          <w:p w14:paraId="5E01D53C" w14:textId="77777777" w:rsidR="00E87D5B" w:rsidRDefault="00E87D5B" w:rsidP="00C8019E">
            <w:pPr>
              <w:pStyle w:val="Marginlie"/>
              <w:rPr>
                <w:color w:val="0D0D0D" w:themeColor="text1" w:themeTint="F2"/>
                <w:spacing w:val="-5"/>
              </w:rPr>
            </w:pPr>
          </w:p>
          <w:p w14:paraId="075E5556" w14:textId="77777777" w:rsidR="00E87D5B" w:rsidRDefault="00E87D5B" w:rsidP="00C8019E">
            <w:pPr>
              <w:pStyle w:val="Marginlie"/>
              <w:rPr>
                <w:color w:val="0D0D0D" w:themeColor="text1" w:themeTint="F2"/>
                <w:spacing w:val="-5"/>
              </w:rPr>
            </w:pPr>
          </w:p>
          <w:p w14:paraId="48FC855B" w14:textId="77777777" w:rsidR="00E87D5B" w:rsidRPr="007E6076" w:rsidRDefault="00E87D5B" w:rsidP="00C8019E">
            <w:pPr>
              <w:pStyle w:val="Marginlie"/>
              <w:rPr>
                <w:color w:val="0D0D0D" w:themeColor="text1" w:themeTint="F2"/>
                <w:spacing w:val="-5"/>
              </w:rPr>
            </w:pPr>
            <w:r>
              <w:rPr>
                <w:color w:val="0D0D0D" w:themeColor="text1" w:themeTint="F2"/>
                <w:spacing w:val="-5"/>
              </w:rPr>
              <w:t xml:space="preserve">Souhrnný výkon odvětví </w:t>
            </w:r>
            <w:r>
              <w:rPr>
                <w:color w:val="0D0D0D" w:themeColor="text1" w:themeTint="F2"/>
                <w:spacing w:val="-7"/>
              </w:rPr>
              <w:t>v ČR</w:t>
            </w:r>
            <w:r w:rsidRPr="00127A18">
              <w:rPr>
                <w:color w:val="0D0D0D" w:themeColor="text1" w:themeTint="F2"/>
                <w:spacing w:val="-7"/>
              </w:rPr>
              <w:t xml:space="preserve"> zůstával za vrcholem</w:t>
            </w:r>
            <w:r w:rsidRPr="00127A18">
              <w:rPr>
                <w:color w:val="0D0D0D" w:themeColor="text1" w:themeTint="F2"/>
                <w:spacing w:val="-6"/>
              </w:rPr>
              <w:t xml:space="preserve"> </w:t>
            </w:r>
            <w:r>
              <w:rPr>
                <w:color w:val="0D0D0D" w:themeColor="text1" w:themeTint="F2"/>
                <w:spacing w:val="-5"/>
              </w:rPr>
              <w:t>z předpandemické konjunktury.</w:t>
            </w:r>
          </w:p>
        </w:tc>
        <w:tc>
          <w:tcPr>
            <w:tcW w:w="209" w:type="dxa"/>
            <w:tcBorders>
              <w:top w:val="nil"/>
              <w:left w:val="nil"/>
              <w:bottom w:val="nil"/>
              <w:right w:val="nil"/>
            </w:tcBorders>
            <w:shd w:val="clear" w:color="auto" w:fill="auto"/>
            <w:tcMar>
              <w:left w:w="0" w:type="dxa"/>
            </w:tcMar>
          </w:tcPr>
          <w:p w14:paraId="1A94C7FB"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58C8AC71" w14:textId="77777777" w:rsidR="00E87D5B" w:rsidRPr="003D1D6D" w:rsidRDefault="00E87D5B" w:rsidP="00C8019E">
            <w:pPr>
              <w:spacing w:after="180"/>
              <w:rPr>
                <w:spacing w:val="-5"/>
              </w:rPr>
            </w:pPr>
            <w:r w:rsidRPr="00487264">
              <w:rPr>
                <w:spacing w:val="-5"/>
              </w:rPr>
              <w:t>Údaje z nabídkové strany ekonomiky stvrzují, že v loňském roce se</w:t>
            </w:r>
            <w:r>
              <w:rPr>
                <w:spacing w:val="-5"/>
              </w:rPr>
              <w:t xml:space="preserve"> tuzemské hospodářství vlivem vnějších šoků nacházelo na sestupné fázi hospodářského cyklu.</w:t>
            </w:r>
            <w:r w:rsidRPr="003D1D6D">
              <w:rPr>
                <w:spacing w:val="-5"/>
              </w:rPr>
              <w:t xml:space="preserve"> </w:t>
            </w:r>
            <w:proofErr w:type="spellStart"/>
            <w:r w:rsidRPr="003D1D6D">
              <w:rPr>
                <w:spacing w:val="-5"/>
              </w:rPr>
              <w:t>Mezikvartální</w:t>
            </w:r>
            <w:proofErr w:type="spellEnd"/>
            <w:r w:rsidRPr="003D1D6D">
              <w:rPr>
                <w:spacing w:val="-5"/>
              </w:rPr>
              <w:t xml:space="preserve"> růst hrubé přidané hodnoty</w:t>
            </w:r>
            <w:r>
              <w:rPr>
                <w:spacing w:val="-5"/>
              </w:rPr>
              <w:t xml:space="preserve"> </w:t>
            </w:r>
            <w:r w:rsidRPr="003D1D6D">
              <w:rPr>
                <w:spacing w:val="-5"/>
              </w:rPr>
              <w:t>(HPH)</w:t>
            </w:r>
            <w:r w:rsidRPr="003D1D6D">
              <w:rPr>
                <w:rStyle w:val="Znakapoznpodarou"/>
                <w:color w:val="0D0D0D" w:themeColor="text1" w:themeTint="F2"/>
                <w:spacing w:val="-5"/>
              </w:rPr>
              <w:footnoteReference w:id="14"/>
            </w:r>
            <w:r w:rsidRPr="003D1D6D">
              <w:rPr>
                <w:spacing w:val="-5"/>
              </w:rPr>
              <w:t xml:space="preserve">, trvající pět čtvrtletí v řadě, se </w:t>
            </w:r>
            <w:r>
              <w:rPr>
                <w:spacing w:val="-5"/>
              </w:rPr>
              <w:t xml:space="preserve">ve 3. čtvrtletí zastavil (–0,2 %) a ani vývoj ve zbývající období roku nepřinesl zásadní pozitivní změnu (+0,3 %). </w:t>
            </w:r>
            <w:r w:rsidRPr="003D1D6D">
              <w:rPr>
                <w:spacing w:val="-5"/>
              </w:rPr>
              <w:t>Zřetelný pokles HPH</w:t>
            </w:r>
            <w:r>
              <w:rPr>
                <w:spacing w:val="-5"/>
              </w:rPr>
              <w:t xml:space="preserve"> </w:t>
            </w:r>
            <w:r w:rsidRPr="003D1D6D">
              <w:rPr>
                <w:spacing w:val="-5"/>
              </w:rPr>
              <w:t xml:space="preserve">postihl </w:t>
            </w:r>
            <w:r>
              <w:rPr>
                <w:spacing w:val="-5"/>
              </w:rPr>
              <w:t xml:space="preserve">loni ve 2. pololetí </w:t>
            </w:r>
            <w:r w:rsidRPr="003D1D6D">
              <w:rPr>
                <w:spacing w:val="-5"/>
              </w:rPr>
              <w:t xml:space="preserve">váhově významný segment služeb – obchod, doprava, ubytování a </w:t>
            </w:r>
            <w:r>
              <w:rPr>
                <w:spacing w:val="-5"/>
              </w:rPr>
              <w:t>pohostinství. To souviselo s prohlubujícím se útlum</w:t>
            </w:r>
            <w:r w:rsidRPr="003D1D6D">
              <w:rPr>
                <w:spacing w:val="-5"/>
              </w:rPr>
              <w:t>em spotřeby domácností</w:t>
            </w:r>
            <w:r>
              <w:rPr>
                <w:spacing w:val="-5"/>
              </w:rPr>
              <w:t xml:space="preserve">. </w:t>
            </w:r>
            <w:proofErr w:type="spellStart"/>
            <w:r>
              <w:rPr>
                <w:spacing w:val="-5"/>
              </w:rPr>
              <w:t>Mezikvartální</w:t>
            </w:r>
            <w:proofErr w:type="spellEnd"/>
            <w:r>
              <w:rPr>
                <w:spacing w:val="-5"/>
              </w:rPr>
              <w:t xml:space="preserve"> vývoj HPH po většinu roku negativně ovlivňovaly i nižší spotřební v</w:t>
            </w:r>
            <w:r w:rsidRPr="00C16CDB">
              <w:rPr>
                <w:spacing w:val="-5"/>
              </w:rPr>
              <w:t>ýdaje vládních institucí</w:t>
            </w:r>
            <w:r>
              <w:rPr>
                <w:spacing w:val="-5"/>
              </w:rPr>
              <w:t xml:space="preserve">. Postpandemické oživení se zastavilo také v řadě služeb pro podniky či ve stavebnictví. Úspory domácností i firem se na konci roku odrazily i ve sníženém výkonu v odvětví energetiky. Naopak zpracovatelský průmysl i přes kolísavý vývoj řady oborů po většinu loňského roku působil na celou ekonomiku </w:t>
            </w:r>
            <w:proofErr w:type="spellStart"/>
            <w:r>
              <w:rPr>
                <w:spacing w:val="-5"/>
              </w:rPr>
              <w:t>prorůstově</w:t>
            </w:r>
            <w:proofErr w:type="spellEnd"/>
            <w:r>
              <w:rPr>
                <w:spacing w:val="-5"/>
              </w:rPr>
              <w:t>, obdobné platilo i pro veřejné služby</w:t>
            </w:r>
            <w:r>
              <w:rPr>
                <w:rStyle w:val="Znakapoznpodarou"/>
                <w:spacing w:val="-4"/>
              </w:rPr>
              <w:footnoteReference w:id="15"/>
            </w:r>
            <w:r>
              <w:rPr>
                <w:spacing w:val="-5"/>
              </w:rPr>
              <w:t xml:space="preserve">. </w:t>
            </w:r>
            <w:r w:rsidRPr="003D1D6D">
              <w:rPr>
                <w:color w:val="0D0D0D" w:themeColor="text1" w:themeTint="F2"/>
                <w:spacing w:val="-5"/>
              </w:rPr>
              <w:t>Výk</w:t>
            </w:r>
            <w:r>
              <w:rPr>
                <w:color w:val="0D0D0D" w:themeColor="text1" w:themeTint="F2"/>
                <w:spacing w:val="-5"/>
              </w:rPr>
              <w:t>on všech</w:t>
            </w:r>
            <w:r w:rsidRPr="003D1D6D">
              <w:rPr>
                <w:color w:val="0D0D0D" w:themeColor="text1" w:themeTint="F2"/>
                <w:spacing w:val="-5"/>
              </w:rPr>
              <w:t xml:space="preserve"> odvětví </w:t>
            </w:r>
            <w:r>
              <w:rPr>
                <w:color w:val="0D0D0D" w:themeColor="text1" w:themeTint="F2"/>
                <w:spacing w:val="-5"/>
              </w:rPr>
              <w:t xml:space="preserve">tuzemské </w:t>
            </w:r>
            <w:r>
              <w:rPr>
                <w:color w:val="0D0D0D" w:themeColor="text1" w:themeTint="F2"/>
                <w:spacing w:val="-6"/>
              </w:rPr>
              <w:t>ekonomiky</w:t>
            </w:r>
            <w:r w:rsidRPr="00025BDC">
              <w:rPr>
                <w:color w:val="0D0D0D" w:themeColor="text1" w:themeTint="F2"/>
                <w:spacing w:val="-6"/>
              </w:rPr>
              <w:t xml:space="preserve"> </w:t>
            </w:r>
            <w:r>
              <w:rPr>
                <w:color w:val="0D0D0D" w:themeColor="text1" w:themeTint="F2"/>
                <w:spacing w:val="-6"/>
              </w:rPr>
              <w:t>dosud své</w:t>
            </w:r>
            <w:r w:rsidRPr="00025BDC">
              <w:rPr>
                <w:color w:val="0D0D0D" w:themeColor="text1" w:themeTint="F2"/>
                <w:spacing w:val="-6"/>
              </w:rPr>
              <w:t xml:space="preserve"> ma</w:t>
            </w:r>
            <w:r>
              <w:rPr>
                <w:color w:val="0D0D0D" w:themeColor="text1" w:themeTint="F2"/>
                <w:spacing w:val="-6"/>
              </w:rPr>
              <w:t>ximum (z konce roku 2019) nepřekonal</w:t>
            </w:r>
            <w:r>
              <w:rPr>
                <w:rStyle w:val="Znakapoznpodarou"/>
                <w:color w:val="0D0D0D" w:themeColor="text1" w:themeTint="F2"/>
                <w:spacing w:val="-6"/>
              </w:rPr>
              <w:footnoteReference w:id="16"/>
            </w:r>
            <w:r>
              <w:rPr>
                <w:color w:val="0D0D0D" w:themeColor="text1" w:themeTint="F2"/>
                <w:spacing w:val="-6"/>
              </w:rPr>
              <w:t xml:space="preserve"> a </w:t>
            </w:r>
            <w:r w:rsidRPr="00025BDC">
              <w:rPr>
                <w:color w:val="0D0D0D" w:themeColor="text1" w:themeTint="F2"/>
                <w:spacing w:val="-6"/>
              </w:rPr>
              <w:t xml:space="preserve">ve </w:t>
            </w:r>
            <w:r>
              <w:rPr>
                <w:color w:val="0D0D0D" w:themeColor="text1" w:themeTint="F2"/>
                <w:spacing w:val="-6"/>
              </w:rPr>
              <w:t>4</w:t>
            </w:r>
            <w:r w:rsidRPr="00025BDC">
              <w:rPr>
                <w:color w:val="0D0D0D" w:themeColor="text1" w:themeTint="F2"/>
                <w:spacing w:val="-6"/>
              </w:rPr>
              <w:t xml:space="preserve">. čtvrtletí za </w:t>
            </w:r>
            <w:r>
              <w:rPr>
                <w:color w:val="0D0D0D" w:themeColor="text1" w:themeTint="F2"/>
                <w:spacing w:val="-6"/>
              </w:rPr>
              <w:t>ním lehce zaostával (o 0,3</w:t>
            </w:r>
            <w:r w:rsidRPr="00025BDC">
              <w:rPr>
                <w:color w:val="0D0D0D" w:themeColor="text1" w:themeTint="F2"/>
                <w:spacing w:val="-6"/>
              </w:rPr>
              <w:t xml:space="preserve"> %).</w:t>
            </w:r>
          </w:p>
        </w:tc>
      </w:tr>
      <w:tr w:rsidR="00E87D5B" w:rsidRPr="003D1D6D" w14:paraId="3E3EBFCF" w14:textId="77777777" w:rsidTr="008B1850">
        <w:trPr>
          <w:trHeight w:val="145"/>
        </w:trPr>
        <w:tc>
          <w:tcPr>
            <w:tcW w:w="1814" w:type="dxa"/>
            <w:tcBorders>
              <w:top w:val="nil"/>
              <w:left w:val="nil"/>
              <w:bottom w:val="nil"/>
              <w:right w:val="nil"/>
            </w:tcBorders>
            <w:shd w:val="clear" w:color="auto" w:fill="auto"/>
            <w:tcMar>
              <w:left w:w="0" w:type="dxa"/>
            </w:tcMar>
          </w:tcPr>
          <w:p w14:paraId="13F63114" w14:textId="77777777" w:rsidR="00E87D5B" w:rsidRDefault="00E87D5B" w:rsidP="00C8019E">
            <w:pPr>
              <w:pStyle w:val="Marginlie"/>
              <w:rPr>
                <w:color w:val="0D0D0D" w:themeColor="text1" w:themeTint="F2"/>
                <w:spacing w:val="-4"/>
              </w:rPr>
            </w:pPr>
            <w:r>
              <w:rPr>
                <w:color w:val="0D0D0D" w:themeColor="text1" w:themeTint="F2"/>
                <w:spacing w:val="-4"/>
              </w:rPr>
              <w:t>I přes sílící problémy přispěl za celý loňský rok k růstu ekonomiky zásadně segment obchod, doprava ubytování a</w:t>
            </w:r>
            <w:r w:rsidRPr="00127A18">
              <w:rPr>
                <w:color w:val="0D0D0D" w:themeColor="text1" w:themeTint="F2"/>
                <w:spacing w:val="-7"/>
              </w:rPr>
              <w:t> </w:t>
            </w:r>
            <w:r>
              <w:rPr>
                <w:color w:val="0D0D0D" w:themeColor="text1" w:themeTint="F2"/>
                <w:spacing w:val="-4"/>
              </w:rPr>
              <w:t>pohostinství.</w:t>
            </w:r>
          </w:p>
          <w:p w14:paraId="66C57B52" w14:textId="77777777" w:rsidR="00E87D5B" w:rsidRDefault="00E87D5B" w:rsidP="00C8019E">
            <w:pPr>
              <w:pStyle w:val="Marginlie"/>
              <w:rPr>
                <w:color w:val="0D0D0D" w:themeColor="text1" w:themeTint="F2"/>
                <w:spacing w:val="-4"/>
              </w:rPr>
            </w:pPr>
          </w:p>
          <w:p w14:paraId="4118D553" w14:textId="77777777" w:rsidR="00E87D5B" w:rsidRDefault="00E87D5B" w:rsidP="00C8019E">
            <w:pPr>
              <w:pStyle w:val="Marginlie"/>
              <w:rPr>
                <w:color w:val="0D0D0D" w:themeColor="text1" w:themeTint="F2"/>
                <w:spacing w:val="-4"/>
              </w:rPr>
            </w:pPr>
          </w:p>
          <w:p w14:paraId="70BCB780" w14:textId="77777777" w:rsidR="00E87D5B" w:rsidRDefault="00E87D5B" w:rsidP="00C8019E">
            <w:pPr>
              <w:pStyle w:val="Marginlie"/>
              <w:rPr>
                <w:color w:val="0D0D0D" w:themeColor="text1" w:themeTint="F2"/>
                <w:spacing w:val="-4"/>
              </w:rPr>
            </w:pPr>
          </w:p>
          <w:p w14:paraId="12D8AE5A" w14:textId="77777777" w:rsidR="00E87D5B" w:rsidRDefault="00E87D5B" w:rsidP="00C8019E">
            <w:pPr>
              <w:pStyle w:val="Marginlie"/>
              <w:rPr>
                <w:color w:val="0D0D0D" w:themeColor="text1" w:themeTint="F2"/>
                <w:spacing w:val="-4"/>
              </w:rPr>
            </w:pPr>
          </w:p>
          <w:p w14:paraId="1DA5681F" w14:textId="77777777" w:rsidR="00E87D5B" w:rsidRDefault="00E87D5B" w:rsidP="00C8019E">
            <w:pPr>
              <w:pStyle w:val="Marginlie"/>
              <w:rPr>
                <w:color w:val="0D0D0D" w:themeColor="text1" w:themeTint="F2"/>
                <w:spacing w:val="-4"/>
              </w:rPr>
            </w:pPr>
            <w:r>
              <w:rPr>
                <w:color w:val="0D0D0D" w:themeColor="text1" w:themeTint="F2"/>
                <w:spacing w:val="-4"/>
              </w:rPr>
              <w:t>Dlouhodobý svižný růst HPH v oblasti ICT na konci roku zvolnil.</w:t>
            </w:r>
          </w:p>
        </w:tc>
        <w:tc>
          <w:tcPr>
            <w:tcW w:w="209" w:type="dxa"/>
            <w:tcBorders>
              <w:top w:val="nil"/>
              <w:left w:val="nil"/>
              <w:bottom w:val="nil"/>
              <w:right w:val="nil"/>
            </w:tcBorders>
            <w:shd w:val="clear" w:color="auto" w:fill="auto"/>
            <w:tcMar>
              <w:left w:w="0" w:type="dxa"/>
            </w:tcMar>
          </w:tcPr>
          <w:p w14:paraId="6D98344B"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031B0295" w14:textId="627FD226" w:rsidR="00E87D5B" w:rsidRPr="003D1D6D" w:rsidRDefault="00E87D5B" w:rsidP="00C8019E">
            <w:pPr>
              <w:spacing w:after="180"/>
              <w:rPr>
                <w:spacing w:val="-5"/>
              </w:rPr>
            </w:pPr>
            <w:r>
              <w:rPr>
                <w:color w:val="0D0D0D" w:themeColor="text1" w:themeTint="F2"/>
                <w:spacing w:val="-4"/>
              </w:rPr>
              <w:t>V meziročním pohledu růst HPH slábl (až na rovné 1 % ve 4. kvartálu 2022), z</w:t>
            </w:r>
            <w:r>
              <w:rPr>
                <w:spacing w:val="-5"/>
              </w:rPr>
              <w:t>a celý rok činil 2,</w:t>
            </w:r>
            <w:r>
              <w:rPr>
                <w:color w:val="0D0D0D" w:themeColor="text1" w:themeTint="F2"/>
                <w:spacing w:val="-4"/>
              </w:rPr>
              <w:t>5 </w:t>
            </w:r>
            <w:r>
              <w:rPr>
                <w:spacing w:val="-5"/>
              </w:rPr>
              <w:t xml:space="preserve">% (po 3,4 % z roku 2021). I přes toto zpomalení přispěla loni k růstu ekonomiky všechna hlavní odvětvová uskupení služeb – nejvýrazněji segment </w:t>
            </w:r>
            <w:r>
              <w:rPr>
                <w:spacing w:val="-4"/>
              </w:rPr>
              <w:t>obchod, doprava, ubytování a </w:t>
            </w:r>
            <w:r w:rsidRPr="00385BD8">
              <w:rPr>
                <w:spacing w:val="-4"/>
              </w:rPr>
              <w:t>pohostinstv</w:t>
            </w:r>
            <w:r>
              <w:rPr>
                <w:spacing w:val="-4"/>
              </w:rPr>
              <w:t xml:space="preserve">í (+0,6 p. b.). </w:t>
            </w:r>
            <w:r w:rsidRPr="00EE408C">
              <w:rPr>
                <w:color w:val="0D0D0D" w:themeColor="text1" w:themeTint="F2"/>
                <w:spacing w:val="-4"/>
              </w:rPr>
              <w:t>Nejdynamičtěji se ovšem zvyšoval výkon v ostatních činnostech služeb</w:t>
            </w:r>
            <w:r w:rsidRPr="00EE408C">
              <w:rPr>
                <w:rStyle w:val="Znakapoznpodarou"/>
                <w:color w:val="0D0D0D" w:themeColor="text1" w:themeTint="F2"/>
                <w:spacing w:val="-4"/>
              </w:rPr>
              <w:footnoteReference w:id="17"/>
            </w:r>
            <w:r>
              <w:rPr>
                <w:color w:val="0D0D0D" w:themeColor="text1" w:themeTint="F2"/>
                <w:spacing w:val="-4"/>
              </w:rPr>
              <w:t xml:space="preserve"> (+9</w:t>
            </w:r>
            <w:r w:rsidRPr="00EE408C">
              <w:rPr>
                <w:color w:val="0D0D0D" w:themeColor="text1" w:themeTint="F2"/>
                <w:spacing w:val="-4"/>
              </w:rPr>
              <w:t xml:space="preserve">,5 %), zčásti vlivem </w:t>
            </w:r>
            <w:r>
              <w:rPr>
                <w:spacing w:val="-4"/>
              </w:rPr>
              <w:t>nízké srovnávací základny z počátku roku 2021, kdy byly tyto služby v důsledku vládních protipandemických restrikcí citelně omezeny. V dlouhodobě prosperujících informačních a komunikačních činnostech se loni HPH navýšila o rovných 5</w:t>
            </w:r>
            <w:r>
              <w:rPr>
                <w:color w:val="0D0D0D" w:themeColor="text1" w:themeTint="F2"/>
                <w:spacing w:val="-4"/>
              </w:rPr>
              <w:t> </w:t>
            </w:r>
            <w:r>
              <w:rPr>
                <w:spacing w:val="-4"/>
              </w:rPr>
              <w:t>% (v</w:t>
            </w:r>
            <w:r>
              <w:rPr>
                <w:color w:val="0D0D0D" w:themeColor="text1" w:themeTint="F2"/>
                <w:spacing w:val="-4"/>
              </w:rPr>
              <w:t> </w:t>
            </w:r>
            <w:r>
              <w:rPr>
                <w:spacing w:val="-4"/>
              </w:rPr>
              <w:t xml:space="preserve">samotném 4. čtvrtletí se růst ztenčil na 2,5 %, což bylo nejméně od konce roku 2016). To souviselo se slábnoucí poptávkou v širším spektru služeb pro podniky. Naopak rozvoj činností v oblasti nemovitostí navzdory útlumu hypotečního trhu po celý rok pokračoval, ve srovnání s rokem 2019 byl ovšem výkon tohoto odvětví na konci roku stále nižší (o 2 %). Mírný, avšak dlouhodobě stabilní růst HPH zaznamenávají veřejné služby (loni 1,2 %). </w:t>
            </w:r>
          </w:p>
        </w:tc>
      </w:tr>
      <w:tr w:rsidR="00E87D5B" w:rsidRPr="008A13E0" w14:paraId="3536519D" w14:textId="77777777" w:rsidTr="008B1850">
        <w:trPr>
          <w:trHeight w:val="145"/>
        </w:trPr>
        <w:tc>
          <w:tcPr>
            <w:tcW w:w="1814" w:type="dxa"/>
            <w:tcBorders>
              <w:top w:val="nil"/>
              <w:left w:val="nil"/>
              <w:bottom w:val="nil"/>
              <w:right w:val="nil"/>
            </w:tcBorders>
            <w:shd w:val="clear" w:color="auto" w:fill="auto"/>
            <w:tcMar>
              <w:left w:w="0" w:type="dxa"/>
            </w:tcMar>
          </w:tcPr>
          <w:p w14:paraId="08512C17" w14:textId="77777777" w:rsidR="00E87D5B" w:rsidRDefault="00E87D5B" w:rsidP="00C8019E">
            <w:pPr>
              <w:pStyle w:val="Marginlie"/>
              <w:rPr>
                <w:color w:val="0D0D0D" w:themeColor="text1" w:themeTint="F2"/>
                <w:spacing w:val="-4"/>
              </w:rPr>
            </w:pPr>
            <w:r>
              <w:rPr>
                <w:color w:val="0D0D0D" w:themeColor="text1" w:themeTint="F2"/>
                <w:spacing w:val="-4"/>
              </w:rPr>
              <w:t xml:space="preserve">Růst HPH ve zpracovatelském průmyslu se na rozdíl od energetiky i stavebnictví udržel i na konci roku 2022. </w:t>
            </w:r>
          </w:p>
          <w:p w14:paraId="2D152834" w14:textId="77777777" w:rsidR="00E87D5B" w:rsidRDefault="00E87D5B" w:rsidP="00C8019E">
            <w:pPr>
              <w:pStyle w:val="Marginlie"/>
              <w:rPr>
                <w:color w:val="0D0D0D" w:themeColor="text1" w:themeTint="F2"/>
                <w:spacing w:val="-4"/>
              </w:rPr>
            </w:pPr>
          </w:p>
          <w:p w14:paraId="1FB40F0F" w14:textId="77777777" w:rsidR="00E87D5B" w:rsidRDefault="00E87D5B" w:rsidP="00C8019E">
            <w:pPr>
              <w:pStyle w:val="Marginlie"/>
              <w:rPr>
                <w:color w:val="0D0D0D" w:themeColor="text1" w:themeTint="F2"/>
                <w:spacing w:val="-4"/>
              </w:rPr>
            </w:pPr>
          </w:p>
          <w:p w14:paraId="59B286D1" w14:textId="77777777" w:rsidR="00E87D5B" w:rsidRDefault="00E87D5B" w:rsidP="00C8019E">
            <w:pPr>
              <w:pStyle w:val="Marginlie"/>
              <w:rPr>
                <w:color w:val="0D0D0D" w:themeColor="text1" w:themeTint="F2"/>
                <w:spacing w:val="-4"/>
              </w:rPr>
            </w:pPr>
          </w:p>
          <w:p w14:paraId="30EAEDFF" w14:textId="77777777" w:rsidR="00E87D5B" w:rsidRDefault="00E87D5B" w:rsidP="00C8019E">
            <w:pPr>
              <w:pStyle w:val="Marginlie"/>
              <w:rPr>
                <w:color w:val="0D0D0D" w:themeColor="text1" w:themeTint="F2"/>
                <w:spacing w:val="-4"/>
              </w:rPr>
            </w:pPr>
            <w:r>
              <w:rPr>
                <w:color w:val="0D0D0D" w:themeColor="text1" w:themeTint="F2"/>
                <w:spacing w:val="-4"/>
              </w:rPr>
              <w:t xml:space="preserve">Pokles živelní těžby dřeva pokračoval druhým rokem v řadě. Úroda obilovin byla opět nadprůměrná. </w:t>
            </w:r>
          </w:p>
          <w:p w14:paraId="3FB922F5" w14:textId="77777777" w:rsidR="00E87D5B" w:rsidRDefault="00E87D5B" w:rsidP="00C8019E">
            <w:pPr>
              <w:pStyle w:val="Marginlie"/>
              <w:rPr>
                <w:color w:val="0D0D0D" w:themeColor="text1" w:themeTint="F2"/>
                <w:spacing w:val="-4"/>
              </w:rPr>
            </w:pPr>
          </w:p>
          <w:p w14:paraId="3C7EEA3E" w14:textId="77777777" w:rsidR="00E87D5B" w:rsidRDefault="00E87D5B" w:rsidP="00C8019E">
            <w:pPr>
              <w:pStyle w:val="Marginlie"/>
              <w:rPr>
                <w:color w:val="0D0D0D" w:themeColor="text1" w:themeTint="F2"/>
                <w:spacing w:val="-4"/>
              </w:rPr>
            </w:pPr>
          </w:p>
          <w:p w14:paraId="6BED332C" w14:textId="77777777" w:rsidR="00E87D5B" w:rsidRDefault="00E87D5B" w:rsidP="00C8019E">
            <w:pPr>
              <w:pStyle w:val="Marginlie"/>
              <w:rPr>
                <w:color w:val="0D0D0D" w:themeColor="text1" w:themeTint="F2"/>
                <w:spacing w:val="-4"/>
              </w:rPr>
            </w:pPr>
          </w:p>
          <w:p w14:paraId="05D11959" w14:textId="77777777" w:rsidR="00E87D5B" w:rsidRDefault="00E87D5B" w:rsidP="00C8019E">
            <w:pPr>
              <w:pStyle w:val="Marginlie"/>
              <w:rPr>
                <w:color w:val="0D0D0D" w:themeColor="text1" w:themeTint="F2"/>
                <w:spacing w:val="-4"/>
              </w:rPr>
            </w:pPr>
            <w:r>
              <w:rPr>
                <w:color w:val="0D0D0D" w:themeColor="text1" w:themeTint="F2"/>
                <w:spacing w:val="-4"/>
              </w:rPr>
              <w:t xml:space="preserve">K poklesu výroby masa přispěly sílící výrobní náklady i slabší zájem spotřebitelů. </w:t>
            </w:r>
          </w:p>
        </w:tc>
        <w:tc>
          <w:tcPr>
            <w:tcW w:w="209" w:type="dxa"/>
            <w:tcBorders>
              <w:top w:val="nil"/>
              <w:left w:val="nil"/>
              <w:bottom w:val="nil"/>
              <w:right w:val="nil"/>
            </w:tcBorders>
            <w:shd w:val="clear" w:color="auto" w:fill="auto"/>
            <w:tcMar>
              <w:left w:w="0" w:type="dxa"/>
            </w:tcMar>
          </w:tcPr>
          <w:p w14:paraId="41C61046"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666B15F5" w14:textId="172B871D" w:rsidR="00E87D5B" w:rsidRPr="008A13E0" w:rsidRDefault="00E87D5B" w:rsidP="00C8019E">
            <w:pPr>
              <w:rPr>
                <w:spacing w:val="-4"/>
              </w:rPr>
            </w:pPr>
            <w:r>
              <w:rPr>
                <w:color w:val="0D0D0D" w:themeColor="text1" w:themeTint="F2"/>
                <w:spacing w:val="-4"/>
              </w:rPr>
              <w:t xml:space="preserve">Z odvětví mimo sektor služeb vzrostla za loňský rok HPH nejvíce ve zpracovatelském průmyslu (+2,9 %, příspěvek k růstu celé ekonomiky +0,7 p. b.), jenž profitoval ze solidní domácí i zahraniční poptávky a udržel si tak růst i na konci roku. To neplatí pro další odvětví – energetiku či stavebnictví. </w:t>
            </w:r>
            <w:r>
              <w:rPr>
                <w:spacing w:val="-4"/>
              </w:rPr>
              <w:t>V z</w:t>
            </w:r>
            <w:r w:rsidRPr="00202D59">
              <w:rPr>
                <w:spacing w:val="-4"/>
              </w:rPr>
              <w:t>emědělství, lesnictví a rybářství</w:t>
            </w:r>
            <w:r>
              <w:rPr>
                <w:spacing w:val="-4"/>
              </w:rPr>
              <w:t xml:space="preserve"> klesla za loňský rok HPH o 2,4 % a zmírnila 15% propad z roku 2021. Pro vývoj celého primárního sektoru byla patrně stále zásadní situace v lesnictví, kde ustupující kůrovcová kalamita druhým rokem v řadě razantně snížila potřebu živelní těžby dřeva. Celková loňská úroda obilovin zaostala za nadprůměrnou loňskou sklizní jen nepatrně o 0,1 %</w:t>
            </w:r>
            <w:r>
              <w:rPr>
                <w:rStyle w:val="Znakapoznpodarou"/>
                <w:spacing w:val="-4"/>
              </w:rPr>
              <w:footnoteReference w:id="18"/>
            </w:r>
            <w:r>
              <w:rPr>
                <w:spacing w:val="-4"/>
              </w:rPr>
              <w:t>. Hlubší propad sklizně kukuřice na zrno byl kompenzován růstem u pšenice a ječmene. Dařilo se řepce a dalším technickým plodinám či ovocnářství. Mírný 2% meziroční pokles úrody ovšem nastal u brambor i cukrovky, hlubší pak u pícnin a většiny druhů zeleniny. K propadu sklizně došlo u chmele</w:t>
            </w:r>
            <w:r>
              <w:rPr>
                <w:rStyle w:val="Znakapoznpodarou"/>
                <w:spacing w:val="-4"/>
              </w:rPr>
              <w:footnoteReference w:id="19"/>
            </w:r>
            <w:r>
              <w:rPr>
                <w:spacing w:val="-4"/>
              </w:rPr>
              <w:t xml:space="preserve">, naopak dlouhodobý trend růstu sklizně z vinic pokračoval. Čtyři roky trvající růst fyzické výroby masa se vloni zastavil (její úroveň se vrátila k výši z roku 2018). Loňský meziroční pokles (4,2 %) byl nejvíce ovlivněn nižší výrobou vepřového masa, k poklesu došlo ale u všech dalších hlavních druhů masa. Projevil se vysoký růst výrobních nákladů (krmiv, energií) i nižší spotřeba v domácnostech. Pokles v rámci živočišné výroby byl zčásti tlumen mírně rostoucí produkcí mléka. HPH ve všech hlavních odvětvích primárního i sekundárního </w:t>
            </w:r>
            <w:r w:rsidRPr="001C3855">
              <w:rPr>
                <w:spacing w:val="-10"/>
              </w:rPr>
              <w:t>sektoru se ve 4. čtvrtletí 2019 nacházela pod úrovní roku 2019 (nejvíce ve stavebnictví – o 11 %).</w:t>
            </w:r>
          </w:p>
        </w:tc>
      </w:tr>
      <w:tr w:rsidR="00E87D5B" w:rsidRPr="008D3CD4" w14:paraId="241931F9" w14:textId="77777777" w:rsidTr="008B1850">
        <w:trPr>
          <w:trHeight w:val="145"/>
        </w:trPr>
        <w:tc>
          <w:tcPr>
            <w:tcW w:w="1814" w:type="dxa"/>
            <w:tcBorders>
              <w:top w:val="nil"/>
              <w:left w:val="nil"/>
              <w:bottom w:val="nil"/>
              <w:right w:val="nil"/>
            </w:tcBorders>
            <w:shd w:val="clear" w:color="auto" w:fill="auto"/>
            <w:tcMar>
              <w:left w:w="0" w:type="dxa"/>
            </w:tcMar>
          </w:tcPr>
          <w:p w14:paraId="7FE5C64E" w14:textId="77777777" w:rsidR="00E87D5B" w:rsidRDefault="00E87D5B" w:rsidP="00C8019E">
            <w:pPr>
              <w:pStyle w:val="Marginlie"/>
              <w:rPr>
                <w:color w:val="0D0D0D" w:themeColor="text1" w:themeTint="F2"/>
                <w:spacing w:val="-4"/>
              </w:rPr>
            </w:pPr>
            <w:r>
              <w:rPr>
                <w:color w:val="0D0D0D" w:themeColor="text1" w:themeTint="F2"/>
                <w:spacing w:val="-4"/>
              </w:rPr>
              <w:lastRenderedPageBreak/>
              <w:t xml:space="preserve">V období 1. a 3. čtvrtletí pokračoval </w:t>
            </w:r>
            <w:proofErr w:type="spellStart"/>
            <w:r>
              <w:rPr>
                <w:color w:val="0D0D0D" w:themeColor="text1" w:themeTint="F2"/>
                <w:spacing w:val="-4"/>
              </w:rPr>
              <w:t>mezikvartální</w:t>
            </w:r>
            <w:proofErr w:type="spellEnd"/>
            <w:r>
              <w:rPr>
                <w:color w:val="0D0D0D" w:themeColor="text1" w:themeTint="F2"/>
                <w:spacing w:val="-4"/>
              </w:rPr>
              <w:t xml:space="preserve"> růst průmyslové produkce. Její objem poprvé překonal maximální úroveň z roku 2019.</w:t>
            </w:r>
          </w:p>
          <w:p w14:paraId="2CF5891C" w14:textId="77777777" w:rsidR="00E87D5B" w:rsidRDefault="00E87D5B" w:rsidP="00C8019E">
            <w:pPr>
              <w:pStyle w:val="Marginlie"/>
              <w:rPr>
                <w:color w:val="0D0D0D" w:themeColor="text1" w:themeTint="F2"/>
                <w:spacing w:val="-4"/>
              </w:rPr>
            </w:pPr>
          </w:p>
          <w:p w14:paraId="6299CADD" w14:textId="77777777" w:rsidR="00E87D5B" w:rsidRDefault="00E87D5B" w:rsidP="00C8019E">
            <w:pPr>
              <w:pStyle w:val="Marginlie"/>
              <w:rPr>
                <w:color w:val="0D0D0D" w:themeColor="text1" w:themeTint="F2"/>
                <w:spacing w:val="-4"/>
              </w:rPr>
            </w:pPr>
          </w:p>
          <w:p w14:paraId="41087C5E" w14:textId="77777777" w:rsidR="00E87D5B" w:rsidRDefault="00E87D5B" w:rsidP="00C8019E">
            <w:pPr>
              <w:pStyle w:val="Marginlie"/>
              <w:rPr>
                <w:color w:val="0D0D0D" w:themeColor="text1" w:themeTint="F2"/>
                <w:spacing w:val="-4"/>
              </w:rPr>
            </w:pPr>
          </w:p>
          <w:p w14:paraId="7D97F431" w14:textId="77777777" w:rsidR="00E87D5B" w:rsidRDefault="00E87D5B" w:rsidP="00C8019E">
            <w:pPr>
              <w:pStyle w:val="Marginlie"/>
              <w:rPr>
                <w:color w:val="0D0D0D" w:themeColor="text1" w:themeTint="F2"/>
                <w:spacing w:val="-4"/>
              </w:rPr>
            </w:pPr>
          </w:p>
          <w:p w14:paraId="497FF808" w14:textId="77777777" w:rsidR="00E87D5B" w:rsidRDefault="00E87D5B" w:rsidP="00C8019E">
            <w:pPr>
              <w:pStyle w:val="Marginlie"/>
              <w:rPr>
                <w:color w:val="0D0D0D" w:themeColor="text1" w:themeTint="F2"/>
                <w:spacing w:val="-4"/>
              </w:rPr>
            </w:pPr>
          </w:p>
          <w:p w14:paraId="4D5B2B0A" w14:textId="77777777" w:rsidR="00E87D5B" w:rsidRDefault="00E87D5B" w:rsidP="00C8019E">
            <w:pPr>
              <w:pStyle w:val="Marginlie"/>
              <w:rPr>
                <w:color w:val="0D0D0D" w:themeColor="text1" w:themeTint="F2"/>
                <w:spacing w:val="-4"/>
              </w:rPr>
            </w:pPr>
          </w:p>
          <w:p w14:paraId="3D8EFA32" w14:textId="77777777" w:rsidR="00E87D5B" w:rsidRDefault="00E87D5B" w:rsidP="00C8019E">
            <w:pPr>
              <w:pStyle w:val="Marginlie"/>
              <w:rPr>
                <w:color w:val="0D0D0D" w:themeColor="text1" w:themeTint="F2"/>
                <w:spacing w:val="-4"/>
              </w:rPr>
            </w:pPr>
            <w:r>
              <w:rPr>
                <w:color w:val="0D0D0D" w:themeColor="text1" w:themeTint="F2"/>
                <w:spacing w:val="-4"/>
              </w:rPr>
              <w:t>Ve 4. čtvrtletí byla průmyslová produkce negativně ovlivněna dopady prudkého růstu cen vstupů, narůstajícími problémy s dodávkami výrobních komponent i zhoršeným výkonem ekonomiky v eurozóně.</w:t>
            </w:r>
          </w:p>
          <w:p w14:paraId="312128A8" w14:textId="77777777" w:rsidR="00E87D5B" w:rsidRDefault="00E87D5B" w:rsidP="00C8019E">
            <w:pPr>
              <w:pStyle w:val="Marginlie"/>
              <w:rPr>
                <w:color w:val="0D0D0D" w:themeColor="text1" w:themeTint="F2"/>
                <w:spacing w:val="-4"/>
              </w:rPr>
            </w:pPr>
            <w:r>
              <w:rPr>
                <w:color w:val="0D0D0D" w:themeColor="text1" w:themeTint="F2"/>
                <w:spacing w:val="-4"/>
              </w:rPr>
              <w:t xml:space="preserve"> </w:t>
            </w:r>
          </w:p>
        </w:tc>
        <w:tc>
          <w:tcPr>
            <w:tcW w:w="209" w:type="dxa"/>
            <w:tcBorders>
              <w:top w:val="nil"/>
              <w:left w:val="nil"/>
              <w:bottom w:val="nil"/>
              <w:right w:val="nil"/>
            </w:tcBorders>
            <w:shd w:val="clear" w:color="auto" w:fill="auto"/>
            <w:tcMar>
              <w:left w:w="0" w:type="dxa"/>
            </w:tcMar>
          </w:tcPr>
          <w:p w14:paraId="60217C5D"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7FACD2A0" w14:textId="395274EF" w:rsidR="00E87D5B" w:rsidRPr="008D3CD4" w:rsidRDefault="00E87D5B" w:rsidP="00C8019E">
            <w:pPr>
              <w:spacing w:after="220"/>
              <w:rPr>
                <w:spacing w:val="-4"/>
              </w:rPr>
            </w:pPr>
            <w:r>
              <w:rPr>
                <w:spacing w:val="-4"/>
              </w:rPr>
              <w:t>Také ú</w:t>
            </w:r>
            <w:r w:rsidRPr="008D3CD4">
              <w:rPr>
                <w:spacing w:val="-4"/>
              </w:rPr>
              <w:t xml:space="preserve">daje </w:t>
            </w:r>
            <w:r w:rsidRPr="008D3CD4">
              <w:rPr>
                <w:color w:val="0D0D0D" w:themeColor="text1" w:themeTint="F2"/>
                <w:spacing w:val="-4"/>
              </w:rPr>
              <w:t>z podnikových statistik potvrzují, že</w:t>
            </w:r>
            <w:r>
              <w:rPr>
                <w:color w:val="0D0D0D" w:themeColor="text1" w:themeTint="F2"/>
                <w:spacing w:val="-4"/>
              </w:rPr>
              <w:t xml:space="preserve"> tuzemský průmysl ve většině loňského roku pokračoval v mírném postpandemickém oživení. Na počátku roku stačil kompenzovat slabší výkon segmentu automobilového průmyslu a posléze i některých významných podniků v jiných odvětvích, které postihlo narušení dodavatelských řetězců vlivem nečekaného vzplanutí války na Ukrajině. Během 3. čtvrtletí, kdy se </w:t>
            </w:r>
            <w:proofErr w:type="spellStart"/>
            <w:r>
              <w:rPr>
                <w:color w:val="0D0D0D" w:themeColor="text1" w:themeTint="F2"/>
                <w:spacing w:val="-4"/>
              </w:rPr>
              <w:t>mezikvartální</w:t>
            </w:r>
            <w:proofErr w:type="spellEnd"/>
            <w:r>
              <w:rPr>
                <w:color w:val="0D0D0D" w:themeColor="text1" w:themeTint="F2"/>
                <w:spacing w:val="-4"/>
              </w:rPr>
              <w:t xml:space="preserve"> růst tuzemské ekonomiky zastavil, vzrostla průmyslová produkce</w:t>
            </w:r>
            <w:r w:rsidRPr="008D3CD4">
              <w:rPr>
                <w:rStyle w:val="Znakapoznpodarou"/>
                <w:color w:val="0D0D0D" w:themeColor="text1" w:themeTint="F2"/>
                <w:spacing w:val="-4"/>
              </w:rPr>
              <w:footnoteReference w:id="20"/>
            </w:r>
            <w:r>
              <w:rPr>
                <w:color w:val="0D0D0D" w:themeColor="text1" w:themeTint="F2"/>
                <w:spacing w:val="-4"/>
              </w:rPr>
              <w:t xml:space="preserve"> o 1,9 %, což bylo nejvíce od konce roku 2020. Přispělo k tomu i to, že investiční aktivita v ekonomice výrazně neoslabovala. Stejné platilo také pro hodnotu zahraničních zakázek, neboť eurozóna i samotná německá ekonomika stále odolávaly hrozbě recese. Důležitou roli sehrál fakt, že </w:t>
            </w:r>
            <w:r>
              <w:rPr>
                <w:spacing w:val="-5"/>
              </w:rPr>
              <w:t>se dočasně zlepšila situace s</w:t>
            </w:r>
            <w:r>
              <w:rPr>
                <w:color w:val="0D0D0D" w:themeColor="text1" w:themeTint="F2"/>
                <w:spacing w:val="-4"/>
              </w:rPr>
              <w:t> </w:t>
            </w:r>
            <w:r>
              <w:rPr>
                <w:spacing w:val="-5"/>
              </w:rPr>
              <w:t xml:space="preserve">dodávkami </w:t>
            </w:r>
            <w:r w:rsidRPr="003D1D6D">
              <w:rPr>
                <w:spacing w:val="-5"/>
              </w:rPr>
              <w:t>výrobních kompone</w:t>
            </w:r>
            <w:r>
              <w:rPr>
                <w:spacing w:val="-5"/>
              </w:rPr>
              <w:t xml:space="preserve">nt pro automobilový průmysl. </w:t>
            </w:r>
            <w:r>
              <w:rPr>
                <w:color w:val="0D0D0D" w:themeColor="text1" w:themeTint="F2"/>
                <w:spacing w:val="-4"/>
              </w:rPr>
              <w:t>Celková průmyslová produkce tak loni</w:t>
            </w:r>
            <w:r w:rsidRPr="008D3CD4">
              <w:rPr>
                <w:color w:val="0D0D0D" w:themeColor="text1" w:themeTint="F2"/>
                <w:spacing w:val="-4"/>
              </w:rPr>
              <w:t xml:space="preserve"> v létě poprvé překonala úroveň z předpandemické konjuktury</w:t>
            </w:r>
            <w:r w:rsidRPr="008D3CD4">
              <w:rPr>
                <w:rStyle w:val="Znakapoznpodarou"/>
                <w:color w:val="0D0D0D" w:themeColor="text1" w:themeTint="F2"/>
                <w:spacing w:val="-4"/>
              </w:rPr>
              <w:footnoteReference w:id="21"/>
            </w:r>
            <w:r w:rsidRPr="008D3CD4">
              <w:rPr>
                <w:color w:val="0D0D0D" w:themeColor="text1" w:themeTint="F2"/>
                <w:spacing w:val="-4"/>
              </w:rPr>
              <w:t>.</w:t>
            </w:r>
            <w:r>
              <w:rPr>
                <w:color w:val="0D0D0D" w:themeColor="text1" w:themeTint="F2"/>
                <w:spacing w:val="-4"/>
              </w:rPr>
              <w:t xml:space="preserve"> Loni v srpnu ovšem došlo v Evropě k eskalaci burzovních cen elektřiny i plynu, což se spolu s pokračujícím svižným růstem cen </w:t>
            </w:r>
            <w:r w:rsidRPr="008D3CD4">
              <w:rPr>
                <w:color w:val="0D0D0D" w:themeColor="text1" w:themeTint="F2"/>
                <w:spacing w:val="-4"/>
              </w:rPr>
              <w:t>dalších materiálových vstupů</w:t>
            </w:r>
            <w:r>
              <w:rPr>
                <w:color w:val="0D0D0D" w:themeColor="text1" w:themeTint="F2"/>
                <w:spacing w:val="-4"/>
              </w:rPr>
              <w:t xml:space="preserve"> </w:t>
            </w:r>
            <w:r w:rsidRPr="008D3CD4">
              <w:rPr>
                <w:color w:val="0D0D0D" w:themeColor="text1" w:themeTint="F2"/>
                <w:spacing w:val="-4"/>
              </w:rPr>
              <w:t xml:space="preserve">negativně odrazilo ve výkonu </w:t>
            </w:r>
            <w:r>
              <w:rPr>
                <w:color w:val="0D0D0D" w:themeColor="text1" w:themeTint="F2"/>
                <w:spacing w:val="-4"/>
              </w:rPr>
              <w:t>zejména</w:t>
            </w:r>
            <w:r w:rsidRPr="008D3CD4">
              <w:rPr>
                <w:color w:val="0D0D0D" w:themeColor="text1" w:themeTint="F2"/>
                <w:spacing w:val="-4"/>
              </w:rPr>
              <w:t xml:space="preserve"> energeticky náročnějších odvětví</w:t>
            </w:r>
            <w:r>
              <w:rPr>
                <w:color w:val="0D0D0D" w:themeColor="text1" w:themeTint="F2"/>
                <w:spacing w:val="-4"/>
              </w:rPr>
              <w:t xml:space="preserve"> (v první řadě hutnictví, kovovýroby, výroby skla či těžby a výroby stavebních hmot) a vlivem úspor na straně domácností i firem také ve významném odvětví energetiky. </w:t>
            </w:r>
            <w:r w:rsidRPr="008D3CD4">
              <w:rPr>
                <w:color w:val="0D0D0D" w:themeColor="text1" w:themeTint="F2"/>
                <w:spacing w:val="-4"/>
              </w:rPr>
              <w:t xml:space="preserve">Vedle toho začaly průmyslové podniky v Česku stále více pociťovat obavy související se zhoršující se ekonomickou situací v řadě významných exportních teritorií, která se projevovala i </w:t>
            </w:r>
            <w:r>
              <w:rPr>
                <w:color w:val="0D0D0D" w:themeColor="text1" w:themeTint="F2"/>
                <w:spacing w:val="-4"/>
              </w:rPr>
              <w:t xml:space="preserve">v negativních konjunkturálních očekáváních firem. Ve 4. čtvrtletí se tak </w:t>
            </w:r>
            <w:proofErr w:type="spellStart"/>
            <w:r>
              <w:rPr>
                <w:color w:val="0D0D0D" w:themeColor="text1" w:themeTint="F2"/>
                <w:spacing w:val="-4"/>
              </w:rPr>
              <w:t>mezikvartální</w:t>
            </w:r>
            <w:proofErr w:type="spellEnd"/>
            <w:r>
              <w:rPr>
                <w:color w:val="0D0D0D" w:themeColor="text1" w:themeTint="F2"/>
                <w:spacing w:val="-4"/>
              </w:rPr>
              <w:t xml:space="preserve"> růst produkce v průmyslu i v jejím klíčovém segmentu výroby motorových vozidel fakticky zastavil. </w:t>
            </w:r>
          </w:p>
        </w:tc>
      </w:tr>
      <w:tr w:rsidR="00E87D5B" w:rsidRPr="000D66E3" w14:paraId="3BF66136" w14:textId="77777777" w:rsidTr="008B1850">
        <w:trPr>
          <w:trHeight w:val="145"/>
        </w:trPr>
        <w:tc>
          <w:tcPr>
            <w:tcW w:w="1814" w:type="dxa"/>
            <w:tcBorders>
              <w:top w:val="nil"/>
              <w:left w:val="nil"/>
              <w:bottom w:val="nil"/>
              <w:right w:val="nil"/>
            </w:tcBorders>
            <w:shd w:val="clear" w:color="auto" w:fill="auto"/>
            <w:tcMar>
              <w:left w:w="0" w:type="dxa"/>
            </w:tcMar>
          </w:tcPr>
          <w:p w14:paraId="759EDC05" w14:textId="77777777" w:rsidR="00E87D5B" w:rsidRDefault="00E87D5B" w:rsidP="00C8019E">
            <w:pPr>
              <w:pStyle w:val="Marginlie"/>
              <w:rPr>
                <w:color w:val="0D0D0D" w:themeColor="text1" w:themeTint="F2"/>
                <w:spacing w:val="-4"/>
              </w:rPr>
            </w:pPr>
            <w:r>
              <w:rPr>
                <w:color w:val="0D0D0D" w:themeColor="text1" w:themeTint="F2"/>
                <w:spacing w:val="-4"/>
              </w:rPr>
              <w:t xml:space="preserve">Loňský růst průmyslové produkce byl tažen zejména výrobou motorových vozidel. </w:t>
            </w:r>
          </w:p>
          <w:p w14:paraId="6A6B9F5B" w14:textId="77777777" w:rsidR="00E87D5B" w:rsidRDefault="00E87D5B" w:rsidP="00C8019E">
            <w:pPr>
              <w:pStyle w:val="Marginlie"/>
              <w:rPr>
                <w:color w:val="0D0D0D" w:themeColor="text1" w:themeTint="F2"/>
                <w:spacing w:val="-4"/>
              </w:rPr>
            </w:pPr>
            <w:r>
              <w:rPr>
                <w:color w:val="0D0D0D" w:themeColor="text1" w:themeTint="F2"/>
                <w:spacing w:val="-4"/>
              </w:rPr>
              <w:t xml:space="preserve">I ta se však stále potýkala s problémy. </w:t>
            </w:r>
          </w:p>
        </w:tc>
        <w:tc>
          <w:tcPr>
            <w:tcW w:w="209" w:type="dxa"/>
            <w:tcBorders>
              <w:top w:val="nil"/>
              <w:left w:val="nil"/>
              <w:bottom w:val="nil"/>
              <w:right w:val="nil"/>
            </w:tcBorders>
            <w:shd w:val="clear" w:color="auto" w:fill="auto"/>
            <w:tcMar>
              <w:left w:w="0" w:type="dxa"/>
            </w:tcMar>
          </w:tcPr>
          <w:p w14:paraId="3DCD437F"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06A32606" w14:textId="77777777" w:rsidR="00E87D5B" w:rsidRPr="000D66E3" w:rsidRDefault="00E87D5B" w:rsidP="00C8019E">
            <w:pPr>
              <w:spacing w:after="220"/>
              <w:rPr>
                <w:spacing w:val="-4"/>
              </w:rPr>
            </w:pPr>
            <w:r>
              <w:rPr>
                <w:spacing w:val="-4"/>
              </w:rPr>
              <w:t>Přestože zhruba ve třetině</w:t>
            </w:r>
            <w:r w:rsidRPr="000D66E3">
              <w:rPr>
                <w:spacing w:val="-4"/>
              </w:rPr>
              <w:t xml:space="preserve"> průmyslových oborů produkce za loňský rok klesla, v úhrnu za </w:t>
            </w:r>
            <w:r>
              <w:rPr>
                <w:spacing w:val="-4"/>
              </w:rPr>
              <w:t xml:space="preserve">celý </w:t>
            </w:r>
            <w:r w:rsidRPr="000D66E3">
              <w:rPr>
                <w:spacing w:val="-4"/>
              </w:rPr>
              <w:t xml:space="preserve">průmysl se </w:t>
            </w:r>
            <w:r w:rsidRPr="00560B33">
              <w:rPr>
                <w:color w:val="0D0D0D" w:themeColor="text1" w:themeTint="F2"/>
                <w:spacing w:val="-4"/>
              </w:rPr>
              <w:t xml:space="preserve">mírně navýšila (+2,5 %). </w:t>
            </w:r>
            <w:r w:rsidRPr="000D66E3">
              <w:rPr>
                <w:spacing w:val="-4"/>
              </w:rPr>
              <w:t>Zasloužila se o to hlavně výroba motorových voz</w:t>
            </w:r>
            <w:r>
              <w:rPr>
                <w:spacing w:val="-4"/>
              </w:rPr>
              <w:t>idel, která i díky slabší</w:t>
            </w:r>
            <w:r w:rsidRPr="000D66E3">
              <w:rPr>
                <w:spacing w:val="-4"/>
              </w:rPr>
              <w:t xml:space="preserve"> základně (kvůli nuceným odstávkám výroby ve 3. čtvrtletí</w:t>
            </w:r>
            <w:r>
              <w:rPr>
                <w:spacing w:val="-4"/>
              </w:rPr>
              <w:t xml:space="preserve"> 2021</w:t>
            </w:r>
            <w:r w:rsidRPr="000D66E3">
              <w:rPr>
                <w:spacing w:val="-4"/>
              </w:rPr>
              <w:t xml:space="preserve">) </w:t>
            </w:r>
            <w:r>
              <w:rPr>
                <w:spacing w:val="-4"/>
              </w:rPr>
              <w:t xml:space="preserve">navýšila o 11,8 </w:t>
            </w:r>
            <w:r w:rsidRPr="000D66E3">
              <w:rPr>
                <w:spacing w:val="-4"/>
              </w:rPr>
              <w:t>%</w:t>
            </w:r>
            <w:r>
              <w:rPr>
                <w:spacing w:val="-4"/>
              </w:rPr>
              <w:t xml:space="preserve"> </w:t>
            </w:r>
            <w:r w:rsidRPr="000D66E3">
              <w:rPr>
                <w:spacing w:val="-4"/>
              </w:rPr>
              <w:t xml:space="preserve">a k růstu celého průmyslu přispěla rovnými 2 p. b. </w:t>
            </w:r>
            <w:r w:rsidRPr="000D66E3">
              <w:rPr>
                <w:color w:val="0D0D0D" w:themeColor="text1" w:themeTint="F2"/>
                <w:spacing w:val="-4"/>
              </w:rPr>
              <w:t>Pomohla tomu silná poptávka související s obnovou firemního vozového parku (přerušená</w:t>
            </w:r>
            <w:r>
              <w:rPr>
                <w:color w:val="0D0D0D" w:themeColor="text1" w:themeTint="F2"/>
                <w:spacing w:val="-4"/>
              </w:rPr>
              <w:t xml:space="preserve"> během pandemie) i </w:t>
            </w:r>
            <w:r w:rsidRPr="000D66E3">
              <w:rPr>
                <w:color w:val="0D0D0D" w:themeColor="text1" w:themeTint="F2"/>
                <w:spacing w:val="-4"/>
              </w:rPr>
              <w:t>postupně se rozvíjející segment elektromobility – což dokládají i údaje o fyzické produkci</w:t>
            </w:r>
            <w:r w:rsidRPr="000D66E3">
              <w:rPr>
                <w:rStyle w:val="Znakapoznpodarou"/>
                <w:color w:val="0D0D0D" w:themeColor="text1" w:themeTint="F2"/>
                <w:spacing w:val="-4"/>
              </w:rPr>
              <w:footnoteReference w:id="22"/>
            </w:r>
            <w:r w:rsidRPr="000D66E3">
              <w:rPr>
                <w:color w:val="0D0D0D" w:themeColor="text1" w:themeTint="F2"/>
                <w:spacing w:val="-4"/>
              </w:rPr>
              <w:t xml:space="preserve">. Navzdory tomu zůstává situace v automobilovém průmyslu komplikovaná. Využití výrobních kapacit se zde </w:t>
            </w:r>
            <w:r>
              <w:rPr>
                <w:color w:val="0D0D0D" w:themeColor="text1" w:themeTint="F2"/>
                <w:spacing w:val="-4"/>
              </w:rPr>
              <w:t xml:space="preserve">téměř </w:t>
            </w:r>
            <w:r w:rsidRPr="000D66E3">
              <w:rPr>
                <w:color w:val="0D0D0D" w:themeColor="text1" w:themeTint="F2"/>
                <w:spacing w:val="-4"/>
              </w:rPr>
              <w:t>po celý loňský rok pohybovalo pod 80 % (dlouhodobý průměr přitom mírně přesahuje 90 %). Navíc nedostatek materiálu a zařízení deklarovalo letos v lednu 85 %</w:t>
            </w:r>
            <w:r w:rsidRPr="000D66E3">
              <w:rPr>
                <w:rStyle w:val="Znakapoznpodarou"/>
                <w:color w:val="0D0D0D" w:themeColor="text1" w:themeTint="F2"/>
                <w:spacing w:val="-4"/>
              </w:rPr>
              <w:footnoteReference w:id="23"/>
            </w:r>
            <w:r w:rsidRPr="000D66E3">
              <w:rPr>
                <w:color w:val="0D0D0D" w:themeColor="text1" w:themeTint="F2"/>
                <w:spacing w:val="-4"/>
              </w:rPr>
              <w:t xml:space="preserve"> podniků ve </w:t>
            </w:r>
            <w:r>
              <w:rPr>
                <w:color w:val="0D0D0D" w:themeColor="text1" w:themeTint="F2"/>
                <w:spacing w:val="-4"/>
              </w:rPr>
              <w:t xml:space="preserve">výrobě </w:t>
            </w:r>
            <w:r w:rsidRPr="000D66E3">
              <w:rPr>
                <w:color w:val="0D0D0D" w:themeColor="text1" w:themeTint="F2"/>
                <w:spacing w:val="-4"/>
              </w:rPr>
              <w:t xml:space="preserve">motorových vozidel (jejich podíl se na rozdíl od ostatních odvětví průmyslu za poslední pololetí nesnížil). </w:t>
            </w:r>
          </w:p>
        </w:tc>
      </w:tr>
      <w:tr w:rsidR="00E87D5B" w:rsidRPr="006C48B7" w14:paraId="0CB53B7A" w14:textId="77777777" w:rsidTr="008B1850">
        <w:trPr>
          <w:trHeight w:val="145"/>
        </w:trPr>
        <w:tc>
          <w:tcPr>
            <w:tcW w:w="1814" w:type="dxa"/>
            <w:tcBorders>
              <w:top w:val="nil"/>
              <w:left w:val="nil"/>
              <w:bottom w:val="nil"/>
              <w:right w:val="nil"/>
            </w:tcBorders>
            <w:shd w:val="clear" w:color="auto" w:fill="auto"/>
            <w:tcMar>
              <w:left w:w="0" w:type="dxa"/>
            </w:tcMar>
          </w:tcPr>
          <w:p w14:paraId="75FC34D2" w14:textId="77777777" w:rsidR="00E87D5B" w:rsidRDefault="00E87D5B" w:rsidP="00C8019E">
            <w:pPr>
              <w:pStyle w:val="Marginlie"/>
              <w:rPr>
                <w:color w:val="0D0D0D" w:themeColor="text1" w:themeTint="F2"/>
                <w:spacing w:val="-4"/>
              </w:rPr>
            </w:pPr>
            <w:r>
              <w:rPr>
                <w:color w:val="0D0D0D" w:themeColor="text1" w:themeTint="F2"/>
                <w:spacing w:val="-4"/>
              </w:rPr>
              <w:t xml:space="preserve">Dařilo se i výrobě elektrických zařízení, počítačů či strojírenství. </w:t>
            </w:r>
          </w:p>
          <w:p w14:paraId="6783652E" w14:textId="77777777" w:rsidR="00E87D5B" w:rsidRDefault="00E87D5B" w:rsidP="00C8019E">
            <w:pPr>
              <w:pStyle w:val="Marginlie"/>
              <w:rPr>
                <w:color w:val="0D0D0D" w:themeColor="text1" w:themeTint="F2"/>
                <w:spacing w:val="-4"/>
              </w:rPr>
            </w:pPr>
            <w:r>
              <w:rPr>
                <w:color w:val="0D0D0D" w:themeColor="text1" w:themeTint="F2"/>
                <w:spacing w:val="-4"/>
              </w:rPr>
              <w:t xml:space="preserve">Některé menší obory silně zasažené útlumem poptávky za pandemie výrazně ožily. </w:t>
            </w:r>
          </w:p>
        </w:tc>
        <w:tc>
          <w:tcPr>
            <w:tcW w:w="209" w:type="dxa"/>
            <w:tcBorders>
              <w:top w:val="nil"/>
              <w:left w:val="nil"/>
              <w:bottom w:val="nil"/>
              <w:right w:val="nil"/>
            </w:tcBorders>
            <w:shd w:val="clear" w:color="auto" w:fill="auto"/>
            <w:tcMar>
              <w:left w:w="0" w:type="dxa"/>
            </w:tcMar>
          </w:tcPr>
          <w:p w14:paraId="36CD9085"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072E0CFF" w14:textId="6716512D" w:rsidR="00E87D5B" w:rsidRPr="006C48B7" w:rsidRDefault="00E87D5B" w:rsidP="00C8019E">
            <w:pPr>
              <w:spacing w:after="200"/>
              <w:rPr>
                <w:color w:val="0D0D0D" w:themeColor="text1" w:themeTint="F2"/>
                <w:spacing w:val="-6"/>
              </w:rPr>
            </w:pPr>
            <w:r>
              <w:rPr>
                <w:color w:val="0D0D0D" w:themeColor="text1" w:themeTint="F2"/>
                <w:spacing w:val="-6"/>
              </w:rPr>
              <w:t xml:space="preserve">Vedle výroby automobilů přispělo </w:t>
            </w:r>
            <w:r w:rsidRPr="00233337">
              <w:rPr>
                <w:color w:val="0D0D0D" w:themeColor="text1" w:themeTint="F2"/>
                <w:spacing w:val="-6"/>
              </w:rPr>
              <w:t>loni významněji k růstu průmyslu i diverzifikované odvětví výr</w:t>
            </w:r>
            <w:r>
              <w:rPr>
                <w:color w:val="0D0D0D" w:themeColor="text1" w:themeTint="F2"/>
                <w:spacing w:val="-6"/>
              </w:rPr>
              <w:t xml:space="preserve">oby elektrických zařízení (+0,5 </w:t>
            </w:r>
            <w:r w:rsidR="00DE3E22">
              <w:rPr>
                <w:color w:val="0D0D0D" w:themeColor="text1" w:themeTint="F2"/>
                <w:spacing w:val="-6"/>
              </w:rPr>
              <w:t xml:space="preserve">p. </w:t>
            </w:r>
            <w:r w:rsidRPr="00233337">
              <w:rPr>
                <w:color w:val="0D0D0D" w:themeColor="text1" w:themeTint="F2"/>
                <w:spacing w:val="-6"/>
              </w:rPr>
              <w:t>b., při růstu odvětví o</w:t>
            </w:r>
            <w:r w:rsidRPr="00E4073A">
              <w:rPr>
                <w:color w:val="0D0D0D" w:themeColor="text1" w:themeTint="F2"/>
                <w:spacing w:val="-6"/>
              </w:rPr>
              <w:t> </w:t>
            </w:r>
            <w:r w:rsidRPr="00233337">
              <w:rPr>
                <w:color w:val="0D0D0D" w:themeColor="text1" w:themeTint="F2"/>
                <w:spacing w:val="-6"/>
              </w:rPr>
              <w:t>6</w:t>
            </w:r>
            <w:r>
              <w:rPr>
                <w:color w:val="0D0D0D" w:themeColor="text1" w:themeTint="F2"/>
                <w:spacing w:val="-6"/>
              </w:rPr>
              <w:t>,7</w:t>
            </w:r>
            <w:r w:rsidRPr="00E4073A">
              <w:rPr>
                <w:color w:val="0D0D0D" w:themeColor="text1" w:themeTint="F2"/>
                <w:spacing w:val="-6"/>
              </w:rPr>
              <w:t> </w:t>
            </w:r>
            <w:r>
              <w:rPr>
                <w:color w:val="0D0D0D" w:themeColor="text1" w:themeTint="F2"/>
                <w:spacing w:val="-6"/>
              </w:rPr>
              <w:t>%), neboť</w:t>
            </w:r>
            <w:r w:rsidRPr="00233337">
              <w:rPr>
                <w:color w:val="0D0D0D" w:themeColor="text1" w:themeTint="F2"/>
                <w:spacing w:val="-6"/>
              </w:rPr>
              <w:t xml:space="preserve"> byl</w:t>
            </w:r>
            <w:r>
              <w:rPr>
                <w:color w:val="0D0D0D" w:themeColor="text1" w:themeTint="F2"/>
                <w:spacing w:val="-6"/>
              </w:rPr>
              <w:t>o</w:t>
            </w:r>
            <w:r w:rsidRPr="00233337">
              <w:rPr>
                <w:color w:val="0D0D0D" w:themeColor="text1" w:themeTint="F2"/>
                <w:spacing w:val="-6"/>
              </w:rPr>
              <w:t xml:space="preserve"> podporován</w:t>
            </w:r>
            <w:r>
              <w:rPr>
                <w:color w:val="0D0D0D" w:themeColor="text1" w:themeTint="F2"/>
                <w:spacing w:val="-6"/>
              </w:rPr>
              <w:t>o</w:t>
            </w:r>
            <w:r w:rsidRPr="00233337">
              <w:rPr>
                <w:color w:val="0D0D0D" w:themeColor="text1" w:themeTint="F2"/>
                <w:spacing w:val="-6"/>
              </w:rPr>
              <w:t xml:space="preserve"> solidní poptávkou z tuzemska i zahraničí.</w:t>
            </w:r>
            <w:r>
              <w:rPr>
                <w:color w:val="0D0D0D" w:themeColor="text1" w:themeTint="F2"/>
                <w:spacing w:val="-6"/>
              </w:rPr>
              <w:t xml:space="preserve"> Výkon ve váhově významném odvětví strojírenství vzrostl o 5 %, jeho p</w:t>
            </w:r>
            <w:r w:rsidRPr="00E4073A">
              <w:rPr>
                <w:color w:val="0D0D0D" w:themeColor="text1" w:themeTint="F2"/>
                <w:spacing w:val="-6"/>
              </w:rPr>
              <w:t xml:space="preserve">rodukce </w:t>
            </w:r>
            <w:r>
              <w:rPr>
                <w:color w:val="0D0D0D" w:themeColor="text1" w:themeTint="F2"/>
                <w:spacing w:val="-6"/>
              </w:rPr>
              <w:t>tak ve 4. čtvrtletí dorovnala úroveň</w:t>
            </w:r>
            <w:r w:rsidRPr="00E4073A">
              <w:rPr>
                <w:color w:val="0D0D0D" w:themeColor="text1" w:themeTint="F2"/>
                <w:spacing w:val="-6"/>
              </w:rPr>
              <w:t xml:space="preserve"> z vrcholu předpandemické konjunktury</w:t>
            </w:r>
            <w:r>
              <w:rPr>
                <w:color w:val="0D0D0D" w:themeColor="text1" w:themeTint="F2"/>
                <w:spacing w:val="-6"/>
              </w:rPr>
              <w:t xml:space="preserve">. Ve výrobě počítačů, elektronických a optických přístrojů byl loňský růst produkce (+4 %) podporován sílící tuzemskou poptávkou. Z menších oborů se loni dařilo především kožedělnému a obuvnickému průmyslu (růst produkce o rekordních 20,7 %) či oděvnímu průmyslu (+13,0 %), jimž rovněž pomáhala domácí poptávka. </w:t>
            </w:r>
            <w:r>
              <w:rPr>
                <w:color w:val="0D0D0D" w:themeColor="text1" w:themeTint="F2"/>
                <w:spacing w:val="-4"/>
              </w:rPr>
              <w:t>P</w:t>
            </w:r>
            <w:r w:rsidRPr="00E4073A">
              <w:rPr>
                <w:color w:val="0D0D0D" w:themeColor="text1" w:themeTint="F2"/>
                <w:spacing w:val="-4"/>
              </w:rPr>
              <w:t xml:space="preserve">ostupně rostoucí počty zahraničních </w:t>
            </w:r>
            <w:r>
              <w:rPr>
                <w:color w:val="0D0D0D" w:themeColor="text1" w:themeTint="F2"/>
                <w:spacing w:val="-4"/>
              </w:rPr>
              <w:t xml:space="preserve">turistů v Česku podpořily výrobu nápojů, jejichž produkce vzrostla loni </w:t>
            </w:r>
            <w:r>
              <w:rPr>
                <w:color w:val="0D0D0D" w:themeColor="text1" w:themeTint="F2"/>
                <w:spacing w:val="-4"/>
              </w:rPr>
              <w:br/>
            </w:r>
            <w:r>
              <w:rPr>
                <w:color w:val="0D0D0D" w:themeColor="text1" w:themeTint="F2"/>
                <w:spacing w:val="-4"/>
              </w:rPr>
              <w:lastRenderedPageBreak/>
              <w:t>o 7,8 % (nejvíce po roce 2006). Dařilo se dlouhodobě rozvíjejícímu a výrazně proexportně zaměřenému farmaceutickému průmyslu (+8,0 %).</w:t>
            </w:r>
          </w:p>
        </w:tc>
      </w:tr>
      <w:tr w:rsidR="00E87D5B" w:rsidRPr="008D3CD4" w14:paraId="475C51E5" w14:textId="77777777" w:rsidTr="008B1850">
        <w:trPr>
          <w:trHeight w:val="145"/>
        </w:trPr>
        <w:tc>
          <w:tcPr>
            <w:tcW w:w="1814" w:type="dxa"/>
            <w:tcBorders>
              <w:top w:val="nil"/>
              <w:left w:val="nil"/>
              <w:bottom w:val="nil"/>
              <w:right w:val="nil"/>
            </w:tcBorders>
            <w:shd w:val="clear" w:color="auto" w:fill="auto"/>
            <w:tcMar>
              <w:left w:w="0" w:type="dxa"/>
            </w:tcMar>
          </w:tcPr>
          <w:p w14:paraId="1FB76A93" w14:textId="77777777" w:rsidR="00E87D5B" w:rsidRDefault="00E87D5B" w:rsidP="00C8019E">
            <w:pPr>
              <w:pStyle w:val="Marginlie"/>
              <w:rPr>
                <w:color w:val="0D0D0D" w:themeColor="text1" w:themeTint="F2"/>
                <w:spacing w:val="-4"/>
              </w:rPr>
            </w:pPr>
            <w:r>
              <w:rPr>
                <w:color w:val="0D0D0D" w:themeColor="text1" w:themeTint="F2"/>
                <w:spacing w:val="-4"/>
              </w:rPr>
              <w:lastRenderedPageBreak/>
              <w:t>Pokles produkce ve většině energeticky náročných průmyslových oborů se ve 2. pololetí prohluboval.</w:t>
            </w:r>
          </w:p>
          <w:p w14:paraId="5A80462B" w14:textId="77777777" w:rsidR="00E87D5B" w:rsidRDefault="00E87D5B" w:rsidP="00C8019E">
            <w:pPr>
              <w:pStyle w:val="Marginlie"/>
              <w:rPr>
                <w:color w:val="0D0D0D" w:themeColor="text1" w:themeTint="F2"/>
                <w:spacing w:val="-4"/>
              </w:rPr>
            </w:pPr>
          </w:p>
          <w:p w14:paraId="0610C561" w14:textId="77777777" w:rsidR="00E87D5B" w:rsidRDefault="00E87D5B" w:rsidP="00C8019E">
            <w:pPr>
              <w:pStyle w:val="Marginlie"/>
              <w:rPr>
                <w:color w:val="0D0D0D" w:themeColor="text1" w:themeTint="F2"/>
                <w:spacing w:val="-4"/>
              </w:rPr>
            </w:pPr>
          </w:p>
          <w:p w14:paraId="4C70C0FA" w14:textId="77777777" w:rsidR="00E87D5B" w:rsidRDefault="00E87D5B" w:rsidP="00C8019E">
            <w:pPr>
              <w:pStyle w:val="Marginlie"/>
              <w:rPr>
                <w:color w:val="0D0D0D" w:themeColor="text1" w:themeTint="F2"/>
                <w:spacing w:val="-4"/>
              </w:rPr>
            </w:pPr>
          </w:p>
          <w:p w14:paraId="1CA80D24" w14:textId="77777777" w:rsidR="00E87D5B" w:rsidRDefault="00E87D5B" w:rsidP="00C8019E">
            <w:pPr>
              <w:pStyle w:val="Marginlie"/>
              <w:rPr>
                <w:color w:val="0D0D0D" w:themeColor="text1" w:themeTint="F2"/>
                <w:spacing w:val="-4"/>
              </w:rPr>
            </w:pPr>
          </w:p>
          <w:p w14:paraId="760CDB24" w14:textId="77777777" w:rsidR="00E87D5B" w:rsidRDefault="00E87D5B" w:rsidP="00C8019E">
            <w:pPr>
              <w:pStyle w:val="Marginlie"/>
              <w:rPr>
                <w:color w:val="0D0D0D" w:themeColor="text1" w:themeTint="F2"/>
                <w:spacing w:val="-4"/>
              </w:rPr>
            </w:pPr>
          </w:p>
          <w:p w14:paraId="663FF5B4" w14:textId="77777777" w:rsidR="00E87D5B" w:rsidRDefault="00E87D5B" w:rsidP="00C8019E">
            <w:pPr>
              <w:pStyle w:val="Marginlie"/>
              <w:rPr>
                <w:color w:val="0D0D0D" w:themeColor="text1" w:themeTint="F2"/>
                <w:spacing w:val="-4"/>
              </w:rPr>
            </w:pPr>
            <w:r>
              <w:rPr>
                <w:color w:val="0D0D0D" w:themeColor="text1" w:themeTint="F2"/>
                <w:spacing w:val="-4"/>
              </w:rPr>
              <w:t>Útlum spotřeby domácností i sílící výrobní náklady vedly k poklesu výkonu v dlouhodobě rostoucím oboru potravinářství.</w:t>
            </w:r>
          </w:p>
          <w:p w14:paraId="3EC1DD85" w14:textId="77777777" w:rsidR="00E87D5B" w:rsidRPr="003B6934" w:rsidRDefault="00E87D5B" w:rsidP="00C8019E">
            <w:pPr>
              <w:pStyle w:val="Marginlie"/>
              <w:rPr>
                <w:color w:val="0D0D0D" w:themeColor="text1" w:themeTint="F2"/>
                <w:spacing w:val="-4"/>
              </w:rPr>
            </w:pPr>
            <w:r>
              <w:rPr>
                <w:color w:val="0D0D0D" w:themeColor="text1" w:themeTint="F2"/>
                <w:spacing w:val="-4"/>
              </w:rPr>
              <w:t xml:space="preserve"> </w:t>
            </w:r>
          </w:p>
        </w:tc>
        <w:tc>
          <w:tcPr>
            <w:tcW w:w="209" w:type="dxa"/>
            <w:tcBorders>
              <w:top w:val="nil"/>
              <w:left w:val="nil"/>
              <w:bottom w:val="nil"/>
              <w:right w:val="nil"/>
            </w:tcBorders>
            <w:shd w:val="clear" w:color="auto" w:fill="auto"/>
            <w:tcMar>
              <w:left w:w="0" w:type="dxa"/>
            </w:tcMar>
          </w:tcPr>
          <w:p w14:paraId="2E5C1D12"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1ED408A5" w14:textId="7F2DB4AC" w:rsidR="00E87D5B" w:rsidRPr="008D3CD4" w:rsidRDefault="00E87D5B" w:rsidP="00C8019E">
            <w:pPr>
              <w:spacing w:after="200"/>
              <w:rPr>
                <w:color w:val="0D0D0D" w:themeColor="text1" w:themeTint="F2"/>
                <w:spacing w:val="-4"/>
              </w:rPr>
            </w:pPr>
            <w:r>
              <w:rPr>
                <w:color w:val="0D0D0D" w:themeColor="text1" w:themeTint="F2"/>
                <w:spacing w:val="-4"/>
              </w:rPr>
              <w:t>Do stále složitější situace se naopak propadala</w:t>
            </w:r>
            <w:r w:rsidRPr="009E1798">
              <w:rPr>
                <w:color w:val="0D0D0D" w:themeColor="text1" w:themeTint="F2"/>
                <w:spacing w:val="-4"/>
              </w:rPr>
              <w:t xml:space="preserve"> energeticky náročná odvětví chemického, hutnického a kovodělného průmyslu</w:t>
            </w:r>
            <w:r>
              <w:rPr>
                <w:color w:val="0D0D0D" w:themeColor="text1" w:themeTint="F2"/>
                <w:spacing w:val="-4"/>
              </w:rPr>
              <w:t xml:space="preserve"> či výroby skla a stavebních hmot</w:t>
            </w:r>
            <w:r w:rsidRPr="009E1798">
              <w:rPr>
                <w:color w:val="0D0D0D" w:themeColor="text1" w:themeTint="F2"/>
                <w:spacing w:val="-4"/>
              </w:rPr>
              <w:t xml:space="preserve">. Po rychlém </w:t>
            </w:r>
            <w:r>
              <w:rPr>
                <w:color w:val="0D0D0D" w:themeColor="text1" w:themeTint="F2"/>
                <w:spacing w:val="-4"/>
              </w:rPr>
              <w:t xml:space="preserve">zotavení v roce 2021, kdy výkon těchto oborů pod vlivem svižné poptávky z tuzemska </w:t>
            </w:r>
            <w:r>
              <w:rPr>
                <w:color w:val="0D0D0D" w:themeColor="text1" w:themeTint="F2"/>
                <w:spacing w:val="-4"/>
              </w:rPr>
              <w:br/>
              <w:t xml:space="preserve">i zahraničí vystoupal nad úroveň z předkrizového roku 2019, docházelo vlivem prudkého růstu cen vstupů k útlumu, jenž se během 2. pololetí prohluboval. Nejvyšší propad přitom postihl hutnictví, v němž vinou oslabení zahraniční poptávky produkce loni klesla o 8,3 % (hlubší útlum zaznamenal naposledy za recese v roce 2009). Mírnější, ale z pohledu celého průmyslu stále významný pokles produkce postihl chemický a také kovodělný průmysl, jemuž příliš nepomohla ani rostoucí poptávka v malém segmentu zbrojní výroby. S vysokým růstem výrobních nákladů spolu se slábnoucí spotřebitelskou poptávkou se potýkalo i potravinářství, jehož produkce se poprvé po roce 2013 snížila (o 1,5 %). Odlišné pozadí měl naopak útlum </w:t>
            </w:r>
            <w:r w:rsidRPr="00D5632B">
              <w:rPr>
                <w:color w:val="0D0D0D" w:themeColor="text1" w:themeTint="F2"/>
                <w:spacing w:val="-4"/>
              </w:rPr>
              <w:t xml:space="preserve">v dřevozpracujícím průmyslu, </w:t>
            </w:r>
            <w:r w:rsidR="00DE3E22" w:rsidRPr="00D5632B">
              <w:rPr>
                <w:color w:val="0D0D0D" w:themeColor="text1" w:themeTint="F2"/>
                <w:spacing w:val="-4"/>
              </w:rPr>
              <w:t>k němu</w:t>
            </w:r>
            <w:r w:rsidRPr="00D5632B">
              <w:rPr>
                <w:color w:val="0D0D0D" w:themeColor="text1" w:themeTint="F2"/>
                <w:spacing w:val="-4"/>
              </w:rPr>
              <w:t xml:space="preserve"> došlo druhým rokem v</w:t>
            </w:r>
            <w:r>
              <w:rPr>
                <w:color w:val="0D0D0D" w:themeColor="text1" w:themeTint="F2"/>
                <w:spacing w:val="-4"/>
              </w:rPr>
              <w:t> </w:t>
            </w:r>
            <w:r w:rsidRPr="00D5632B">
              <w:rPr>
                <w:color w:val="0D0D0D" w:themeColor="text1" w:themeTint="F2"/>
                <w:spacing w:val="-4"/>
              </w:rPr>
              <w:t>řadě</w:t>
            </w:r>
            <w:r>
              <w:rPr>
                <w:color w:val="0D0D0D" w:themeColor="text1" w:themeTint="F2"/>
                <w:spacing w:val="-4"/>
              </w:rPr>
              <w:t xml:space="preserve"> (loni o 7 %)</w:t>
            </w:r>
            <w:r w:rsidRPr="00D5632B">
              <w:rPr>
                <w:color w:val="0D0D0D" w:themeColor="text1" w:themeTint="F2"/>
                <w:spacing w:val="-4"/>
              </w:rPr>
              <w:t xml:space="preserve">. </w:t>
            </w:r>
            <w:r>
              <w:rPr>
                <w:color w:val="0D0D0D" w:themeColor="text1" w:themeTint="F2"/>
                <w:spacing w:val="-4"/>
              </w:rPr>
              <w:t>Výkon návazných oborů (</w:t>
            </w:r>
            <w:r w:rsidRPr="00D5632B">
              <w:rPr>
                <w:color w:val="0D0D0D" w:themeColor="text1" w:themeTint="F2"/>
                <w:spacing w:val="-4"/>
              </w:rPr>
              <w:t>papírenství a</w:t>
            </w:r>
            <w:r w:rsidRPr="00D5632B">
              <w:rPr>
                <w:color w:val="0D0D0D" w:themeColor="text1" w:themeTint="F2"/>
                <w:spacing w:val="-5"/>
              </w:rPr>
              <w:t> </w:t>
            </w:r>
            <w:r w:rsidRPr="00D5632B">
              <w:rPr>
                <w:color w:val="0D0D0D" w:themeColor="text1" w:themeTint="F2"/>
                <w:spacing w:val="-4"/>
              </w:rPr>
              <w:t>nábytkářství</w:t>
            </w:r>
            <w:r>
              <w:rPr>
                <w:color w:val="0D0D0D" w:themeColor="text1" w:themeTint="F2"/>
                <w:spacing w:val="-4"/>
              </w:rPr>
              <w:t>) stagnoval, ve 2. pololetí se i </w:t>
            </w:r>
            <w:r w:rsidRPr="00D5632B">
              <w:rPr>
                <w:color w:val="0D0D0D" w:themeColor="text1" w:themeTint="F2"/>
                <w:spacing w:val="-4"/>
              </w:rPr>
              <w:t>zde začala projevovat slábnoucí poptávka.</w:t>
            </w:r>
            <w:r>
              <w:rPr>
                <w:color w:val="0D0D0D" w:themeColor="text1" w:themeTint="F2"/>
                <w:spacing w:val="-4"/>
              </w:rPr>
              <w:t xml:space="preserve"> Ve výrobě</w:t>
            </w:r>
            <w:r w:rsidRPr="00D5632B">
              <w:rPr>
                <w:color w:val="0D0D0D" w:themeColor="text1" w:themeTint="F2"/>
                <w:spacing w:val="-4"/>
              </w:rPr>
              <w:t xml:space="preserve"> ostatních </w:t>
            </w:r>
            <w:r>
              <w:rPr>
                <w:color w:val="0D0D0D" w:themeColor="text1" w:themeTint="F2"/>
                <w:spacing w:val="-4"/>
              </w:rPr>
              <w:t xml:space="preserve">(zejména kolejových) </w:t>
            </w:r>
            <w:r w:rsidRPr="00D5632B">
              <w:rPr>
                <w:color w:val="0D0D0D" w:themeColor="text1" w:themeTint="F2"/>
                <w:spacing w:val="-4"/>
              </w:rPr>
              <w:t>dopravních prostředků</w:t>
            </w:r>
            <w:r>
              <w:rPr>
                <w:color w:val="0D0D0D" w:themeColor="text1" w:themeTint="F2"/>
                <w:spacing w:val="-4"/>
              </w:rPr>
              <w:t xml:space="preserve"> má produkce tradičně kolísavý charakter. Loni propadla hlavně vlivem vysoké srovnávací základny o 7,5</w:t>
            </w:r>
            <w:r w:rsidRPr="00D5632B">
              <w:rPr>
                <w:color w:val="0D0D0D" w:themeColor="text1" w:themeTint="F2"/>
                <w:spacing w:val="-4"/>
              </w:rPr>
              <w:t> </w:t>
            </w:r>
            <w:r>
              <w:rPr>
                <w:color w:val="0D0D0D" w:themeColor="text1" w:themeTint="F2"/>
                <w:spacing w:val="-4"/>
              </w:rPr>
              <w:t>%</w:t>
            </w:r>
            <w:r>
              <w:rPr>
                <w:rStyle w:val="Znakapoznpodarou"/>
                <w:color w:val="0D0D0D" w:themeColor="text1" w:themeTint="F2"/>
                <w:spacing w:val="-4"/>
              </w:rPr>
              <w:footnoteReference w:id="24"/>
            </w:r>
            <w:r>
              <w:rPr>
                <w:color w:val="0D0D0D" w:themeColor="text1" w:themeTint="F2"/>
                <w:spacing w:val="-4"/>
              </w:rPr>
              <w:t xml:space="preserve">. </w:t>
            </w:r>
          </w:p>
        </w:tc>
      </w:tr>
      <w:tr w:rsidR="00E87D5B" w:rsidRPr="00A92514" w14:paraId="3C6C8DB6" w14:textId="77777777" w:rsidTr="008B1850">
        <w:trPr>
          <w:trHeight w:val="170"/>
        </w:trPr>
        <w:tc>
          <w:tcPr>
            <w:tcW w:w="1814" w:type="dxa"/>
            <w:vMerge w:val="restart"/>
            <w:tcBorders>
              <w:top w:val="nil"/>
              <w:left w:val="nil"/>
              <w:bottom w:val="nil"/>
              <w:right w:val="nil"/>
            </w:tcBorders>
            <w:shd w:val="clear" w:color="auto" w:fill="auto"/>
            <w:tcMar>
              <w:left w:w="0" w:type="dxa"/>
            </w:tcMar>
          </w:tcPr>
          <w:p w14:paraId="3BBEA19F" w14:textId="77777777" w:rsidR="00E87D5B" w:rsidRDefault="00E87D5B" w:rsidP="00C8019E">
            <w:pPr>
              <w:pStyle w:val="Marginlie"/>
            </w:pPr>
          </w:p>
        </w:tc>
        <w:tc>
          <w:tcPr>
            <w:tcW w:w="209" w:type="dxa"/>
            <w:vMerge w:val="restart"/>
            <w:tcBorders>
              <w:top w:val="nil"/>
              <w:left w:val="nil"/>
              <w:bottom w:val="nil"/>
              <w:right w:val="nil"/>
            </w:tcBorders>
            <w:shd w:val="clear" w:color="auto" w:fill="auto"/>
            <w:tcMar>
              <w:left w:w="0" w:type="dxa"/>
            </w:tcMar>
          </w:tcPr>
          <w:p w14:paraId="1B4B2C07"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2DE4C529" w14:textId="77777777" w:rsidR="00E87D5B" w:rsidRPr="00A92514" w:rsidRDefault="00E87D5B" w:rsidP="00C8019E">
            <w:pPr>
              <w:spacing w:after="0"/>
              <w:rPr>
                <w:spacing w:val="-4"/>
              </w:rPr>
            </w:pPr>
            <w:r w:rsidRPr="008E64D7">
              <w:rPr>
                <w:rFonts w:cs="Arial"/>
                <w:b/>
                <w:bCs/>
                <w:color w:val="000000"/>
                <w:szCs w:val="20"/>
              </w:rPr>
              <w:t xml:space="preserve">Graf č. 4 </w:t>
            </w:r>
            <w:r w:rsidRPr="008E64D7">
              <w:rPr>
                <w:b/>
              </w:rPr>
              <w:t>Příspěvky dílčích odvětví k meziroční změně průmyslové produkce</w:t>
            </w:r>
            <w:r w:rsidRPr="008E64D7">
              <w:rPr>
                <w:b/>
              </w:rPr>
              <w:br/>
            </w:r>
            <w:r w:rsidRPr="008E64D7">
              <w:t xml:space="preserve">(očištěno o kalendářní vlivy, reálně, v p. b.) </w:t>
            </w:r>
            <w:r w:rsidRPr="008E64D7">
              <w:rPr>
                <w:b/>
              </w:rPr>
              <w:t xml:space="preserve">a tržby* i produkce v celém průmyslu </w:t>
            </w:r>
            <w:r w:rsidRPr="008E64D7">
              <w:t>(sezónně očištěno, úroveň roku 2015=100, pravá osa)</w:t>
            </w:r>
          </w:p>
        </w:tc>
      </w:tr>
      <w:tr w:rsidR="00E87D5B" w:rsidRPr="0067514E" w14:paraId="65539438" w14:textId="77777777" w:rsidTr="008B1850">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2B855476" w14:textId="77777777" w:rsidR="00E87D5B" w:rsidRDefault="00E87D5B" w:rsidP="00C8019E">
            <w:pPr>
              <w:pStyle w:val="Marginlie"/>
            </w:pPr>
          </w:p>
        </w:tc>
        <w:tc>
          <w:tcPr>
            <w:tcW w:w="209" w:type="dxa"/>
            <w:vMerge/>
            <w:tcBorders>
              <w:top w:val="nil"/>
              <w:left w:val="nil"/>
              <w:bottom w:val="nil"/>
              <w:right w:val="nil"/>
            </w:tcBorders>
            <w:shd w:val="clear" w:color="auto" w:fill="auto"/>
          </w:tcPr>
          <w:p w14:paraId="35060870"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Pr>
          <w:p w14:paraId="437E74CC" w14:textId="77777777" w:rsidR="00E87D5B" w:rsidRPr="0067514E" w:rsidRDefault="00E87D5B" w:rsidP="00C8019E">
            <w:pPr>
              <w:spacing w:after="0"/>
              <w:rPr>
                <w:spacing w:val="-6"/>
              </w:rPr>
            </w:pPr>
            <w:r>
              <w:rPr>
                <w:noProof/>
              </w:rPr>
              <w:drawing>
                <wp:inline distT="0" distB="0" distL="0" distR="0" wp14:anchorId="05C47DD6" wp14:editId="5E1C39AE">
                  <wp:extent cx="4599940" cy="3403600"/>
                  <wp:effectExtent l="0" t="0" r="0" b="63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87D5B" w:rsidRPr="00E52D45" w14:paraId="32278D1E" w14:textId="77777777" w:rsidTr="008B1850">
        <w:trPr>
          <w:trHeight w:val="170"/>
        </w:trPr>
        <w:tc>
          <w:tcPr>
            <w:tcW w:w="1814" w:type="dxa"/>
            <w:vMerge/>
            <w:tcBorders>
              <w:top w:val="nil"/>
              <w:left w:val="nil"/>
              <w:bottom w:val="nil"/>
              <w:right w:val="nil"/>
            </w:tcBorders>
            <w:shd w:val="clear" w:color="auto" w:fill="auto"/>
            <w:tcMar>
              <w:left w:w="0" w:type="dxa"/>
            </w:tcMar>
          </w:tcPr>
          <w:p w14:paraId="526A0794" w14:textId="77777777" w:rsidR="00E87D5B" w:rsidRDefault="00E87D5B" w:rsidP="00C8019E">
            <w:pPr>
              <w:pStyle w:val="Marginlie"/>
            </w:pPr>
          </w:p>
        </w:tc>
        <w:tc>
          <w:tcPr>
            <w:tcW w:w="209" w:type="dxa"/>
            <w:vMerge/>
            <w:tcBorders>
              <w:top w:val="nil"/>
              <w:left w:val="nil"/>
              <w:bottom w:val="nil"/>
              <w:right w:val="nil"/>
            </w:tcBorders>
            <w:shd w:val="clear" w:color="auto" w:fill="auto"/>
            <w:tcMar>
              <w:left w:w="0" w:type="dxa"/>
            </w:tcMar>
          </w:tcPr>
          <w:p w14:paraId="48B18D6F"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5E8BBEE7" w14:textId="77777777" w:rsidR="00E87D5B" w:rsidRPr="00E52D45" w:rsidRDefault="00E87D5B" w:rsidP="00C8019E">
            <w:pPr>
              <w:tabs>
                <w:tab w:val="right" w:pos="7683"/>
              </w:tabs>
              <w:spacing w:after="200" w:line="240" w:lineRule="auto"/>
              <w:jc w:val="left"/>
              <w:rPr>
                <w:spacing w:val="-2"/>
                <w:sz w:val="14"/>
                <w:szCs w:val="14"/>
              </w:rPr>
            </w:pPr>
            <w:r>
              <w:rPr>
                <w:rFonts w:cs="Arial"/>
                <w:sz w:val="14"/>
                <w:szCs w:val="14"/>
              </w:rPr>
              <w:t xml:space="preserve">Poznámka: Tržby jsou uvedeny v běžných cenách. </w:t>
            </w:r>
            <w:r>
              <w:rPr>
                <w:rFonts w:cs="Arial"/>
                <w:sz w:val="14"/>
                <w:szCs w:val="14"/>
              </w:rPr>
              <w:tab/>
              <w:t xml:space="preserve"> </w:t>
            </w:r>
            <w:r w:rsidRPr="00883202">
              <w:rPr>
                <w:rFonts w:cs="Arial"/>
                <w:sz w:val="14"/>
                <w:szCs w:val="14"/>
              </w:rPr>
              <w:t>Zdroj: ČSÚ</w:t>
            </w:r>
          </w:p>
        </w:tc>
      </w:tr>
      <w:tr w:rsidR="00E87D5B" w:rsidRPr="00823342" w14:paraId="435D2229" w14:textId="77777777" w:rsidTr="008B1850">
        <w:trPr>
          <w:trHeight w:val="170"/>
        </w:trPr>
        <w:tc>
          <w:tcPr>
            <w:tcW w:w="1814" w:type="dxa"/>
            <w:tcBorders>
              <w:top w:val="nil"/>
              <w:left w:val="nil"/>
              <w:bottom w:val="nil"/>
              <w:right w:val="nil"/>
            </w:tcBorders>
            <w:shd w:val="clear" w:color="auto" w:fill="auto"/>
            <w:tcMar>
              <w:left w:w="0" w:type="dxa"/>
            </w:tcMar>
          </w:tcPr>
          <w:p w14:paraId="325D92A3" w14:textId="77777777" w:rsidR="00E87D5B" w:rsidRDefault="00E87D5B" w:rsidP="00C8019E">
            <w:pPr>
              <w:pStyle w:val="Marginlie"/>
              <w:rPr>
                <w:color w:val="0D0D0D" w:themeColor="text1" w:themeTint="F2"/>
              </w:rPr>
            </w:pPr>
            <w:r>
              <w:rPr>
                <w:color w:val="0D0D0D" w:themeColor="text1" w:themeTint="F2"/>
              </w:rPr>
              <w:t>Růst produkce v těžbě uhlí byl loni rekordní, těžba stavebních materiálů se naopak snižovala.</w:t>
            </w:r>
          </w:p>
          <w:p w14:paraId="4ACF4FC8" w14:textId="77777777" w:rsidR="00E87D5B" w:rsidRDefault="00E87D5B" w:rsidP="00C8019E">
            <w:pPr>
              <w:pStyle w:val="Marginlie"/>
              <w:rPr>
                <w:color w:val="0D0D0D" w:themeColor="text1" w:themeTint="F2"/>
              </w:rPr>
            </w:pPr>
          </w:p>
          <w:p w14:paraId="0E3479F6" w14:textId="77777777" w:rsidR="00E87D5B" w:rsidRDefault="00E87D5B" w:rsidP="00C8019E">
            <w:pPr>
              <w:pStyle w:val="Marginlie"/>
              <w:rPr>
                <w:color w:val="0D0D0D" w:themeColor="text1" w:themeTint="F2"/>
              </w:rPr>
            </w:pPr>
          </w:p>
          <w:p w14:paraId="0E377EBA" w14:textId="77777777" w:rsidR="00E87D5B" w:rsidRDefault="00E87D5B" w:rsidP="00C8019E">
            <w:pPr>
              <w:pStyle w:val="Marginlie"/>
              <w:rPr>
                <w:color w:val="0D0D0D" w:themeColor="text1" w:themeTint="F2"/>
              </w:rPr>
            </w:pPr>
          </w:p>
          <w:p w14:paraId="02056D6E" w14:textId="77777777" w:rsidR="00E87D5B" w:rsidRDefault="00E87D5B" w:rsidP="00C8019E">
            <w:pPr>
              <w:pStyle w:val="Marginlie"/>
              <w:rPr>
                <w:color w:val="0D0D0D" w:themeColor="text1" w:themeTint="F2"/>
              </w:rPr>
            </w:pPr>
            <w:r>
              <w:rPr>
                <w:color w:val="0D0D0D" w:themeColor="text1" w:themeTint="F2"/>
              </w:rPr>
              <w:t xml:space="preserve">Za poklesem produkce energetiky stály loni </w:t>
            </w:r>
            <w:r>
              <w:rPr>
                <w:color w:val="0D0D0D" w:themeColor="text1" w:themeTint="F2"/>
              </w:rPr>
              <w:lastRenderedPageBreak/>
              <w:t>teplejší počasí i úspory u odběratelů, zejména na konci roku.</w:t>
            </w:r>
          </w:p>
          <w:p w14:paraId="2543CFDB" w14:textId="77777777" w:rsidR="00E87D5B" w:rsidRPr="00B51DC6" w:rsidRDefault="00E87D5B" w:rsidP="00C8019E">
            <w:pPr>
              <w:pStyle w:val="Marginlie"/>
              <w:rPr>
                <w:color w:val="0D0D0D" w:themeColor="text1" w:themeTint="F2"/>
              </w:rPr>
            </w:pPr>
          </w:p>
        </w:tc>
        <w:tc>
          <w:tcPr>
            <w:tcW w:w="209" w:type="dxa"/>
            <w:tcBorders>
              <w:top w:val="nil"/>
              <w:left w:val="nil"/>
              <w:bottom w:val="nil"/>
              <w:right w:val="nil"/>
            </w:tcBorders>
            <w:shd w:val="clear" w:color="auto" w:fill="auto"/>
            <w:tcMar>
              <w:left w:w="0" w:type="dxa"/>
            </w:tcMar>
          </w:tcPr>
          <w:p w14:paraId="3589D58F" w14:textId="77777777" w:rsidR="00E87D5B" w:rsidRPr="00B51DC6" w:rsidRDefault="00E87D5B" w:rsidP="00C8019E">
            <w:pPr>
              <w:pStyle w:val="Textpoznpodarou"/>
              <w:jc w:val="both"/>
              <w:rPr>
                <w:color w:val="0D0D0D" w:themeColor="text1" w:themeTint="F2"/>
                <w:spacing w:val="-4"/>
              </w:rPr>
            </w:pPr>
          </w:p>
        </w:tc>
        <w:tc>
          <w:tcPr>
            <w:tcW w:w="7681" w:type="dxa"/>
            <w:tcBorders>
              <w:top w:val="nil"/>
              <w:left w:val="nil"/>
              <w:bottom w:val="nil"/>
              <w:right w:val="nil"/>
            </w:tcBorders>
            <w:shd w:val="clear" w:color="auto" w:fill="auto"/>
            <w:tcMar>
              <w:left w:w="0" w:type="dxa"/>
            </w:tcMar>
          </w:tcPr>
          <w:p w14:paraId="03D2A6FE" w14:textId="77B4A2BB" w:rsidR="00E87D5B" w:rsidRPr="00823342" w:rsidRDefault="00E87D5B" w:rsidP="00C8019E">
            <w:pPr>
              <w:spacing w:after="200"/>
              <w:rPr>
                <w:color w:val="0D0D0D" w:themeColor="text1" w:themeTint="F2"/>
                <w:spacing w:val="-4"/>
              </w:rPr>
            </w:pPr>
            <w:r w:rsidRPr="00823342">
              <w:rPr>
                <w:color w:val="0D0D0D" w:themeColor="text1" w:themeTint="F2"/>
                <w:spacing w:val="-4"/>
              </w:rPr>
              <w:t xml:space="preserve">Situaci v nezpracovatelských průmyslových odvětvích loni výrazně ovlivnil energetický šok, jenž otřásl do té doby relativně ustáleným energetickým mixem v řadě evropských ekonomik a přerušil některé dlouhodobé trendy v poptávce po důležitých komoditách. Produkce v těžbě a dobývání mírně rostla druhým rokem v řadě. Z toho v segmentu těžby uhlí se výkon meziročně zvýšil skoro o desetinu, když rostl poprvé od roku 2011 a jeho tempo bylo nejvyšší ve srovnatelné časové řadě (od roku 2000). Naopak v těžbě stavebních materiálů se loni produkce </w:t>
            </w:r>
            <w:r>
              <w:rPr>
                <w:color w:val="0D0D0D" w:themeColor="text1" w:themeTint="F2"/>
                <w:spacing w:val="-4"/>
              </w:rPr>
              <w:t xml:space="preserve">mírně </w:t>
            </w:r>
            <w:r w:rsidRPr="00823342">
              <w:rPr>
                <w:color w:val="0D0D0D" w:themeColor="text1" w:themeTint="F2"/>
                <w:spacing w:val="-4"/>
              </w:rPr>
              <w:t>sníži</w:t>
            </w:r>
            <w:r>
              <w:rPr>
                <w:color w:val="0D0D0D" w:themeColor="text1" w:themeTint="F2"/>
                <w:spacing w:val="-4"/>
              </w:rPr>
              <w:t>la (o 1,6</w:t>
            </w:r>
            <w:r w:rsidRPr="00823342">
              <w:rPr>
                <w:color w:val="0D0D0D" w:themeColor="text1" w:themeTint="F2"/>
                <w:spacing w:val="-4"/>
              </w:rPr>
              <w:t xml:space="preserve"> %), což souviselo s oslabením poptávky ze strany stavebníků</w:t>
            </w:r>
            <w:r>
              <w:rPr>
                <w:color w:val="0D0D0D" w:themeColor="text1" w:themeTint="F2"/>
                <w:spacing w:val="-4"/>
              </w:rPr>
              <w:t xml:space="preserve"> i vyšší energetickou náročností tohoto oboru</w:t>
            </w:r>
            <w:r w:rsidRPr="00823342">
              <w:rPr>
                <w:color w:val="0D0D0D" w:themeColor="text1" w:themeTint="F2"/>
                <w:spacing w:val="-4"/>
              </w:rPr>
              <w:t>.</w:t>
            </w:r>
            <w:r>
              <w:rPr>
                <w:color w:val="0D0D0D" w:themeColor="text1" w:themeTint="F2"/>
                <w:spacing w:val="-4"/>
              </w:rPr>
              <w:t xml:space="preserve"> K </w:t>
            </w:r>
            <w:r w:rsidRPr="00823342">
              <w:rPr>
                <w:color w:val="0D0D0D" w:themeColor="text1" w:themeTint="F2"/>
                <w:spacing w:val="-4"/>
              </w:rPr>
              <w:t xml:space="preserve">poklesu produkce </w:t>
            </w:r>
            <w:r>
              <w:rPr>
                <w:color w:val="0D0D0D" w:themeColor="text1" w:themeTint="F2"/>
                <w:spacing w:val="-4"/>
              </w:rPr>
              <w:t xml:space="preserve">došlo rovněž </w:t>
            </w:r>
            <w:r>
              <w:rPr>
                <w:color w:val="0D0D0D" w:themeColor="text1" w:themeTint="F2"/>
                <w:spacing w:val="-4"/>
              </w:rPr>
              <w:lastRenderedPageBreak/>
              <w:t>v energetice (o 2,9</w:t>
            </w:r>
            <w:r w:rsidRPr="00823342">
              <w:rPr>
                <w:color w:val="0D0D0D" w:themeColor="text1" w:themeTint="F2"/>
                <w:spacing w:val="-4"/>
              </w:rPr>
              <w:t xml:space="preserve"> %), primárně vlivem vývoje ve 4. čtvrtletí, kdy se projevilo citelné omeze</w:t>
            </w:r>
            <w:r>
              <w:rPr>
                <w:color w:val="0D0D0D" w:themeColor="text1" w:themeTint="F2"/>
                <w:spacing w:val="-4"/>
              </w:rPr>
              <w:t>ní spotřeby vlivem</w:t>
            </w:r>
            <w:r w:rsidRPr="00823342">
              <w:rPr>
                <w:color w:val="0D0D0D" w:themeColor="text1" w:themeTint="F2"/>
                <w:spacing w:val="-4"/>
              </w:rPr>
              <w:t xml:space="preserve"> </w:t>
            </w:r>
            <w:r>
              <w:rPr>
                <w:color w:val="0D0D0D" w:themeColor="text1" w:themeTint="F2"/>
                <w:spacing w:val="-4"/>
              </w:rPr>
              <w:t>teplejšího</w:t>
            </w:r>
            <w:r w:rsidRPr="00823342">
              <w:rPr>
                <w:color w:val="0D0D0D" w:themeColor="text1" w:themeTint="F2"/>
                <w:spacing w:val="-4"/>
              </w:rPr>
              <w:t xml:space="preserve"> počasí i </w:t>
            </w:r>
            <w:r>
              <w:rPr>
                <w:color w:val="0D0D0D" w:themeColor="text1" w:themeTint="F2"/>
                <w:spacing w:val="-4"/>
              </w:rPr>
              <w:t>očekávaných</w:t>
            </w:r>
            <w:r w:rsidRPr="00823342">
              <w:rPr>
                <w:color w:val="0D0D0D" w:themeColor="text1" w:themeTint="F2"/>
                <w:spacing w:val="-4"/>
              </w:rPr>
              <w:t xml:space="preserve"> </w:t>
            </w:r>
            <w:r>
              <w:rPr>
                <w:color w:val="0D0D0D" w:themeColor="text1" w:themeTint="F2"/>
                <w:spacing w:val="-4"/>
              </w:rPr>
              <w:t xml:space="preserve">provozních </w:t>
            </w:r>
            <w:r w:rsidRPr="00823342">
              <w:rPr>
                <w:color w:val="0D0D0D" w:themeColor="text1" w:themeTint="F2"/>
                <w:spacing w:val="-4"/>
              </w:rPr>
              <w:t xml:space="preserve">úspor v podnicích </w:t>
            </w:r>
            <w:r>
              <w:rPr>
                <w:color w:val="0D0D0D" w:themeColor="text1" w:themeTint="F2"/>
                <w:spacing w:val="-4"/>
              </w:rPr>
              <w:t>a </w:t>
            </w:r>
            <w:r w:rsidRPr="00823342">
              <w:rPr>
                <w:color w:val="0D0D0D" w:themeColor="text1" w:themeTint="F2"/>
                <w:spacing w:val="-4"/>
              </w:rPr>
              <w:t xml:space="preserve">domácnostech. Spotřeba zemního plynu v ČR se za loňský </w:t>
            </w:r>
            <w:r>
              <w:rPr>
                <w:color w:val="0D0D0D" w:themeColor="text1" w:themeTint="F2"/>
                <w:spacing w:val="-4"/>
              </w:rPr>
              <w:t xml:space="preserve">rok </w:t>
            </w:r>
            <w:r w:rsidRPr="00823342">
              <w:rPr>
                <w:color w:val="0D0D0D" w:themeColor="text1" w:themeTint="F2"/>
                <w:spacing w:val="-4"/>
              </w:rPr>
              <w:t>snížila o </w:t>
            </w:r>
            <w:r>
              <w:rPr>
                <w:color w:val="0D0D0D" w:themeColor="text1" w:themeTint="F2"/>
                <w:spacing w:val="-4"/>
              </w:rPr>
              <w:t>rekordních 20 % a </w:t>
            </w:r>
            <w:r w:rsidRPr="00823342">
              <w:rPr>
                <w:color w:val="0D0D0D" w:themeColor="text1" w:themeTint="F2"/>
                <w:spacing w:val="-4"/>
              </w:rPr>
              <w:t>byla nejnižší za posledních osm let</w:t>
            </w:r>
            <w:r w:rsidRPr="00823342">
              <w:rPr>
                <w:rStyle w:val="Znakapoznpodarou"/>
                <w:color w:val="0D0D0D" w:themeColor="text1" w:themeTint="F2"/>
                <w:spacing w:val="-4"/>
              </w:rPr>
              <w:footnoteReference w:id="25"/>
            </w:r>
            <w:r w:rsidRPr="00823342">
              <w:rPr>
                <w:color w:val="0D0D0D" w:themeColor="text1" w:themeTint="F2"/>
                <w:spacing w:val="-4"/>
              </w:rPr>
              <w:t xml:space="preserve">. K poklesu došlo i u vyrobeného </w:t>
            </w:r>
            <w:r w:rsidRPr="004665C6">
              <w:rPr>
                <w:color w:val="0D0D0D" w:themeColor="text1" w:themeTint="F2"/>
                <w:spacing w:val="-6"/>
              </w:rPr>
              <w:t>tepla</w:t>
            </w:r>
            <w:r w:rsidRPr="004665C6">
              <w:rPr>
                <w:rStyle w:val="Znakapoznpodarou"/>
                <w:color w:val="0D0D0D" w:themeColor="text1" w:themeTint="F2"/>
                <w:spacing w:val="-6"/>
              </w:rPr>
              <w:footnoteReference w:id="26"/>
            </w:r>
            <w:r w:rsidRPr="004665C6">
              <w:rPr>
                <w:color w:val="0D0D0D" w:themeColor="text1" w:themeTint="F2"/>
                <w:spacing w:val="-6"/>
              </w:rPr>
              <w:t>. Množství vyrobené elektřiny se meziročně snížilo jen o nepatrných 0,4 %</w:t>
            </w:r>
            <w:r w:rsidRPr="004665C6">
              <w:rPr>
                <w:rStyle w:val="Znakapoznpodarou"/>
                <w:color w:val="0D0D0D" w:themeColor="text1" w:themeTint="F2"/>
                <w:spacing w:val="-6"/>
              </w:rPr>
              <w:footnoteReference w:id="27"/>
            </w:r>
            <w:r w:rsidRPr="004665C6">
              <w:rPr>
                <w:color w:val="0D0D0D" w:themeColor="text1" w:themeTint="F2"/>
                <w:spacing w:val="-6"/>
              </w:rPr>
              <w:t xml:space="preserve"> (oproti roku 2019 bylo </w:t>
            </w:r>
            <w:r>
              <w:rPr>
                <w:color w:val="0D0D0D" w:themeColor="text1" w:themeTint="F2"/>
                <w:spacing w:val="-6"/>
              </w:rPr>
              <w:t xml:space="preserve">však </w:t>
            </w:r>
            <w:r w:rsidR="0048399F">
              <w:rPr>
                <w:color w:val="0D0D0D" w:themeColor="text1" w:themeTint="F2"/>
                <w:spacing w:val="-6"/>
              </w:rPr>
              <w:t>nižší o 2,9</w:t>
            </w:r>
            <w:r w:rsidRPr="004665C6">
              <w:rPr>
                <w:color w:val="0D0D0D" w:themeColor="text1" w:themeTint="F2"/>
                <w:spacing w:val="-6"/>
              </w:rPr>
              <w:t xml:space="preserve"> %). Protože tuzemská spotřeba elektřiny klesla loni výrazněji (</w:t>
            </w:r>
            <w:proofErr w:type="gramStart"/>
            <w:r w:rsidRPr="004665C6">
              <w:rPr>
                <w:color w:val="0D0D0D" w:themeColor="text1" w:themeTint="F2"/>
                <w:spacing w:val="-6"/>
              </w:rPr>
              <w:t>o  3</w:t>
            </w:r>
            <w:proofErr w:type="gramEnd"/>
            <w:r w:rsidRPr="004665C6">
              <w:rPr>
                <w:color w:val="0D0D0D" w:themeColor="text1" w:themeTint="F2"/>
                <w:spacing w:val="-6"/>
              </w:rPr>
              <w:t>,9 %), dlouhodobý přebytek zahraničního obchodu ČR s touto komoditou se dále navyšoval</w:t>
            </w:r>
            <w:r w:rsidRPr="004665C6">
              <w:rPr>
                <w:rStyle w:val="Znakapoznpodarou"/>
                <w:color w:val="0D0D0D" w:themeColor="text1" w:themeTint="F2"/>
                <w:spacing w:val="-6"/>
              </w:rPr>
              <w:footnoteReference w:id="28"/>
            </w:r>
            <w:r w:rsidRPr="004665C6">
              <w:rPr>
                <w:color w:val="0D0D0D" w:themeColor="text1" w:themeTint="F2"/>
                <w:spacing w:val="-6"/>
              </w:rPr>
              <w:t>.</w:t>
            </w:r>
          </w:p>
        </w:tc>
      </w:tr>
      <w:tr w:rsidR="00E87D5B" w:rsidRPr="00823342" w14:paraId="78BBC85C" w14:textId="77777777" w:rsidTr="008B1850">
        <w:trPr>
          <w:trHeight w:val="170"/>
        </w:trPr>
        <w:tc>
          <w:tcPr>
            <w:tcW w:w="1814" w:type="dxa"/>
            <w:tcBorders>
              <w:top w:val="nil"/>
              <w:left w:val="nil"/>
              <w:bottom w:val="nil"/>
              <w:right w:val="nil"/>
            </w:tcBorders>
            <w:shd w:val="clear" w:color="auto" w:fill="auto"/>
            <w:tcMar>
              <w:left w:w="0" w:type="dxa"/>
            </w:tcMar>
          </w:tcPr>
          <w:p w14:paraId="66F44819" w14:textId="77777777" w:rsidR="00E87D5B" w:rsidRDefault="00E87D5B" w:rsidP="00C8019E">
            <w:pPr>
              <w:pStyle w:val="Marginlie"/>
              <w:rPr>
                <w:color w:val="0D0D0D" w:themeColor="text1" w:themeTint="F2"/>
              </w:rPr>
            </w:pPr>
            <w:r>
              <w:rPr>
                <w:color w:val="0D0D0D" w:themeColor="text1" w:themeTint="F2"/>
              </w:rPr>
              <w:lastRenderedPageBreak/>
              <w:t>Průmyslovým podnikům rostly meziročně domácí tržby svižněji než tržby z přímého vývozu.</w:t>
            </w:r>
          </w:p>
          <w:p w14:paraId="447ED2AE" w14:textId="77777777" w:rsidR="00E87D5B" w:rsidRDefault="00E87D5B" w:rsidP="00C8019E">
            <w:pPr>
              <w:pStyle w:val="Marginlie"/>
              <w:rPr>
                <w:color w:val="0D0D0D" w:themeColor="text1" w:themeTint="F2"/>
              </w:rPr>
            </w:pPr>
          </w:p>
          <w:p w14:paraId="506530C1" w14:textId="77777777" w:rsidR="00E87D5B" w:rsidRDefault="00E87D5B" w:rsidP="00C8019E">
            <w:pPr>
              <w:pStyle w:val="Marginlie"/>
              <w:rPr>
                <w:color w:val="0D0D0D" w:themeColor="text1" w:themeTint="F2"/>
              </w:rPr>
            </w:pPr>
          </w:p>
          <w:p w14:paraId="550C4A42" w14:textId="77777777" w:rsidR="00E87D5B" w:rsidRDefault="00E87D5B" w:rsidP="00C8019E">
            <w:pPr>
              <w:pStyle w:val="Marginlie"/>
              <w:rPr>
                <w:color w:val="0D0D0D" w:themeColor="text1" w:themeTint="F2"/>
              </w:rPr>
            </w:pPr>
          </w:p>
          <w:p w14:paraId="5389A044" w14:textId="77777777" w:rsidR="00E87D5B" w:rsidRDefault="00E87D5B" w:rsidP="00C8019E">
            <w:pPr>
              <w:pStyle w:val="Marginlie"/>
              <w:rPr>
                <w:color w:val="0D0D0D" w:themeColor="text1" w:themeTint="F2"/>
              </w:rPr>
            </w:pPr>
          </w:p>
          <w:p w14:paraId="61D625D2" w14:textId="77777777" w:rsidR="00E87D5B" w:rsidRDefault="00E87D5B" w:rsidP="00C8019E">
            <w:pPr>
              <w:pStyle w:val="Marginlie"/>
              <w:rPr>
                <w:color w:val="0D0D0D" w:themeColor="text1" w:themeTint="F2"/>
              </w:rPr>
            </w:pPr>
          </w:p>
          <w:p w14:paraId="6F75D050" w14:textId="77777777" w:rsidR="00E87D5B" w:rsidRDefault="00E87D5B" w:rsidP="00C8019E">
            <w:pPr>
              <w:pStyle w:val="Marginlie"/>
              <w:rPr>
                <w:color w:val="0D0D0D" w:themeColor="text1" w:themeTint="F2"/>
              </w:rPr>
            </w:pPr>
            <w:proofErr w:type="spellStart"/>
            <w:r>
              <w:rPr>
                <w:color w:val="0D0D0D" w:themeColor="text1" w:themeTint="F2"/>
              </w:rPr>
              <w:t>Mezikvartální</w:t>
            </w:r>
            <w:proofErr w:type="spellEnd"/>
            <w:r>
              <w:rPr>
                <w:color w:val="0D0D0D" w:themeColor="text1" w:themeTint="F2"/>
              </w:rPr>
              <w:t xml:space="preserve"> růst tržeb se na konci roku zastavil.</w:t>
            </w:r>
          </w:p>
          <w:p w14:paraId="15C583E7" w14:textId="77777777" w:rsidR="00E87D5B" w:rsidRPr="00823342" w:rsidRDefault="00E87D5B" w:rsidP="00C8019E">
            <w:pPr>
              <w:pStyle w:val="Marginlie"/>
              <w:rPr>
                <w:color w:val="0D0D0D" w:themeColor="text1" w:themeTint="F2"/>
              </w:rPr>
            </w:pPr>
          </w:p>
        </w:tc>
        <w:tc>
          <w:tcPr>
            <w:tcW w:w="209" w:type="dxa"/>
            <w:tcBorders>
              <w:top w:val="nil"/>
              <w:left w:val="nil"/>
              <w:bottom w:val="nil"/>
              <w:right w:val="nil"/>
            </w:tcBorders>
            <w:shd w:val="clear" w:color="auto" w:fill="auto"/>
            <w:tcMar>
              <w:left w:w="0" w:type="dxa"/>
            </w:tcMar>
          </w:tcPr>
          <w:p w14:paraId="5561EBB1" w14:textId="77777777" w:rsidR="00E87D5B" w:rsidRPr="00823342" w:rsidRDefault="00E87D5B" w:rsidP="00C8019E">
            <w:pPr>
              <w:pStyle w:val="Textpoznpodarou"/>
              <w:jc w:val="both"/>
              <w:rPr>
                <w:color w:val="0D0D0D" w:themeColor="text1" w:themeTint="F2"/>
                <w:spacing w:val="-4"/>
              </w:rPr>
            </w:pPr>
          </w:p>
        </w:tc>
        <w:tc>
          <w:tcPr>
            <w:tcW w:w="7681" w:type="dxa"/>
            <w:tcBorders>
              <w:top w:val="nil"/>
              <w:left w:val="nil"/>
              <w:bottom w:val="nil"/>
              <w:right w:val="nil"/>
            </w:tcBorders>
            <w:shd w:val="clear" w:color="auto" w:fill="auto"/>
            <w:tcMar>
              <w:left w:w="0" w:type="dxa"/>
            </w:tcMar>
          </w:tcPr>
          <w:p w14:paraId="289BB6AD" w14:textId="77777777" w:rsidR="00E87D5B" w:rsidRPr="00823342" w:rsidRDefault="00E87D5B" w:rsidP="00C8019E">
            <w:pPr>
              <w:spacing w:after="200"/>
              <w:rPr>
                <w:rFonts w:cs="Arial"/>
                <w:bCs/>
                <w:color w:val="0D0D0D" w:themeColor="text1" w:themeTint="F2"/>
                <w:spacing w:val="-5"/>
                <w:szCs w:val="20"/>
              </w:rPr>
            </w:pPr>
            <w:r w:rsidRPr="00044F9E">
              <w:rPr>
                <w:rFonts w:cs="Arial"/>
                <w:bCs/>
                <w:color w:val="0D0D0D" w:themeColor="text1" w:themeTint="F2"/>
                <w:spacing w:val="-5"/>
                <w:szCs w:val="20"/>
              </w:rPr>
              <w:t xml:space="preserve">Nominální tržby průmyslových </w:t>
            </w:r>
            <w:r w:rsidRPr="00030362">
              <w:rPr>
                <w:rFonts w:cs="Arial"/>
                <w:bCs/>
                <w:color w:val="0D0D0D" w:themeColor="text1" w:themeTint="F2"/>
                <w:spacing w:val="-5"/>
                <w:szCs w:val="20"/>
              </w:rPr>
              <w:t>podniků</w:t>
            </w:r>
            <w:r w:rsidRPr="00030362">
              <w:rPr>
                <w:rStyle w:val="Znakapoznpodarou"/>
                <w:bCs/>
                <w:color w:val="0D0D0D" w:themeColor="text1" w:themeTint="F2"/>
                <w:spacing w:val="-5"/>
                <w:szCs w:val="20"/>
              </w:rPr>
              <w:footnoteReference w:id="29"/>
            </w:r>
            <w:r>
              <w:rPr>
                <w:rFonts w:cs="Arial"/>
                <w:bCs/>
                <w:color w:val="0D0D0D" w:themeColor="text1" w:themeTint="F2"/>
                <w:spacing w:val="-5"/>
                <w:szCs w:val="20"/>
              </w:rPr>
              <w:t xml:space="preserve"> se v roce 2022 zvýšily o 16,1 %, když rostly ve všech jeho hlavních oborech. Tuzemské tržby posílily meziročně o více než pětinu, skoro dvojnásobným tempem než tržby z přímého vývozu. Řada oborů tradičně se orientujících na domácí trh čelila silným nákladovým tlakům, které se promítaly do realizovaných tržeb – ty proto např. v těžbě uhlí či energetice celkově stouply téměř o třetinu, v potravinářství skoro o</w:t>
            </w:r>
            <w:r>
              <w:rPr>
                <w:color w:val="0D0D0D" w:themeColor="text1" w:themeTint="F2"/>
                <w:spacing w:val="-4"/>
              </w:rPr>
              <w:t> </w:t>
            </w:r>
            <w:r>
              <w:rPr>
                <w:rFonts w:cs="Arial"/>
                <w:bCs/>
                <w:color w:val="0D0D0D" w:themeColor="text1" w:themeTint="F2"/>
                <w:spacing w:val="-5"/>
                <w:szCs w:val="20"/>
              </w:rPr>
              <w:t>pětinu. Naopak ve výrazně proexportní výrobě</w:t>
            </w:r>
            <w:r w:rsidRPr="00271075">
              <w:rPr>
                <w:rFonts w:cs="Arial"/>
                <w:bCs/>
                <w:color w:val="0D0D0D" w:themeColor="text1" w:themeTint="F2"/>
                <w:spacing w:val="-5"/>
                <w:szCs w:val="20"/>
              </w:rPr>
              <w:t xml:space="preserve"> počítačů, elektronických a optických přístroj</w:t>
            </w:r>
            <w:r>
              <w:rPr>
                <w:rFonts w:cs="Arial"/>
                <w:bCs/>
                <w:color w:val="0D0D0D" w:themeColor="text1" w:themeTint="F2"/>
                <w:spacing w:val="-5"/>
                <w:szCs w:val="20"/>
              </w:rPr>
              <w:t xml:space="preserve">ů byly tržby vyšší jen o 5,4 % a cenový růst zde patřil k mírnějším. Ve 4. čtvrtletí 2022 se ale </w:t>
            </w:r>
            <w:proofErr w:type="spellStart"/>
            <w:r>
              <w:rPr>
                <w:rFonts w:cs="Arial"/>
                <w:bCs/>
                <w:color w:val="0D0D0D" w:themeColor="text1" w:themeTint="F2"/>
                <w:spacing w:val="-5"/>
                <w:szCs w:val="20"/>
              </w:rPr>
              <w:t>mezikvartální</w:t>
            </w:r>
            <w:proofErr w:type="spellEnd"/>
            <w:r>
              <w:rPr>
                <w:rFonts w:cs="Arial"/>
                <w:bCs/>
                <w:color w:val="0D0D0D" w:themeColor="text1" w:themeTint="F2"/>
                <w:spacing w:val="-5"/>
                <w:szCs w:val="20"/>
              </w:rPr>
              <w:t xml:space="preserve"> růst tržeb v průmyslu zastavil (poprvé od léta 2021), což souviselo s</w:t>
            </w:r>
            <w:r>
              <w:rPr>
                <w:color w:val="0D0D0D" w:themeColor="text1" w:themeTint="F2"/>
                <w:spacing w:val="-4"/>
              </w:rPr>
              <w:t> </w:t>
            </w:r>
            <w:r>
              <w:rPr>
                <w:rFonts w:cs="Arial"/>
                <w:bCs/>
                <w:color w:val="0D0D0D" w:themeColor="text1" w:themeTint="F2"/>
                <w:spacing w:val="-5"/>
                <w:szCs w:val="20"/>
              </w:rPr>
              <w:t>oslabováním ekonomiky i tím, že cenový růst řady vstupů již od loňského léta slábnul. Ve srovnání s 3. čtvrtletím tak loni klesaly tržby zejména v energetice (o 19 %), řádově méně pak v hutnictví či chemickém a papírenském průmyslu.</w:t>
            </w:r>
          </w:p>
        </w:tc>
      </w:tr>
      <w:tr w:rsidR="00E87D5B" w:rsidRPr="00044F9E" w14:paraId="6FC6EAE8" w14:textId="77777777" w:rsidTr="008B1850">
        <w:trPr>
          <w:trHeight w:val="170"/>
        </w:trPr>
        <w:tc>
          <w:tcPr>
            <w:tcW w:w="1814" w:type="dxa"/>
            <w:tcBorders>
              <w:top w:val="nil"/>
              <w:left w:val="nil"/>
              <w:bottom w:val="nil"/>
              <w:right w:val="nil"/>
            </w:tcBorders>
            <w:shd w:val="clear" w:color="auto" w:fill="auto"/>
            <w:tcMar>
              <w:left w:w="0" w:type="dxa"/>
            </w:tcMar>
          </w:tcPr>
          <w:p w14:paraId="5702767E" w14:textId="77777777" w:rsidR="00E87D5B" w:rsidRDefault="00E87D5B" w:rsidP="00C8019E">
            <w:pPr>
              <w:pStyle w:val="Marginlie"/>
            </w:pPr>
            <w:r>
              <w:t xml:space="preserve">Růst hodnoty nových průmyslových zakázek od počátku roku za dynamikou tržeb zaostával. </w:t>
            </w:r>
          </w:p>
          <w:p w14:paraId="1488B065" w14:textId="77777777" w:rsidR="00E87D5B" w:rsidRDefault="00E87D5B" w:rsidP="00C8019E">
            <w:pPr>
              <w:pStyle w:val="Marginlie"/>
            </w:pPr>
          </w:p>
          <w:p w14:paraId="5AE3C664" w14:textId="77777777" w:rsidR="00E87D5B" w:rsidRDefault="00E87D5B" w:rsidP="00C8019E">
            <w:pPr>
              <w:pStyle w:val="Marginlie"/>
            </w:pPr>
          </w:p>
          <w:p w14:paraId="6F3ED0E7" w14:textId="77777777" w:rsidR="00E87D5B" w:rsidRDefault="00E87D5B" w:rsidP="00C8019E">
            <w:pPr>
              <w:pStyle w:val="Marginlie"/>
              <w:rPr>
                <w:color w:val="0D0D0D" w:themeColor="text1" w:themeTint="F2"/>
              </w:rPr>
            </w:pPr>
            <w:r>
              <w:t>Poptávka v energeticky nejnáročnějších oborech se snižovala.</w:t>
            </w:r>
          </w:p>
        </w:tc>
        <w:tc>
          <w:tcPr>
            <w:tcW w:w="209" w:type="dxa"/>
            <w:tcBorders>
              <w:top w:val="nil"/>
              <w:left w:val="nil"/>
              <w:bottom w:val="nil"/>
              <w:right w:val="nil"/>
            </w:tcBorders>
            <w:shd w:val="clear" w:color="auto" w:fill="auto"/>
            <w:tcMar>
              <w:left w:w="0" w:type="dxa"/>
            </w:tcMar>
          </w:tcPr>
          <w:p w14:paraId="57E1214E" w14:textId="77777777" w:rsidR="00E87D5B" w:rsidRPr="00823342" w:rsidRDefault="00E87D5B" w:rsidP="00C8019E">
            <w:pPr>
              <w:pStyle w:val="Textpoznpodarou"/>
              <w:jc w:val="both"/>
              <w:rPr>
                <w:color w:val="0D0D0D" w:themeColor="text1" w:themeTint="F2"/>
                <w:spacing w:val="-4"/>
              </w:rPr>
            </w:pPr>
          </w:p>
        </w:tc>
        <w:tc>
          <w:tcPr>
            <w:tcW w:w="7681" w:type="dxa"/>
            <w:tcBorders>
              <w:top w:val="nil"/>
              <w:left w:val="nil"/>
              <w:bottom w:val="nil"/>
              <w:right w:val="nil"/>
            </w:tcBorders>
            <w:shd w:val="clear" w:color="auto" w:fill="auto"/>
            <w:tcMar>
              <w:left w:w="0" w:type="dxa"/>
            </w:tcMar>
          </w:tcPr>
          <w:p w14:paraId="72C7A30C" w14:textId="1C1A2E46" w:rsidR="00E87D5B" w:rsidRPr="00044F9E" w:rsidRDefault="00E87D5B" w:rsidP="00C8019E">
            <w:pPr>
              <w:spacing w:after="200"/>
              <w:rPr>
                <w:rFonts w:cs="Arial"/>
                <w:bCs/>
                <w:color w:val="0D0D0D" w:themeColor="text1" w:themeTint="F2"/>
                <w:spacing w:val="-5"/>
                <w:szCs w:val="20"/>
              </w:rPr>
            </w:pPr>
            <w:r>
              <w:rPr>
                <w:color w:val="0D0D0D" w:themeColor="text1" w:themeTint="F2"/>
                <w:spacing w:val="-5"/>
              </w:rPr>
              <w:t>R</w:t>
            </w:r>
            <w:r w:rsidRPr="00030362">
              <w:rPr>
                <w:color w:val="0D0D0D" w:themeColor="text1" w:themeTint="F2"/>
                <w:spacing w:val="-5"/>
              </w:rPr>
              <w:t xml:space="preserve">ůst </w:t>
            </w:r>
            <w:r w:rsidRPr="00485344">
              <w:rPr>
                <w:color w:val="0D0D0D" w:themeColor="text1" w:themeTint="F2"/>
                <w:spacing w:val="-5"/>
              </w:rPr>
              <w:t xml:space="preserve">nominální hodnoty nových zakázek ve vybraných </w:t>
            </w:r>
            <w:r w:rsidRPr="00030362">
              <w:rPr>
                <w:color w:val="0D0D0D" w:themeColor="text1" w:themeTint="F2"/>
                <w:spacing w:val="-5"/>
              </w:rPr>
              <w:t>průmyslových odvětvích</w:t>
            </w:r>
            <w:r w:rsidRPr="00030362">
              <w:rPr>
                <w:rStyle w:val="Znakapoznpodarou"/>
                <w:color w:val="0D0D0D" w:themeColor="text1" w:themeTint="F2"/>
                <w:spacing w:val="-5"/>
              </w:rPr>
              <w:footnoteReference w:id="30"/>
            </w:r>
            <w:r>
              <w:rPr>
                <w:color w:val="0D0D0D" w:themeColor="text1" w:themeTint="F2"/>
                <w:spacing w:val="-5"/>
              </w:rPr>
              <w:t xml:space="preserve"> byl po celý loňský rok citelně ovlivněn cenovými vlivy. Za</w:t>
            </w:r>
            <w:r w:rsidRPr="00030362">
              <w:rPr>
                <w:color w:val="0D0D0D" w:themeColor="text1" w:themeTint="F2"/>
                <w:spacing w:val="-5"/>
              </w:rPr>
              <w:t xml:space="preserve"> dynamikou tržeb i růstem cen průmyslových výrobců</w:t>
            </w:r>
            <w:r>
              <w:rPr>
                <w:color w:val="0D0D0D" w:themeColor="text1" w:themeTint="F2"/>
                <w:spacing w:val="-5"/>
              </w:rPr>
              <w:t xml:space="preserve"> navíc stále zaostával. Ve 4. </w:t>
            </w:r>
            <w:r w:rsidRPr="00030362">
              <w:rPr>
                <w:color w:val="0D0D0D" w:themeColor="text1" w:themeTint="F2"/>
                <w:spacing w:val="-5"/>
              </w:rPr>
              <w:t>čtv</w:t>
            </w:r>
            <w:r>
              <w:rPr>
                <w:color w:val="0D0D0D" w:themeColor="text1" w:themeTint="F2"/>
                <w:spacing w:val="-5"/>
              </w:rPr>
              <w:t xml:space="preserve">rtletí zakázky meziročně vzrostly o 12,5 %, k čemuž více než ze dvou třetin přispěla poptávka v automobilovém průmyslu. Ta byla zčásti ovlivněna </w:t>
            </w:r>
            <w:r w:rsidRPr="004665C6">
              <w:rPr>
                <w:color w:val="0D0D0D" w:themeColor="text1" w:themeTint="F2"/>
                <w:spacing w:val="-7"/>
              </w:rPr>
              <w:t>nižší srovnávací základnou. Pozitivní je, že výše zakázek zde rostla i ve srovnání se 3. čtvrtletím</w:t>
            </w:r>
            <w:r>
              <w:rPr>
                <w:color w:val="0D0D0D" w:themeColor="text1" w:themeTint="F2"/>
                <w:spacing w:val="-5"/>
              </w:rPr>
              <w:t xml:space="preserve"> 2022. To nelze tvrdit o většině energeticky nejnáročnějších průmyslových oborů (hutnictví, chemie), kde poptávka mezikvartálně klesala již letos v létě. S ohledem na růst cen </w:t>
            </w:r>
            <w:proofErr w:type="spellStart"/>
            <w:r>
              <w:rPr>
                <w:color w:val="0D0D0D" w:themeColor="text1" w:themeTint="F2"/>
                <w:spacing w:val="-5"/>
              </w:rPr>
              <w:t>mezivstupů</w:t>
            </w:r>
            <w:proofErr w:type="spellEnd"/>
            <w:r>
              <w:rPr>
                <w:color w:val="0D0D0D" w:themeColor="text1" w:themeTint="F2"/>
                <w:spacing w:val="-5"/>
              </w:rPr>
              <w:t xml:space="preserve"> lze příznivě hodnotit dynamiku zakázek v oděvnictví, farmacii a díky sílící tuzemské poptávce rovněž ve výrobě počítačů, elektronických a optických přístrojů. </w:t>
            </w:r>
          </w:p>
        </w:tc>
      </w:tr>
      <w:tr w:rsidR="00E87D5B" w:rsidRPr="00044F9E" w14:paraId="141656E4" w14:textId="77777777" w:rsidTr="008B1850">
        <w:trPr>
          <w:trHeight w:val="170"/>
        </w:trPr>
        <w:tc>
          <w:tcPr>
            <w:tcW w:w="1814" w:type="dxa"/>
            <w:tcBorders>
              <w:top w:val="nil"/>
              <w:left w:val="nil"/>
              <w:bottom w:val="nil"/>
              <w:right w:val="nil"/>
            </w:tcBorders>
            <w:shd w:val="clear" w:color="auto" w:fill="auto"/>
            <w:tcMar>
              <w:left w:w="0" w:type="dxa"/>
            </w:tcMar>
          </w:tcPr>
          <w:p w14:paraId="3D2EC7AF" w14:textId="77777777" w:rsidR="00E87D5B" w:rsidRDefault="00E87D5B" w:rsidP="00C8019E">
            <w:pPr>
              <w:pStyle w:val="Marginlie"/>
              <w:rPr>
                <w:spacing w:val="-4"/>
              </w:rPr>
            </w:pPr>
            <w:r w:rsidRPr="00D85AE5">
              <w:rPr>
                <w:spacing w:val="-4"/>
              </w:rPr>
              <w:t>D</w:t>
            </w:r>
            <w:r>
              <w:rPr>
                <w:spacing w:val="-4"/>
              </w:rPr>
              <w:t xml:space="preserve">ůvěra podnikatelů v průmyslu od loňského jara </w:t>
            </w:r>
            <w:r w:rsidRPr="00D85AE5">
              <w:rPr>
                <w:spacing w:val="-4"/>
              </w:rPr>
              <w:t>znatelně poklesla</w:t>
            </w:r>
            <w:r>
              <w:rPr>
                <w:spacing w:val="-4"/>
              </w:rPr>
              <w:t>.</w:t>
            </w:r>
          </w:p>
          <w:p w14:paraId="46AF52B9" w14:textId="77777777" w:rsidR="00E87D5B" w:rsidRDefault="00E87D5B" w:rsidP="00C8019E">
            <w:pPr>
              <w:pStyle w:val="Marginlie"/>
              <w:rPr>
                <w:spacing w:val="-4"/>
              </w:rPr>
            </w:pPr>
          </w:p>
          <w:p w14:paraId="4F056E5B" w14:textId="77777777" w:rsidR="00E87D5B" w:rsidRDefault="00E87D5B" w:rsidP="00C8019E">
            <w:pPr>
              <w:pStyle w:val="Marginlie"/>
              <w:rPr>
                <w:spacing w:val="-4"/>
              </w:rPr>
            </w:pPr>
          </w:p>
          <w:p w14:paraId="1E676929" w14:textId="77777777" w:rsidR="00E87D5B" w:rsidRDefault="00E87D5B" w:rsidP="00C8019E">
            <w:pPr>
              <w:pStyle w:val="Marginlie"/>
              <w:rPr>
                <w:spacing w:val="-4"/>
              </w:rPr>
            </w:pPr>
          </w:p>
          <w:p w14:paraId="003A040B" w14:textId="77777777" w:rsidR="00E87D5B" w:rsidRDefault="00E87D5B" w:rsidP="00C8019E">
            <w:pPr>
              <w:pStyle w:val="Marginlie"/>
              <w:rPr>
                <w:color w:val="0D0D0D" w:themeColor="text1" w:themeTint="F2"/>
              </w:rPr>
            </w:pPr>
            <w:r>
              <w:rPr>
                <w:spacing w:val="-4"/>
              </w:rPr>
              <w:t xml:space="preserve">Klíčovou růstovou bariérou se po dvouleté </w:t>
            </w:r>
            <w:r>
              <w:rPr>
                <w:spacing w:val="-4"/>
              </w:rPr>
              <w:lastRenderedPageBreak/>
              <w:t>odmlce opět stala nedostatečná poptávka.</w:t>
            </w:r>
          </w:p>
        </w:tc>
        <w:tc>
          <w:tcPr>
            <w:tcW w:w="209" w:type="dxa"/>
            <w:tcBorders>
              <w:top w:val="nil"/>
              <w:left w:val="nil"/>
              <w:bottom w:val="nil"/>
              <w:right w:val="nil"/>
            </w:tcBorders>
            <w:shd w:val="clear" w:color="auto" w:fill="auto"/>
            <w:tcMar>
              <w:left w:w="0" w:type="dxa"/>
            </w:tcMar>
          </w:tcPr>
          <w:p w14:paraId="4CB9CBAC" w14:textId="77777777" w:rsidR="00E87D5B" w:rsidRPr="00823342" w:rsidRDefault="00E87D5B" w:rsidP="00C8019E">
            <w:pPr>
              <w:pStyle w:val="Textpoznpodarou"/>
              <w:jc w:val="both"/>
              <w:rPr>
                <w:color w:val="0D0D0D" w:themeColor="text1" w:themeTint="F2"/>
                <w:spacing w:val="-4"/>
              </w:rPr>
            </w:pPr>
          </w:p>
        </w:tc>
        <w:tc>
          <w:tcPr>
            <w:tcW w:w="7681" w:type="dxa"/>
            <w:tcBorders>
              <w:top w:val="nil"/>
              <w:left w:val="nil"/>
              <w:bottom w:val="nil"/>
              <w:right w:val="nil"/>
            </w:tcBorders>
            <w:shd w:val="clear" w:color="auto" w:fill="auto"/>
            <w:tcMar>
              <w:left w:w="0" w:type="dxa"/>
            </w:tcMar>
          </w:tcPr>
          <w:p w14:paraId="0EC76FBD" w14:textId="2EC23D2C" w:rsidR="00E87D5B" w:rsidRPr="00044F9E" w:rsidRDefault="00E87D5B" w:rsidP="00C8019E">
            <w:pPr>
              <w:spacing w:after="200"/>
              <w:rPr>
                <w:rFonts w:cs="Arial"/>
                <w:bCs/>
                <w:color w:val="0D0D0D" w:themeColor="text1" w:themeTint="F2"/>
                <w:spacing w:val="-5"/>
                <w:szCs w:val="20"/>
              </w:rPr>
            </w:pPr>
            <w:r w:rsidRPr="00B63E5E">
              <w:rPr>
                <w:color w:val="0D0D0D" w:themeColor="text1" w:themeTint="F2"/>
                <w:spacing w:val="-8"/>
              </w:rPr>
              <w:t xml:space="preserve">Důvěra podnikatelů v průmyslu se po krátkém růstu ve 2. čtvrtletí 2022 (související se zmírněním </w:t>
            </w:r>
            <w:r>
              <w:rPr>
                <w:color w:val="0D0D0D" w:themeColor="text1" w:themeTint="F2"/>
                <w:spacing w:val="-8"/>
              </w:rPr>
              <w:t xml:space="preserve">tlaků </w:t>
            </w:r>
            <w:r w:rsidRPr="00B63E5E">
              <w:rPr>
                <w:color w:val="0D0D0D" w:themeColor="text1" w:themeTint="F2"/>
                <w:spacing w:val="-8"/>
              </w:rPr>
              <w:t>v dodavatelských řetězcích u výrobců aut) v následujících měsících postupně snižovala. Letos v únoru tak zde zavládl největší pesimismus od června 2020. Převládlo nepříznivé ho</w:t>
            </w:r>
            <w:r>
              <w:rPr>
                <w:color w:val="0D0D0D" w:themeColor="text1" w:themeTint="F2"/>
                <w:spacing w:val="-8"/>
              </w:rPr>
              <w:t>dnocení současné poptávky, stav</w:t>
            </w:r>
            <w:r w:rsidRPr="00B63E5E">
              <w:rPr>
                <w:color w:val="0D0D0D" w:themeColor="text1" w:themeTint="F2"/>
                <w:spacing w:val="-8"/>
              </w:rPr>
              <w:t xml:space="preserve"> zásob hotových výrobků setrvával nad dlouhodobým průměrem. </w:t>
            </w:r>
            <w:r>
              <w:rPr>
                <w:color w:val="0D0D0D" w:themeColor="text1" w:themeTint="F2"/>
                <w:spacing w:val="-8"/>
              </w:rPr>
              <w:t>S </w:t>
            </w:r>
            <w:r w:rsidRPr="00B63E5E">
              <w:rPr>
                <w:color w:val="0D0D0D" w:themeColor="text1" w:themeTint="F2"/>
                <w:spacing w:val="-8"/>
              </w:rPr>
              <w:t>přibývající</w:t>
            </w:r>
            <w:r>
              <w:rPr>
                <w:color w:val="0D0D0D" w:themeColor="text1" w:themeTint="F2"/>
                <w:spacing w:val="-8"/>
              </w:rPr>
              <w:t>m počtem firem očekávajících v krátkodobém pohledu</w:t>
            </w:r>
            <w:r w:rsidRPr="00B63E5E">
              <w:rPr>
                <w:color w:val="0D0D0D" w:themeColor="text1" w:themeTint="F2"/>
                <w:spacing w:val="-8"/>
              </w:rPr>
              <w:t xml:space="preserve"> pokles výroby (až na 15 %) se prohlubovaly negativní výhledy u zaměstnanosti</w:t>
            </w:r>
            <w:r w:rsidRPr="00B63E5E">
              <w:rPr>
                <w:rStyle w:val="Znakapoznpodarou"/>
                <w:color w:val="0D0D0D" w:themeColor="text1" w:themeTint="F2"/>
                <w:spacing w:val="-8"/>
              </w:rPr>
              <w:footnoteReference w:id="31"/>
            </w:r>
            <w:r w:rsidRPr="00B63E5E">
              <w:rPr>
                <w:color w:val="0D0D0D" w:themeColor="text1" w:themeTint="F2"/>
                <w:spacing w:val="-8"/>
              </w:rPr>
              <w:t>. S délkou výhledu se ale očekávání celkové hospodářské situace zlepšovalo</w:t>
            </w:r>
            <w:r w:rsidRPr="00B63E5E">
              <w:rPr>
                <w:rStyle w:val="Znakapoznpodarou"/>
                <w:color w:val="0D0D0D" w:themeColor="text1" w:themeTint="F2"/>
                <w:spacing w:val="-8"/>
              </w:rPr>
              <w:footnoteReference w:id="32"/>
            </w:r>
            <w:r w:rsidRPr="00B63E5E">
              <w:rPr>
                <w:color w:val="0D0D0D" w:themeColor="text1" w:themeTint="F2"/>
                <w:spacing w:val="-8"/>
              </w:rPr>
              <w:t>. Klíčovou růstovou bariér</w:t>
            </w:r>
            <w:r>
              <w:rPr>
                <w:color w:val="0D0D0D" w:themeColor="text1" w:themeTint="F2"/>
                <w:spacing w:val="-8"/>
              </w:rPr>
              <w:t>o</w:t>
            </w:r>
            <w:r w:rsidRPr="00B63E5E">
              <w:rPr>
                <w:color w:val="0D0D0D" w:themeColor="text1" w:themeTint="F2"/>
                <w:spacing w:val="-8"/>
              </w:rPr>
              <w:t>u</w:t>
            </w:r>
            <w:r w:rsidRPr="00B63E5E">
              <w:rPr>
                <w:rStyle w:val="Znakapoznpodarou"/>
                <w:color w:val="0D0D0D" w:themeColor="text1" w:themeTint="F2"/>
                <w:spacing w:val="-8"/>
              </w:rPr>
              <w:footnoteReference w:id="33"/>
            </w:r>
            <w:r>
              <w:rPr>
                <w:color w:val="0D0D0D" w:themeColor="text1" w:themeTint="F2"/>
                <w:spacing w:val="-8"/>
              </w:rPr>
              <w:t xml:space="preserve"> by</w:t>
            </w:r>
            <w:r w:rsidRPr="00B63E5E">
              <w:rPr>
                <w:color w:val="0D0D0D" w:themeColor="text1" w:themeTint="F2"/>
                <w:spacing w:val="-8"/>
              </w:rPr>
              <w:t>la</w:t>
            </w:r>
            <w:r w:rsidR="00741F2A">
              <w:rPr>
                <w:color w:val="0D0D0D" w:themeColor="text1" w:themeTint="F2"/>
                <w:spacing w:val="-8"/>
              </w:rPr>
              <w:t xml:space="preserve"> </w:t>
            </w:r>
            <w:r w:rsidRPr="00B63E5E">
              <w:rPr>
                <w:color w:val="0D0D0D" w:themeColor="text1" w:themeTint="F2"/>
                <w:spacing w:val="-8"/>
              </w:rPr>
              <w:lastRenderedPageBreak/>
              <w:t>nedostatečná poptávka (pro 42 % podniků), role nedostatku materiálu či pracovní síly se od loňského podzimu snižovala, (přesto zůstala pro podniky v některých odvětví</w:t>
            </w:r>
            <w:r>
              <w:rPr>
                <w:color w:val="0D0D0D" w:themeColor="text1" w:themeTint="F2"/>
                <w:spacing w:val="-8"/>
              </w:rPr>
              <w:t>ch</w:t>
            </w:r>
            <w:r w:rsidRPr="00B63E5E">
              <w:rPr>
                <w:color w:val="0D0D0D" w:themeColor="text1" w:themeTint="F2"/>
                <w:spacing w:val="-8"/>
              </w:rPr>
              <w:t xml:space="preserve"> zásadní). </w:t>
            </w:r>
          </w:p>
        </w:tc>
      </w:tr>
      <w:tr w:rsidR="00E87D5B" w:rsidRPr="00705C3E" w14:paraId="3B76EC34" w14:textId="77777777" w:rsidTr="008B1850">
        <w:trPr>
          <w:trHeight w:val="134"/>
        </w:trPr>
        <w:tc>
          <w:tcPr>
            <w:tcW w:w="1814" w:type="dxa"/>
            <w:vMerge w:val="restart"/>
            <w:tcBorders>
              <w:top w:val="nil"/>
              <w:left w:val="nil"/>
              <w:bottom w:val="nil"/>
              <w:right w:val="nil"/>
            </w:tcBorders>
            <w:shd w:val="clear" w:color="auto" w:fill="auto"/>
            <w:tcMar>
              <w:left w:w="0" w:type="dxa"/>
            </w:tcMar>
          </w:tcPr>
          <w:p w14:paraId="38102944" w14:textId="77777777" w:rsidR="00E87D5B" w:rsidRDefault="00E87D5B" w:rsidP="00C8019E">
            <w:pPr>
              <w:pStyle w:val="Marginlie"/>
            </w:pPr>
          </w:p>
        </w:tc>
        <w:tc>
          <w:tcPr>
            <w:tcW w:w="209" w:type="dxa"/>
            <w:vMerge w:val="restart"/>
            <w:tcBorders>
              <w:top w:val="nil"/>
              <w:left w:val="nil"/>
              <w:bottom w:val="nil"/>
              <w:right w:val="nil"/>
            </w:tcBorders>
            <w:shd w:val="clear" w:color="auto" w:fill="auto"/>
            <w:tcMar>
              <w:left w:w="0" w:type="dxa"/>
            </w:tcMar>
          </w:tcPr>
          <w:p w14:paraId="5F0BF7A2"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6927EB33" w14:textId="77777777" w:rsidR="00E87D5B" w:rsidRPr="00705C3E" w:rsidRDefault="00E87D5B" w:rsidP="00C8019E">
            <w:pPr>
              <w:spacing w:after="0"/>
              <w:rPr>
                <w:color w:val="0D0D0D" w:themeColor="text1" w:themeTint="F2"/>
                <w:spacing w:val="-5"/>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E87D5B" w:rsidRPr="00705C3E" w14:paraId="4A966D80" w14:textId="77777777" w:rsidTr="008B1850">
        <w:tblPrEx>
          <w:tblCellMar>
            <w:left w:w="70" w:type="dxa"/>
            <w:right w:w="70" w:type="dxa"/>
          </w:tblCellMar>
        </w:tblPrEx>
        <w:trPr>
          <w:trHeight w:val="133"/>
        </w:trPr>
        <w:tc>
          <w:tcPr>
            <w:tcW w:w="1814" w:type="dxa"/>
            <w:vMerge/>
            <w:tcBorders>
              <w:top w:val="nil"/>
              <w:left w:val="nil"/>
              <w:bottom w:val="nil"/>
              <w:right w:val="nil"/>
            </w:tcBorders>
            <w:shd w:val="clear" w:color="auto" w:fill="auto"/>
          </w:tcPr>
          <w:p w14:paraId="5C505736" w14:textId="77777777" w:rsidR="00E87D5B" w:rsidRDefault="00E87D5B" w:rsidP="00C8019E">
            <w:pPr>
              <w:pStyle w:val="Marginlie"/>
            </w:pPr>
          </w:p>
        </w:tc>
        <w:tc>
          <w:tcPr>
            <w:tcW w:w="209" w:type="dxa"/>
            <w:vMerge/>
            <w:tcBorders>
              <w:top w:val="nil"/>
              <w:left w:val="nil"/>
              <w:bottom w:val="nil"/>
              <w:right w:val="nil"/>
            </w:tcBorders>
            <w:shd w:val="clear" w:color="auto" w:fill="auto"/>
          </w:tcPr>
          <w:p w14:paraId="112EA808"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Pr>
          <w:p w14:paraId="45F10695" w14:textId="77777777" w:rsidR="00E87D5B" w:rsidRPr="00705C3E" w:rsidRDefault="00E87D5B" w:rsidP="00C8019E">
            <w:pPr>
              <w:spacing w:after="0"/>
              <w:rPr>
                <w:color w:val="0D0D0D" w:themeColor="text1" w:themeTint="F2"/>
                <w:spacing w:val="-5"/>
              </w:rPr>
            </w:pPr>
            <w:r>
              <w:rPr>
                <w:noProof/>
              </w:rPr>
              <w:drawing>
                <wp:inline distT="0" distB="0" distL="0" distR="0" wp14:anchorId="7BDDB83A" wp14:editId="03F1781E">
                  <wp:extent cx="4665980" cy="3520440"/>
                  <wp:effectExtent l="0" t="0" r="1270" b="381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87D5B" w:rsidRPr="00705C3E" w14:paraId="4E1B0883" w14:textId="77777777" w:rsidTr="008B1850">
        <w:trPr>
          <w:trHeight w:val="133"/>
        </w:trPr>
        <w:tc>
          <w:tcPr>
            <w:tcW w:w="1814" w:type="dxa"/>
            <w:vMerge/>
            <w:tcBorders>
              <w:top w:val="nil"/>
              <w:left w:val="nil"/>
              <w:bottom w:val="nil"/>
              <w:right w:val="nil"/>
            </w:tcBorders>
            <w:shd w:val="clear" w:color="auto" w:fill="auto"/>
            <w:tcMar>
              <w:left w:w="0" w:type="dxa"/>
            </w:tcMar>
          </w:tcPr>
          <w:p w14:paraId="07F3AC82" w14:textId="77777777" w:rsidR="00E87D5B" w:rsidRDefault="00E87D5B" w:rsidP="00C8019E">
            <w:pPr>
              <w:pStyle w:val="Marginlie"/>
            </w:pPr>
          </w:p>
        </w:tc>
        <w:tc>
          <w:tcPr>
            <w:tcW w:w="209" w:type="dxa"/>
            <w:vMerge/>
            <w:tcBorders>
              <w:top w:val="nil"/>
              <w:left w:val="nil"/>
              <w:bottom w:val="nil"/>
              <w:right w:val="nil"/>
            </w:tcBorders>
            <w:shd w:val="clear" w:color="auto" w:fill="auto"/>
            <w:tcMar>
              <w:left w:w="0" w:type="dxa"/>
            </w:tcMar>
          </w:tcPr>
          <w:p w14:paraId="2A2DA502"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342016E4" w14:textId="77777777" w:rsidR="00E87D5B" w:rsidRPr="00705C3E" w:rsidRDefault="00E87D5B" w:rsidP="00C8019E">
            <w:pPr>
              <w:spacing w:after="200" w:line="240" w:lineRule="auto"/>
              <w:rPr>
                <w:color w:val="0D0D0D" w:themeColor="text1" w:themeTint="F2"/>
                <w:spacing w:val="-5"/>
              </w:rPr>
            </w:pPr>
            <w:r>
              <w:rPr>
                <w:color w:val="0D0D0D" w:themeColor="text1" w:themeTint="F2"/>
                <w:spacing w:val="-5"/>
              </w:rPr>
              <w:t>*</w:t>
            </w: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E87D5B" w:rsidRPr="00B63E5E" w14:paraId="7A58C7F4" w14:textId="77777777" w:rsidTr="008B1850">
        <w:trPr>
          <w:trHeight w:val="170"/>
        </w:trPr>
        <w:tc>
          <w:tcPr>
            <w:tcW w:w="1814" w:type="dxa"/>
            <w:tcBorders>
              <w:top w:val="nil"/>
              <w:left w:val="nil"/>
              <w:bottom w:val="nil"/>
              <w:right w:val="nil"/>
            </w:tcBorders>
            <w:shd w:val="clear" w:color="auto" w:fill="auto"/>
            <w:tcMar>
              <w:left w:w="0" w:type="dxa"/>
            </w:tcMar>
          </w:tcPr>
          <w:p w14:paraId="7E2261B4" w14:textId="77777777" w:rsidR="00E87D5B" w:rsidRPr="00FB2830" w:rsidRDefault="00E87D5B" w:rsidP="00C8019E">
            <w:pPr>
              <w:pStyle w:val="Marginlie"/>
              <w:rPr>
                <w:color w:val="0D0D0D" w:themeColor="text1" w:themeTint="F2"/>
                <w:spacing w:val="-4"/>
              </w:rPr>
            </w:pPr>
            <w:r>
              <w:rPr>
                <w:color w:val="0D0D0D" w:themeColor="text1" w:themeTint="F2"/>
                <w:spacing w:val="-4"/>
              </w:rPr>
              <w:t>Produkce ve stavebnictví za loňský rok mírně vzrostla, a to zásluhou obou jeho hlavních oborů.</w:t>
            </w:r>
          </w:p>
        </w:tc>
        <w:tc>
          <w:tcPr>
            <w:tcW w:w="209" w:type="dxa"/>
            <w:tcBorders>
              <w:top w:val="nil"/>
              <w:left w:val="nil"/>
              <w:bottom w:val="nil"/>
              <w:right w:val="nil"/>
            </w:tcBorders>
            <w:shd w:val="clear" w:color="auto" w:fill="auto"/>
            <w:tcMar>
              <w:left w:w="0" w:type="dxa"/>
            </w:tcMar>
          </w:tcPr>
          <w:p w14:paraId="080B279C" w14:textId="77777777" w:rsidR="00E87D5B" w:rsidRPr="00FB2830" w:rsidRDefault="00E87D5B" w:rsidP="00C8019E">
            <w:pPr>
              <w:pStyle w:val="Textpoznpodarou"/>
              <w:jc w:val="both"/>
              <w:rPr>
                <w:color w:val="0D0D0D" w:themeColor="text1" w:themeTint="F2"/>
                <w:spacing w:val="-4"/>
              </w:rPr>
            </w:pPr>
          </w:p>
        </w:tc>
        <w:tc>
          <w:tcPr>
            <w:tcW w:w="7681" w:type="dxa"/>
            <w:tcBorders>
              <w:top w:val="nil"/>
              <w:left w:val="nil"/>
              <w:bottom w:val="nil"/>
              <w:right w:val="nil"/>
            </w:tcBorders>
            <w:shd w:val="clear" w:color="auto" w:fill="auto"/>
            <w:tcMar>
              <w:left w:w="0" w:type="dxa"/>
            </w:tcMar>
          </w:tcPr>
          <w:p w14:paraId="2EFB50D5" w14:textId="6C590C57" w:rsidR="00E87D5B" w:rsidRPr="00B63E5E" w:rsidRDefault="00E87D5B" w:rsidP="00C8019E">
            <w:pPr>
              <w:spacing w:after="200"/>
              <w:rPr>
                <w:color w:val="0D0D0D" w:themeColor="text1" w:themeTint="F2"/>
                <w:spacing w:val="-6"/>
              </w:rPr>
            </w:pPr>
            <w:r w:rsidRPr="00B63E5E">
              <w:rPr>
                <w:color w:val="0D0D0D" w:themeColor="text1" w:themeTint="F2"/>
                <w:spacing w:val="-6"/>
              </w:rPr>
              <w:t>Výkon stavebnictví v ČR měl během loňského roku kolísavý charakter. V 1. čtvrtletí růst jeho produkce</w:t>
            </w:r>
            <w:r w:rsidRPr="00B63E5E">
              <w:rPr>
                <w:rStyle w:val="Znakapoznpodarou"/>
                <w:color w:val="0D0D0D" w:themeColor="text1" w:themeTint="F2"/>
                <w:spacing w:val="-6"/>
              </w:rPr>
              <w:footnoteReference w:id="34"/>
            </w:r>
            <w:r w:rsidRPr="00B63E5E">
              <w:rPr>
                <w:color w:val="0D0D0D" w:themeColor="text1" w:themeTint="F2"/>
                <w:spacing w:val="-6"/>
              </w:rPr>
              <w:t xml:space="preserve"> vlivem teplé zimy i vysoké zásoby veřejných i soukromých zakázek akceleroval (na </w:t>
            </w:r>
            <w:proofErr w:type="spellStart"/>
            <w:r w:rsidRPr="00B63E5E">
              <w:rPr>
                <w:color w:val="0D0D0D" w:themeColor="text1" w:themeTint="F2"/>
                <w:spacing w:val="-6"/>
              </w:rPr>
              <w:t>mezikvartálních</w:t>
            </w:r>
            <w:proofErr w:type="spellEnd"/>
            <w:r>
              <w:rPr>
                <w:color w:val="0D0D0D" w:themeColor="text1" w:themeTint="F2"/>
                <w:spacing w:val="-6"/>
              </w:rPr>
              <w:t xml:space="preserve"> o 4,3</w:t>
            </w:r>
            <w:r w:rsidRPr="00B63E5E">
              <w:rPr>
                <w:color w:val="0D0D0D" w:themeColor="text1" w:themeTint="F2"/>
                <w:spacing w:val="-6"/>
              </w:rPr>
              <w:t xml:space="preserve"> %, zejména díky inženýrskému stavitelství) a svou výší poprvé překonala předkrizový rok 2019. Během 2. i 3. čtvrtletí </w:t>
            </w:r>
            <w:r>
              <w:rPr>
                <w:color w:val="0D0D0D" w:themeColor="text1" w:themeTint="F2"/>
                <w:spacing w:val="-6"/>
              </w:rPr>
              <w:t xml:space="preserve">se </w:t>
            </w:r>
            <w:r w:rsidRPr="00B63E5E">
              <w:rPr>
                <w:color w:val="0D0D0D" w:themeColor="text1" w:themeTint="F2"/>
                <w:spacing w:val="-6"/>
              </w:rPr>
              <w:t>produkce mezikvartálně snížila (v </w:t>
            </w:r>
            <w:r>
              <w:rPr>
                <w:color w:val="0D0D0D" w:themeColor="text1" w:themeTint="F2"/>
                <w:spacing w:val="-6"/>
              </w:rPr>
              <w:t>úhrnu o 6,1</w:t>
            </w:r>
            <w:r w:rsidRPr="00B63E5E">
              <w:rPr>
                <w:color w:val="0D0D0D" w:themeColor="text1" w:themeTint="F2"/>
                <w:spacing w:val="-6"/>
              </w:rPr>
              <w:t xml:space="preserve"> %). </w:t>
            </w:r>
            <w:r>
              <w:rPr>
                <w:color w:val="0D0D0D" w:themeColor="text1" w:themeTint="F2"/>
                <w:spacing w:val="-6"/>
              </w:rPr>
              <w:t>Stále více se projevoval</w:t>
            </w:r>
            <w:r w:rsidRPr="00B63E5E">
              <w:rPr>
                <w:color w:val="0D0D0D" w:themeColor="text1" w:themeTint="F2"/>
                <w:spacing w:val="-6"/>
              </w:rPr>
              <w:t xml:space="preserve"> negativní dopad silného cenového růstu (energií, pohonných hmot i materiálových vstupů), horší dostupnosti materiálů, zařízení, ale i pracovní síly (zčásti vlivem války na Ukrajině). To mnohdy vedlo k prodloužení realizace stávajících projektů či k odkladu zahájení, popř. revizi plánovaných investičních akcí. Během p</w:t>
            </w:r>
            <w:r>
              <w:rPr>
                <w:color w:val="0D0D0D" w:themeColor="text1" w:themeTint="F2"/>
                <w:spacing w:val="-6"/>
              </w:rPr>
              <w:t>osledního čtvrtletí došlo k lehkému zotavení (na 2,2</w:t>
            </w:r>
            <w:r w:rsidRPr="00B63E5E">
              <w:rPr>
                <w:color w:val="0D0D0D" w:themeColor="text1" w:themeTint="F2"/>
                <w:spacing w:val="-6"/>
              </w:rPr>
              <w:t xml:space="preserve">% růstu produkce se rovnoměrně podílely pozemní </w:t>
            </w:r>
            <w:r w:rsidRPr="00DE3E22">
              <w:t>i</w:t>
            </w:r>
            <w:r w:rsidR="00DE3E22">
              <w:t> </w:t>
            </w:r>
            <w:r w:rsidRPr="00DE3E22">
              <w:t>inženýrské</w:t>
            </w:r>
            <w:r w:rsidRPr="00B63E5E">
              <w:rPr>
                <w:color w:val="0D0D0D" w:themeColor="text1" w:themeTint="F2"/>
                <w:spacing w:val="-6"/>
              </w:rPr>
              <w:t xml:space="preserve"> stavitelství). Za celý rok 2022 </w:t>
            </w:r>
            <w:r>
              <w:rPr>
                <w:color w:val="0D0D0D" w:themeColor="text1" w:themeTint="F2"/>
                <w:spacing w:val="-6"/>
              </w:rPr>
              <w:t>se stavební produkce zvýšila o 2,6</w:t>
            </w:r>
            <w:r w:rsidRPr="00B63E5E">
              <w:rPr>
                <w:color w:val="0D0D0D" w:themeColor="text1" w:themeTint="F2"/>
                <w:spacing w:val="-6"/>
              </w:rPr>
              <w:t xml:space="preserve"> % a navázala </w:t>
            </w:r>
            <w:r>
              <w:rPr>
                <w:color w:val="0D0D0D" w:themeColor="text1" w:themeTint="F2"/>
                <w:spacing w:val="-6"/>
              </w:rPr>
              <w:t>na podobný růst z předešlého</w:t>
            </w:r>
            <w:r w:rsidRPr="00B63E5E">
              <w:rPr>
                <w:color w:val="0D0D0D" w:themeColor="text1" w:themeTint="F2"/>
                <w:spacing w:val="-6"/>
              </w:rPr>
              <w:t xml:space="preserve"> roku. Na rozdíl od něj však loni přispěly k jejímu růstu oba hlavní obory – váhově význ</w:t>
            </w:r>
            <w:r>
              <w:rPr>
                <w:color w:val="0D0D0D" w:themeColor="text1" w:themeTint="F2"/>
                <w:spacing w:val="-6"/>
              </w:rPr>
              <w:t>amnější pozemní stavitelství 1,7</w:t>
            </w:r>
            <w:r w:rsidRPr="00B63E5E">
              <w:rPr>
                <w:color w:val="0D0D0D" w:themeColor="text1" w:themeTint="F2"/>
                <w:spacing w:val="-6"/>
              </w:rPr>
              <w:t xml:space="preserve"> p.</w:t>
            </w:r>
            <w:r>
              <w:rPr>
                <w:color w:val="0D0D0D" w:themeColor="text1" w:themeTint="F2"/>
                <w:spacing w:val="-6"/>
              </w:rPr>
              <w:t xml:space="preserve"> b., inženýrské stavitelství 0,9</w:t>
            </w:r>
            <w:r w:rsidRPr="00B63E5E">
              <w:rPr>
                <w:color w:val="0D0D0D" w:themeColor="text1" w:themeTint="F2"/>
                <w:spacing w:val="-6"/>
              </w:rPr>
              <w:t xml:space="preserve"> p. b.</w:t>
            </w:r>
          </w:p>
        </w:tc>
      </w:tr>
      <w:tr w:rsidR="00E87D5B" w:rsidRPr="008172D1" w14:paraId="1F1D56BF" w14:textId="77777777" w:rsidTr="008B1850">
        <w:trPr>
          <w:trHeight w:val="170"/>
        </w:trPr>
        <w:tc>
          <w:tcPr>
            <w:tcW w:w="1814" w:type="dxa"/>
            <w:tcBorders>
              <w:top w:val="nil"/>
              <w:left w:val="nil"/>
              <w:bottom w:val="nil"/>
              <w:right w:val="nil"/>
            </w:tcBorders>
            <w:shd w:val="clear" w:color="auto" w:fill="auto"/>
            <w:tcMar>
              <w:left w:w="0" w:type="dxa"/>
            </w:tcMar>
          </w:tcPr>
          <w:p w14:paraId="3AFBCDE8" w14:textId="77777777" w:rsidR="00E87D5B" w:rsidRDefault="00E87D5B" w:rsidP="00C8019E">
            <w:pPr>
              <w:pStyle w:val="Marginlie"/>
              <w:rPr>
                <w:spacing w:val="-4"/>
              </w:rPr>
            </w:pPr>
            <w:r>
              <w:rPr>
                <w:spacing w:val="-4"/>
              </w:rPr>
              <w:t>Počet dokončených bytů loni významně vzrostl. Projevila se zde vysoká rozestavěnost z předchozích let.</w:t>
            </w:r>
          </w:p>
          <w:p w14:paraId="69171745" w14:textId="77777777" w:rsidR="00E87D5B" w:rsidRDefault="00E87D5B" w:rsidP="00C8019E">
            <w:pPr>
              <w:pStyle w:val="Marginlie"/>
              <w:rPr>
                <w:spacing w:val="-4"/>
              </w:rPr>
            </w:pPr>
          </w:p>
          <w:p w14:paraId="35E491AD" w14:textId="77777777" w:rsidR="00E87D5B" w:rsidRPr="00982911" w:rsidRDefault="00E87D5B" w:rsidP="00C8019E">
            <w:pPr>
              <w:pStyle w:val="Marginlie"/>
              <w:rPr>
                <w:spacing w:val="-4"/>
              </w:rPr>
            </w:pPr>
            <w:r>
              <w:rPr>
                <w:spacing w:val="-4"/>
              </w:rPr>
              <w:lastRenderedPageBreak/>
              <w:t xml:space="preserve">Tempo zahajované výstavby ve 2. pololetí opadlo. </w:t>
            </w:r>
          </w:p>
        </w:tc>
        <w:tc>
          <w:tcPr>
            <w:tcW w:w="209" w:type="dxa"/>
            <w:tcBorders>
              <w:top w:val="nil"/>
              <w:left w:val="nil"/>
              <w:bottom w:val="nil"/>
              <w:right w:val="nil"/>
            </w:tcBorders>
            <w:shd w:val="clear" w:color="auto" w:fill="auto"/>
            <w:tcMar>
              <w:left w:w="0" w:type="dxa"/>
            </w:tcMar>
          </w:tcPr>
          <w:p w14:paraId="1CB56AFF"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76D6879C" w14:textId="77777777" w:rsidR="00E87D5B" w:rsidRPr="008172D1" w:rsidRDefault="00E87D5B" w:rsidP="00C8019E">
            <w:pPr>
              <w:spacing w:after="200"/>
              <w:rPr>
                <w:spacing w:val="-6"/>
              </w:rPr>
            </w:pPr>
            <w:r w:rsidRPr="008172D1">
              <w:rPr>
                <w:color w:val="0D0D0D" w:themeColor="text1" w:themeTint="F2"/>
                <w:spacing w:val="-6"/>
              </w:rPr>
              <w:t>Tomu stále pomáhal rozvoj bytové výstavby. Bytů se loni dokončilo meziročně o 13,9 % více. Jejich počet (39,4 tis.), představoval druhý nejvyšší objem výstavby v historii samostatné ČR</w:t>
            </w:r>
            <w:r w:rsidRPr="008172D1">
              <w:rPr>
                <w:rStyle w:val="Znakapoznpodarou"/>
                <w:color w:val="0D0D0D" w:themeColor="text1" w:themeTint="F2"/>
                <w:spacing w:val="-6"/>
              </w:rPr>
              <w:footnoteReference w:id="35"/>
            </w:r>
            <w:r w:rsidRPr="008172D1">
              <w:rPr>
                <w:color w:val="0D0D0D" w:themeColor="text1" w:themeTint="F2"/>
                <w:spacing w:val="-6"/>
              </w:rPr>
              <w:t xml:space="preserve">. </w:t>
            </w:r>
            <w:r>
              <w:rPr>
                <w:color w:val="0D0D0D" w:themeColor="text1" w:themeTint="F2"/>
                <w:spacing w:val="-6"/>
              </w:rPr>
              <w:t>O dvě třetiny</w:t>
            </w:r>
            <w:r w:rsidRPr="008172D1">
              <w:rPr>
                <w:color w:val="0D0D0D" w:themeColor="text1" w:themeTint="F2"/>
                <w:spacing w:val="-6"/>
              </w:rPr>
              <w:t xml:space="preserve"> loňského přírůstku se zasloužily jednotky v bytových domech, více bytů však vzniklo ve všech ostatních kategoriích výstavby. Odlišná situace panovala u zahajovaných bytů, jichž loni proti rekordní výstavbě z roku 2021 (45 tis.) o 6,1 % ubylo, hlavně vlivem vývoje ve 2. pololetí. V pozadí stálo oslabení poptávky vlivem </w:t>
            </w:r>
            <w:r w:rsidRPr="008172D1">
              <w:rPr>
                <w:spacing w:val="-6"/>
              </w:rPr>
              <w:t>zřetelného ochlazení hypotečního trhu, ale i vysoké a dále rostoucí náklady stavebních firem</w:t>
            </w:r>
            <w:r w:rsidRPr="008172D1">
              <w:rPr>
                <w:rStyle w:val="Znakapoznpodarou"/>
                <w:spacing w:val="-6"/>
              </w:rPr>
              <w:footnoteReference w:id="36"/>
            </w:r>
            <w:r w:rsidRPr="008172D1">
              <w:rPr>
                <w:spacing w:val="-6"/>
              </w:rPr>
              <w:t xml:space="preserve">. Obor inženýrského stavitelství, v němž </w:t>
            </w:r>
            <w:r w:rsidRPr="008172D1">
              <w:rPr>
                <w:spacing w:val="-6"/>
              </w:rPr>
              <w:lastRenderedPageBreak/>
              <w:t>jsou oproti oblasti pozemních staveb častěji zastoupeny větší podniky, se zejména ve druhé polovině loňského roku mohl opřít o solidní tempo růstu veřejných výdajů v oblasti dopravní infrastruktury</w:t>
            </w:r>
            <w:r w:rsidRPr="008172D1">
              <w:rPr>
                <w:rStyle w:val="Znakapoznpodarou"/>
                <w:spacing w:val="-6"/>
              </w:rPr>
              <w:footnoteReference w:id="37"/>
            </w:r>
            <w:r w:rsidRPr="008172D1">
              <w:rPr>
                <w:spacing w:val="-6"/>
              </w:rPr>
              <w:t xml:space="preserve"> související primárně s čerpáním evropských dotací.</w:t>
            </w:r>
          </w:p>
        </w:tc>
      </w:tr>
      <w:tr w:rsidR="00E87D5B" w:rsidRPr="00956F81" w14:paraId="3C46932B" w14:textId="77777777" w:rsidTr="008B1850">
        <w:trPr>
          <w:trHeight w:val="170"/>
        </w:trPr>
        <w:tc>
          <w:tcPr>
            <w:tcW w:w="1814" w:type="dxa"/>
            <w:tcBorders>
              <w:top w:val="nil"/>
              <w:left w:val="nil"/>
              <w:bottom w:val="nil"/>
              <w:right w:val="nil"/>
            </w:tcBorders>
            <w:shd w:val="clear" w:color="auto" w:fill="auto"/>
            <w:tcMar>
              <w:left w:w="0" w:type="dxa"/>
            </w:tcMar>
          </w:tcPr>
          <w:p w14:paraId="4395A697" w14:textId="77777777" w:rsidR="00E87D5B" w:rsidRDefault="00E87D5B" w:rsidP="00C8019E">
            <w:pPr>
              <w:pStyle w:val="Marginlie"/>
            </w:pPr>
            <w:r>
              <w:lastRenderedPageBreak/>
              <w:t>Růst hodnoty nových stavebních zakázek i</w:t>
            </w:r>
            <w:r>
              <w:rPr>
                <w:spacing w:val="-4"/>
              </w:rPr>
              <w:t> </w:t>
            </w:r>
            <w:r>
              <w:t>jejich celkové zásoby loni nepřevyšoval dynamiku cen stavebních prací.</w:t>
            </w:r>
          </w:p>
          <w:p w14:paraId="5F24DA73" w14:textId="77777777" w:rsidR="00E87D5B" w:rsidRDefault="00E87D5B" w:rsidP="00C8019E">
            <w:pPr>
              <w:pStyle w:val="Marginlie"/>
            </w:pPr>
          </w:p>
          <w:p w14:paraId="23DD67B0" w14:textId="77777777" w:rsidR="00E87D5B" w:rsidRDefault="00E87D5B" w:rsidP="00C8019E">
            <w:pPr>
              <w:pStyle w:val="Marginlie"/>
            </w:pPr>
          </w:p>
          <w:p w14:paraId="7FDF92B7" w14:textId="77777777" w:rsidR="00E87D5B" w:rsidRDefault="00E87D5B" w:rsidP="00C8019E">
            <w:pPr>
              <w:pStyle w:val="Marginlie"/>
            </w:pPr>
          </w:p>
          <w:p w14:paraId="3F0C7722" w14:textId="77777777" w:rsidR="00E87D5B" w:rsidRDefault="00E87D5B" w:rsidP="00C8019E">
            <w:pPr>
              <w:pStyle w:val="Marginlie"/>
            </w:pPr>
          </w:p>
          <w:p w14:paraId="5C43288B" w14:textId="77777777" w:rsidR="00E87D5B" w:rsidRDefault="00E87D5B" w:rsidP="00C8019E">
            <w:pPr>
              <w:pStyle w:val="Marginlie"/>
            </w:pPr>
          </w:p>
          <w:p w14:paraId="17774A7E" w14:textId="77777777" w:rsidR="00E87D5B" w:rsidRDefault="00E87D5B" w:rsidP="00C8019E">
            <w:pPr>
              <w:pStyle w:val="Marginlie"/>
            </w:pPr>
            <w:r>
              <w:t>Hodnota stavebních povolení ve 4. čtvrtletí meziročně klesla.</w:t>
            </w:r>
          </w:p>
          <w:p w14:paraId="56719020" w14:textId="77777777" w:rsidR="00E87D5B" w:rsidRPr="00982911" w:rsidRDefault="00E87D5B" w:rsidP="00C8019E">
            <w:pPr>
              <w:pStyle w:val="Marginlie"/>
              <w:rPr>
                <w:spacing w:val="-4"/>
              </w:rPr>
            </w:pPr>
          </w:p>
        </w:tc>
        <w:tc>
          <w:tcPr>
            <w:tcW w:w="209" w:type="dxa"/>
            <w:tcBorders>
              <w:top w:val="nil"/>
              <w:left w:val="nil"/>
              <w:bottom w:val="nil"/>
              <w:right w:val="nil"/>
            </w:tcBorders>
            <w:shd w:val="clear" w:color="auto" w:fill="auto"/>
            <w:tcMar>
              <w:left w:w="0" w:type="dxa"/>
            </w:tcMar>
          </w:tcPr>
          <w:p w14:paraId="5DB2F8FC"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3606C1D3" w14:textId="266D4B24" w:rsidR="00E87D5B" w:rsidRPr="00956F81" w:rsidRDefault="00E87D5B" w:rsidP="00C8019E">
            <w:pPr>
              <w:spacing w:after="200"/>
              <w:rPr>
                <w:rFonts w:cs="Arial"/>
                <w:color w:val="0D0D0D" w:themeColor="text1" w:themeTint="F2"/>
                <w:spacing w:val="-6"/>
              </w:rPr>
            </w:pPr>
            <w:r>
              <w:rPr>
                <w:rFonts w:cs="Arial"/>
                <w:color w:val="0D0D0D" w:themeColor="text1" w:themeTint="F2"/>
                <w:spacing w:val="-6"/>
              </w:rPr>
              <w:t xml:space="preserve">Ačkoli meziroční tempo růstu </w:t>
            </w:r>
            <w:r w:rsidRPr="00FE2CA0">
              <w:rPr>
                <w:rFonts w:cs="Arial"/>
                <w:color w:val="0D0D0D" w:themeColor="text1" w:themeTint="F2"/>
                <w:spacing w:val="-6"/>
              </w:rPr>
              <w:t xml:space="preserve">nominální hodnoty nových stavebních zakázek v </w:t>
            </w:r>
            <w:r>
              <w:rPr>
                <w:rFonts w:cs="Arial"/>
                <w:color w:val="0D0D0D" w:themeColor="text1" w:themeTint="F2"/>
                <w:spacing w:val="-6"/>
              </w:rPr>
              <w:t>tuzemsku</w:t>
            </w:r>
            <w:r w:rsidRPr="001E7777">
              <w:rPr>
                <w:rFonts w:cs="Arial"/>
                <w:color w:val="0D0D0D" w:themeColor="text1" w:themeTint="F2"/>
                <w:spacing w:val="-6"/>
              </w:rPr>
              <w:t xml:space="preserve"> (v podnicích s více než 50 zaměstnanci)</w:t>
            </w:r>
            <w:r>
              <w:rPr>
                <w:rFonts w:cs="Arial"/>
                <w:color w:val="0D0D0D" w:themeColor="text1" w:themeTint="F2"/>
                <w:spacing w:val="-6"/>
              </w:rPr>
              <w:t xml:space="preserve"> rostlo po celý loňský rok dvojcifernými tempy (ve 4.</w:t>
            </w:r>
            <w:r w:rsidRPr="001E7777">
              <w:rPr>
                <w:rFonts w:cs="Arial"/>
                <w:color w:val="0D0D0D" w:themeColor="text1" w:themeTint="F2"/>
                <w:spacing w:val="-6"/>
              </w:rPr>
              <w:t> </w:t>
            </w:r>
            <w:r>
              <w:rPr>
                <w:rFonts w:cs="Arial"/>
                <w:color w:val="0D0D0D" w:themeColor="text1" w:themeTint="F2"/>
                <w:spacing w:val="-6"/>
              </w:rPr>
              <w:t>čtvrtletí o</w:t>
            </w:r>
            <w:r w:rsidRPr="001E7777">
              <w:rPr>
                <w:rFonts w:cs="Arial"/>
                <w:color w:val="0D0D0D" w:themeColor="text1" w:themeTint="F2"/>
                <w:spacing w:val="-6"/>
              </w:rPr>
              <w:t> </w:t>
            </w:r>
            <w:r>
              <w:rPr>
                <w:rFonts w:cs="Arial"/>
                <w:color w:val="0D0D0D" w:themeColor="text1" w:themeTint="F2"/>
                <w:spacing w:val="-6"/>
              </w:rPr>
              <w:t>13,0</w:t>
            </w:r>
            <w:r w:rsidRPr="001E7777">
              <w:rPr>
                <w:rFonts w:cs="Arial"/>
                <w:color w:val="0D0D0D" w:themeColor="text1" w:themeTint="F2"/>
                <w:spacing w:val="-6"/>
              </w:rPr>
              <w:t> </w:t>
            </w:r>
            <w:r>
              <w:rPr>
                <w:rFonts w:cs="Arial"/>
                <w:color w:val="0D0D0D" w:themeColor="text1" w:themeTint="F2"/>
                <w:spacing w:val="-6"/>
              </w:rPr>
              <w:t>%), lze po zohlednění růstu cen stavebních prací</w:t>
            </w:r>
            <w:r>
              <w:rPr>
                <w:rStyle w:val="Znakapoznpodarou"/>
                <w:color w:val="0D0D0D" w:themeColor="text1" w:themeTint="F2"/>
                <w:spacing w:val="-6"/>
              </w:rPr>
              <w:footnoteReference w:id="38"/>
            </w:r>
            <w:r>
              <w:rPr>
                <w:rFonts w:cs="Arial"/>
                <w:color w:val="0D0D0D" w:themeColor="text1" w:themeTint="F2"/>
                <w:spacing w:val="-6"/>
              </w:rPr>
              <w:t xml:space="preserve"> hovořit spíše o stagnaci skutečné stavební poptávky (tomu odpovídá i to, že počet nově uzavřených zakázek se oproti roku 2021 nezměnil). Pozitivněji vyznívá poptávka v segmentu inženýrského stavitelství (ve 4.</w:t>
            </w:r>
            <w:r w:rsidRPr="001E7777">
              <w:rPr>
                <w:rFonts w:cs="Arial"/>
                <w:color w:val="0D0D0D" w:themeColor="text1" w:themeTint="F2"/>
                <w:spacing w:val="-6"/>
              </w:rPr>
              <w:t> </w:t>
            </w:r>
            <w:r>
              <w:rPr>
                <w:rFonts w:cs="Arial"/>
                <w:color w:val="0D0D0D" w:themeColor="text1" w:themeTint="F2"/>
                <w:spacing w:val="-6"/>
              </w:rPr>
              <w:t xml:space="preserve">čtvrtletí 2022 zde hodnota nových zakázek meziročně vzrostla skoro o pětinu). Celková zásoba práce (ve formě hodnoty </w:t>
            </w:r>
            <w:r>
              <w:rPr>
                <w:rFonts w:cs="Arial"/>
                <w:color w:val="0D0D0D" w:themeColor="text1" w:themeTint="F2"/>
                <w:spacing w:val="-4"/>
              </w:rPr>
              <w:t>dosud nerealizovaných</w:t>
            </w:r>
            <w:r w:rsidRPr="003448DB">
              <w:rPr>
                <w:rFonts w:cs="Arial"/>
                <w:color w:val="0D0D0D" w:themeColor="text1" w:themeTint="F2"/>
                <w:spacing w:val="-4"/>
              </w:rPr>
              <w:t xml:space="preserve"> stavební</w:t>
            </w:r>
            <w:r>
              <w:rPr>
                <w:rFonts w:cs="Arial"/>
                <w:color w:val="0D0D0D" w:themeColor="text1" w:themeTint="F2"/>
                <w:spacing w:val="-4"/>
              </w:rPr>
              <w:t xml:space="preserve">ch zakázek) </w:t>
            </w:r>
            <w:r w:rsidRPr="003448DB">
              <w:rPr>
                <w:rFonts w:cs="Arial"/>
                <w:color w:val="0D0D0D" w:themeColor="text1" w:themeTint="F2"/>
                <w:spacing w:val="-4"/>
              </w:rPr>
              <w:t xml:space="preserve">byla </w:t>
            </w:r>
            <w:r>
              <w:rPr>
                <w:rFonts w:cs="Arial"/>
                <w:color w:val="0D0D0D" w:themeColor="text1" w:themeTint="F2"/>
                <w:spacing w:val="-4"/>
              </w:rPr>
              <w:t>loni na konci prosince meziročně o 8,6 % vyšší, z drtivé většiny však díky veřejným investorům v tuzemsku (ti pokrývali přes 60 % veškeré zásoby zakázek v portfoliu stavebních podniků). Zásoba soukromých zakázek v Česku byla meziročně vyšší jen o</w:t>
            </w:r>
            <w:r w:rsidR="00DE3E22">
              <w:rPr>
                <w:rFonts w:cs="Arial"/>
                <w:color w:val="0D0D0D" w:themeColor="text1" w:themeTint="F2"/>
                <w:spacing w:val="-4"/>
              </w:rPr>
              <w:t> </w:t>
            </w:r>
            <w:r>
              <w:rPr>
                <w:rFonts w:cs="Arial"/>
                <w:color w:val="0D0D0D" w:themeColor="text1" w:themeTint="F2"/>
                <w:spacing w:val="-4"/>
              </w:rPr>
              <w:t>2,4</w:t>
            </w:r>
            <w:r w:rsidR="00DE3E22">
              <w:rPr>
                <w:rFonts w:cs="Arial"/>
                <w:color w:val="0D0D0D" w:themeColor="text1" w:themeTint="F2"/>
                <w:spacing w:val="-4"/>
              </w:rPr>
              <w:t> </w:t>
            </w:r>
            <w:r>
              <w:rPr>
                <w:rFonts w:cs="Arial"/>
                <w:color w:val="0D0D0D" w:themeColor="text1" w:themeTint="F2"/>
                <w:spacing w:val="-4"/>
              </w:rPr>
              <w:t>% (po zohlednění cen lze tak hovořit o poklesu kumulované poptávky z tohoto segmentu ekonomiky). Indicie o</w:t>
            </w:r>
            <w:r w:rsidRPr="001E7777">
              <w:rPr>
                <w:rFonts w:cs="Arial"/>
                <w:color w:val="0D0D0D" w:themeColor="text1" w:themeTint="F2"/>
                <w:spacing w:val="-6"/>
              </w:rPr>
              <w:t> </w:t>
            </w:r>
            <w:r>
              <w:rPr>
                <w:rFonts w:cs="Arial"/>
                <w:color w:val="0D0D0D" w:themeColor="text1" w:themeTint="F2"/>
                <w:spacing w:val="-4"/>
              </w:rPr>
              <w:t>ochlazování poptávky byly patrné také u vydaných stavebních povolení, jež naznačují investiční aktivitu ve střednědobém horizontu. Jejich orientační hodnota se loni ve 4. čtvrtletí mírně snížila (meziročně o 1,3 %). Kromě dopravních staveb (u výstavby i rekonstrukce) došlo k poklesu ve všech významnějších kategoriích staveb</w:t>
            </w:r>
            <w:r>
              <w:rPr>
                <w:rStyle w:val="Znakapoznpodarou"/>
                <w:color w:val="0D0D0D" w:themeColor="text1" w:themeTint="F2"/>
                <w:spacing w:val="-4"/>
              </w:rPr>
              <w:footnoteReference w:id="39"/>
            </w:r>
            <w:r>
              <w:rPr>
                <w:rFonts w:cs="Arial"/>
                <w:color w:val="0D0D0D" w:themeColor="text1" w:themeTint="F2"/>
                <w:spacing w:val="-4"/>
              </w:rPr>
              <w:t>.</w:t>
            </w:r>
          </w:p>
        </w:tc>
      </w:tr>
      <w:tr w:rsidR="00E87D5B" w:rsidRPr="00D232BB" w14:paraId="324B9C56" w14:textId="77777777" w:rsidTr="008B1850">
        <w:trPr>
          <w:trHeight w:val="170"/>
        </w:trPr>
        <w:tc>
          <w:tcPr>
            <w:tcW w:w="1814" w:type="dxa"/>
            <w:vMerge w:val="restart"/>
            <w:tcBorders>
              <w:top w:val="nil"/>
              <w:left w:val="nil"/>
              <w:bottom w:val="nil"/>
              <w:right w:val="nil"/>
            </w:tcBorders>
            <w:shd w:val="clear" w:color="auto" w:fill="auto"/>
            <w:tcMar>
              <w:left w:w="0" w:type="dxa"/>
            </w:tcMar>
          </w:tcPr>
          <w:p w14:paraId="6A192031" w14:textId="77777777" w:rsidR="00E87D5B" w:rsidRDefault="00E87D5B" w:rsidP="00C8019E">
            <w:pPr>
              <w:pStyle w:val="Marginlie"/>
            </w:pPr>
          </w:p>
        </w:tc>
        <w:tc>
          <w:tcPr>
            <w:tcW w:w="209" w:type="dxa"/>
            <w:vMerge w:val="restart"/>
            <w:tcBorders>
              <w:top w:val="nil"/>
              <w:left w:val="nil"/>
              <w:bottom w:val="nil"/>
              <w:right w:val="nil"/>
            </w:tcBorders>
            <w:shd w:val="clear" w:color="auto" w:fill="auto"/>
            <w:tcMar>
              <w:left w:w="0" w:type="dxa"/>
            </w:tcMar>
          </w:tcPr>
          <w:p w14:paraId="60F4E0EC"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2D65B7DE" w14:textId="77777777" w:rsidR="00E87D5B" w:rsidRPr="00D232BB" w:rsidRDefault="00E87D5B" w:rsidP="00C8019E">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E87D5B" w:rsidRPr="0067514E" w14:paraId="3CCDE0EC" w14:textId="77777777" w:rsidTr="008B1850">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19B95D2C" w14:textId="77777777" w:rsidR="00E87D5B" w:rsidRDefault="00E87D5B" w:rsidP="00C8019E">
            <w:pPr>
              <w:pStyle w:val="Marginlie"/>
            </w:pPr>
          </w:p>
        </w:tc>
        <w:tc>
          <w:tcPr>
            <w:tcW w:w="209" w:type="dxa"/>
            <w:vMerge/>
            <w:tcBorders>
              <w:top w:val="nil"/>
              <w:left w:val="nil"/>
              <w:bottom w:val="nil"/>
              <w:right w:val="nil"/>
            </w:tcBorders>
            <w:shd w:val="clear" w:color="auto" w:fill="auto"/>
          </w:tcPr>
          <w:p w14:paraId="773810DC"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Pr>
          <w:p w14:paraId="3CEBCABF" w14:textId="77777777" w:rsidR="00E87D5B" w:rsidRPr="0067514E" w:rsidRDefault="00E87D5B" w:rsidP="00C8019E">
            <w:pPr>
              <w:spacing w:after="0"/>
              <w:rPr>
                <w:spacing w:val="-6"/>
              </w:rPr>
            </w:pPr>
            <w:r>
              <w:rPr>
                <w:noProof/>
              </w:rPr>
              <w:drawing>
                <wp:inline distT="0" distB="0" distL="0" distR="0" wp14:anchorId="6199D1DE" wp14:editId="6515099D">
                  <wp:extent cx="4681855" cy="3581400"/>
                  <wp:effectExtent l="0" t="0" r="444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87D5B" w:rsidRPr="008F2BE2" w14:paraId="0EB65E98" w14:textId="77777777" w:rsidTr="008B1850">
        <w:trPr>
          <w:trHeight w:val="170"/>
        </w:trPr>
        <w:tc>
          <w:tcPr>
            <w:tcW w:w="1814" w:type="dxa"/>
            <w:vMerge/>
            <w:tcBorders>
              <w:top w:val="nil"/>
              <w:left w:val="nil"/>
              <w:bottom w:val="nil"/>
              <w:right w:val="nil"/>
            </w:tcBorders>
            <w:shd w:val="clear" w:color="auto" w:fill="auto"/>
            <w:tcMar>
              <w:left w:w="0" w:type="dxa"/>
            </w:tcMar>
          </w:tcPr>
          <w:p w14:paraId="413A87EA" w14:textId="77777777" w:rsidR="00E87D5B" w:rsidRDefault="00E87D5B" w:rsidP="00C8019E">
            <w:pPr>
              <w:pStyle w:val="Marginlie"/>
            </w:pPr>
          </w:p>
        </w:tc>
        <w:tc>
          <w:tcPr>
            <w:tcW w:w="209" w:type="dxa"/>
            <w:vMerge/>
            <w:tcBorders>
              <w:top w:val="nil"/>
              <w:left w:val="nil"/>
              <w:bottom w:val="nil"/>
              <w:right w:val="nil"/>
            </w:tcBorders>
            <w:shd w:val="clear" w:color="auto" w:fill="auto"/>
            <w:tcMar>
              <w:left w:w="0" w:type="dxa"/>
            </w:tcMar>
          </w:tcPr>
          <w:p w14:paraId="7D7CEF1A"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3CEDA325" w14:textId="77777777" w:rsidR="00E87D5B" w:rsidRPr="00883202" w:rsidRDefault="00E87D5B" w:rsidP="00C8019E">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03988F19" w14:textId="77777777" w:rsidR="00E87D5B" w:rsidRPr="008F2BE2" w:rsidRDefault="00E87D5B" w:rsidP="00C8019E">
            <w:pPr>
              <w:pStyle w:val="Textpoznpodarou"/>
              <w:rPr>
                <w:spacing w:val="-4"/>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E87D5B" w:rsidRPr="00CF0DCE" w14:paraId="420EB13C" w14:textId="77777777" w:rsidTr="008B1850">
        <w:trPr>
          <w:trHeight w:val="170"/>
        </w:trPr>
        <w:tc>
          <w:tcPr>
            <w:tcW w:w="1814" w:type="dxa"/>
            <w:tcBorders>
              <w:top w:val="nil"/>
              <w:left w:val="nil"/>
              <w:bottom w:val="nil"/>
              <w:right w:val="nil"/>
            </w:tcBorders>
            <w:shd w:val="clear" w:color="auto" w:fill="auto"/>
            <w:tcMar>
              <w:left w:w="0" w:type="dxa"/>
            </w:tcMar>
          </w:tcPr>
          <w:p w14:paraId="05579CA7" w14:textId="77777777" w:rsidR="00E87D5B" w:rsidRPr="00097A8B" w:rsidRDefault="00E87D5B" w:rsidP="00C8019E">
            <w:pPr>
              <w:pStyle w:val="Marginlie"/>
              <w:rPr>
                <w:spacing w:val="-4"/>
              </w:rPr>
            </w:pPr>
            <w:r w:rsidRPr="00097A8B">
              <w:rPr>
                <w:spacing w:val="-4"/>
              </w:rPr>
              <w:lastRenderedPageBreak/>
              <w:t>Důvěra podnikatelů ve stavebnictví se od loňského jara zhor</w:t>
            </w:r>
            <w:r>
              <w:rPr>
                <w:spacing w:val="-4"/>
              </w:rPr>
              <w:t>šovala. Negativní očekávání byla</w:t>
            </w:r>
            <w:r w:rsidRPr="00097A8B">
              <w:rPr>
                <w:spacing w:val="-4"/>
              </w:rPr>
              <w:t xml:space="preserve"> </w:t>
            </w:r>
            <w:r>
              <w:rPr>
                <w:spacing w:val="-4"/>
              </w:rPr>
              <w:t>patrná</w:t>
            </w:r>
            <w:r w:rsidRPr="00097A8B">
              <w:rPr>
                <w:spacing w:val="-4"/>
              </w:rPr>
              <w:t xml:space="preserve"> i ve výhledu na celé 1. pololetí 2023.</w:t>
            </w:r>
          </w:p>
          <w:p w14:paraId="0D216553" w14:textId="77777777" w:rsidR="00E87D5B" w:rsidRDefault="00E87D5B" w:rsidP="00C8019E">
            <w:pPr>
              <w:pStyle w:val="Marginlie"/>
            </w:pPr>
          </w:p>
          <w:p w14:paraId="5538CC89" w14:textId="77777777" w:rsidR="00E87D5B" w:rsidRDefault="00E87D5B" w:rsidP="00C8019E">
            <w:pPr>
              <w:pStyle w:val="Marginlie"/>
            </w:pPr>
          </w:p>
          <w:p w14:paraId="7F0B8420" w14:textId="77777777" w:rsidR="00E87D5B" w:rsidRDefault="00E87D5B" w:rsidP="00C8019E">
            <w:pPr>
              <w:pStyle w:val="Marginlie"/>
            </w:pPr>
            <w:r>
              <w:t xml:space="preserve"> </w:t>
            </w:r>
          </w:p>
        </w:tc>
        <w:tc>
          <w:tcPr>
            <w:tcW w:w="209" w:type="dxa"/>
            <w:tcBorders>
              <w:top w:val="nil"/>
              <w:left w:val="nil"/>
              <w:bottom w:val="nil"/>
              <w:right w:val="nil"/>
            </w:tcBorders>
            <w:shd w:val="clear" w:color="auto" w:fill="auto"/>
            <w:tcMar>
              <w:left w:w="0" w:type="dxa"/>
            </w:tcMar>
          </w:tcPr>
          <w:p w14:paraId="77D8B017"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4EE854EC" w14:textId="77777777" w:rsidR="00E87D5B" w:rsidRPr="00CF0DCE" w:rsidRDefault="00E87D5B" w:rsidP="00C8019E">
            <w:pPr>
              <w:spacing w:after="200"/>
              <w:rPr>
                <w:rFonts w:cs="Arial"/>
                <w:color w:val="0D0D0D" w:themeColor="text1" w:themeTint="F2"/>
                <w:spacing w:val="-6"/>
              </w:rPr>
            </w:pPr>
            <w:r>
              <w:rPr>
                <w:rFonts w:cs="Arial"/>
                <w:color w:val="0D0D0D" w:themeColor="text1" w:themeTint="F2"/>
                <w:spacing w:val="-6"/>
              </w:rPr>
              <w:t xml:space="preserve">Dobré </w:t>
            </w:r>
            <w:r w:rsidRPr="00CF0DCE">
              <w:rPr>
                <w:rFonts w:cs="Arial"/>
                <w:color w:val="0D0D0D" w:themeColor="text1" w:themeTint="F2"/>
                <w:spacing w:val="-6"/>
              </w:rPr>
              <w:t>výsledky</w:t>
            </w:r>
            <w:r>
              <w:rPr>
                <w:rFonts w:cs="Arial"/>
                <w:color w:val="0D0D0D" w:themeColor="text1" w:themeTint="F2"/>
                <w:spacing w:val="-6"/>
              </w:rPr>
              <w:t xml:space="preserve"> stavebnictví na počátku loňské</w:t>
            </w:r>
            <w:r w:rsidRPr="00CF0DCE">
              <w:rPr>
                <w:rFonts w:cs="Arial"/>
                <w:color w:val="0D0D0D" w:themeColor="text1" w:themeTint="F2"/>
                <w:spacing w:val="-6"/>
              </w:rPr>
              <w:t xml:space="preserve">ho roku podpořily optimismus podnikatelů v tomto odvětví a únorové saldo důvěry se tak srovnalo s absolutním maximem (z ledna </w:t>
            </w:r>
            <w:r>
              <w:rPr>
                <w:rFonts w:cs="Arial"/>
                <w:color w:val="0D0D0D" w:themeColor="text1" w:themeTint="F2"/>
                <w:spacing w:val="-6"/>
              </w:rPr>
              <w:t>2019). Později se ale nálada v odvětví zhoršovala, citelněji pak na přelomu let 2022 a 2023, kdy dosáhla nejníže za poslední dva a půl roku (stále se ovšem pohybovala nad dlouhodobým průměrem). Rychle rostoucí nákladové tlaky se promítly do negativního hodnocení současné i očekávané poptávky, výhledů v oblasti zaměstnanosti či budoucí ekonomické situace firem (pesimismus zde na rozdíl od průmyslových podniků přetrvává i ve výhledu na nejbližších šest měsíců). Přestože role nedostatečné poptávky jako bariéry růstu stavebních firem na počátku letošního roku citelně vzrostla (na únorových 32 %, nejvíce od května 2021), klíčové omezení stále spočívá v nedostatku pracovní síly (pro 40 % firem)</w:t>
            </w:r>
            <w:r>
              <w:rPr>
                <w:rStyle w:val="Znakapoznpodarou"/>
                <w:color w:val="0D0D0D" w:themeColor="text1" w:themeTint="F2"/>
                <w:spacing w:val="-6"/>
              </w:rPr>
              <w:footnoteReference w:id="40"/>
            </w:r>
            <w:r>
              <w:rPr>
                <w:rFonts w:cs="Arial"/>
                <w:color w:val="0D0D0D" w:themeColor="text1" w:themeTint="F2"/>
                <w:spacing w:val="-6"/>
              </w:rPr>
              <w:t>.</w:t>
            </w:r>
          </w:p>
        </w:tc>
      </w:tr>
      <w:tr w:rsidR="00E87D5B" w:rsidRPr="00B63E5E" w14:paraId="6CFF7DF0" w14:textId="77777777" w:rsidTr="008B1850">
        <w:trPr>
          <w:trHeight w:val="170"/>
        </w:trPr>
        <w:tc>
          <w:tcPr>
            <w:tcW w:w="1814" w:type="dxa"/>
            <w:tcBorders>
              <w:top w:val="nil"/>
              <w:left w:val="nil"/>
              <w:bottom w:val="nil"/>
              <w:right w:val="nil"/>
            </w:tcBorders>
            <w:shd w:val="clear" w:color="auto" w:fill="auto"/>
            <w:tcMar>
              <w:left w:w="0" w:type="dxa"/>
            </w:tcMar>
          </w:tcPr>
          <w:p w14:paraId="48B219EC" w14:textId="77777777" w:rsidR="00E87D5B" w:rsidRPr="00B63E5E" w:rsidRDefault="00E87D5B" w:rsidP="00C8019E">
            <w:pPr>
              <w:pStyle w:val="Marginlie"/>
              <w:rPr>
                <w:color w:val="0D0D0D" w:themeColor="text1" w:themeTint="F2"/>
              </w:rPr>
            </w:pPr>
            <w:r>
              <w:rPr>
                <w:color w:val="0D0D0D" w:themeColor="text1" w:themeTint="F2"/>
              </w:rPr>
              <w:t>Tržby ve službách rostly mezikvartálně jen v první polovině loňského roku. Později byly ovlivněny klesající poptávkou ze strany domácností i</w:t>
            </w:r>
            <w:r>
              <w:t> </w:t>
            </w:r>
            <w:r>
              <w:rPr>
                <w:color w:val="0D0D0D" w:themeColor="text1" w:themeTint="F2"/>
              </w:rPr>
              <w:t xml:space="preserve">podniků. </w:t>
            </w:r>
          </w:p>
        </w:tc>
        <w:tc>
          <w:tcPr>
            <w:tcW w:w="209" w:type="dxa"/>
            <w:tcBorders>
              <w:top w:val="nil"/>
              <w:left w:val="nil"/>
              <w:bottom w:val="nil"/>
              <w:right w:val="nil"/>
            </w:tcBorders>
            <w:shd w:val="clear" w:color="auto" w:fill="auto"/>
            <w:tcMar>
              <w:left w:w="0" w:type="dxa"/>
            </w:tcMar>
          </w:tcPr>
          <w:p w14:paraId="73994561" w14:textId="77777777" w:rsidR="00E87D5B" w:rsidRPr="008071B1" w:rsidRDefault="00E87D5B" w:rsidP="00C8019E">
            <w:pPr>
              <w:pStyle w:val="Textpoznpodarou"/>
              <w:jc w:val="both"/>
              <w:rPr>
                <w:color w:val="0D0D0D" w:themeColor="text1" w:themeTint="F2"/>
                <w:spacing w:val="-5"/>
              </w:rPr>
            </w:pPr>
          </w:p>
        </w:tc>
        <w:tc>
          <w:tcPr>
            <w:tcW w:w="7681" w:type="dxa"/>
            <w:tcBorders>
              <w:top w:val="nil"/>
              <w:left w:val="nil"/>
              <w:bottom w:val="nil"/>
              <w:right w:val="nil"/>
            </w:tcBorders>
            <w:shd w:val="clear" w:color="auto" w:fill="auto"/>
            <w:tcMar>
              <w:left w:w="0" w:type="dxa"/>
            </w:tcMar>
          </w:tcPr>
          <w:p w14:paraId="5A07817D" w14:textId="74F1FDCB" w:rsidR="00E87D5B" w:rsidRPr="008071B1" w:rsidRDefault="00E87D5B" w:rsidP="00C8019E">
            <w:pPr>
              <w:spacing w:after="200"/>
              <w:rPr>
                <w:rFonts w:cs="Arial"/>
                <w:color w:val="0D0D0D" w:themeColor="text1" w:themeTint="F2"/>
                <w:spacing w:val="-5"/>
              </w:rPr>
            </w:pPr>
            <w:r w:rsidRPr="008071B1">
              <w:rPr>
                <w:rFonts w:cs="Arial"/>
                <w:color w:val="0D0D0D" w:themeColor="text1" w:themeTint="F2"/>
                <w:spacing w:val="-5"/>
              </w:rPr>
              <w:t xml:space="preserve">Poptávka po službách se během loňského roku vyvíjela nerovnoměrně. </w:t>
            </w:r>
            <w:r w:rsidRPr="008071B1">
              <w:rPr>
                <w:color w:val="0D0D0D" w:themeColor="text1" w:themeTint="F2"/>
                <w:spacing w:val="-5"/>
              </w:rPr>
              <w:t>Tržby ve vybraných službách</w:t>
            </w:r>
            <w:r w:rsidRPr="008071B1">
              <w:rPr>
                <w:color w:val="0D0D0D" w:themeColor="text1" w:themeTint="F2"/>
                <w:spacing w:val="-5"/>
                <w:vertAlign w:val="superscript"/>
              </w:rPr>
              <w:footnoteReference w:id="41"/>
            </w:r>
            <w:r w:rsidRPr="008071B1">
              <w:rPr>
                <w:color w:val="0D0D0D" w:themeColor="text1" w:themeTint="F2"/>
                <w:spacing w:val="-5"/>
              </w:rPr>
              <w:t xml:space="preserve"> vzrostly na počátku roku mezikvartálně o 2,1 % a poprvé vystoupaly nad úroveň konjunkturního roku 2019. Službám se dařilo i ve 2. čtvrtletí, kdy výrazně ožila především odvětví s těsnou vazbou na cestovní ruch. Ve zbývající části roku se růst tržeb zastavil. Náznaky oslabování poptávky registrovalo klíčové odvětví dopravy a skladování (poprvé od poloviny roku 2020). Vedle toho se zhoršující ekonomická situace tuzemských domácností odrazila v oblasti str</w:t>
            </w:r>
            <w:r w:rsidR="008071B1" w:rsidRPr="008071B1">
              <w:rPr>
                <w:color w:val="0D0D0D" w:themeColor="text1" w:themeTint="F2"/>
                <w:spacing w:val="-5"/>
              </w:rPr>
              <w:t>avování a pohostinství. K tomu</w:t>
            </w:r>
            <w:r w:rsidRPr="008071B1">
              <w:rPr>
                <w:color w:val="0D0D0D" w:themeColor="text1" w:themeTint="F2"/>
                <w:spacing w:val="-5"/>
              </w:rPr>
              <w:t xml:space="preserve"> podniky začaly omezovat svou poptávku po některých</w:t>
            </w:r>
            <w:r w:rsidR="008071B1" w:rsidRPr="008071B1">
              <w:rPr>
                <w:color w:val="0D0D0D" w:themeColor="text1" w:themeTint="F2"/>
                <w:spacing w:val="-5"/>
              </w:rPr>
              <w:t xml:space="preserve"> činnostech (administrativního a</w:t>
            </w:r>
            <w:r w:rsidRPr="008071B1">
              <w:rPr>
                <w:color w:val="0D0D0D" w:themeColor="text1" w:themeTint="F2"/>
                <w:spacing w:val="-5"/>
              </w:rPr>
              <w:t xml:space="preserve"> podpůrného charakteru, ale i sofistikovanějších službách). Ve 4. čtvrtletí 2022 se prohloubil pokles tržeb ve skladování (na 8,2 %</w:t>
            </w:r>
            <w:r w:rsidR="00741F2A">
              <w:rPr>
                <w:color w:val="0D0D0D" w:themeColor="text1" w:themeTint="F2"/>
                <w:spacing w:val="-5"/>
              </w:rPr>
              <w:t xml:space="preserve"> </w:t>
            </w:r>
            <w:r w:rsidRPr="008071B1">
              <w:rPr>
                <w:color w:val="0D0D0D" w:themeColor="text1" w:themeTint="F2"/>
                <w:spacing w:val="-5"/>
              </w:rPr>
              <w:t>mezikvartálně), což souviselo se zhoršeným výkonem průmyslu i poklesem obratu zbožového zahraničního obchodu</w:t>
            </w:r>
            <w:r w:rsidRPr="008071B1">
              <w:rPr>
                <w:rStyle w:val="Znakapoznpodarou"/>
                <w:color w:val="0D0D0D" w:themeColor="text1" w:themeTint="F2"/>
                <w:spacing w:val="-5"/>
              </w:rPr>
              <w:footnoteReference w:id="42"/>
            </w:r>
            <w:r w:rsidRPr="008071B1">
              <w:rPr>
                <w:color w:val="0D0D0D" w:themeColor="text1" w:themeTint="F2"/>
                <w:spacing w:val="-5"/>
              </w:rPr>
              <w:t>.</w:t>
            </w:r>
          </w:p>
        </w:tc>
      </w:tr>
      <w:tr w:rsidR="00E87D5B" w:rsidRPr="00C32591" w14:paraId="6A292010" w14:textId="77777777" w:rsidTr="008B1850">
        <w:trPr>
          <w:trHeight w:val="170"/>
        </w:trPr>
        <w:tc>
          <w:tcPr>
            <w:tcW w:w="1814" w:type="dxa"/>
            <w:tcBorders>
              <w:top w:val="nil"/>
              <w:left w:val="nil"/>
              <w:bottom w:val="nil"/>
              <w:right w:val="nil"/>
            </w:tcBorders>
            <w:shd w:val="clear" w:color="auto" w:fill="auto"/>
            <w:tcMar>
              <w:left w:w="0" w:type="dxa"/>
            </w:tcMar>
          </w:tcPr>
          <w:p w14:paraId="32670838" w14:textId="77777777" w:rsidR="00E87D5B" w:rsidRDefault="00E87D5B" w:rsidP="00C8019E">
            <w:pPr>
              <w:pStyle w:val="Marginlie"/>
            </w:pPr>
          </w:p>
        </w:tc>
        <w:tc>
          <w:tcPr>
            <w:tcW w:w="209" w:type="dxa"/>
            <w:tcBorders>
              <w:top w:val="nil"/>
              <w:left w:val="nil"/>
              <w:bottom w:val="nil"/>
              <w:right w:val="nil"/>
            </w:tcBorders>
            <w:shd w:val="clear" w:color="auto" w:fill="auto"/>
            <w:tcMar>
              <w:left w:w="0" w:type="dxa"/>
            </w:tcMar>
          </w:tcPr>
          <w:p w14:paraId="35B31639"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3268664B" w14:textId="77777777" w:rsidR="00E87D5B" w:rsidRPr="00C32591" w:rsidRDefault="00E87D5B" w:rsidP="00C8019E">
            <w:pPr>
              <w:spacing w:after="40"/>
              <w:rPr>
                <w:b/>
                <w:spacing w:val="-4"/>
              </w:rPr>
            </w:pPr>
            <w:r w:rsidRPr="00C32591">
              <w:rPr>
                <w:b/>
                <w:spacing w:val="-4"/>
              </w:rPr>
              <w:t xml:space="preserve">Graf č. 7 </w:t>
            </w:r>
            <w:r w:rsidRPr="00C32591">
              <w:rPr>
                <w:b/>
                <w:bCs/>
                <w:spacing w:val="-4"/>
              </w:rPr>
              <w:t>Příspěvky dílčích odvětví k meziroční změně tržeb ve službách*</w:t>
            </w:r>
            <w:r w:rsidRPr="00C32591">
              <w:rPr>
                <w:b/>
                <w:spacing w:val="-4"/>
              </w:rPr>
              <w:br/>
            </w:r>
            <w:r w:rsidRPr="00C32591">
              <w:rPr>
                <w:spacing w:val="-4"/>
              </w:rPr>
              <w:t>(reálně, v p. b),</w:t>
            </w:r>
            <w:r w:rsidRPr="00C32591">
              <w:rPr>
                <w:b/>
                <w:spacing w:val="-4"/>
              </w:rPr>
              <w:t xml:space="preserve"> </w:t>
            </w:r>
            <w:r w:rsidRPr="00C32591">
              <w:rPr>
                <w:b/>
                <w:bCs/>
                <w:spacing w:val="-4"/>
              </w:rPr>
              <w:t xml:space="preserve">celkové tržby ve službách* </w:t>
            </w:r>
            <w:r w:rsidRPr="00C32591">
              <w:rPr>
                <w:spacing w:val="-4"/>
              </w:rPr>
              <w:t>(báze 2015=100, pravá osa),</w:t>
            </w:r>
            <w:r w:rsidRPr="00C32591">
              <w:rPr>
                <w:b/>
                <w:spacing w:val="-4"/>
              </w:rPr>
              <w:t xml:space="preserve"> </w:t>
            </w:r>
            <w:r w:rsidRPr="00C32591">
              <w:rPr>
                <w:b/>
                <w:bCs/>
                <w:spacing w:val="-4"/>
              </w:rPr>
              <w:t>saldo důvěry podnikatelů ve službách**</w:t>
            </w:r>
            <w:r w:rsidRPr="00C32591">
              <w:rPr>
                <w:b/>
                <w:spacing w:val="-4"/>
              </w:rPr>
              <w:t xml:space="preserve"> </w:t>
            </w:r>
            <w:r w:rsidRPr="00C32591">
              <w:rPr>
                <w:spacing w:val="-4"/>
              </w:rPr>
              <w:t>(v p. b., pravá osa)</w:t>
            </w:r>
            <w:r w:rsidRPr="00C32591">
              <w:rPr>
                <w:b/>
                <w:bCs/>
                <w:spacing w:val="-4"/>
              </w:rPr>
              <w:t xml:space="preserve"> a vybrané bariéry růstu**</w:t>
            </w:r>
            <w:r w:rsidRPr="00C32591">
              <w:rPr>
                <w:b/>
                <w:spacing w:val="-4"/>
              </w:rPr>
              <w:t xml:space="preserve"> </w:t>
            </w:r>
            <w:r w:rsidRPr="00C32591">
              <w:rPr>
                <w:spacing w:val="-4"/>
              </w:rPr>
              <w:t xml:space="preserve">(v %, pravá osa) </w:t>
            </w:r>
          </w:p>
        </w:tc>
      </w:tr>
      <w:tr w:rsidR="00E87D5B" w:rsidRPr="004C1143" w14:paraId="5B7F11EF" w14:textId="77777777" w:rsidTr="008B1850">
        <w:tblPrEx>
          <w:tblCellMar>
            <w:left w:w="70" w:type="dxa"/>
            <w:right w:w="70" w:type="dxa"/>
          </w:tblCellMar>
        </w:tblPrEx>
        <w:trPr>
          <w:trHeight w:val="170"/>
        </w:trPr>
        <w:tc>
          <w:tcPr>
            <w:tcW w:w="1814" w:type="dxa"/>
            <w:tcBorders>
              <w:top w:val="nil"/>
              <w:left w:val="nil"/>
              <w:bottom w:val="nil"/>
              <w:right w:val="nil"/>
            </w:tcBorders>
            <w:shd w:val="clear" w:color="auto" w:fill="auto"/>
          </w:tcPr>
          <w:p w14:paraId="46BFF754" w14:textId="77777777" w:rsidR="00E87D5B" w:rsidRDefault="00E87D5B" w:rsidP="00C8019E">
            <w:pPr>
              <w:pStyle w:val="Marginlie"/>
            </w:pPr>
          </w:p>
        </w:tc>
        <w:tc>
          <w:tcPr>
            <w:tcW w:w="209" w:type="dxa"/>
            <w:tcBorders>
              <w:top w:val="nil"/>
              <w:left w:val="nil"/>
              <w:bottom w:val="nil"/>
              <w:right w:val="nil"/>
            </w:tcBorders>
            <w:shd w:val="clear" w:color="auto" w:fill="auto"/>
          </w:tcPr>
          <w:p w14:paraId="4D803279"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Pr>
          <w:p w14:paraId="4A1D2772" w14:textId="77777777" w:rsidR="00E87D5B" w:rsidRPr="004C1143" w:rsidRDefault="00E87D5B" w:rsidP="00C8019E">
            <w:pPr>
              <w:spacing w:after="0"/>
              <w:rPr>
                <w:rFonts w:cs="Arial"/>
                <w:sz w:val="14"/>
                <w:szCs w:val="14"/>
              </w:rPr>
            </w:pPr>
            <w:r>
              <w:rPr>
                <w:noProof/>
              </w:rPr>
              <w:drawing>
                <wp:inline distT="0" distB="0" distL="0" distR="0" wp14:anchorId="731EAF50" wp14:editId="7B3883C0">
                  <wp:extent cx="4660117" cy="3636780"/>
                  <wp:effectExtent l="0" t="0" r="7620" b="190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87D5B" w:rsidRPr="004C1143" w14:paraId="72571772" w14:textId="77777777" w:rsidTr="008B1850">
        <w:trPr>
          <w:trHeight w:val="170"/>
        </w:trPr>
        <w:tc>
          <w:tcPr>
            <w:tcW w:w="1814" w:type="dxa"/>
            <w:tcBorders>
              <w:top w:val="nil"/>
              <w:left w:val="nil"/>
              <w:bottom w:val="nil"/>
              <w:right w:val="nil"/>
            </w:tcBorders>
            <w:shd w:val="clear" w:color="auto" w:fill="auto"/>
            <w:tcMar>
              <w:left w:w="0" w:type="dxa"/>
            </w:tcMar>
          </w:tcPr>
          <w:p w14:paraId="34DFEFA4" w14:textId="77777777" w:rsidR="00E87D5B" w:rsidRDefault="00E87D5B" w:rsidP="00C8019E">
            <w:pPr>
              <w:pStyle w:val="Marginlie"/>
            </w:pPr>
          </w:p>
        </w:tc>
        <w:tc>
          <w:tcPr>
            <w:tcW w:w="209" w:type="dxa"/>
            <w:tcBorders>
              <w:top w:val="nil"/>
              <w:left w:val="nil"/>
              <w:bottom w:val="nil"/>
              <w:right w:val="nil"/>
            </w:tcBorders>
            <w:shd w:val="clear" w:color="auto" w:fill="auto"/>
            <w:tcMar>
              <w:left w:w="0" w:type="dxa"/>
            </w:tcMar>
          </w:tcPr>
          <w:p w14:paraId="0DF93D0C"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2DA7C05D" w14:textId="77777777" w:rsidR="00E87D5B" w:rsidRPr="00C32591" w:rsidRDefault="00E87D5B" w:rsidP="00C8019E">
            <w:pPr>
              <w:spacing w:after="0" w:line="240" w:lineRule="auto"/>
              <w:rPr>
                <w:rFonts w:cs="Arial"/>
                <w:spacing w:val="-4"/>
                <w:sz w:val="14"/>
                <w:szCs w:val="14"/>
              </w:rPr>
            </w:pPr>
            <w:r w:rsidRPr="00C32591">
              <w:rPr>
                <w:rFonts w:cs="Arial"/>
                <w:spacing w:val="-4"/>
                <w:sz w:val="14"/>
                <w:szCs w:val="14"/>
              </w:rPr>
              <w:t>Poznámka: všechny údaje jsou sezónně očištěny, pouze příspěvky dílčích odvětví k růstu tržeb jsou očištěny jen o kalendářní vlivy.</w:t>
            </w:r>
          </w:p>
          <w:p w14:paraId="178B82CF" w14:textId="77777777" w:rsidR="00E87D5B" w:rsidRPr="00C32591" w:rsidRDefault="00E87D5B" w:rsidP="00C8019E">
            <w:pPr>
              <w:spacing w:after="0" w:line="240" w:lineRule="auto"/>
              <w:rPr>
                <w:rFonts w:cs="Arial"/>
                <w:sz w:val="14"/>
                <w:szCs w:val="14"/>
              </w:rPr>
            </w:pPr>
            <w:r w:rsidRPr="00C32591">
              <w:rPr>
                <w:rFonts w:cs="Arial"/>
                <w:sz w:val="14"/>
                <w:szCs w:val="14"/>
              </w:rPr>
              <w:t>*Bez odvětví obchodu, peněžnictví, pojišťovnictví, vědy, výzkumu a veřejných služeb.</w:t>
            </w:r>
          </w:p>
          <w:p w14:paraId="5E25FC90" w14:textId="77777777" w:rsidR="00E87D5B" w:rsidRPr="004C1143" w:rsidRDefault="00E87D5B" w:rsidP="00C8019E">
            <w:pPr>
              <w:spacing w:after="0" w:line="240" w:lineRule="auto"/>
              <w:rPr>
                <w:rFonts w:cs="Arial"/>
                <w:sz w:val="14"/>
                <w:szCs w:val="14"/>
              </w:rPr>
            </w:pPr>
            <w:proofErr w:type="gramStart"/>
            <w:r w:rsidRPr="00052ADA">
              <w:rPr>
                <w:rFonts w:cs="Arial"/>
                <w:sz w:val="14"/>
                <w:szCs w:val="14"/>
              </w:rPr>
              <w:t>.*</w:t>
            </w:r>
            <w:proofErr w:type="gramEnd"/>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w:t>
            </w:r>
            <w:proofErr w:type="spellStart"/>
            <w:r w:rsidRPr="00052ADA">
              <w:rPr>
                <w:rFonts w:cs="Arial"/>
                <w:sz w:val="14"/>
                <w:szCs w:val="14"/>
              </w:rPr>
              <w:t>Eurostat</w:t>
            </w:r>
            <w:proofErr w:type="spellEnd"/>
          </w:p>
        </w:tc>
      </w:tr>
      <w:tr w:rsidR="00E87D5B" w:rsidRPr="009E2C3F" w14:paraId="064B94B6" w14:textId="77777777" w:rsidTr="008B1850">
        <w:trPr>
          <w:trHeight w:val="170"/>
        </w:trPr>
        <w:tc>
          <w:tcPr>
            <w:tcW w:w="1814" w:type="dxa"/>
            <w:tcBorders>
              <w:top w:val="nil"/>
              <w:left w:val="nil"/>
              <w:bottom w:val="nil"/>
              <w:right w:val="nil"/>
            </w:tcBorders>
            <w:shd w:val="clear" w:color="auto" w:fill="auto"/>
            <w:tcMar>
              <w:left w:w="0" w:type="dxa"/>
            </w:tcMar>
          </w:tcPr>
          <w:p w14:paraId="122B6947" w14:textId="77777777" w:rsidR="00E87D5B" w:rsidRDefault="00E87D5B" w:rsidP="00C8019E">
            <w:pPr>
              <w:pStyle w:val="Marginlie"/>
            </w:pPr>
            <w:r>
              <w:lastRenderedPageBreak/>
              <w:t>Ve vysokém loňském celoročním růstu tržeb ve službách se ještě odrážely dozvuky post-pandemického oživení poptávky.</w:t>
            </w:r>
          </w:p>
        </w:tc>
        <w:tc>
          <w:tcPr>
            <w:tcW w:w="209" w:type="dxa"/>
            <w:tcBorders>
              <w:top w:val="nil"/>
              <w:left w:val="nil"/>
              <w:bottom w:val="nil"/>
              <w:right w:val="nil"/>
            </w:tcBorders>
            <w:shd w:val="clear" w:color="auto" w:fill="auto"/>
            <w:tcMar>
              <w:left w:w="0" w:type="dxa"/>
            </w:tcMar>
          </w:tcPr>
          <w:p w14:paraId="26727BD2" w14:textId="77777777" w:rsidR="00E87D5B" w:rsidRPr="001844FE" w:rsidRDefault="00E87D5B" w:rsidP="00C8019E">
            <w:pPr>
              <w:pStyle w:val="Textpoznpodarou"/>
              <w:jc w:val="both"/>
              <w:rPr>
                <w:spacing w:val="-6"/>
              </w:rPr>
            </w:pPr>
          </w:p>
        </w:tc>
        <w:tc>
          <w:tcPr>
            <w:tcW w:w="7681" w:type="dxa"/>
            <w:tcBorders>
              <w:top w:val="nil"/>
              <w:left w:val="nil"/>
              <w:bottom w:val="nil"/>
              <w:right w:val="nil"/>
            </w:tcBorders>
            <w:shd w:val="clear" w:color="auto" w:fill="auto"/>
            <w:tcMar>
              <w:left w:w="0" w:type="dxa"/>
            </w:tcMar>
          </w:tcPr>
          <w:p w14:paraId="1104F584" w14:textId="3C16DA8F" w:rsidR="00E87D5B" w:rsidRPr="009E2C3F" w:rsidRDefault="00E87D5B" w:rsidP="00C8019E">
            <w:pPr>
              <w:spacing w:after="200"/>
              <w:rPr>
                <w:color w:val="0D0D0D" w:themeColor="text1" w:themeTint="F2"/>
                <w:spacing w:val="-4"/>
              </w:rPr>
            </w:pPr>
            <w:r w:rsidRPr="009E2C3F">
              <w:rPr>
                <w:color w:val="0D0D0D" w:themeColor="text1" w:themeTint="F2"/>
                <w:spacing w:val="-4"/>
              </w:rPr>
              <w:t>Za celý loňský rok tržby ve službách meziročně posílily o 8,5 %. Toto tempo, nejvyšší od roku 2007, z významné části odráželo vliv nízké srovnávací základn</w:t>
            </w:r>
            <w:r>
              <w:rPr>
                <w:color w:val="0D0D0D" w:themeColor="text1" w:themeTint="F2"/>
                <w:spacing w:val="-4"/>
              </w:rPr>
              <w:t>y</w:t>
            </w:r>
            <w:r w:rsidRPr="009E2C3F">
              <w:rPr>
                <w:color w:val="0D0D0D" w:themeColor="text1" w:themeTint="F2"/>
                <w:spacing w:val="-4"/>
              </w:rPr>
              <w:t xml:space="preserve"> z počátku roku 2021, kdy striktní protipandemická opatření zásadně limitovala zejména rozvoj cestovního ruchu a řady jiných volnočasových aktivit obyvatel. Dle očekávání se tak loni nejvíce zotavily tržby v ubytování, </w:t>
            </w:r>
            <w:r>
              <w:rPr>
                <w:color w:val="0D0D0D" w:themeColor="text1" w:themeTint="F2"/>
                <w:spacing w:val="-4"/>
              </w:rPr>
              <w:t>stravování a pohostinství (+27,0</w:t>
            </w:r>
            <w:r w:rsidRPr="009E2C3F">
              <w:rPr>
                <w:color w:val="0D0D0D" w:themeColor="text1" w:themeTint="F2"/>
                <w:spacing w:val="-4"/>
              </w:rPr>
              <w:t xml:space="preserve"> %), vyšší poptávku ovšem pocítila všechna hlavní odvětví služeb. Na úrovni dílčích odvětví došlo k poklesu tržeb u tvorby rozhlasových a te</w:t>
            </w:r>
            <w:r>
              <w:rPr>
                <w:color w:val="0D0D0D" w:themeColor="text1" w:themeTint="F2"/>
                <w:spacing w:val="-4"/>
              </w:rPr>
              <w:t xml:space="preserve">levizních programů a vysílání (o </w:t>
            </w:r>
            <w:r w:rsidRPr="009E2C3F">
              <w:rPr>
                <w:color w:val="0D0D0D" w:themeColor="text1" w:themeTint="F2"/>
                <w:spacing w:val="-4"/>
              </w:rPr>
              <w:t>15</w:t>
            </w:r>
            <w:r>
              <w:rPr>
                <w:color w:val="0D0D0D" w:themeColor="text1" w:themeTint="F2"/>
                <w:spacing w:val="-4"/>
              </w:rPr>
              <w:t>,3 %), pracovních agentur (10,0</w:t>
            </w:r>
            <w:r w:rsidRPr="009E2C3F">
              <w:rPr>
                <w:color w:val="0D0D0D" w:themeColor="text1" w:themeTint="F2"/>
                <w:spacing w:val="-4"/>
              </w:rPr>
              <w:t xml:space="preserve"> %), reklamy a</w:t>
            </w:r>
            <w:r w:rsidR="00DE3E22">
              <w:rPr>
                <w:color w:val="0D0D0D" w:themeColor="text1" w:themeTint="F2"/>
                <w:spacing w:val="-4"/>
              </w:rPr>
              <w:t> </w:t>
            </w:r>
            <w:r w:rsidRPr="009E2C3F">
              <w:rPr>
                <w:color w:val="0D0D0D" w:themeColor="text1" w:themeTint="F2"/>
                <w:spacing w:val="-4"/>
              </w:rPr>
              <w:t>průzkum</w:t>
            </w:r>
            <w:r>
              <w:rPr>
                <w:color w:val="0D0D0D" w:themeColor="text1" w:themeTint="F2"/>
                <w:spacing w:val="-4"/>
              </w:rPr>
              <w:t>u trhu (-6,7</w:t>
            </w:r>
            <w:r w:rsidRPr="009E2C3F">
              <w:rPr>
                <w:color w:val="0D0D0D" w:themeColor="text1" w:themeTint="F2"/>
                <w:spacing w:val="-4"/>
              </w:rPr>
              <w:t xml:space="preserve"> %) a pošto</w:t>
            </w:r>
            <w:r>
              <w:rPr>
                <w:color w:val="0D0D0D" w:themeColor="text1" w:themeTint="F2"/>
                <w:spacing w:val="-4"/>
              </w:rPr>
              <w:t>vních a kurýrních činností (-3,5</w:t>
            </w:r>
            <w:r w:rsidRPr="009E2C3F">
              <w:rPr>
                <w:color w:val="0D0D0D" w:themeColor="text1" w:themeTint="F2"/>
                <w:spacing w:val="-4"/>
              </w:rPr>
              <w:t xml:space="preserve"> </w:t>
            </w:r>
            <w:r w:rsidR="008071B1">
              <w:rPr>
                <w:color w:val="0D0D0D" w:themeColor="text1" w:themeTint="F2"/>
                <w:spacing w:val="-4"/>
              </w:rPr>
              <w:t>%). Zatímco nižší tržby kurýr</w:t>
            </w:r>
            <w:r w:rsidRPr="009E2C3F">
              <w:rPr>
                <w:color w:val="0D0D0D" w:themeColor="text1" w:themeTint="F2"/>
                <w:spacing w:val="-4"/>
              </w:rPr>
              <w:t xml:space="preserve">ů byly spíše důsledkem „postpandemického“ návratu k tradičním formám obchodu v kamenných prodejnách, poklesy v dalších uvedených odvětvích odráží </w:t>
            </w:r>
            <w:r>
              <w:rPr>
                <w:color w:val="0D0D0D" w:themeColor="text1" w:themeTint="F2"/>
                <w:spacing w:val="-4"/>
              </w:rPr>
              <w:t xml:space="preserve">hlavně </w:t>
            </w:r>
            <w:r w:rsidRPr="009E2C3F">
              <w:rPr>
                <w:color w:val="0D0D0D" w:themeColor="text1" w:themeTint="F2"/>
                <w:spacing w:val="-4"/>
              </w:rPr>
              <w:t xml:space="preserve">cyklický útlum poptávky vlivem dopadů energetické krize. </w:t>
            </w:r>
          </w:p>
        </w:tc>
      </w:tr>
      <w:tr w:rsidR="00E87D5B" w:rsidRPr="00733853" w14:paraId="42CF9C87" w14:textId="77777777" w:rsidTr="008B1850">
        <w:trPr>
          <w:trHeight w:val="170"/>
        </w:trPr>
        <w:tc>
          <w:tcPr>
            <w:tcW w:w="1814" w:type="dxa"/>
            <w:tcBorders>
              <w:top w:val="nil"/>
              <w:left w:val="nil"/>
              <w:bottom w:val="nil"/>
              <w:right w:val="nil"/>
            </w:tcBorders>
            <w:shd w:val="clear" w:color="auto" w:fill="auto"/>
            <w:tcMar>
              <w:left w:w="0" w:type="dxa"/>
            </w:tcMar>
          </w:tcPr>
          <w:p w14:paraId="1C94AFBC" w14:textId="0A1B6EBB" w:rsidR="00E87D5B" w:rsidRDefault="00E87D5B" w:rsidP="00C8019E">
            <w:pPr>
              <w:pStyle w:val="Marginlie"/>
            </w:pPr>
            <w:r>
              <w:t xml:space="preserve">Meziroční růst tržeb ve službách byl ve </w:t>
            </w:r>
            <w:r>
              <w:br/>
              <w:t xml:space="preserve">4. čtvrtletí jen mírný, neboť klíčové odvětví dopravy táhla dolů slabší </w:t>
            </w:r>
            <w:r w:rsidR="008071B1">
              <w:t>poptávka ve skladování a vedlejších činnostech v dopravě.</w:t>
            </w:r>
          </w:p>
          <w:p w14:paraId="0F2679D2" w14:textId="77777777" w:rsidR="00E87D5B" w:rsidRDefault="00E87D5B" w:rsidP="00C8019E">
            <w:pPr>
              <w:pStyle w:val="Marginlie"/>
            </w:pPr>
          </w:p>
        </w:tc>
        <w:tc>
          <w:tcPr>
            <w:tcW w:w="209" w:type="dxa"/>
            <w:tcBorders>
              <w:top w:val="nil"/>
              <w:left w:val="nil"/>
              <w:bottom w:val="nil"/>
              <w:right w:val="nil"/>
            </w:tcBorders>
            <w:shd w:val="clear" w:color="auto" w:fill="auto"/>
            <w:tcMar>
              <w:left w:w="0" w:type="dxa"/>
            </w:tcMar>
          </w:tcPr>
          <w:p w14:paraId="521C1B72"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1B55BA0F" w14:textId="3BD97175" w:rsidR="00E87D5B" w:rsidRPr="00733853" w:rsidRDefault="00E87D5B" w:rsidP="00C8019E">
            <w:pPr>
              <w:spacing w:after="200"/>
              <w:rPr>
                <w:color w:val="0D0D0D" w:themeColor="text1" w:themeTint="F2"/>
                <w:spacing w:val="-6"/>
              </w:rPr>
            </w:pPr>
            <w:r>
              <w:rPr>
                <w:color w:val="0D0D0D" w:themeColor="text1" w:themeTint="F2"/>
                <w:spacing w:val="-6"/>
              </w:rPr>
              <w:t>Tento útlum poptávky je</w:t>
            </w:r>
            <w:r w:rsidRPr="00C60BAD">
              <w:rPr>
                <w:color w:val="0D0D0D" w:themeColor="text1" w:themeTint="F2"/>
                <w:spacing w:val="-6"/>
              </w:rPr>
              <w:t xml:space="preserve"> plastičtěji vyjádřen v tržbách za </w:t>
            </w:r>
            <w:r>
              <w:rPr>
                <w:color w:val="0D0D0D" w:themeColor="text1" w:themeTint="F2"/>
                <w:spacing w:val="-6"/>
              </w:rPr>
              <w:t xml:space="preserve">služby ve 4. čtvrtletí 2022. Ty </w:t>
            </w:r>
            <w:r w:rsidRPr="00C60BAD">
              <w:rPr>
                <w:color w:val="0D0D0D" w:themeColor="text1" w:themeTint="F2"/>
                <w:spacing w:val="-6"/>
              </w:rPr>
              <w:t>přev</w:t>
            </w:r>
            <w:r>
              <w:rPr>
                <w:color w:val="0D0D0D" w:themeColor="text1" w:themeTint="F2"/>
                <w:spacing w:val="-6"/>
              </w:rPr>
              <w:t>ýšily loňskou úroveň jen o 1,6</w:t>
            </w:r>
            <w:r w:rsidRPr="00C60BAD">
              <w:rPr>
                <w:color w:val="0D0D0D" w:themeColor="text1" w:themeTint="F2"/>
                <w:spacing w:val="-6"/>
              </w:rPr>
              <w:t xml:space="preserve"> %. I přes skromné tempo p</w:t>
            </w:r>
            <w:r>
              <w:rPr>
                <w:color w:val="0D0D0D" w:themeColor="text1" w:themeTint="F2"/>
                <w:spacing w:val="-6"/>
              </w:rPr>
              <w:t>řispěla k růstu všechna hlavní</w:t>
            </w:r>
            <w:r w:rsidRPr="00C60BAD">
              <w:rPr>
                <w:color w:val="0D0D0D" w:themeColor="text1" w:themeTint="F2"/>
                <w:spacing w:val="-6"/>
              </w:rPr>
              <w:t xml:space="preserve"> odvětví, kromě </w:t>
            </w:r>
            <w:r>
              <w:rPr>
                <w:color w:val="0D0D0D" w:themeColor="text1" w:themeTint="F2"/>
                <w:spacing w:val="-6"/>
              </w:rPr>
              <w:t>váhově dominantní dopravy a skladování, kde se tržby mírně snížily (-0,3 %). Pokles poptávky v dlouhodobě rozvíjejících se p</w:t>
            </w:r>
            <w:r w:rsidRPr="00B30524">
              <w:rPr>
                <w:color w:val="0D0D0D" w:themeColor="text1" w:themeTint="F2"/>
                <w:spacing w:val="-6"/>
              </w:rPr>
              <w:t>oštovní</w:t>
            </w:r>
            <w:r>
              <w:rPr>
                <w:color w:val="0D0D0D" w:themeColor="text1" w:themeTint="F2"/>
                <w:spacing w:val="-6"/>
              </w:rPr>
              <w:t>ch</w:t>
            </w:r>
            <w:r w:rsidRPr="00B30524">
              <w:rPr>
                <w:color w:val="0D0D0D" w:themeColor="text1" w:themeTint="F2"/>
                <w:spacing w:val="-6"/>
              </w:rPr>
              <w:t xml:space="preserve"> a kurýrní</w:t>
            </w:r>
            <w:r>
              <w:rPr>
                <w:color w:val="0D0D0D" w:themeColor="text1" w:themeTint="F2"/>
                <w:spacing w:val="-6"/>
              </w:rPr>
              <w:t>ch činnos</w:t>
            </w:r>
            <w:r w:rsidR="008071B1">
              <w:rPr>
                <w:color w:val="0D0D0D" w:themeColor="text1" w:themeTint="F2"/>
                <w:spacing w:val="-6"/>
              </w:rPr>
              <w:t>tech, stejně jako ve skladování a vedlejších činnostech v dopravě,</w:t>
            </w:r>
            <w:r>
              <w:rPr>
                <w:color w:val="0D0D0D" w:themeColor="text1" w:themeTint="F2"/>
                <w:spacing w:val="-6"/>
              </w:rPr>
              <w:t xml:space="preserve"> nebyl totiž </w:t>
            </w:r>
            <w:r w:rsidR="008071B1">
              <w:rPr>
                <w:color w:val="0D0D0D" w:themeColor="text1" w:themeTint="F2"/>
                <w:spacing w:val="-6"/>
              </w:rPr>
              <w:t>plně kompenzován růstem tržeb v</w:t>
            </w:r>
            <w:r w:rsidR="008071B1" w:rsidRPr="00C60BAD">
              <w:rPr>
                <w:color w:val="0D0D0D" w:themeColor="text1" w:themeTint="F2"/>
                <w:spacing w:val="-6"/>
              </w:rPr>
              <w:t> </w:t>
            </w:r>
            <w:r>
              <w:rPr>
                <w:color w:val="0D0D0D" w:themeColor="text1" w:themeTint="F2"/>
                <w:spacing w:val="-6"/>
              </w:rPr>
              <w:t>pozemní a potrubní dopravě (3,2 %), jíž</w:t>
            </w:r>
            <w:r w:rsidR="008071B1">
              <w:rPr>
                <w:color w:val="0D0D0D" w:themeColor="text1" w:themeTint="F2"/>
                <w:spacing w:val="-6"/>
              </w:rPr>
              <w:t xml:space="preserve"> pomáhaly vyšší tržby</w:t>
            </w:r>
            <w:r>
              <w:rPr>
                <w:color w:val="0D0D0D" w:themeColor="text1" w:themeTint="F2"/>
                <w:spacing w:val="-6"/>
              </w:rPr>
              <w:t xml:space="preserve"> v železniční i silniční dopravě. Pokračovalo zotavování v letecké i vodní dopravě, tyto obory ale zatím nedosáhly předkrizové úrovně poptávky. </w:t>
            </w:r>
          </w:p>
        </w:tc>
      </w:tr>
      <w:tr w:rsidR="00E87D5B" w14:paraId="164F4F1E" w14:textId="77777777" w:rsidTr="008B1850">
        <w:trPr>
          <w:trHeight w:val="170"/>
        </w:trPr>
        <w:tc>
          <w:tcPr>
            <w:tcW w:w="1814" w:type="dxa"/>
            <w:tcBorders>
              <w:top w:val="nil"/>
              <w:left w:val="nil"/>
              <w:bottom w:val="nil"/>
              <w:right w:val="nil"/>
            </w:tcBorders>
            <w:shd w:val="clear" w:color="auto" w:fill="auto"/>
            <w:tcMar>
              <w:left w:w="0" w:type="dxa"/>
            </w:tcMar>
          </w:tcPr>
          <w:p w14:paraId="31B4C108" w14:textId="77777777" w:rsidR="00E87D5B" w:rsidRDefault="00E87D5B" w:rsidP="00C8019E">
            <w:pPr>
              <w:pStyle w:val="Marginlie"/>
            </w:pPr>
            <w:r>
              <w:t xml:space="preserve">Tržby v aktivitách navázaných na cestovní ruch se dále zotavovaly, úrovně roku 2019 ale zatím nedosáhly. </w:t>
            </w:r>
          </w:p>
          <w:p w14:paraId="7E5E2F83" w14:textId="77777777" w:rsidR="00E87D5B" w:rsidRDefault="00E87D5B" w:rsidP="00C8019E">
            <w:pPr>
              <w:pStyle w:val="Marginlie"/>
            </w:pPr>
          </w:p>
          <w:p w14:paraId="7E51AC19" w14:textId="77777777" w:rsidR="00E87D5B" w:rsidRDefault="00E87D5B" w:rsidP="00C8019E">
            <w:pPr>
              <w:pStyle w:val="Marginlie"/>
            </w:pPr>
          </w:p>
          <w:p w14:paraId="1E44307F" w14:textId="77777777" w:rsidR="00E87D5B" w:rsidRDefault="00E87D5B" w:rsidP="00C8019E">
            <w:pPr>
              <w:pStyle w:val="Marginlie"/>
            </w:pPr>
          </w:p>
          <w:p w14:paraId="390543E4" w14:textId="77777777" w:rsidR="00E87D5B" w:rsidRDefault="00E87D5B" w:rsidP="00C8019E">
            <w:pPr>
              <w:pStyle w:val="Marginlie"/>
            </w:pPr>
          </w:p>
          <w:p w14:paraId="1A0A4DCF" w14:textId="77777777" w:rsidR="00E87D5B" w:rsidRDefault="00E87D5B" w:rsidP="00C8019E">
            <w:pPr>
              <w:pStyle w:val="Marginlie"/>
            </w:pPr>
            <w:r>
              <w:t>Tradičně dynamický růst v oblasti ICT ochabl, neboť růst poptávky přetrvával jen v oblasti programování.</w:t>
            </w:r>
          </w:p>
          <w:p w14:paraId="1857B8B9" w14:textId="77777777" w:rsidR="00E87D5B" w:rsidRDefault="00E87D5B" w:rsidP="00C8019E">
            <w:pPr>
              <w:pStyle w:val="Marginlie"/>
            </w:pPr>
          </w:p>
        </w:tc>
        <w:tc>
          <w:tcPr>
            <w:tcW w:w="209" w:type="dxa"/>
            <w:tcBorders>
              <w:top w:val="nil"/>
              <w:left w:val="nil"/>
              <w:bottom w:val="nil"/>
              <w:right w:val="nil"/>
            </w:tcBorders>
            <w:shd w:val="clear" w:color="auto" w:fill="auto"/>
            <w:tcMar>
              <w:left w:w="0" w:type="dxa"/>
            </w:tcMar>
          </w:tcPr>
          <w:p w14:paraId="78563F5C"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1FC9A86E" w14:textId="29F4F0C4" w:rsidR="00E87D5B" w:rsidRDefault="00E87D5B" w:rsidP="00C8019E">
            <w:pPr>
              <w:spacing w:after="200"/>
              <w:rPr>
                <w:color w:val="0D0D0D" w:themeColor="text1" w:themeTint="F2"/>
                <w:spacing w:val="-6"/>
              </w:rPr>
            </w:pPr>
            <w:r w:rsidRPr="00C60BAD">
              <w:rPr>
                <w:rFonts w:cs="Arial"/>
                <w:color w:val="0D0D0D" w:themeColor="text1" w:themeTint="F2"/>
                <w:spacing w:val="-6"/>
              </w:rPr>
              <w:t xml:space="preserve">V odvětví </w:t>
            </w:r>
            <w:r w:rsidRPr="00C60BAD">
              <w:rPr>
                <w:color w:val="0D0D0D" w:themeColor="text1" w:themeTint="F2"/>
                <w:spacing w:val="-6"/>
              </w:rPr>
              <w:t>ubytování, stravování a pohostin</w:t>
            </w:r>
            <w:r>
              <w:rPr>
                <w:color w:val="0D0D0D" w:themeColor="text1" w:themeTint="F2"/>
                <w:spacing w:val="-6"/>
              </w:rPr>
              <w:t>ství byly ve 4. čtvrtletí 2022 tržby meziročně o</w:t>
            </w:r>
            <w:r w:rsidRPr="00C60BAD">
              <w:rPr>
                <w:rFonts w:cs="Arial"/>
                <w:color w:val="0D0D0D" w:themeColor="text1" w:themeTint="F2"/>
                <w:spacing w:val="-6"/>
              </w:rPr>
              <w:t> </w:t>
            </w:r>
            <w:r w:rsidRPr="00C60BAD">
              <w:rPr>
                <w:color w:val="0D0D0D" w:themeColor="text1" w:themeTint="F2"/>
                <w:spacing w:val="-6"/>
              </w:rPr>
              <w:t>dese</w:t>
            </w:r>
            <w:r>
              <w:rPr>
                <w:color w:val="0D0D0D" w:themeColor="text1" w:themeTint="F2"/>
                <w:spacing w:val="-6"/>
              </w:rPr>
              <w:t>tinu vyšší a k </w:t>
            </w:r>
            <w:r w:rsidRPr="00BD4CB3">
              <w:rPr>
                <w:color w:val="0D0D0D" w:themeColor="text1" w:themeTint="F2"/>
                <w:spacing w:val="-6"/>
              </w:rPr>
              <w:t>růstu vše</w:t>
            </w:r>
            <w:r w:rsidR="008071B1">
              <w:rPr>
                <w:color w:val="0D0D0D" w:themeColor="text1" w:themeTint="F2"/>
                <w:spacing w:val="-6"/>
              </w:rPr>
              <w:t>ch služeb přispěly nejvíce (+0,5</w:t>
            </w:r>
            <w:r w:rsidRPr="00BD4CB3">
              <w:rPr>
                <w:color w:val="0D0D0D" w:themeColor="text1" w:themeTint="F2"/>
                <w:spacing w:val="-6"/>
              </w:rPr>
              <w:t xml:space="preserve"> p. b). Výrazně tomu pomohlo postupné zotavování příjezdového cestovního ruchu. </w:t>
            </w:r>
            <w:r w:rsidRPr="00C60BAD">
              <w:rPr>
                <w:color w:val="0D0D0D" w:themeColor="text1" w:themeTint="F2"/>
                <w:spacing w:val="-6"/>
              </w:rPr>
              <w:t xml:space="preserve">Poptávka </w:t>
            </w:r>
            <w:r>
              <w:rPr>
                <w:color w:val="0D0D0D" w:themeColor="text1" w:themeTint="F2"/>
                <w:spacing w:val="-6"/>
              </w:rPr>
              <w:t xml:space="preserve">ovšem </w:t>
            </w:r>
            <w:r w:rsidRPr="00C60BAD">
              <w:rPr>
                <w:color w:val="0D0D0D" w:themeColor="text1" w:themeTint="F2"/>
                <w:spacing w:val="-6"/>
              </w:rPr>
              <w:t>stále citelně zaostáva</w:t>
            </w:r>
            <w:r>
              <w:rPr>
                <w:color w:val="0D0D0D" w:themeColor="text1" w:themeTint="F2"/>
                <w:spacing w:val="-6"/>
              </w:rPr>
              <w:t xml:space="preserve">la </w:t>
            </w:r>
            <w:r w:rsidRPr="00C60BAD">
              <w:rPr>
                <w:color w:val="0D0D0D" w:themeColor="text1" w:themeTint="F2"/>
                <w:spacing w:val="-6"/>
              </w:rPr>
              <w:t xml:space="preserve">za úrovní z konce </w:t>
            </w:r>
            <w:r>
              <w:rPr>
                <w:color w:val="0D0D0D" w:themeColor="text1" w:themeTint="F2"/>
                <w:spacing w:val="-6"/>
              </w:rPr>
              <w:t xml:space="preserve">roku </w:t>
            </w:r>
            <w:proofErr w:type="gramStart"/>
            <w:r w:rsidRPr="00C60BAD">
              <w:rPr>
                <w:color w:val="0D0D0D" w:themeColor="text1" w:themeTint="F2"/>
                <w:spacing w:val="-6"/>
              </w:rPr>
              <w:t xml:space="preserve">2019 </w:t>
            </w:r>
            <w:r>
              <w:rPr>
                <w:color w:val="0D0D0D" w:themeColor="text1" w:themeTint="F2"/>
                <w:spacing w:val="-6"/>
              </w:rPr>
              <w:t xml:space="preserve"> –</w:t>
            </w:r>
            <w:proofErr w:type="gramEnd"/>
            <w:r>
              <w:rPr>
                <w:color w:val="0D0D0D" w:themeColor="text1" w:themeTint="F2"/>
                <w:spacing w:val="-6"/>
              </w:rPr>
              <w:t xml:space="preserve"> výrazněji v ubytování (o 25,4</w:t>
            </w:r>
            <w:r w:rsidRPr="00C60BAD">
              <w:rPr>
                <w:color w:val="0D0D0D" w:themeColor="text1" w:themeTint="F2"/>
                <w:spacing w:val="-6"/>
              </w:rPr>
              <w:t xml:space="preserve"> %) než </w:t>
            </w:r>
            <w:r>
              <w:rPr>
                <w:color w:val="0D0D0D" w:themeColor="text1" w:themeTint="F2"/>
                <w:spacing w:val="-6"/>
              </w:rPr>
              <w:t>ve stravování a pohostinství (15,4</w:t>
            </w:r>
            <w:r w:rsidRPr="00C60BAD">
              <w:rPr>
                <w:color w:val="0D0D0D" w:themeColor="text1" w:themeTint="F2"/>
                <w:spacing w:val="-6"/>
              </w:rPr>
              <w:t xml:space="preserve"> %). Naproti </w:t>
            </w:r>
            <w:r>
              <w:rPr>
                <w:color w:val="0D0D0D" w:themeColor="text1" w:themeTint="F2"/>
                <w:spacing w:val="-6"/>
              </w:rPr>
              <w:t>tomu předkrizovou úroveň již překonalo odvětví informační a</w:t>
            </w:r>
            <w:r w:rsidR="00741F2A">
              <w:rPr>
                <w:color w:val="0D0D0D" w:themeColor="text1" w:themeTint="F2"/>
                <w:spacing w:val="-6"/>
              </w:rPr>
              <w:t> </w:t>
            </w:r>
            <w:r>
              <w:rPr>
                <w:color w:val="0D0D0D" w:themeColor="text1" w:themeTint="F2"/>
                <w:spacing w:val="-6"/>
              </w:rPr>
              <w:t>komunikační činnost</w:t>
            </w:r>
            <w:r w:rsidR="008071B1">
              <w:rPr>
                <w:color w:val="0D0D0D" w:themeColor="text1" w:themeTint="F2"/>
                <w:spacing w:val="-6"/>
              </w:rPr>
              <w:t>i</w:t>
            </w:r>
            <w:r>
              <w:rPr>
                <w:color w:val="0D0D0D" w:themeColor="text1" w:themeTint="F2"/>
                <w:spacing w:val="-6"/>
              </w:rPr>
              <w:t xml:space="preserve"> (o</w:t>
            </w:r>
            <w:r w:rsidRPr="00C60BAD">
              <w:rPr>
                <w:rFonts w:cs="Arial"/>
                <w:color w:val="0D0D0D" w:themeColor="text1" w:themeTint="F2"/>
                <w:spacing w:val="-6"/>
              </w:rPr>
              <w:t> </w:t>
            </w:r>
            <w:r>
              <w:rPr>
                <w:color w:val="0D0D0D" w:themeColor="text1" w:themeTint="F2"/>
                <w:spacing w:val="-6"/>
              </w:rPr>
              <w:t xml:space="preserve">6,0 %), obdobně jako činnosti v oblasti nemovitostí (+3,8 %). V dlouhodobě rozvíjející se oblasti ICT však loni meziroční růst tržeb slábnul </w:t>
            </w:r>
            <w:r>
              <w:rPr>
                <w:color w:val="0D0D0D" w:themeColor="text1" w:themeTint="F2"/>
                <w:spacing w:val="-6"/>
              </w:rPr>
              <w:br/>
              <w:t xml:space="preserve">a v posledním kvartálu činil jen rovné 1 %. Poptávka zde rostla pouze v oboru </w:t>
            </w:r>
            <w:r w:rsidRPr="00C97420">
              <w:rPr>
                <w:color w:val="0D0D0D" w:themeColor="text1" w:themeTint="F2"/>
                <w:spacing w:val="-6"/>
              </w:rPr>
              <w:t>informačních technologií</w:t>
            </w:r>
            <w:r>
              <w:rPr>
                <w:color w:val="0D0D0D" w:themeColor="text1" w:themeTint="F2"/>
                <w:spacing w:val="-6"/>
              </w:rPr>
              <w:t xml:space="preserve"> (např. programování, s</w:t>
            </w:r>
            <w:r w:rsidRPr="000A7483">
              <w:rPr>
                <w:color w:val="0D0D0D" w:themeColor="text1" w:themeTint="F2"/>
                <w:spacing w:val="-6"/>
              </w:rPr>
              <w:t>práva počítačového vybavení</w:t>
            </w:r>
            <w:r>
              <w:rPr>
                <w:color w:val="0D0D0D" w:themeColor="text1" w:themeTint="F2"/>
                <w:spacing w:val="-6"/>
              </w:rPr>
              <w:t xml:space="preserve">), citelný útlum nastal </w:t>
            </w:r>
            <w:r>
              <w:rPr>
                <w:color w:val="0D0D0D" w:themeColor="text1" w:themeTint="F2"/>
                <w:spacing w:val="-6"/>
              </w:rPr>
              <w:br/>
              <w:t xml:space="preserve">u rozhlasových a televizních vysílání. Tržby se snížily i v tzv. hudebním a filmovém průmyslu (byť </w:t>
            </w:r>
            <w:r w:rsidRPr="0013531C">
              <w:rPr>
                <w:color w:val="0D0D0D" w:themeColor="text1" w:themeTint="F2"/>
                <w:spacing w:val="-6"/>
              </w:rPr>
              <w:t>segmentu filmové distribuce se dařilo</w:t>
            </w:r>
            <w:r w:rsidRPr="0013531C">
              <w:rPr>
                <w:rStyle w:val="Znakapoznpodarou"/>
                <w:color w:val="0D0D0D" w:themeColor="text1" w:themeTint="F2"/>
                <w:spacing w:val="-6"/>
              </w:rPr>
              <w:footnoteReference w:id="43"/>
            </w:r>
            <w:r w:rsidRPr="0013531C">
              <w:rPr>
                <w:color w:val="0D0D0D" w:themeColor="text1" w:themeTint="F2"/>
                <w:spacing w:val="-6"/>
              </w:rPr>
              <w:t xml:space="preserve">) </w:t>
            </w:r>
            <w:r>
              <w:rPr>
                <w:color w:val="0D0D0D" w:themeColor="text1" w:themeTint="F2"/>
                <w:spacing w:val="-6"/>
              </w:rPr>
              <w:t xml:space="preserve">a mírný pokles poptávky netradičně postihl </w:t>
            </w:r>
            <w:r>
              <w:rPr>
                <w:color w:val="0D0D0D" w:themeColor="text1" w:themeTint="F2"/>
                <w:spacing w:val="-6"/>
              </w:rPr>
              <w:br/>
              <w:t>i i</w:t>
            </w:r>
            <w:r w:rsidRPr="00B30524">
              <w:rPr>
                <w:color w:val="0D0D0D" w:themeColor="text1" w:themeTint="F2"/>
                <w:spacing w:val="-6"/>
              </w:rPr>
              <w:t>nformační činnosti</w:t>
            </w:r>
            <w:r>
              <w:rPr>
                <w:color w:val="0D0D0D" w:themeColor="text1" w:themeTint="F2"/>
                <w:spacing w:val="-6"/>
              </w:rPr>
              <w:t xml:space="preserve"> (zahrnující hosting, webové portály i č</w:t>
            </w:r>
            <w:r w:rsidRPr="00B30524">
              <w:rPr>
                <w:color w:val="0D0D0D" w:themeColor="text1" w:themeTint="F2"/>
                <w:spacing w:val="-6"/>
              </w:rPr>
              <w:t>innosti zpravodajských tiskových kanceláří a agentur</w:t>
            </w:r>
            <w:r>
              <w:rPr>
                <w:color w:val="0D0D0D" w:themeColor="text1" w:themeTint="F2"/>
                <w:spacing w:val="-6"/>
              </w:rPr>
              <w:t xml:space="preserve">). </w:t>
            </w:r>
          </w:p>
        </w:tc>
      </w:tr>
      <w:tr w:rsidR="00E87D5B" w14:paraId="1C099386" w14:textId="77777777" w:rsidTr="008B1850">
        <w:trPr>
          <w:trHeight w:val="170"/>
        </w:trPr>
        <w:tc>
          <w:tcPr>
            <w:tcW w:w="1814" w:type="dxa"/>
            <w:tcBorders>
              <w:top w:val="nil"/>
              <w:left w:val="nil"/>
              <w:bottom w:val="nil"/>
              <w:right w:val="nil"/>
            </w:tcBorders>
            <w:shd w:val="clear" w:color="auto" w:fill="auto"/>
            <w:tcMar>
              <w:left w:w="0" w:type="dxa"/>
            </w:tcMar>
          </w:tcPr>
          <w:p w14:paraId="7B9AEC7D" w14:textId="77777777" w:rsidR="00E87D5B" w:rsidRDefault="00E87D5B" w:rsidP="00C8019E">
            <w:pPr>
              <w:pStyle w:val="Marginlie"/>
            </w:pPr>
            <w:r>
              <w:t>Výrazně klesaly tržby za reklamu</w:t>
            </w:r>
            <w:r w:rsidRPr="00FF3633">
              <w:t xml:space="preserve"> a průzkum trhu</w:t>
            </w:r>
            <w:r>
              <w:t>, nižší poptávku však signalizovala většina podnikových služeb.</w:t>
            </w:r>
          </w:p>
          <w:p w14:paraId="016F7944" w14:textId="77777777" w:rsidR="00E87D5B" w:rsidRDefault="00E87D5B" w:rsidP="00C8019E">
            <w:pPr>
              <w:pStyle w:val="Marginlie"/>
            </w:pPr>
          </w:p>
        </w:tc>
        <w:tc>
          <w:tcPr>
            <w:tcW w:w="209" w:type="dxa"/>
            <w:tcBorders>
              <w:top w:val="nil"/>
              <w:left w:val="nil"/>
              <w:bottom w:val="nil"/>
              <w:right w:val="nil"/>
            </w:tcBorders>
            <w:shd w:val="clear" w:color="auto" w:fill="auto"/>
            <w:tcMar>
              <w:left w:w="0" w:type="dxa"/>
            </w:tcMar>
          </w:tcPr>
          <w:p w14:paraId="2C8BD0F0"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0ADB599D" w14:textId="0520AF38" w:rsidR="00E87D5B" w:rsidRDefault="00E87D5B" w:rsidP="00C8019E">
            <w:pPr>
              <w:spacing w:after="200"/>
              <w:rPr>
                <w:color w:val="0D0D0D" w:themeColor="text1" w:themeTint="F2"/>
                <w:spacing w:val="-6"/>
              </w:rPr>
            </w:pPr>
            <w:r>
              <w:rPr>
                <w:rFonts w:cs="Arial"/>
                <w:color w:val="0D0D0D" w:themeColor="text1" w:themeTint="F2"/>
                <w:spacing w:val="-6"/>
              </w:rPr>
              <w:t>Oslabení poptávky po podnikových službách se nejvíce projevilo v odvětví profesní, vědecké</w:t>
            </w:r>
            <w:r w:rsidRPr="00C60BAD">
              <w:rPr>
                <w:rFonts w:cs="Arial"/>
                <w:color w:val="0D0D0D" w:themeColor="text1" w:themeTint="F2"/>
                <w:spacing w:val="-6"/>
              </w:rPr>
              <w:t xml:space="preserve"> a t</w:t>
            </w:r>
            <w:r>
              <w:rPr>
                <w:rFonts w:cs="Arial"/>
                <w:color w:val="0D0D0D" w:themeColor="text1" w:themeTint="F2"/>
                <w:spacing w:val="-6"/>
              </w:rPr>
              <w:t xml:space="preserve">echnické činnosti, v nichž loni ve 4. čtvrtletí tržby meziročně pouze stagnovaly. </w:t>
            </w:r>
            <w:r w:rsidRPr="00C60BAD">
              <w:rPr>
                <w:rFonts w:cs="Arial"/>
                <w:color w:val="0D0D0D" w:themeColor="text1" w:themeTint="F2"/>
                <w:spacing w:val="-6"/>
              </w:rPr>
              <w:t>Ty srážel dolů především propad tržeb</w:t>
            </w:r>
            <w:r>
              <w:rPr>
                <w:rFonts w:cs="Arial"/>
                <w:color w:val="0D0D0D" w:themeColor="text1" w:themeTint="F2"/>
                <w:spacing w:val="-6"/>
              </w:rPr>
              <w:t xml:space="preserve"> za reklamu a průzkum trhu (-9,7</w:t>
            </w:r>
            <w:r w:rsidRPr="00C60BAD">
              <w:rPr>
                <w:rFonts w:cs="Arial"/>
                <w:color w:val="0D0D0D" w:themeColor="text1" w:themeTint="F2"/>
                <w:spacing w:val="-6"/>
              </w:rPr>
              <w:t xml:space="preserve"> %), po</w:t>
            </w:r>
            <w:r w:rsidR="008071B1">
              <w:rPr>
                <w:rFonts w:cs="Arial"/>
                <w:color w:val="0D0D0D" w:themeColor="text1" w:themeTint="F2"/>
                <w:spacing w:val="-6"/>
              </w:rPr>
              <w:t>ptávka se snižovala také u</w:t>
            </w:r>
            <w:r>
              <w:rPr>
                <w:rFonts w:cs="Arial"/>
                <w:color w:val="0D0D0D" w:themeColor="text1" w:themeTint="F2"/>
                <w:spacing w:val="-6"/>
              </w:rPr>
              <w:t xml:space="preserve"> ostatních služeb</w:t>
            </w:r>
            <w:r w:rsidR="00C8019E">
              <w:rPr>
                <w:rFonts w:cs="Arial"/>
                <w:color w:val="0D0D0D" w:themeColor="text1" w:themeTint="F2"/>
                <w:spacing w:val="-6"/>
              </w:rPr>
              <w:t>. Výjimkou byly zejména právní a</w:t>
            </w:r>
            <w:r>
              <w:rPr>
                <w:rFonts w:cs="Arial"/>
                <w:color w:val="0D0D0D" w:themeColor="text1" w:themeTint="F2"/>
                <w:spacing w:val="-6"/>
              </w:rPr>
              <w:t xml:space="preserve"> účetnické</w:t>
            </w:r>
            <w:r w:rsidRPr="00C60BAD">
              <w:rPr>
                <w:rFonts w:cs="Arial"/>
                <w:color w:val="0D0D0D" w:themeColor="text1" w:themeTint="F2"/>
                <w:spacing w:val="-6"/>
              </w:rPr>
              <w:t xml:space="preserve"> činností </w:t>
            </w:r>
            <w:r>
              <w:rPr>
                <w:rFonts w:cs="Arial"/>
                <w:color w:val="0D0D0D" w:themeColor="text1" w:themeTint="F2"/>
                <w:spacing w:val="-6"/>
              </w:rPr>
              <w:t xml:space="preserve">(u nich se tržby významně nesnížily ani </w:t>
            </w:r>
            <w:r w:rsidR="00C8019E">
              <w:rPr>
                <w:rFonts w:cs="Arial"/>
                <w:color w:val="0D0D0D" w:themeColor="text1" w:themeTint="F2"/>
                <w:spacing w:val="-6"/>
              </w:rPr>
              <w:t>během vrcholu pandemie) a architektonické a inženýrské činnosti (+3</w:t>
            </w:r>
            <w:r w:rsidR="00C8019E" w:rsidRPr="00C60BAD">
              <w:rPr>
                <w:rFonts w:cs="Arial"/>
                <w:color w:val="0D0D0D" w:themeColor="text1" w:themeTint="F2"/>
                <w:spacing w:val="-6"/>
              </w:rPr>
              <w:t> </w:t>
            </w:r>
            <w:r>
              <w:rPr>
                <w:rFonts w:cs="Arial"/>
                <w:color w:val="0D0D0D" w:themeColor="text1" w:themeTint="F2"/>
                <w:spacing w:val="-6"/>
              </w:rPr>
              <w:t>%)</w:t>
            </w:r>
            <w:r w:rsidRPr="00C60BAD">
              <w:rPr>
                <w:rFonts w:cs="Arial"/>
                <w:color w:val="0D0D0D" w:themeColor="text1" w:themeTint="F2"/>
                <w:spacing w:val="-6"/>
              </w:rPr>
              <w:t>. V odvětví administrativní</w:t>
            </w:r>
            <w:r w:rsidR="00C8019E">
              <w:rPr>
                <w:rFonts w:cs="Arial"/>
                <w:color w:val="0D0D0D" w:themeColor="text1" w:themeTint="F2"/>
                <w:spacing w:val="-6"/>
              </w:rPr>
              <w:t>ch a podpůrných činností</w:t>
            </w:r>
            <w:r>
              <w:rPr>
                <w:rFonts w:cs="Arial"/>
                <w:color w:val="0D0D0D" w:themeColor="text1" w:themeTint="F2"/>
                <w:spacing w:val="-6"/>
              </w:rPr>
              <w:t xml:space="preserve"> sice</w:t>
            </w:r>
            <w:r w:rsidRPr="00C60BAD">
              <w:rPr>
                <w:rFonts w:cs="Arial"/>
                <w:color w:val="0D0D0D" w:themeColor="text1" w:themeTint="F2"/>
                <w:spacing w:val="-6"/>
              </w:rPr>
              <w:t xml:space="preserve"> ještě </w:t>
            </w:r>
            <w:r>
              <w:rPr>
                <w:rFonts w:cs="Arial"/>
                <w:color w:val="0D0D0D" w:themeColor="text1" w:themeTint="F2"/>
                <w:spacing w:val="-6"/>
              </w:rPr>
              <w:t>ve 4. čtvrtletí 2022 přetrvával vyšší růst tržeb (5,6</w:t>
            </w:r>
            <w:r w:rsidRPr="00C60BAD">
              <w:rPr>
                <w:rFonts w:cs="Arial"/>
                <w:color w:val="0D0D0D" w:themeColor="text1" w:themeTint="F2"/>
                <w:spacing w:val="-6"/>
              </w:rPr>
              <w:t xml:space="preserve"> %), </w:t>
            </w:r>
            <w:r w:rsidR="00C8019E">
              <w:rPr>
                <w:rFonts w:cs="Arial"/>
                <w:color w:val="0D0D0D" w:themeColor="text1" w:themeTint="F2"/>
                <w:spacing w:val="-6"/>
              </w:rPr>
              <w:t>o ten se však zasloužily hlavně</w:t>
            </w:r>
            <w:r>
              <w:rPr>
                <w:rFonts w:cs="Arial"/>
                <w:color w:val="0D0D0D" w:themeColor="text1" w:themeTint="F2"/>
                <w:spacing w:val="-6"/>
              </w:rPr>
              <w:t xml:space="preserve"> cestovní agentury a kanceláře, které doháněly hluboké ztráty z roku 2020.</w:t>
            </w:r>
            <w:r w:rsidRPr="00C60BAD">
              <w:rPr>
                <w:rFonts w:cs="Arial"/>
                <w:color w:val="0D0D0D" w:themeColor="text1" w:themeTint="F2"/>
                <w:spacing w:val="-6"/>
              </w:rPr>
              <w:t xml:space="preserve"> Poptávka se naopak snížila </w:t>
            </w:r>
            <w:r>
              <w:rPr>
                <w:rFonts w:cs="Arial"/>
                <w:color w:val="0D0D0D" w:themeColor="text1" w:themeTint="F2"/>
                <w:spacing w:val="-6"/>
              </w:rPr>
              <w:t xml:space="preserve">v </w:t>
            </w:r>
            <w:r w:rsidRPr="00C60BAD">
              <w:rPr>
                <w:rFonts w:cs="Arial"/>
                <w:color w:val="0D0D0D" w:themeColor="text1" w:themeTint="F2"/>
                <w:spacing w:val="-6"/>
              </w:rPr>
              <w:t>oblastech reagujíc</w:t>
            </w:r>
            <w:r>
              <w:rPr>
                <w:rFonts w:cs="Arial"/>
                <w:color w:val="0D0D0D" w:themeColor="text1" w:themeTint="F2"/>
                <w:spacing w:val="-6"/>
              </w:rPr>
              <w:t xml:space="preserve">ích citlivě na hospodářský cyklus, např. </w:t>
            </w:r>
            <w:r w:rsidRPr="00C60BAD">
              <w:rPr>
                <w:rFonts w:cs="Arial"/>
                <w:color w:val="0D0D0D" w:themeColor="text1" w:themeTint="F2"/>
                <w:spacing w:val="-6"/>
              </w:rPr>
              <w:t>u pronájmu a operativního leasingu (</w:t>
            </w:r>
            <w:r>
              <w:rPr>
                <w:rFonts w:cs="Arial"/>
                <w:color w:val="0D0D0D" w:themeColor="text1" w:themeTint="F2"/>
                <w:spacing w:val="-6"/>
              </w:rPr>
              <w:t xml:space="preserve">zejména </w:t>
            </w:r>
            <w:r w:rsidRPr="00C60BAD">
              <w:rPr>
                <w:rFonts w:cs="Arial"/>
                <w:color w:val="0D0D0D" w:themeColor="text1" w:themeTint="F2"/>
                <w:spacing w:val="-6"/>
              </w:rPr>
              <w:t>automobilů i strojů</w:t>
            </w:r>
            <w:r>
              <w:rPr>
                <w:rFonts w:cs="Arial"/>
                <w:color w:val="0D0D0D" w:themeColor="text1" w:themeTint="F2"/>
                <w:spacing w:val="-6"/>
              </w:rPr>
              <w:t>) o</w:t>
            </w:r>
            <w:r>
              <w:rPr>
                <w:color w:val="0D0D0D" w:themeColor="text1" w:themeTint="F2"/>
                <w:spacing w:val="-6"/>
              </w:rPr>
              <w:t> </w:t>
            </w:r>
            <w:r>
              <w:rPr>
                <w:rFonts w:cs="Arial"/>
                <w:color w:val="0D0D0D" w:themeColor="text1" w:themeTint="F2"/>
                <w:spacing w:val="-6"/>
              </w:rPr>
              <w:t>3,4 % a dále také u pracovních agentur (-4,6 %). Poptávka po drtivé většině dílčích oborů v rámci administrativních a podpůrných činností zůstávala i na sklonku loňského roku pod předpandemickou úrovní (nejvíce u pracovních agentur, kde byly tržby oproti 4. čtvrtletí 2019 o více než čtvrtinu nižší).</w:t>
            </w:r>
          </w:p>
        </w:tc>
      </w:tr>
      <w:tr w:rsidR="00E87D5B" w:rsidRPr="00BD3BE9" w14:paraId="7E2635B8" w14:textId="77777777" w:rsidTr="008B1850">
        <w:trPr>
          <w:trHeight w:val="170"/>
        </w:trPr>
        <w:tc>
          <w:tcPr>
            <w:tcW w:w="1814" w:type="dxa"/>
            <w:tcBorders>
              <w:top w:val="nil"/>
              <w:left w:val="nil"/>
              <w:bottom w:val="nil"/>
              <w:right w:val="nil"/>
            </w:tcBorders>
            <w:shd w:val="clear" w:color="auto" w:fill="auto"/>
            <w:tcMar>
              <w:left w:w="0" w:type="dxa"/>
            </w:tcMar>
          </w:tcPr>
          <w:p w14:paraId="366D2F58" w14:textId="77777777" w:rsidR="00E87D5B" w:rsidRPr="00BD3BE9" w:rsidRDefault="00E87D5B" w:rsidP="00C8019E">
            <w:pPr>
              <w:pStyle w:val="Marginlie"/>
              <w:rPr>
                <w:color w:val="0D0D0D" w:themeColor="text1" w:themeTint="F2"/>
              </w:rPr>
            </w:pPr>
            <w:proofErr w:type="spellStart"/>
            <w:r w:rsidRPr="00BD3BE9">
              <w:rPr>
                <w:color w:val="0D0D0D" w:themeColor="text1" w:themeTint="F2"/>
              </w:rPr>
              <w:lastRenderedPageBreak/>
              <w:t>Mezikvartální</w:t>
            </w:r>
            <w:proofErr w:type="spellEnd"/>
            <w:r w:rsidRPr="00BD3BE9">
              <w:rPr>
                <w:color w:val="0D0D0D" w:themeColor="text1" w:themeTint="F2"/>
              </w:rPr>
              <w:t xml:space="preserve"> pokles maloobchodních tržeb přetrvával páté čtvrtletí v řadě.</w:t>
            </w:r>
          </w:p>
          <w:p w14:paraId="32515FD3" w14:textId="77777777" w:rsidR="00C8019E" w:rsidRDefault="00C8019E" w:rsidP="00C8019E">
            <w:pPr>
              <w:pStyle w:val="Marginlie"/>
            </w:pPr>
          </w:p>
          <w:p w14:paraId="15BE12E2" w14:textId="5D2011A2" w:rsidR="00E87D5B" w:rsidRDefault="00E87D5B" w:rsidP="00C8019E">
            <w:pPr>
              <w:pStyle w:val="Marginlie"/>
            </w:pPr>
            <w:r>
              <w:t>Velmi negativní spotřebitelská důvěra se na přelomu roku 2022 a</w:t>
            </w:r>
            <w:r w:rsidRPr="00BD3BE9">
              <w:rPr>
                <w:color w:val="0D0D0D" w:themeColor="text1" w:themeTint="F2"/>
              </w:rPr>
              <w:t> </w:t>
            </w:r>
            <w:r>
              <w:t>2023 zmírňovala.</w:t>
            </w:r>
          </w:p>
        </w:tc>
        <w:tc>
          <w:tcPr>
            <w:tcW w:w="209" w:type="dxa"/>
            <w:tcBorders>
              <w:top w:val="nil"/>
              <w:left w:val="nil"/>
              <w:bottom w:val="nil"/>
              <w:right w:val="nil"/>
            </w:tcBorders>
            <w:shd w:val="clear" w:color="auto" w:fill="auto"/>
            <w:tcMar>
              <w:left w:w="0" w:type="dxa"/>
            </w:tcMar>
          </w:tcPr>
          <w:p w14:paraId="37E7240C"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395E9FD3" w14:textId="4B88321B" w:rsidR="00E87D5B" w:rsidRPr="00BD3BE9" w:rsidRDefault="00E87D5B" w:rsidP="00C8019E">
            <w:pPr>
              <w:spacing w:after="200"/>
              <w:rPr>
                <w:rFonts w:cs="Arial"/>
                <w:color w:val="0D0D0D" w:themeColor="text1" w:themeTint="F2"/>
                <w:spacing w:val="-5"/>
                <w:szCs w:val="20"/>
              </w:rPr>
            </w:pPr>
            <w:r w:rsidRPr="00BD3BE9">
              <w:rPr>
                <w:rFonts w:cs="Arial"/>
                <w:color w:val="0D0D0D" w:themeColor="text1" w:themeTint="F2"/>
                <w:spacing w:val="-5"/>
                <w:szCs w:val="20"/>
              </w:rPr>
              <w:t>Tržby v maloobchodu</w:t>
            </w:r>
            <w:r w:rsidRPr="00BD3BE9">
              <w:rPr>
                <w:rStyle w:val="Znakapoznpodarou"/>
                <w:color w:val="0D0D0D" w:themeColor="text1" w:themeTint="F2"/>
                <w:spacing w:val="-5"/>
              </w:rPr>
              <w:footnoteReference w:id="44"/>
            </w:r>
            <w:r w:rsidRPr="00BD3BE9">
              <w:rPr>
                <w:rFonts w:cs="Arial"/>
                <w:color w:val="0D0D0D" w:themeColor="text1" w:themeTint="F2"/>
                <w:spacing w:val="-5"/>
                <w:szCs w:val="20"/>
              </w:rPr>
              <w:t xml:space="preserve"> byly ve 4. čtvrtletí 2022 mezikvartálně nižší o rovná 2 %, když klesaly ve všech jeho významných segmentech</w:t>
            </w:r>
            <w:r>
              <w:rPr>
                <w:rFonts w:cs="Arial"/>
                <w:color w:val="0D0D0D" w:themeColor="text1" w:themeTint="F2"/>
                <w:spacing w:val="-5"/>
                <w:szCs w:val="20"/>
              </w:rPr>
              <w:t xml:space="preserve"> </w:t>
            </w:r>
            <w:r w:rsidRPr="00BD3BE9">
              <w:rPr>
                <w:rFonts w:cs="Arial"/>
                <w:color w:val="0D0D0D" w:themeColor="text1" w:themeTint="F2"/>
                <w:spacing w:val="-5"/>
                <w:szCs w:val="20"/>
              </w:rPr>
              <w:t xml:space="preserve">vyjma prodeje pohonných hmot (PHM). Útlum poptávky v maloobchodu pokračoval pátý kvartál v řadě (shodně jako v případě celkových výdajů </w:t>
            </w:r>
            <w:r>
              <w:rPr>
                <w:rFonts w:cs="Arial"/>
                <w:color w:val="0D0D0D" w:themeColor="text1" w:themeTint="F2"/>
                <w:spacing w:val="-5"/>
                <w:szCs w:val="20"/>
              </w:rPr>
              <w:t xml:space="preserve">tuzemských </w:t>
            </w:r>
            <w:r w:rsidRPr="00BD3BE9">
              <w:rPr>
                <w:rFonts w:cs="Arial"/>
                <w:color w:val="0D0D0D" w:themeColor="text1" w:themeTint="F2"/>
                <w:spacing w:val="-5"/>
                <w:szCs w:val="20"/>
              </w:rPr>
              <w:t xml:space="preserve">domácností </w:t>
            </w:r>
            <w:r>
              <w:rPr>
                <w:rFonts w:cs="Arial"/>
                <w:color w:val="0D0D0D" w:themeColor="text1" w:themeTint="F2"/>
                <w:spacing w:val="-5"/>
                <w:szCs w:val="20"/>
              </w:rPr>
              <w:t xml:space="preserve">na </w:t>
            </w:r>
            <w:r w:rsidRPr="00BD3BE9">
              <w:rPr>
                <w:rFonts w:cs="Arial"/>
                <w:color w:val="0D0D0D" w:themeColor="text1" w:themeTint="F2"/>
                <w:spacing w:val="-5"/>
                <w:szCs w:val="20"/>
              </w:rPr>
              <w:t xml:space="preserve">konečnou spotřebu). </w:t>
            </w:r>
            <w:r>
              <w:rPr>
                <w:rFonts w:cs="Arial"/>
                <w:color w:val="0D0D0D" w:themeColor="text1" w:themeTint="F2"/>
                <w:spacing w:val="-5"/>
                <w:szCs w:val="20"/>
              </w:rPr>
              <w:t xml:space="preserve">Naopak </w:t>
            </w:r>
            <w:proofErr w:type="spellStart"/>
            <w:r w:rsidRPr="00C73A63">
              <w:rPr>
                <w:rFonts w:cs="Arial"/>
                <w:color w:val="0D0D0D" w:themeColor="text1" w:themeTint="F2"/>
                <w:spacing w:val="-5"/>
                <w:szCs w:val="20"/>
              </w:rPr>
              <w:t>prorůstově</w:t>
            </w:r>
            <w:proofErr w:type="spellEnd"/>
            <w:r>
              <w:rPr>
                <w:rFonts w:cs="Arial"/>
                <w:color w:val="0D0D0D" w:themeColor="text1" w:themeTint="F2"/>
                <w:spacing w:val="-5"/>
                <w:szCs w:val="20"/>
              </w:rPr>
              <w:t xml:space="preserve"> působily</w:t>
            </w:r>
            <w:r w:rsidRPr="00C73A63">
              <w:rPr>
                <w:rFonts w:cs="Arial"/>
                <w:color w:val="0D0D0D" w:themeColor="text1" w:themeTint="F2"/>
                <w:spacing w:val="-5"/>
                <w:szCs w:val="20"/>
              </w:rPr>
              <w:t xml:space="preserve"> vyšší spotřební výdaje </w:t>
            </w:r>
            <w:r>
              <w:rPr>
                <w:rFonts w:cs="Arial"/>
                <w:color w:val="0D0D0D" w:themeColor="text1" w:themeTint="F2"/>
                <w:spacing w:val="-5"/>
                <w:szCs w:val="20"/>
              </w:rPr>
              <w:t xml:space="preserve">nerezidentů </w:t>
            </w:r>
            <w:r w:rsidRPr="00C73A63">
              <w:rPr>
                <w:rFonts w:cs="Arial"/>
                <w:color w:val="0D0D0D" w:themeColor="text1" w:themeTint="F2"/>
                <w:spacing w:val="-4"/>
                <w:szCs w:val="20"/>
              </w:rPr>
              <w:t>související s oživením turismu či uprchlickou vlnou z Ukrajiny.</w:t>
            </w:r>
            <w:r w:rsidRPr="00C73A63">
              <w:rPr>
                <w:rFonts w:cs="Arial"/>
                <w:color w:val="0D0D0D" w:themeColor="text1" w:themeTint="F2"/>
                <w:spacing w:val="-5"/>
                <w:szCs w:val="20"/>
              </w:rPr>
              <w:t xml:space="preserve"> </w:t>
            </w:r>
            <w:r w:rsidRPr="00BD3BE9">
              <w:rPr>
                <w:rFonts w:cs="Arial"/>
                <w:color w:val="0D0D0D" w:themeColor="text1" w:themeTint="F2"/>
                <w:spacing w:val="-5"/>
                <w:szCs w:val="20"/>
              </w:rPr>
              <w:t>V lednu 2023 se sice meziměsíční pok</w:t>
            </w:r>
            <w:r w:rsidR="00C8019E">
              <w:rPr>
                <w:rFonts w:cs="Arial"/>
                <w:color w:val="0D0D0D" w:themeColor="text1" w:themeTint="F2"/>
                <w:spacing w:val="-5"/>
                <w:szCs w:val="20"/>
              </w:rPr>
              <w:t>les maloobchodních tržeb</w:t>
            </w:r>
            <w:r w:rsidRPr="00BD3BE9">
              <w:rPr>
                <w:rFonts w:cs="Arial"/>
                <w:color w:val="0D0D0D" w:themeColor="text1" w:themeTint="F2"/>
                <w:spacing w:val="-5"/>
                <w:szCs w:val="20"/>
              </w:rPr>
              <w:t xml:space="preserve"> zastavil, jejich výše se ale jen dorovnala úrovni z října 2018. </w:t>
            </w:r>
            <w:r>
              <w:rPr>
                <w:rFonts w:cs="Arial"/>
                <w:color w:val="0D0D0D" w:themeColor="text1" w:themeTint="F2"/>
                <w:spacing w:val="-5"/>
                <w:szCs w:val="20"/>
              </w:rPr>
              <w:t>Plně se zde projevil útlum</w:t>
            </w:r>
            <w:r w:rsidRPr="00BD3BE9">
              <w:rPr>
                <w:rFonts w:cs="Arial"/>
                <w:color w:val="0D0D0D" w:themeColor="text1" w:themeTint="F2"/>
                <w:spacing w:val="-5"/>
                <w:szCs w:val="20"/>
              </w:rPr>
              <w:t xml:space="preserve"> spotřebitelské důvěry až na historické minimum (v říjnu 2022)</w:t>
            </w:r>
            <w:r w:rsidRPr="00BD3BE9">
              <w:rPr>
                <w:rStyle w:val="Znakapoznpodarou"/>
                <w:color w:val="0D0D0D" w:themeColor="text1" w:themeTint="F2"/>
                <w:spacing w:val="-5"/>
                <w:szCs w:val="20"/>
              </w:rPr>
              <w:footnoteReference w:id="45"/>
            </w:r>
            <w:r w:rsidRPr="00BD3BE9">
              <w:rPr>
                <w:rFonts w:cs="Arial"/>
                <w:color w:val="0D0D0D" w:themeColor="text1" w:themeTint="F2"/>
                <w:spacing w:val="-5"/>
                <w:szCs w:val="20"/>
              </w:rPr>
              <w:t xml:space="preserve">. Na počátku roku 2023 se důvěra domácností zčásti zotavila, neboť pesimismus v oblasti jejich finanční situace domácností ve výhledu na letošní rok polevil. Poklesly i jejich obavy z růstu cen i nezaměstnanosti. To mohlo souviset s relativně příznivými trendy v oblasti aktuálního vývoje cen na trhu s energiemi a PHM. Na druhou stranu </w:t>
            </w:r>
            <w:r>
              <w:rPr>
                <w:rFonts w:cs="Arial"/>
                <w:color w:val="0D0D0D" w:themeColor="text1" w:themeTint="F2"/>
                <w:spacing w:val="-5"/>
                <w:szCs w:val="20"/>
              </w:rPr>
              <w:t>zůstali lidé dosti</w:t>
            </w:r>
            <w:r w:rsidRPr="00BD3BE9">
              <w:rPr>
                <w:rFonts w:cs="Arial"/>
                <w:color w:val="0D0D0D" w:themeColor="text1" w:themeTint="F2"/>
                <w:spacing w:val="-5"/>
                <w:szCs w:val="20"/>
              </w:rPr>
              <w:t xml:space="preserve"> opatrní v oblasti plánování velkých nákupů (zejména zboží dlouhodobé spotřeby či investic). </w:t>
            </w:r>
          </w:p>
        </w:tc>
      </w:tr>
      <w:tr w:rsidR="00E87D5B" w:rsidRPr="00C73A63" w14:paraId="649FC10F" w14:textId="77777777" w:rsidTr="008B1850">
        <w:trPr>
          <w:trHeight w:val="170"/>
        </w:trPr>
        <w:tc>
          <w:tcPr>
            <w:tcW w:w="1814" w:type="dxa"/>
            <w:tcBorders>
              <w:top w:val="nil"/>
              <w:left w:val="nil"/>
              <w:bottom w:val="nil"/>
              <w:right w:val="nil"/>
            </w:tcBorders>
            <w:shd w:val="clear" w:color="auto" w:fill="auto"/>
            <w:tcMar>
              <w:left w:w="0" w:type="dxa"/>
            </w:tcMar>
          </w:tcPr>
          <w:p w14:paraId="49996F4C" w14:textId="77777777" w:rsidR="00E87D5B" w:rsidRPr="00BD3BE9" w:rsidRDefault="00E87D5B" w:rsidP="00C8019E">
            <w:pPr>
              <w:pStyle w:val="Marginlie"/>
              <w:rPr>
                <w:color w:val="0D0D0D" w:themeColor="text1" w:themeTint="F2"/>
              </w:rPr>
            </w:pPr>
          </w:p>
        </w:tc>
        <w:tc>
          <w:tcPr>
            <w:tcW w:w="209" w:type="dxa"/>
            <w:tcBorders>
              <w:top w:val="nil"/>
              <w:left w:val="nil"/>
              <w:bottom w:val="nil"/>
              <w:right w:val="nil"/>
            </w:tcBorders>
            <w:shd w:val="clear" w:color="auto" w:fill="auto"/>
            <w:tcMar>
              <w:left w:w="0" w:type="dxa"/>
            </w:tcMar>
          </w:tcPr>
          <w:p w14:paraId="1E4F9552" w14:textId="77777777" w:rsidR="00E87D5B" w:rsidRPr="00BD3BE9" w:rsidRDefault="00E87D5B" w:rsidP="00C8019E">
            <w:pPr>
              <w:pStyle w:val="Textpoznpodarou"/>
              <w:jc w:val="both"/>
              <w:rPr>
                <w:color w:val="0D0D0D" w:themeColor="text1" w:themeTint="F2"/>
                <w:spacing w:val="-4"/>
              </w:rPr>
            </w:pPr>
          </w:p>
        </w:tc>
        <w:tc>
          <w:tcPr>
            <w:tcW w:w="7681" w:type="dxa"/>
            <w:tcBorders>
              <w:top w:val="nil"/>
              <w:left w:val="nil"/>
              <w:bottom w:val="nil"/>
              <w:right w:val="nil"/>
            </w:tcBorders>
            <w:shd w:val="clear" w:color="auto" w:fill="auto"/>
            <w:tcMar>
              <w:left w:w="0" w:type="dxa"/>
            </w:tcMar>
          </w:tcPr>
          <w:p w14:paraId="6E20350A" w14:textId="77777777" w:rsidR="00E87D5B" w:rsidRPr="00C73A63" w:rsidRDefault="00E87D5B" w:rsidP="00C8019E">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 xml:space="preserve">(reálně, úroveň roku 2015=100, pravá osa) </w:t>
            </w:r>
            <w:r w:rsidRPr="004405E2">
              <w:rPr>
                <w:rFonts w:cs="Arial"/>
                <w:b/>
                <w:bCs/>
                <w:color w:val="0D0D0D" w:themeColor="text1" w:themeTint="F2"/>
                <w:spacing w:val="-6"/>
              </w:rPr>
              <w:t xml:space="preserve">a saldo celkové důvěry spotřebitelů*** </w:t>
            </w:r>
            <w:r w:rsidRPr="004405E2">
              <w:rPr>
                <w:rFonts w:cs="Arial"/>
                <w:color w:val="0D0D0D" w:themeColor="text1" w:themeTint="F2"/>
                <w:spacing w:val="-6"/>
              </w:rPr>
              <w:t>(v p. b., pravá osa)</w:t>
            </w:r>
          </w:p>
        </w:tc>
      </w:tr>
      <w:tr w:rsidR="00E87D5B" w:rsidRPr="004C1143" w14:paraId="3D91FDEC" w14:textId="77777777" w:rsidTr="008B1850">
        <w:tblPrEx>
          <w:tblCellMar>
            <w:left w:w="70" w:type="dxa"/>
            <w:right w:w="70" w:type="dxa"/>
          </w:tblCellMar>
        </w:tblPrEx>
        <w:trPr>
          <w:trHeight w:val="170"/>
        </w:trPr>
        <w:tc>
          <w:tcPr>
            <w:tcW w:w="1814" w:type="dxa"/>
            <w:tcBorders>
              <w:top w:val="nil"/>
              <w:left w:val="nil"/>
              <w:bottom w:val="nil"/>
              <w:right w:val="nil"/>
            </w:tcBorders>
            <w:shd w:val="clear" w:color="auto" w:fill="auto"/>
          </w:tcPr>
          <w:p w14:paraId="5FBE432D" w14:textId="77777777" w:rsidR="00E87D5B" w:rsidRDefault="00E87D5B" w:rsidP="00C8019E">
            <w:pPr>
              <w:pStyle w:val="Marginlie"/>
            </w:pPr>
          </w:p>
        </w:tc>
        <w:tc>
          <w:tcPr>
            <w:tcW w:w="209" w:type="dxa"/>
            <w:tcBorders>
              <w:top w:val="nil"/>
              <w:left w:val="nil"/>
              <w:bottom w:val="nil"/>
              <w:right w:val="nil"/>
            </w:tcBorders>
            <w:shd w:val="clear" w:color="auto" w:fill="auto"/>
          </w:tcPr>
          <w:p w14:paraId="2123F050"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Pr>
          <w:p w14:paraId="7AC6F42B" w14:textId="77777777" w:rsidR="00E87D5B" w:rsidRPr="004C1143" w:rsidRDefault="00E87D5B" w:rsidP="00C8019E">
            <w:pPr>
              <w:spacing w:after="0"/>
              <w:rPr>
                <w:rFonts w:cs="Arial"/>
                <w:sz w:val="14"/>
                <w:szCs w:val="14"/>
              </w:rPr>
            </w:pPr>
            <w:r>
              <w:rPr>
                <w:noProof/>
              </w:rPr>
              <w:drawing>
                <wp:inline distT="0" distB="0" distL="0" distR="0" wp14:anchorId="422347F9" wp14:editId="5E8CF299">
                  <wp:extent cx="4788000" cy="3716118"/>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87D5B" w:rsidRPr="004C1143" w14:paraId="569DBE30" w14:textId="77777777" w:rsidTr="008B1850">
        <w:trPr>
          <w:trHeight w:val="170"/>
        </w:trPr>
        <w:tc>
          <w:tcPr>
            <w:tcW w:w="1814" w:type="dxa"/>
            <w:tcBorders>
              <w:top w:val="nil"/>
              <w:left w:val="nil"/>
              <w:bottom w:val="nil"/>
              <w:right w:val="nil"/>
            </w:tcBorders>
            <w:shd w:val="clear" w:color="auto" w:fill="auto"/>
            <w:tcMar>
              <w:left w:w="0" w:type="dxa"/>
            </w:tcMar>
          </w:tcPr>
          <w:p w14:paraId="24C71A95" w14:textId="77777777" w:rsidR="00E87D5B" w:rsidRDefault="00E87D5B" w:rsidP="00C8019E">
            <w:pPr>
              <w:pStyle w:val="Marginlie"/>
            </w:pPr>
          </w:p>
        </w:tc>
        <w:tc>
          <w:tcPr>
            <w:tcW w:w="209" w:type="dxa"/>
            <w:tcBorders>
              <w:top w:val="nil"/>
              <w:left w:val="nil"/>
              <w:bottom w:val="nil"/>
              <w:right w:val="nil"/>
            </w:tcBorders>
            <w:shd w:val="clear" w:color="auto" w:fill="auto"/>
            <w:tcMar>
              <w:left w:w="0" w:type="dxa"/>
            </w:tcMar>
          </w:tcPr>
          <w:p w14:paraId="0553836D" w14:textId="77777777" w:rsidR="00E87D5B"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6FE59009" w14:textId="77777777" w:rsidR="00E87D5B" w:rsidRPr="00052ADA" w:rsidRDefault="00E87D5B" w:rsidP="00C8019E">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54D3A640" w14:textId="77777777" w:rsidR="00E87D5B" w:rsidRPr="004C1143" w:rsidRDefault="00E87D5B" w:rsidP="00C8019E">
            <w:pPr>
              <w:spacing w:after="20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r w:rsidR="00E87D5B" w:rsidRPr="00632A8A" w14:paraId="7B09011E" w14:textId="77777777" w:rsidTr="008B1850">
        <w:trPr>
          <w:trHeight w:val="170"/>
        </w:trPr>
        <w:tc>
          <w:tcPr>
            <w:tcW w:w="1814" w:type="dxa"/>
            <w:tcBorders>
              <w:top w:val="nil"/>
              <w:left w:val="nil"/>
              <w:bottom w:val="nil"/>
              <w:right w:val="nil"/>
            </w:tcBorders>
            <w:shd w:val="clear" w:color="auto" w:fill="auto"/>
            <w:tcMar>
              <w:left w:w="0" w:type="dxa"/>
            </w:tcMar>
          </w:tcPr>
          <w:p w14:paraId="7C962893" w14:textId="77777777" w:rsidR="00E87D5B" w:rsidRPr="00632A8A" w:rsidRDefault="00E87D5B" w:rsidP="00C8019E">
            <w:pPr>
              <w:pStyle w:val="Marginlie"/>
            </w:pPr>
            <w:r w:rsidRPr="00632A8A">
              <w:t>K poklesu maloobchodních tržeb za celý loňský rok z poloviny přispěl nižší prodej potravin. Výrazně také klesla poptávka v oblasti internetového prodeje.</w:t>
            </w:r>
          </w:p>
          <w:p w14:paraId="279F9A3F" w14:textId="77777777" w:rsidR="00E87D5B" w:rsidRPr="00632A8A" w:rsidRDefault="00E87D5B" w:rsidP="00C8019E">
            <w:pPr>
              <w:pStyle w:val="Marginlie"/>
            </w:pPr>
          </w:p>
          <w:p w14:paraId="30ED2CB1" w14:textId="77777777" w:rsidR="00E87D5B" w:rsidRPr="00632A8A" w:rsidRDefault="00E87D5B" w:rsidP="00C8019E">
            <w:pPr>
              <w:pStyle w:val="Marginlie"/>
            </w:pPr>
          </w:p>
          <w:p w14:paraId="15D858EC" w14:textId="77777777" w:rsidR="00E87D5B" w:rsidRPr="00632A8A" w:rsidRDefault="00E87D5B" w:rsidP="00C8019E">
            <w:pPr>
              <w:pStyle w:val="Marginlie"/>
            </w:pPr>
          </w:p>
          <w:p w14:paraId="27D80850" w14:textId="77777777" w:rsidR="00E87D5B" w:rsidRPr="00632A8A" w:rsidRDefault="00E87D5B" w:rsidP="00C8019E">
            <w:pPr>
              <w:pStyle w:val="Marginlie"/>
            </w:pPr>
          </w:p>
          <w:p w14:paraId="25C3AFD8" w14:textId="77777777" w:rsidR="00E87D5B" w:rsidRPr="00632A8A" w:rsidRDefault="00E87D5B" w:rsidP="00C8019E">
            <w:pPr>
              <w:pStyle w:val="Marginlie"/>
            </w:pPr>
            <w:r w:rsidRPr="00632A8A">
              <w:t>Pokles poptávky v motoristickém segmentu obchodu se zmírnil, přesto za rokem 2019 stále citelně zaostával.</w:t>
            </w:r>
          </w:p>
          <w:p w14:paraId="5F3DAF95" w14:textId="77777777" w:rsidR="00E87D5B" w:rsidRPr="00632A8A" w:rsidRDefault="00E87D5B" w:rsidP="00C8019E">
            <w:pPr>
              <w:pStyle w:val="Marginlie"/>
            </w:pPr>
          </w:p>
        </w:tc>
        <w:tc>
          <w:tcPr>
            <w:tcW w:w="209" w:type="dxa"/>
            <w:tcBorders>
              <w:top w:val="nil"/>
              <w:left w:val="nil"/>
              <w:bottom w:val="nil"/>
              <w:right w:val="nil"/>
            </w:tcBorders>
            <w:shd w:val="clear" w:color="auto" w:fill="auto"/>
            <w:tcMar>
              <w:left w:w="0" w:type="dxa"/>
            </w:tcMar>
          </w:tcPr>
          <w:p w14:paraId="5C85D738" w14:textId="77777777" w:rsidR="00E87D5B" w:rsidRPr="00632A8A" w:rsidRDefault="00E87D5B" w:rsidP="00C8019E">
            <w:pPr>
              <w:pStyle w:val="Textpoznpodarou"/>
              <w:jc w:val="both"/>
              <w:rPr>
                <w:spacing w:val="-4"/>
              </w:rPr>
            </w:pPr>
          </w:p>
        </w:tc>
        <w:tc>
          <w:tcPr>
            <w:tcW w:w="7681" w:type="dxa"/>
            <w:tcBorders>
              <w:top w:val="nil"/>
              <w:left w:val="nil"/>
              <w:bottom w:val="nil"/>
              <w:right w:val="nil"/>
            </w:tcBorders>
            <w:shd w:val="clear" w:color="auto" w:fill="auto"/>
            <w:tcMar>
              <w:left w:w="0" w:type="dxa"/>
            </w:tcMar>
          </w:tcPr>
          <w:p w14:paraId="159E755C" w14:textId="68A27174" w:rsidR="00E87D5B" w:rsidRPr="00632A8A" w:rsidRDefault="00E87D5B" w:rsidP="00C8019E">
            <w:pPr>
              <w:spacing w:after="0"/>
              <w:rPr>
                <w:rFonts w:cs="Arial"/>
                <w:color w:val="0D0D0D" w:themeColor="text1" w:themeTint="F2"/>
                <w:spacing w:val="-6"/>
              </w:rPr>
            </w:pPr>
            <w:r w:rsidRPr="00632A8A">
              <w:rPr>
                <w:rFonts w:cs="Arial"/>
                <w:color w:val="0D0D0D" w:themeColor="text1" w:themeTint="F2"/>
                <w:spacing w:val="-6"/>
              </w:rPr>
              <w:t>V posledním loňském čtvrtletí se tržby v maloobchodu meziročně propadly o 9,2 %. Citelný útlum poptávky nastal napříč všemi jeho hlavním</w:t>
            </w:r>
            <w:r>
              <w:rPr>
                <w:rFonts w:cs="Arial"/>
                <w:color w:val="0D0D0D" w:themeColor="text1" w:themeTint="F2"/>
                <w:spacing w:val="-6"/>
              </w:rPr>
              <w:t>i</w:t>
            </w:r>
            <w:r w:rsidRPr="00632A8A">
              <w:rPr>
                <w:rFonts w:cs="Arial"/>
                <w:color w:val="0D0D0D" w:themeColor="text1" w:themeTint="F2"/>
                <w:spacing w:val="-6"/>
              </w:rPr>
              <w:t xml:space="preserve"> segmenty, vč. drtivé většiny specializovaných prodejen. Za celý rok 2022 se maloobchodní tržby snížily o 3,8 % (nejvyšší meziroční po</w:t>
            </w:r>
            <w:r w:rsidR="00C8019E">
              <w:rPr>
                <w:rFonts w:cs="Arial"/>
                <w:color w:val="0D0D0D" w:themeColor="text1" w:themeTint="F2"/>
                <w:spacing w:val="-6"/>
              </w:rPr>
              <w:t>kles ve srovnatelné řadě od roku 2001</w:t>
            </w:r>
            <w:r w:rsidRPr="00632A8A">
              <w:rPr>
                <w:rFonts w:cs="Arial"/>
                <w:color w:val="0D0D0D" w:themeColor="text1" w:themeTint="F2"/>
                <w:spacing w:val="-6"/>
              </w:rPr>
              <w:t xml:space="preserve">). Polovina loňského poklesu souvisela </w:t>
            </w:r>
            <w:r>
              <w:rPr>
                <w:rFonts w:cs="Arial"/>
                <w:color w:val="0D0D0D" w:themeColor="text1" w:themeTint="F2"/>
                <w:spacing w:val="-6"/>
              </w:rPr>
              <w:t>s</w:t>
            </w:r>
            <w:r w:rsidRPr="00632A8A">
              <w:rPr>
                <w:rFonts w:cs="Arial"/>
                <w:color w:val="0D0D0D" w:themeColor="text1" w:themeTint="F2"/>
                <w:spacing w:val="-6"/>
              </w:rPr>
              <w:t xml:space="preserve"> nižšími tržbami za potraviny (o 5,1 %), když podobný pokles poptávky u nich zaznamenaly jak velké nespecializované prodejny (řetězce), tak specializované provozovny. Rekordně loni poklesly i tržby za nepotravinářské zboží (o 3,1 %), které byly rozhodujícím faktorem útlumu maloobchodu ve 2. pololetí 2022. Zásadní roli sehrály slabší prodeje prostřednictvím internetu </w:t>
            </w:r>
            <w:r w:rsidRPr="00632A8A">
              <w:rPr>
                <w:rFonts w:cs="Arial"/>
                <w:color w:val="0D0D0D" w:themeColor="text1" w:themeTint="F2"/>
                <w:spacing w:val="-6"/>
              </w:rPr>
              <w:lastRenderedPageBreak/>
              <w:t>nebo zásilkové služby, kde za celý rok tržby propadly o 10,6 %</w:t>
            </w:r>
            <w:r w:rsidRPr="00C469E8">
              <w:rPr>
                <w:rStyle w:val="Znakapoznpodarou"/>
                <w:rFonts w:cs="Arial"/>
                <w:color w:val="0D0D0D" w:themeColor="text1" w:themeTint="F2"/>
                <w:spacing w:val="-6"/>
              </w:rPr>
              <w:footnoteReference w:id="46"/>
            </w:r>
            <w:r w:rsidRPr="00632A8A">
              <w:rPr>
                <w:rFonts w:cs="Arial"/>
                <w:color w:val="0D0D0D" w:themeColor="text1" w:themeTint="F2"/>
                <w:spacing w:val="-6"/>
              </w:rPr>
              <w:t xml:space="preserve"> (ve srovnání s rokem 2019 byly nicméně stále skoro o třetinu vyšší). Mírnější pokles poptávky byl však patrný i ve většině dalších specializovaných prodejen nepotravinářského zboží. Výjimkou byly zejména prodejny s oděvy, obuví a koženým zbožím, kde tržby meziročně posílily o více než desetinu (ale za rokem 2019 skoro o pětinu zaostávaly). Mírnější 4% růst zaznamenaly prodejny s kosmetickými a toaletními výrobky. Obdobně rostla také poptávka po </w:t>
            </w:r>
            <w:r>
              <w:rPr>
                <w:rFonts w:cs="Arial"/>
                <w:color w:val="0D0D0D" w:themeColor="text1" w:themeTint="F2"/>
                <w:spacing w:val="-6"/>
              </w:rPr>
              <w:t>farmaceutickém a</w:t>
            </w:r>
            <w:r w:rsidRPr="00632A8A">
              <w:rPr>
                <w:rFonts w:cs="Arial"/>
                <w:color w:val="0D0D0D" w:themeColor="text1" w:themeTint="F2"/>
                <w:spacing w:val="-6"/>
              </w:rPr>
              <w:t> zdravotnickém zboží, u něhož byl na rozdíl od většiny ostatních sortimentních skupin letos cenový růst jen pozvolný. Cenový vývoj loni ovlivňoval také poptávku po pohonných hmotách. Tržby se v této oblasti meziročn</w:t>
            </w:r>
            <w:r>
              <w:rPr>
                <w:rFonts w:cs="Arial"/>
                <w:color w:val="0D0D0D" w:themeColor="text1" w:themeTint="F2"/>
                <w:spacing w:val="-6"/>
              </w:rPr>
              <w:t>ě</w:t>
            </w:r>
            <w:r w:rsidRPr="00632A8A">
              <w:rPr>
                <w:rFonts w:cs="Arial"/>
                <w:color w:val="0D0D0D" w:themeColor="text1" w:themeTint="F2"/>
                <w:spacing w:val="-6"/>
              </w:rPr>
              <w:t xml:space="preserve"> snížily o 2,3 %, ve srovnání s rokem 2019 stále zaostávaly (o 7,</w:t>
            </w:r>
            <w:r w:rsidR="00C8019E">
              <w:rPr>
                <w:rFonts w:cs="Arial"/>
                <w:color w:val="0D0D0D" w:themeColor="text1" w:themeTint="F2"/>
                <w:spacing w:val="-6"/>
              </w:rPr>
              <w:t>5</w:t>
            </w:r>
            <w:r w:rsidRPr="00632A8A">
              <w:rPr>
                <w:rFonts w:cs="Arial"/>
                <w:color w:val="0D0D0D" w:themeColor="text1" w:themeTint="F2"/>
                <w:spacing w:val="-6"/>
              </w:rPr>
              <w:t xml:space="preserve"> %)</w:t>
            </w:r>
            <w:r w:rsidRPr="00C469E8">
              <w:rPr>
                <w:rStyle w:val="Znakapoznpodarou"/>
                <w:rFonts w:cs="Arial"/>
                <w:color w:val="0D0D0D" w:themeColor="text1" w:themeTint="F2"/>
                <w:spacing w:val="-6"/>
              </w:rPr>
              <w:footnoteReference w:id="47"/>
            </w:r>
            <w:r w:rsidRPr="00632A8A">
              <w:rPr>
                <w:rFonts w:cs="Arial"/>
                <w:color w:val="0D0D0D" w:themeColor="text1" w:themeTint="F2"/>
                <w:spacing w:val="-6"/>
              </w:rPr>
              <w:t xml:space="preserve">. To platilo i pro motoristický segment obchodu, v němž ovšem pokles tržeb trvající od poloviny roku 2021 loni ve 4. čtvrtletí zmírnil na 1,8 %. Jedinou částí tohoto segmentu, kde za celý loňský rok poptávka předčila předkrizový rok 2019, byl obchod, </w:t>
            </w:r>
            <w:r w:rsidR="00C8019E">
              <w:rPr>
                <w:rFonts w:cs="Arial"/>
                <w:color w:val="0D0D0D" w:themeColor="text1" w:themeTint="F2"/>
                <w:spacing w:val="-6"/>
              </w:rPr>
              <w:t>opravy a údržba motocyklů (+2,4</w:t>
            </w:r>
            <w:r w:rsidRPr="00632A8A">
              <w:rPr>
                <w:rFonts w:cs="Arial"/>
                <w:color w:val="0D0D0D" w:themeColor="text1" w:themeTint="F2"/>
                <w:spacing w:val="-6"/>
              </w:rPr>
              <w:t> %), naopak u obchodu s motorovými vozidly (kr</w:t>
            </w:r>
            <w:r w:rsidR="00C8019E">
              <w:rPr>
                <w:rFonts w:cs="Arial"/>
                <w:color w:val="0D0D0D" w:themeColor="text1" w:themeTint="F2"/>
                <w:spacing w:val="-6"/>
              </w:rPr>
              <w:t>omě motocyklů) zaostávala o 14,1</w:t>
            </w:r>
            <w:r w:rsidRPr="00632A8A">
              <w:rPr>
                <w:rFonts w:cs="Arial"/>
                <w:color w:val="0D0D0D" w:themeColor="text1" w:themeTint="F2"/>
                <w:spacing w:val="-6"/>
              </w:rPr>
              <w:t xml:space="preserve"> %.</w:t>
            </w:r>
          </w:p>
        </w:tc>
      </w:tr>
    </w:tbl>
    <w:p w14:paraId="237CCCAB" w14:textId="77777777" w:rsidR="00E87D5B" w:rsidRPr="00E42054" w:rsidRDefault="00E87D5B" w:rsidP="00E87D5B">
      <w:pPr>
        <w:pStyle w:val="Nadpis11"/>
        <w:rPr>
          <w:b w:val="0"/>
          <w:sz w:val="2"/>
          <w:szCs w:val="2"/>
        </w:rPr>
      </w:pPr>
    </w:p>
    <w:p w14:paraId="2E486663" w14:textId="77777777" w:rsidR="00DE3E22" w:rsidRDefault="00DE3E22">
      <w:pPr>
        <w:spacing w:after="0" w:line="240" w:lineRule="auto"/>
        <w:jc w:val="left"/>
        <w:rPr>
          <w:rFonts w:eastAsia="MS Gothic"/>
          <w:b/>
          <w:bCs/>
          <w:color w:val="71818C"/>
          <w:sz w:val="32"/>
          <w:szCs w:val="28"/>
        </w:rPr>
      </w:pPr>
      <w:r>
        <w:br w:type="page"/>
      </w:r>
    </w:p>
    <w:p w14:paraId="7443308A" w14:textId="31B2AA9F" w:rsidR="00F53917" w:rsidRPr="00134FFF" w:rsidRDefault="00F53917" w:rsidP="00F53917">
      <w:pPr>
        <w:pStyle w:val="Nadpis11"/>
        <w:rPr>
          <w:sz w:val="2"/>
          <w:szCs w:val="2"/>
        </w:rPr>
      </w:pPr>
      <w:bookmarkStart w:id="26" w:name="_Toc130286019"/>
      <w:r>
        <w:lastRenderedPageBreak/>
        <w:t>4</w:t>
      </w:r>
      <w:bookmarkStart w:id="27" w:name="_Toc511215218"/>
      <w:bookmarkStart w:id="28" w:name="_Toc19090679"/>
      <w:bookmarkStart w:id="29" w:name="_Toc74643856"/>
      <w:bookmarkStart w:id="30" w:name="_Toc42852411"/>
      <w:bookmarkStart w:id="31" w:name="_Toc74643857"/>
      <w:bookmarkEnd w:id="27"/>
      <w:bookmarkEnd w:id="28"/>
      <w:r w:rsidRPr="009110F7">
        <w:t>.</w:t>
      </w:r>
      <w:r>
        <w:t> </w:t>
      </w:r>
      <w:r w:rsidRPr="009110F7">
        <w:t>Vnější vztahy</w:t>
      </w:r>
      <w:bookmarkEnd w:id="26"/>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F53917" w:rsidRPr="009110F7" w14:paraId="1CD6B7E9" w14:textId="77777777" w:rsidTr="52944939">
        <w:trPr>
          <w:trHeight w:val="145"/>
        </w:trPr>
        <w:tc>
          <w:tcPr>
            <w:tcW w:w="1748" w:type="dxa"/>
            <w:shd w:val="clear" w:color="auto" w:fill="auto"/>
            <w:tcMar>
              <w:left w:w="0" w:type="dxa"/>
            </w:tcMar>
          </w:tcPr>
          <w:p w14:paraId="50AA1438" w14:textId="77777777" w:rsidR="00F53917" w:rsidRDefault="00F53917" w:rsidP="00163868">
            <w:pPr>
              <w:pStyle w:val="Marginlie"/>
            </w:pPr>
            <w:r>
              <w:t>Hodnota vývozu zboží loni vzrostla především kvůli silnému zvýšení cen.</w:t>
            </w:r>
          </w:p>
        </w:tc>
        <w:tc>
          <w:tcPr>
            <w:tcW w:w="221" w:type="dxa"/>
            <w:shd w:val="clear" w:color="auto" w:fill="auto"/>
            <w:tcMar>
              <w:left w:w="0" w:type="dxa"/>
            </w:tcMar>
          </w:tcPr>
          <w:p w14:paraId="27D68C60" w14:textId="77777777" w:rsidR="00F53917" w:rsidRDefault="00F53917" w:rsidP="00163868">
            <w:pPr>
              <w:pStyle w:val="Textpoznpodarou"/>
              <w:jc w:val="both"/>
              <w:rPr>
                <w:spacing w:val="-4"/>
              </w:rPr>
            </w:pPr>
          </w:p>
        </w:tc>
        <w:tc>
          <w:tcPr>
            <w:tcW w:w="7670" w:type="dxa"/>
            <w:shd w:val="clear" w:color="auto" w:fill="auto"/>
            <w:tcMar>
              <w:left w:w="0" w:type="dxa"/>
            </w:tcMar>
          </w:tcPr>
          <w:p w14:paraId="6CD40528" w14:textId="77777777" w:rsidR="00F53917" w:rsidRPr="00AF6F98" w:rsidRDefault="00F53917" w:rsidP="00163868">
            <w:pPr>
              <w:spacing w:after="180"/>
              <w:rPr>
                <w:spacing w:val="-4"/>
              </w:rPr>
            </w:pPr>
            <w:r>
              <w:rPr>
                <w:spacing w:val="-4"/>
              </w:rPr>
              <w:t>Celková hodnota vývozu zboží</w:t>
            </w:r>
            <w:r>
              <w:rPr>
                <w:rStyle w:val="Znakapoznpodarou"/>
                <w:spacing w:val="-4"/>
              </w:rPr>
              <w:footnoteReference w:id="48"/>
            </w:r>
            <w:r>
              <w:rPr>
                <w:spacing w:val="-4"/>
              </w:rPr>
              <w:t xml:space="preserve"> v roce 2022 dosáhla 4 413,8 mld. korun</w:t>
            </w:r>
            <w:r>
              <w:rPr>
                <w:rStyle w:val="Znakapoznpodarou"/>
                <w:spacing w:val="-4"/>
              </w:rPr>
              <w:footnoteReference w:id="49"/>
            </w:r>
            <w:r>
              <w:rPr>
                <w:spacing w:val="-4"/>
              </w:rPr>
              <w:t xml:space="preserve"> a nominálně tak vzrostla o 532,4 mld. (13,7 %). Na poměrně silném přírůstku se ale podílel růst cenové hladiny – nejvíce u surovin a energií, ceny se ale významně zvyšovaly u většiny druhů zboží</w:t>
            </w:r>
            <w:r>
              <w:rPr>
                <w:rStyle w:val="Znakapoznpodarou"/>
                <w:spacing w:val="-4"/>
              </w:rPr>
              <w:footnoteReference w:id="50"/>
            </w:r>
            <w:r>
              <w:rPr>
                <w:spacing w:val="-4"/>
              </w:rPr>
              <w:t xml:space="preserve">. V jednotlivých čtvrtletích se meziroční dynamika exportu držela na silné úrovni s vrcholem ve 3. kvartálu (8,3 %, 11,6 % a 22,3 % v jednotlivých kvartálech). Ve 4. čtvrtletí hodnota vývozu vyšplhala na 1 148,4 mld. korun a meziročně se zvýšila o 136,2 mld. (13,5 %). Cenový růst představoval v průběhu celého roku významný stimul meziroční dynamiky. Podle sezónně očištěných dat byl export mezičtvrtletně nižší o 1,0 %.     </w:t>
            </w:r>
          </w:p>
        </w:tc>
      </w:tr>
      <w:tr w:rsidR="00F53917" w:rsidRPr="009110F7" w14:paraId="5649540B" w14:textId="77777777" w:rsidTr="52944939">
        <w:trPr>
          <w:trHeight w:val="145"/>
        </w:trPr>
        <w:tc>
          <w:tcPr>
            <w:tcW w:w="1748" w:type="dxa"/>
            <w:shd w:val="clear" w:color="auto" w:fill="auto"/>
            <w:tcMar>
              <w:left w:w="0" w:type="dxa"/>
            </w:tcMar>
          </w:tcPr>
          <w:p w14:paraId="745A1A2B" w14:textId="77777777" w:rsidR="00F53917" w:rsidRDefault="00F53917" w:rsidP="00163868">
            <w:pPr>
              <w:pStyle w:val="Marginlie"/>
            </w:pPr>
            <w:r>
              <w:t>Výrazněji rostl export do zemí EU.</w:t>
            </w:r>
          </w:p>
        </w:tc>
        <w:tc>
          <w:tcPr>
            <w:tcW w:w="221" w:type="dxa"/>
            <w:shd w:val="clear" w:color="auto" w:fill="auto"/>
            <w:tcMar>
              <w:left w:w="0" w:type="dxa"/>
            </w:tcMar>
          </w:tcPr>
          <w:p w14:paraId="3FAACA20" w14:textId="77777777" w:rsidR="00F53917" w:rsidRDefault="00F53917" w:rsidP="00163868">
            <w:pPr>
              <w:pStyle w:val="Textpoznpodarou"/>
              <w:jc w:val="both"/>
              <w:rPr>
                <w:spacing w:val="-4"/>
              </w:rPr>
            </w:pPr>
          </w:p>
        </w:tc>
        <w:tc>
          <w:tcPr>
            <w:tcW w:w="7670" w:type="dxa"/>
            <w:shd w:val="clear" w:color="auto" w:fill="auto"/>
            <w:tcMar>
              <w:left w:w="0" w:type="dxa"/>
            </w:tcMar>
          </w:tcPr>
          <w:p w14:paraId="1618F3B0" w14:textId="1A9A7D60" w:rsidR="00F53917" w:rsidRDefault="00F53917" w:rsidP="00163868">
            <w:pPr>
              <w:spacing w:after="180"/>
              <w:rPr>
                <w:spacing w:val="-4"/>
              </w:rPr>
            </w:pPr>
            <w:r>
              <w:rPr>
                <w:spacing w:val="-4"/>
              </w:rPr>
              <w:t xml:space="preserve">Loňské navýšení vývozu zboží z většiny připadlo na růst exportu do zemí EU </w:t>
            </w:r>
            <w:r>
              <w:rPr>
                <w:spacing w:val="-4"/>
              </w:rPr>
              <w:br/>
              <w:t>(+472,3 mld. korun, 15,</w:t>
            </w:r>
            <w:r w:rsidR="00ED2525">
              <w:rPr>
                <w:spacing w:val="-4"/>
              </w:rPr>
              <w:t>4</w:t>
            </w:r>
            <w:r>
              <w:rPr>
                <w:spacing w:val="-4"/>
              </w:rPr>
              <w:t xml:space="preserve"> %). Vývoz mimo EU se zvyšoval výrazně mírněji </w:t>
            </w:r>
            <w:r>
              <w:rPr>
                <w:spacing w:val="-4"/>
              </w:rPr>
              <w:br/>
              <w:t>(+60,2 mld. korun, 7,5 %). Největší přírůstek měl export do Německa (+170,6 mld. korun, 14,7 %), na Slovensko (+70,2 mld., 18,7 %) a do Polska (+38,3 mld., 14,1 %). V navýšení u Německa a Slovenska hrál výraznou roli vývoz elektřiny</w:t>
            </w:r>
            <w:r>
              <w:rPr>
                <w:rStyle w:val="Znakapoznpodarou"/>
                <w:spacing w:val="-4"/>
              </w:rPr>
              <w:footnoteReference w:id="51"/>
            </w:r>
            <w:r>
              <w:rPr>
                <w:spacing w:val="-4"/>
              </w:rPr>
              <w:t>. U Polska nejvíce rostl export motorových vozidel. Silně se zvýšil také export do Itálie (+35,8 mld. korun, 23,7</w:t>
            </w:r>
            <w:r w:rsidR="00992B49">
              <w:rPr>
                <w:spacing w:val="-4"/>
              </w:rPr>
              <w:t> </w:t>
            </w:r>
            <w:r>
              <w:rPr>
                <w:spacing w:val="-4"/>
              </w:rPr>
              <w:t xml:space="preserve">%), Francie (+26,0 mld., 13,9 %), Rakouska (+27,2 mld., 15,7 %), Spojených států (+22,9 mld., 24,6 %) a Španělska (+20,6 mld., 19,8 %). Výrazný procentní nárůst měl vývoz u některých destinací, kde je hodnota vývozu relativně </w:t>
            </w:r>
            <w:r w:rsidR="00ED2525">
              <w:rPr>
                <w:spacing w:val="-4"/>
              </w:rPr>
              <w:t>nízká</w:t>
            </w:r>
            <w:r>
              <w:rPr>
                <w:spacing w:val="-4"/>
              </w:rPr>
              <w:t xml:space="preserve"> jako například Kazachstán (170,2 %), Spojené arabské emiráty (58,9 %), Ázerbájdžán (73,2 %) nebo Mexiko (39,7 %). Vývoz do většiny sledovaných zemí loni rostl. Výraznou výjimkou bylo Rusko (−48,3 mld. korun, −59,9 %)</w:t>
            </w:r>
            <w:r>
              <w:rPr>
                <w:rStyle w:val="Znakapoznpodarou"/>
                <w:spacing w:val="-4"/>
              </w:rPr>
              <w:footnoteReference w:id="52"/>
            </w:r>
            <w:r>
              <w:rPr>
                <w:spacing w:val="-4"/>
              </w:rPr>
              <w:t xml:space="preserve">, kde se po sérii hlubokých propadů dostala hodnota vývozu (32,3 mld.) na nejnižší úroveň od roku 2005. </w:t>
            </w:r>
          </w:p>
        </w:tc>
      </w:tr>
      <w:tr w:rsidR="00F53917" w:rsidRPr="009110F7" w14:paraId="547042DF" w14:textId="77777777" w:rsidTr="52944939">
        <w:trPr>
          <w:trHeight w:val="145"/>
        </w:trPr>
        <w:tc>
          <w:tcPr>
            <w:tcW w:w="1748" w:type="dxa"/>
            <w:shd w:val="clear" w:color="auto" w:fill="auto"/>
            <w:tcMar>
              <w:left w:w="0" w:type="dxa"/>
            </w:tcMar>
          </w:tcPr>
          <w:p w14:paraId="562A112C" w14:textId="77777777" w:rsidR="00F53917" w:rsidRDefault="00F53917" w:rsidP="00163868">
            <w:pPr>
              <w:pStyle w:val="Marginlie"/>
            </w:pPr>
            <w:r>
              <w:t>V závěru roku se oživil stagnující vývoz do zemí mimo EU.</w:t>
            </w:r>
          </w:p>
        </w:tc>
        <w:tc>
          <w:tcPr>
            <w:tcW w:w="221" w:type="dxa"/>
            <w:shd w:val="clear" w:color="auto" w:fill="auto"/>
            <w:tcMar>
              <w:left w:w="0" w:type="dxa"/>
            </w:tcMar>
          </w:tcPr>
          <w:p w14:paraId="26E1A365" w14:textId="77777777" w:rsidR="00F53917" w:rsidRDefault="00F53917" w:rsidP="00163868">
            <w:pPr>
              <w:pStyle w:val="Textpoznpodarou"/>
              <w:jc w:val="both"/>
              <w:rPr>
                <w:spacing w:val="-4"/>
              </w:rPr>
            </w:pPr>
          </w:p>
        </w:tc>
        <w:tc>
          <w:tcPr>
            <w:tcW w:w="7670" w:type="dxa"/>
            <w:shd w:val="clear" w:color="auto" w:fill="auto"/>
            <w:tcMar>
              <w:left w:w="0" w:type="dxa"/>
            </w:tcMar>
          </w:tcPr>
          <w:p w14:paraId="39462E70" w14:textId="33C879F5" w:rsidR="00F53917" w:rsidRDefault="00F53917" w:rsidP="00163868">
            <w:pPr>
              <w:spacing w:after="180"/>
              <w:rPr>
                <w:spacing w:val="-4"/>
              </w:rPr>
            </w:pPr>
            <w:r>
              <w:rPr>
                <w:spacing w:val="-4"/>
              </w:rPr>
              <w:t xml:space="preserve">V samotném 4. čtvrtletí se vývoz do EU meziročně zvýšil o 109,5 mld. korun (13,7 %) a mimo EU o 26,9 mld. (12,8 %). Ve zpětném pohledu je také patrné silné oživení exportu do zemí mimo EU ve druhé polovině roku (meziroční změna −1,0 %, 0,3 % a 18,7 % v 1. až 3. kvartálu). Nejvíce meziročně rostl vývoz do Německa (+41,7 mld. korun, </w:t>
            </w:r>
            <w:r>
              <w:rPr>
                <w:spacing w:val="-4"/>
              </w:rPr>
              <w:br/>
              <w:t>13,9 %), Polska (+9,8 mld., 13,8 %), Francie (+9,5 mld., 21,0 %), Španělska (+9,4 mld., 39,1</w:t>
            </w:r>
            <w:r w:rsidR="00992B49">
              <w:rPr>
                <w:spacing w:val="-4"/>
              </w:rPr>
              <w:t> </w:t>
            </w:r>
            <w:r>
              <w:rPr>
                <w:spacing w:val="-4"/>
              </w:rPr>
              <w:t xml:space="preserve">%), Itálie (+8,7 mld., 21,8 %) a Belgie (+5,4 mld., 25,8 %). Hluboce se meziročně propadl export do Ruska (−11,9 mld. korun, </w:t>
            </w:r>
            <w:r w:rsidR="00ED2525">
              <w:rPr>
                <w:spacing w:val="-4"/>
              </w:rPr>
              <w:t>−</w:t>
            </w:r>
            <w:r>
              <w:rPr>
                <w:spacing w:val="-4"/>
              </w:rPr>
              <w:t>66,5 %).</w:t>
            </w:r>
          </w:p>
        </w:tc>
      </w:tr>
      <w:tr w:rsidR="00F53917" w:rsidRPr="009110F7" w14:paraId="4477C446" w14:textId="77777777" w:rsidTr="52944939">
        <w:trPr>
          <w:trHeight w:val="170"/>
        </w:trPr>
        <w:tc>
          <w:tcPr>
            <w:tcW w:w="1748" w:type="dxa"/>
            <w:shd w:val="clear" w:color="auto" w:fill="auto"/>
            <w:tcMar>
              <w:left w:w="0" w:type="dxa"/>
            </w:tcMar>
          </w:tcPr>
          <w:p w14:paraId="71C24A16" w14:textId="77777777" w:rsidR="00F53917" w:rsidRDefault="00F53917" w:rsidP="00163868">
            <w:pPr>
              <w:pStyle w:val="Marginlie"/>
            </w:pPr>
            <w:r>
              <w:t>Růst vývozu loni nejvíce stimuloval export motorových vozidel.</w:t>
            </w:r>
          </w:p>
        </w:tc>
        <w:tc>
          <w:tcPr>
            <w:tcW w:w="221" w:type="dxa"/>
            <w:shd w:val="clear" w:color="auto" w:fill="auto"/>
            <w:tcMar>
              <w:left w:w="0" w:type="dxa"/>
            </w:tcMar>
          </w:tcPr>
          <w:p w14:paraId="45A12F78" w14:textId="77777777" w:rsidR="00F53917" w:rsidRDefault="00F53917" w:rsidP="00163868">
            <w:pPr>
              <w:pStyle w:val="Textpoznpodarou"/>
              <w:jc w:val="both"/>
              <w:rPr>
                <w:spacing w:val="-4"/>
              </w:rPr>
            </w:pPr>
          </w:p>
        </w:tc>
        <w:tc>
          <w:tcPr>
            <w:tcW w:w="7670" w:type="dxa"/>
            <w:shd w:val="clear" w:color="auto" w:fill="auto"/>
            <w:tcMar>
              <w:left w:w="0" w:type="dxa"/>
            </w:tcMar>
          </w:tcPr>
          <w:p w14:paraId="53A6E3A3" w14:textId="77777777" w:rsidR="00F53917" w:rsidRPr="00AF6F98" w:rsidRDefault="00F53917" w:rsidP="00163868">
            <w:pPr>
              <w:spacing w:after="180"/>
              <w:rPr>
                <w:spacing w:val="-4"/>
              </w:rPr>
            </w:pPr>
            <w:r>
              <w:rPr>
                <w:spacing w:val="-4"/>
              </w:rPr>
              <w:t xml:space="preserve">Z pohledu zbožové struktury se loni nejvíce zvyšoval vývoz motorových vozidel </w:t>
            </w:r>
            <w:r>
              <w:rPr>
                <w:spacing w:val="-4"/>
              </w:rPr>
              <w:br/>
              <w:t xml:space="preserve">(+101,4 mld. korun, 10,8 %), elektrických zařízení (+66,7 mld., 19,1 %) a elektřiny, plynu, páry a klimatizovaného vzduchu (+58,9 mld., 97,5 %). Výrazný přírůstek měl také export strojů a zařízení (+36,4 mld. korun, 7,9 %), chemických látek a přípravků (+34,6 mld., </w:t>
            </w:r>
            <w:r>
              <w:rPr>
                <w:spacing w:val="-4"/>
              </w:rPr>
              <w:br/>
              <w:t xml:space="preserve">17,2 %), kovodělných výrobků (+32,1 mld., 13,3 %), potravinářských výrobků (+29,5 mld., 24,9 %), základních kovů (+27,5 mld., 16,4 %), pryžových a plastových výrobků </w:t>
            </w:r>
            <w:r>
              <w:rPr>
                <w:spacing w:val="-4"/>
              </w:rPr>
              <w:br/>
              <w:t xml:space="preserve">(+19,2 mld., 10,0 %), papíru a výrobků z něj (+18,9 mld., 28,9 %), počítačů, elektronických a optických přístrojů a zařízení (+16,9 mld., 4,1 %) a koksu a rafinovaných ropných výrobků (+15,4 mld., 36,1 %). </w:t>
            </w:r>
          </w:p>
        </w:tc>
      </w:tr>
      <w:tr w:rsidR="00F53917" w:rsidRPr="009110F7" w14:paraId="7273EDC0" w14:textId="77777777" w:rsidTr="52944939">
        <w:trPr>
          <w:trHeight w:val="170"/>
        </w:trPr>
        <w:tc>
          <w:tcPr>
            <w:tcW w:w="1748" w:type="dxa"/>
            <w:shd w:val="clear" w:color="auto" w:fill="auto"/>
            <w:tcMar>
              <w:left w:w="0" w:type="dxa"/>
            </w:tcMar>
          </w:tcPr>
          <w:p w14:paraId="41B18606" w14:textId="77777777" w:rsidR="00F53917" w:rsidRDefault="00F53917" w:rsidP="00163868">
            <w:pPr>
              <w:pStyle w:val="Marginlie"/>
            </w:pPr>
            <w:r>
              <w:t>Motorová vozidla dominovala růstu exportu ve 2. pololetí.</w:t>
            </w:r>
          </w:p>
        </w:tc>
        <w:tc>
          <w:tcPr>
            <w:tcW w:w="221" w:type="dxa"/>
            <w:shd w:val="clear" w:color="auto" w:fill="auto"/>
            <w:tcMar>
              <w:left w:w="0" w:type="dxa"/>
            </w:tcMar>
          </w:tcPr>
          <w:p w14:paraId="526F70CA" w14:textId="77777777" w:rsidR="00F53917" w:rsidRDefault="00F53917" w:rsidP="00163868">
            <w:pPr>
              <w:pStyle w:val="Textpoznpodarou"/>
              <w:jc w:val="both"/>
              <w:rPr>
                <w:spacing w:val="-4"/>
              </w:rPr>
            </w:pPr>
          </w:p>
        </w:tc>
        <w:tc>
          <w:tcPr>
            <w:tcW w:w="7670" w:type="dxa"/>
            <w:shd w:val="clear" w:color="auto" w:fill="auto"/>
            <w:tcMar>
              <w:left w:w="0" w:type="dxa"/>
            </w:tcMar>
          </w:tcPr>
          <w:p w14:paraId="1846E2B5" w14:textId="77777777" w:rsidR="00F53917" w:rsidRDefault="00F53917" w:rsidP="00163868">
            <w:pPr>
              <w:spacing w:after="180"/>
              <w:rPr>
                <w:spacing w:val="-4"/>
              </w:rPr>
            </w:pPr>
            <w:r>
              <w:rPr>
                <w:spacing w:val="-4"/>
              </w:rPr>
              <w:t xml:space="preserve">V samotném 4. kvartálu nejvíce meziročně rostl vývoz motorových vozidel (+45,1 mld. korun, 19,3 %). Výrazný celoroční přírůstek u motorových vozidel lze přičíst z většiny vývoji ve 2. pololetí. Dál se ve 4. čtvrtletí silně meziročně zvyšoval export elektrických zařízení </w:t>
            </w:r>
            <w:r>
              <w:rPr>
                <w:spacing w:val="-4"/>
              </w:rPr>
              <w:lastRenderedPageBreak/>
              <w:t>(+29,6 mld. korun, 33,8 %), strojů a zařízení (+19,0 mld., 16,8 %), počítačů, elektronických a optických přístrojů a zařízení (+13,3 mld., 12,5 %) a potravinářských výrobků (+9,2 mld., 28,4 %). Vývoz většiny artiklů meziročně rostl, ve 4. čtvrtletí se ale po delší době změnil růstový trend u elektřiny, plynu, páry a klimatizovaného vzduchu, kde po šesti kvartálech vývoz klesl meziročně o 4,0 mld. korun (−11,8 %). Poprvé od 3. čtvrtletí 2020 se také meziročně snížil vývoz základních kovů (−2,4 mld. korun, −5,4 %).</w:t>
            </w:r>
          </w:p>
        </w:tc>
      </w:tr>
      <w:tr w:rsidR="00F53917" w:rsidRPr="009110F7" w14:paraId="1EF80657" w14:textId="77777777" w:rsidTr="52944939">
        <w:trPr>
          <w:trHeight w:val="126"/>
        </w:trPr>
        <w:tc>
          <w:tcPr>
            <w:tcW w:w="1748" w:type="dxa"/>
            <w:vMerge w:val="restart"/>
            <w:shd w:val="clear" w:color="auto" w:fill="auto"/>
            <w:tcMar>
              <w:left w:w="0" w:type="dxa"/>
            </w:tcMar>
          </w:tcPr>
          <w:p w14:paraId="6474E133" w14:textId="77777777" w:rsidR="00F53917" w:rsidRDefault="00F53917" w:rsidP="00163868">
            <w:pPr>
              <w:pStyle w:val="Marginlie"/>
            </w:pPr>
          </w:p>
        </w:tc>
        <w:tc>
          <w:tcPr>
            <w:tcW w:w="221" w:type="dxa"/>
            <w:vMerge w:val="restart"/>
            <w:shd w:val="clear" w:color="auto" w:fill="auto"/>
            <w:tcMar>
              <w:left w:w="0" w:type="dxa"/>
            </w:tcMar>
          </w:tcPr>
          <w:p w14:paraId="72F04481" w14:textId="77777777" w:rsidR="00F53917" w:rsidRDefault="00F53917" w:rsidP="00163868">
            <w:pPr>
              <w:pStyle w:val="Textpoznpodarou"/>
              <w:jc w:val="both"/>
              <w:rPr>
                <w:spacing w:val="-4"/>
              </w:rPr>
            </w:pPr>
          </w:p>
        </w:tc>
        <w:tc>
          <w:tcPr>
            <w:tcW w:w="7670" w:type="dxa"/>
            <w:shd w:val="clear" w:color="auto" w:fill="auto"/>
            <w:tcMar>
              <w:left w:w="0" w:type="dxa"/>
            </w:tcMar>
          </w:tcPr>
          <w:p w14:paraId="0681070C" w14:textId="77777777" w:rsidR="00F53917" w:rsidRDefault="00F53917" w:rsidP="00163868">
            <w:pPr>
              <w:spacing w:after="0"/>
              <w:rPr>
                <w:spacing w:val="-4"/>
              </w:rPr>
            </w:pPr>
            <w:r>
              <w:rPr>
                <w:b/>
                <w:bCs/>
                <w:spacing w:val="-4"/>
              </w:rPr>
              <w:t xml:space="preserve">Graf č. 9 </w:t>
            </w:r>
            <w:r w:rsidRPr="00804097">
              <w:rPr>
                <w:b/>
                <w:bCs/>
                <w:spacing w:val="-4"/>
              </w:rPr>
              <w:t>Vývoz a</w:t>
            </w:r>
            <w:r>
              <w:rPr>
                <w:b/>
                <w:bCs/>
                <w:spacing w:val="-4"/>
              </w:rPr>
              <w:t> </w:t>
            </w:r>
            <w:r w:rsidRPr="00804097">
              <w:rPr>
                <w:b/>
                <w:bCs/>
                <w:spacing w:val="-4"/>
              </w:rPr>
              <w:t xml:space="preserve">dovoz zboží </w:t>
            </w:r>
            <w:r w:rsidRPr="00804097">
              <w:rPr>
                <w:spacing w:val="-4"/>
              </w:rPr>
              <w:t>(meziročn</w:t>
            </w:r>
            <w:r>
              <w:rPr>
                <w:spacing w:val="-4"/>
              </w:rPr>
              <w:t>í změna,</w:t>
            </w:r>
            <w:r w:rsidRPr="00804097">
              <w:rPr>
                <w:spacing w:val="-4"/>
              </w:rPr>
              <w:t xml:space="preserve"> v</w:t>
            </w:r>
            <w:r>
              <w:rPr>
                <w:spacing w:val="-4"/>
              </w:rPr>
              <w:t> %</w:t>
            </w:r>
            <w:r w:rsidRPr="00804097">
              <w:rPr>
                <w:spacing w:val="-4"/>
              </w:rPr>
              <w:t>)</w:t>
            </w:r>
            <w:r w:rsidRPr="00804097">
              <w:rPr>
                <w:b/>
                <w:bCs/>
                <w:spacing w:val="-4"/>
              </w:rPr>
              <w:t xml:space="preserve"> a</w:t>
            </w:r>
            <w:r>
              <w:rPr>
                <w:b/>
                <w:bCs/>
                <w:spacing w:val="-4"/>
              </w:rPr>
              <w:t> </w:t>
            </w:r>
            <w:r w:rsidRPr="00804097">
              <w:rPr>
                <w:b/>
                <w:bCs/>
                <w:spacing w:val="-4"/>
              </w:rPr>
              <w:t xml:space="preserve">bilance zahraničního obchodu se zbožím </w:t>
            </w:r>
            <w:r w:rsidRPr="00804097">
              <w:rPr>
                <w:spacing w:val="-4"/>
              </w:rPr>
              <w:t>(v</w:t>
            </w:r>
            <w:r>
              <w:rPr>
                <w:spacing w:val="-4"/>
              </w:rPr>
              <w:t> mld</w:t>
            </w:r>
            <w:r w:rsidRPr="00804097">
              <w:rPr>
                <w:spacing w:val="-4"/>
              </w:rPr>
              <w:t>. korun, pravá osa)</w:t>
            </w:r>
          </w:p>
        </w:tc>
      </w:tr>
      <w:tr w:rsidR="00F53917" w:rsidRPr="009110F7" w14:paraId="7D3EC744" w14:textId="77777777" w:rsidTr="52944939">
        <w:tblPrEx>
          <w:tblCellMar>
            <w:left w:w="70" w:type="dxa"/>
            <w:right w:w="70" w:type="dxa"/>
          </w:tblCellMar>
        </w:tblPrEx>
        <w:trPr>
          <w:trHeight w:val="125"/>
        </w:trPr>
        <w:tc>
          <w:tcPr>
            <w:tcW w:w="1748" w:type="dxa"/>
            <w:vMerge/>
          </w:tcPr>
          <w:p w14:paraId="2C180D2D" w14:textId="77777777" w:rsidR="00F53917" w:rsidRDefault="00F53917" w:rsidP="00163868">
            <w:pPr>
              <w:pStyle w:val="Marginlie"/>
            </w:pPr>
          </w:p>
        </w:tc>
        <w:tc>
          <w:tcPr>
            <w:tcW w:w="221" w:type="dxa"/>
            <w:vMerge/>
          </w:tcPr>
          <w:p w14:paraId="31BE3B75" w14:textId="77777777" w:rsidR="00F53917" w:rsidRDefault="00F53917" w:rsidP="00163868">
            <w:pPr>
              <w:pStyle w:val="Textpoznpodarou"/>
              <w:jc w:val="both"/>
              <w:rPr>
                <w:spacing w:val="-4"/>
              </w:rPr>
            </w:pPr>
          </w:p>
        </w:tc>
        <w:tc>
          <w:tcPr>
            <w:tcW w:w="7670" w:type="dxa"/>
            <w:shd w:val="clear" w:color="auto" w:fill="auto"/>
          </w:tcPr>
          <w:p w14:paraId="69FBD59D" w14:textId="77777777" w:rsidR="00F53917" w:rsidRDefault="00F53917" w:rsidP="00163868">
            <w:pPr>
              <w:spacing w:after="0"/>
            </w:pPr>
            <w:r>
              <w:rPr>
                <w:noProof/>
              </w:rPr>
              <w:drawing>
                <wp:inline distT="0" distB="0" distL="0" distR="0" wp14:anchorId="75E56B0E" wp14:editId="7D48F06B">
                  <wp:extent cx="4773175" cy="3372350"/>
                  <wp:effectExtent l="0" t="0" r="8890" b="0"/>
                  <wp:docPr id="3" name="Graf 3">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53917" w:rsidRPr="009110F7" w14:paraId="065DFCCC" w14:textId="77777777" w:rsidTr="52944939">
        <w:trPr>
          <w:trHeight w:val="125"/>
        </w:trPr>
        <w:tc>
          <w:tcPr>
            <w:tcW w:w="1748" w:type="dxa"/>
            <w:vMerge/>
            <w:tcMar>
              <w:left w:w="0" w:type="dxa"/>
            </w:tcMar>
          </w:tcPr>
          <w:p w14:paraId="6C6F76BC" w14:textId="77777777" w:rsidR="00F53917" w:rsidRDefault="00F53917" w:rsidP="00163868">
            <w:pPr>
              <w:pStyle w:val="Marginlie"/>
            </w:pPr>
          </w:p>
        </w:tc>
        <w:tc>
          <w:tcPr>
            <w:tcW w:w="221" w:type="dxa"/>
            <w:vMerge/>
            <w:tcMar>
              <w:left w:w="0" w:type="dxa"/>
            </w:tcMar>
          </w:tcPr>
          <w:p w14:paraId="0B2AEE08" w14:textId="77777777" w:rsidR="00F53917" w:rsidRDefault="00F53917" w:rsidP="00163868">
            <w:pPr>
              <w:pStyle w:val="Textpoznpodarou"/>
              <w:jc w:val="both"/>
              <w:rPr>
                <w:spacing w:val="-4"/>
              </w:rPr>
            </w:pPr>
          </w:p>
        </w:tc>
        <w:tc>
          <w:tcPr>
            <w:tcW w:w="7670" w:type="dxa"/>
            <w:shd w:val="clear" w:color="auto" w:fill="auto"/>
            <w:tcMar>
              <w:left w:w="0" w:type="dxa"/>
            </w:tcMar>
          </w:tcPr>
          <w:p w14:paraId="08FA5365" w14:textId="77777777" w:rsidR="00F53917" w:rsidRDefault="00F53917" w:rsidP="00163868">
            <w:pPr>
              <w:spacing w:after="180"/>
              <w:rPr>
                <w:spacing w:val="-4"/>
              </w:rPr>
            </w:pPr>
            <w:r>
              <w:rPr>
                <w:sz w:val="14"/>
                <w:szCs w:val="14"/>
              </w:rPr>
              <w:t>Zdroj: ČSÚ</w:t>
            </w:r>
          </w:p>
        </w:tc>
      </w:tr>
      <w:tr w:rsidR="00F53917" w:rsidRPr="009110F7" w14:paraId="45A816F5" w14:textId="77777777" w:rsidTr="52944939">
        <w:trPr>
          <w:trHeight w:val="145"/>
        </w:trPr>
        <w:tc>
          <w:tcPr>
            <w:tcW w:w="1748" w:type="dxa"/>
            <w:shd w:val="clear" w:color="auto" w:fill="auto"/>
            <w:tcMar>
              <w:left w:w="0" w:type="dxa"/>
            </w:tcMar>
          </w:tcPr>
          <w:p w14:paraId="5EB7CCF0" w14:textId="77777777" w:rsidR="00F53917" w:rsidRDefault="00F53917" w:rsidP="00163868">
            <w:pPr>
              <w:pStyle w:val="Marginlie"/>
            </w:pPr>
            <w:r>
              <w:t>Import loni rostl silněji než export.</w:t>
            </w:r>
          </w:p>
        </w:tc>
        <w:tc>
          <w:tcPr>
            <w:tcW w:w="221" w:type="dxa"/>
            <w:shd w:val="clear" w:color="auto" w:fill="auto"/>
            <w:tcMar>
              <w:left w:w="0" w:type="dxa"/>
            </w:tcMar>
          </w:tcPr>
          <w:p w14:paraId="4C3E012F" w14:textId="77777777" w:rsidR="00F53917" w:rsidRDefault="00F53917" w:rsidP="00163868">
            <w:pPr>
              <w:pStyle w:val="Textpoznpodarou"/>
              <w:jc w:val="both"/>
              <w:rPr>
                <w:spacing w:val="-4"/>
              </w:rPr>
            </w:pPr>
          </w:p>
        </w:tc>
        <w:tc>
          <w:tcPr>
            <w:tcW w:w="7670" w:type="dxa"/>
            <w:shd w:val="clear" w:color="auto" w:fill="auto"/>
            <w:tcMar>
              <w:left w:w="0" w:type="dxa"/>
            </w:tcMar>
          </w:tcPr>
          <w:p w14:paraId="01C0346E" w14:textId="4C762B27" w:rsidR="00F53917" w:rsidRDefault="00F53917" w:rsidP="00163868">
            <w:pPr>
              <w:spacing w:after="180"/>
              <w:rPr>
                <w:spacing w:val="-4"/>
              </w:rPr>
            </w:pPr>
            <w:r>
              <w:rPr>
                <w:spacing w:val="-4"/>
              </w:rPr>
              <w:t xml:space="preserve">Dovoz zboží za celý rok 2022 dosáhl hodnoty 4 613,5 mld. korun a byl vyšší </w:t>
            </w:r>
            <w:r>
              <w:rPr>
                <w:spacing w:val="-4"/>
              </w:rPr>
              <w:br/>
              <w:t>o 723,0 mld. (18,6 %). Dynamika dovozu tak loni značně překonala vývoz, na čemž mělo hlavní podíl prudké zdražení importovaných surovin</w:t>
            </w:r>
            <w:r>
              <w:rPr>
                <w:rStyle w:val="Znakapoznpodarou"/>
                <w:spacing w:val="-4"/>
              </w:rPr>
              <w:footnoteReference w:id="53"/>
            </w:r>
            <w:r>
              <w:rPr>
                <w:spacing w:val="-4"/>
              </w:rPr>
              <w:t>. Meziroční přírůstky dovozu převyšovaly export ve všech čtvrtletích roku. Postupně se dovoz meziročně zvýšil o 16,9 %, 20,3 % a 22,3 % v 1. až 3. kvartálu. Ve 4. čtvrtletí 2022 hodnota dovozu dosáhla 1 198,8</w:t>
            </w:r>
            <w:r w:rsidR="00992B49">
              <w:rPr>
                <w:spacing w:val="-4"/>
              </w:rPr>
              <w:t> </w:t>
            </w:r>
            <w:r>
              <w:rPr>
                <w:spacing w:val="-4"/>
              </w:rPr>
              <w:t xml:space="preserve">mld. korun a meziročně vzrostla o 157,3 mld. (15,1 %). Mezičtvrtletně se (sezónně očištěný) dovoz snížil o 1,9 %.       </w:t>
            </w:r>
          </w:p>
        </w:tc>
      </w:tr>
      <w:tr w:rsidR="00F53917" w:rsidRPr="009110F7" w14:paraId="3A56C3EA" w14:textId="77777777" w:rsidTr="52944939">
        <w:trPr>
          <w:trHeight w:val="145"/>
        </w:trPr>
        <w:tc>
          <w:tcPr>
            <w:tcW w:w="1748" w:type="dxa"/>
            <w:shd w:val="clear" w:color="auto" w:fill="auto"/>
            <w:tcMar>
              <w:left w:w="0" w:type="dxa"/>
            </w:tcMar>
          </w:tcPr>
          <w:p w14:paraId="5C859B48" w14:textId="77777777" w:rsidR="00F53917" w:rsidRDefault="00F53917" w:rsidP="00163868">
            <w:pPr>
              <w:pStyle w:val="Marginlie"/>
            </w:pPr>
            <w:r>
              <w:t>Přírůstek dovozu ze zemí mimo EU překonal navýšení ze zemí EU.</w:t>
            </w:r>
          </w:p>
        </w:tc>
        <w:tc>
          <w:tcPr>
            <w:tcW w:w="221" w:type="dxa"/>
            <w:shd w:val="clear" w:color="auto" w:fill="auto"/>
            <w:tcMar>
              <w:left w:w="0" w:type="dxa"/>
            </w:tcMar>
          </w:tcPr>
          <w:p w14:paraId="0CA307AE" w14:textId="77777777" w:rsidR="00F53917" w:rsidRDefault="00F53917" w:rsidP="00163868">
            <w:pPr>
              <w:pStyle w:val="Textpoznpodarou"/>
              <w:jc w:val="both"/>
              <w:rPr>
                <w:spacing w:val="-4"/>
              </w:rPr>
            </w:pPr>
          </w:p>
        </w:tc>
        <w:tc>
          <w:tcPr>
            <w:tcW w:w="7670" w:type="dxa"/>
            <w:shd w:val="clear" w:color="auto" w:fill="auto"/>
            <w:tcMar>
              <w:left w:w="0" w:type="dxa"/>
            </w:tcMar>
          </w:tcPr>
          <w:p w14:paraId="656A4E9D" w14:textId="558A21E6" w:rsidR="00F53917" w:rsidRDefault="00F53917" w:rsidP="00163868">
            <w:pPr>
              <w:spacing w:after="180"/>
              <w:rPr>
                <w:spacing w:val="-4"/>
              </w:rPr>
            </w:pPr>
            <w:r>
              <w:rPr>
                <w:spacing w:val="-4"/>
              </w:rPr>
              <w:t xml:space="preserve">Vliv rostoucích cen surovin je patrný na rozdílu mezi procentním přírůstkem dovozu z EU (+303,9 mld. korun, 12,5 %) a ze zemí mimo EU (+415,7 mld., 29,2 %), odkud pochází hlavní porce importované ropy a zemního plynu. Nejvíce vzrostl dovoz z Číny </w:t>
            </w:r>
            <w:r>
              <w:rPr>
                <w:spacing w:val="-4"/>
              </w:rPr>
              <w:br/>
              <w:t>(+125,0 mld. korun, 2</w:t>
            </w:r>
            <w:r w:rsidR="00ED2525">
              <w:rPr>
                <w:spacing w:val="-4"/>
              </w:rPr>
              <w:t>6,6</w:t>
            </w:r>
            <w:r>
              <w:rPr>
                <w:spacing w:val="-4"/>
              </w:rPr>
              <w:t xml:space="preserve"> %), druhý největší přírůstek měl vlivem zásobování zemním plynem import Ruska (+113,8 mld. korun, 74,9 %) a na třetí pozici bylo Německo </w:t>
            </w:r>
            <w:r>
              <w:rPr>
                <w:spacing w:val="-4"/>
              </w:rPr>
              <w:br/>
              <w:t xml:space="preserve">(+89,4 mld., 9,9 %). Silně rostl také import z Polska (+66,2 mld. korun, 19,4 %). Snaha </w:t>
            </w:r>
            <w:r>
              <w:rPr>
                <w:spacing w:val="-4"/>
              </w:rPr>
              <w:br/>
              <w:t xml:space="preserve">o snížení závislosti na Rusku u dovozu zemního plynu je patrná na prudkém růstu hodnoty dovozu z Norska (+38,3 mld. korun, dovoz se zvýšil pětinásobně) a Ázerbájdžánu </w:t>
            </w:r>
            <w:r>
              <w:rPr>
                <w:spacing w:val="-4"/>
              </w:rPr>
              <w:br/>
              <w:t>(+21,2 mld., 160,5 %)</w:t>
            </w:r>
            <w:r>
              <w:rPr>
                <w:rStyle w:val="Znakapoznpodarou"/>
                <w:spacing w:val="-4"/>
              </w:rPr>
              <w:footnoteReference w:id="54"/>
            </w:r>
            <w:r>
              <w:rPr>
                <w:spacing w:val="-4"/>
              </w:rPr>
              <w:t xml:space="preserve">. Výraznější pokles byl zaznamenán jen u dovozu z Kazachstánu (−3,5 mld. korun, −20,4 %) a Ukrajiny (−2,4 mld., −6,4 %). Výrazné procentní nárůsty byly </w:t>
            </w:r>
            <w:r>
              <w:rPr>
                <w:spacing w:val="-4"/>
              </w:rPr>
              <w:lastRenderedPageBreak/>
              <w:t xml:space="preserve">loni zaznamenány také u dovozu ze Spojených arabských emirátů (87,7 %), Řecka (43,2 %), Bulharska (+40,8 %), Indie (40,7 %), Indonésie (40,5 %) nebo Izraele (30,0 %). V samotném 4. čtvrtletí se import zboží z EU zvýšil meziročně o 55,6 mld. korun (8,8 %) a dovoz mimo EU o 101,7 mld. (25,1 %). K největšímu meziročnímu navýšení došlo u importu z Číny (+46,0 mld. korun, 33,2 %) a Norska (+37,1 mld., hodnota dovozu se navýšila více než </w:t>
            </w:r>
            <w:r w:rsidR="00ED2525">
              <w:rPr>
                <w:spacing w:val="-4"/>
              </w:rPr>
              <w:t>jedenáctkrát</w:t>
            </w:r>
            <w:r>
              <w:rPr>
                <w:spacing w:val="-4"/>
              </w:rPr>
              <w:t>). Přírůstek dovozu z Norska byl zároveň doprovázen meziročním propadem u Ruska (−25,6 mld. korun, −48,0 %). Silně rostl také dovoz z Německa (+21,9 mld. korun, 9,8 %), Spojených států (+10,0 mld., 36,3 %), Polska (+9,3 mld., 10,2 %), Ázerbájdžánu (+6,2 mld., 139,2 %) a Velké Británie (+6,1 mld., 38,0 %).</w:t>
            </w:r>
          </w:p>
        </w:tc>
      </w:tr>
      <w:tr w:rsidR="00F53917" w:rsidRPr="009110F7" w14:paraId="72061DED" w14:textId="77777777" w:rsidTr="52944939">
        <w:trPr>
          <w:trHeight w:val="145"/>
        </w:trPr>
        <w:tc>
          <w:tcPr>
            <w:tcW w:w="1748" w:type="dxa"/>
            <w:shd w:val="clear" w:color="auto" w:fill="auto"/>
            <w:tcMar>
              <w:left w:w="0" w:type="dxa"/>
            </w:tcMar>
          </w:tcPr>
          <w:p w14:paraId="2DA6AA8C" w14:textId="77777777" w:rsidR="00F53917" w:rsidRDefault="00F53917" w:rsidP="00163868">
            <w:pPr>
              <w:pStyle w:val="Marginlie"/>
            </w:pPr>
            <w:r>
              <w:lastRenderedPageBreak/>
              <w:t xml:space="preserve">Dovoz zboží se zvyšoval zejména vlivem ropy </w:t>
            </w:r>
            <w:r>
              <w:br/>
              <w:t>a zemního plynu. Ve druhé polovině roku prudce posílil import elektrických zařízení.</w:t>
            </w:r>
          </w:p>
        </w:tc>
        <w:tc>
          <w:tcPr>
            <w:tcW w:w="221" w:type="dxa"/>
            <w:shd w:val="clear" w:color="auto" w:fill="auto"/>
            <w:tcMar>
              <w:left w:w="0" w:type="dxa"/>
            </w:tcMar>
          </w:tcPr>
          <w:p w14:paraId="6DE97BB9" w14:textId="77777777" w:rsidR="00F53917" w:rsidRDefault="00F53917" w:rsidP="00163868">
            <w:pPr>
              <w:pStyle w:val="Textpoznpodarou"/>
              <w:jc w:val="both"/>
              <w:rPr>
                <w:spacing w:val="-4"/>
              </w:rPr>
            </w:pPr>
          </w:p>
        </w:tc>
        <w:tc>
          <w:tcPr>
            <w:tcW w:w="7670" w:type="dxa"/>
            <w:shd w:val="clear" w:color="auto" w:fill="auto"/>
            <w:tcMar>
              <w:left w:w="0" w:type="dxa"/>
            </w:tcMar>
          </w:tcPr>
          <w:p w14:paraId="313C5142" w14:textId="43B8EF26" w:rsidR="00F53917" w:rsidRDefault="00F53917" w:rsidP="00163868">
            <w:pPr>
              <w:spacing w:after="180"/>
            </w:pPr>
            <w:r>
              <w:rPr>
                <w:spacing w:val="-4"/>
              </w:rPr>
              <w:t>V roce 202</w:t>
            </w:r>
            <w:r w:rsidR="12650F4E">
              <w:rPr>
                <w:spacing w:val="-4"/>
              </w:rPr>
              <w:t>2</w:t>
            </w:r>
            <w:r>
              <w:rPr>
                <w:spacing w:val="-4"/>
              </w:rPr>
              <w:t xml:space="preserve"> nejvíce rostla hodnota dovozu ropy a zemního plynu (+190,0 mld. korun, 123,1 %). Zejména pod vlivem oživení ve druhé polovině roku se silně zvýšil také import elektrických zařízení (+8</w:t>
            </w:r>
            <w:r w:rsidR="00ED2525">
              <w:rPr>
                <w:spacing w:val="-4"/>
              </w:rPr>
              <w:t>9</w:t>
            </w:r>
            <w:r>
              <w:rPr>
                <w:spacing w:val="-4"/>
              </w:rPr>
              <w:t xml:space="preserve">,7 mld. korun, 26,0 %). Výrazné přírůstky byly zaznamenány také u dovozu základních kovů (+57,1 mld. korun, 17,7 %), chemických látek a přípravků (+52,1 mld., 15,2 %), motorových vozidel (+66,0 mld., 12,8 %), koksu a rafinovaných ropných výrobků (+38,2 mld., 55,2 %), potravinářských výrobků (+35,8 mld., 20,7 %), strojů a zařízení (+32,5 mld., 8,9 %) nebo kovodělných výrobků (+22,1 mld., 12,6 %). </w:t>
            </w:r>
            <w:r>
              <w:rPr>
                <w:spacing w:val="-4"/>
              </w:rPr>
              <w:br/>
              <w:t xml:space="preserve">U většiny z vyjmenovaných položek stimulovala přírůstky hlavně změna cen. Společně s obnovením poptávky po fosilních palivech v souvislosti s energetickou krizí to byl i případ oživení importu černého a hnědého uhlí a lignitu (+17,2 mld. korun, 117,2 %) a elektřiny, plynu, páry a klimatizovaného vzduchu (+12,3 mld., 50,2 %). Ve 4. čtvrtletí se nejvíce meziročně zvyšoval import elektrických zařízení (+44,8 mld. korun, 50,9 %), motorových vozidel (+31,1 mld., 25,0 %) a ropy a zemního plynu (+28,7 mld., 52,4 %), u kterého ale pokračoval útlum dynamiky (šlo o nejnižší přírůstek od 3. kvartálu 2021). Výrazný byl také nárůst u strojů a zařízení (+12,4 mld. korun, 13,1 %), potravinářských výrobků (+8,9 mld., 18,3 %), koksu a rafinovaných ropných výrobků (+6,1 mld., 29,5 %), kovodělných výrobků (+5,7 mld., 12,6 %) a chemických látek a přípravků (+5,3 mld., 6,0 %). Nejvíce meziročně klesl dovoz základních kovů (−5,3 mld., −6,0 %) a elektřiny, plynu, páry a klimatizovaného vzduchu (−1,4 mld., −14,5 %).       </w:t>
            </w:r>
          </w:p>
        </w:tc>
      </w:tr>
      <w:tr w:rsidR="00F53917" w:rsidRPr="009110F7" w14:paraId="75B65A82" w14:textId="77777777" w:rsidTr="52944939">
        <w:trPr>
          <w:trHeight w:val="145"/>
        </w:trPr>
        <w:tc>
          <w:tcPr>
            <w:tcW w:w="1748" w:type="dxa"/>
            <w:shd w:val="clear" w:color="auto" w:fill="auto"/>
            <w:tcMar>
              <w:left w:w="0" w:type="dxa"/>
            </w:tcMar>
          </w:tcPr>
          <w:p w14:paraId="6FB6FBD7" w14:textId="77777777" w:rsidR="00F53917" w:rsidRDefault="00F53917" w:rsidP="00163868">
            <w:pPr>
              <w:pStyle w:val="Marginlie"/>
            </w:pPr>
            <w:r>
              <w:t>Celková bilance zahraničního obchodu se zbožím loni skončila v hlubokém deficitu.</w:t>
            </w:r>
          </w:p>
        </w:tc>
        <w:tc>
          <w:tcPr>
            <w:tcW w:w="221" w:type="dxa"/>
            <w:shd w:val="clear" w:color="auto" w:fill="auto"/>
            <w:tcMar>
              <w:left w:w="0" w:type="dxa"/>
            </w:tcMar>
          </w:tcPr>
          <w:p w14:paraId="59E852ED" w14:textId="77777777" w:rsidR="00F53917" w:rsidRDefault="00F53917" w:rsidP="00163868">
            <w:pPr>
              <w:pStyle w:val="Textpoznpodarou"/>
              <w:jc w:val="both"/>
              <w:rPr>
                <w:spacing w:val="-4"/>
              </w:rPr>
            </w:pPr>
          </w:p>
        </w:tc>
        <w:tc>
          <w:tcPr>
            <w:tcW w:w="7670" w:type="dxa"/>
            <w:shd w:val="clear" w:color="auto" w:fill="auto"/>
            <w:tcMar>
              <w:left w:w="0" w:type="dxa"/>
            </w:tcMar>
          </w:tcPr>
          <w:p w14:paraId="40C2369F" w14:textId="77777777" w:rsidR="00F53917" w:rsidRPr="00AF6F98" w:rsidRDefault="00F53917" w:rsidP="00163868">
            <w:pPr>
              <w:spacing w:after="180"/>
              <w:rPr>
                <w:spacing w:val="-4"/>
              </w:rPr>
            </w:pPr>
            <w:r>
              <w:rPr>
                <w:spacing w:val="-4"/>
              </w:rPr>
              <w:t xml:space="preserve">Bilance zahraničního obchodu se zbožím skončila loni v deficitu 199,7 mld. korun. Šlo o druhý celoroční schodek v řadě a deficit se zhoršil o 190,5 mld. korun. Bilance byla záporná ve všech loňských čtvrtletích a ve 4. kvartálu dosáhla šestého schodku v řadě, tentokrát ve výši 50,4 mld. korun. Schodek byl meziročně horší o 21,1 mld. korun. Sezónně očištěné údaje ale ukazují, že se bilance druhý kvartál v řadě mezičtvrtletně zlepšovala. </w:t>
            </w:r>
          </w:p>
        </w:tc>
      </w:tr>
      <w:tr w:rsidR="00F53917" w:rsidRPr="009110F7" w14:paraId="5823B1B1" w14:textId="77777777" w:rsidTr="52944939">
        <w:trPr>
          <w:trHeight w:val="145"/>
        </w:trPr>
        <w:tc>
          <w:tcPr>
            <w:tcW w:w="1748" w:type="dxa"/>
            <w:shd w:val="clear" w:color="auto" w:fill="auto"/>
            <w:tcMar>
              <w:left w:w="0" w:type="dxa"/>
            </w:tcMar>
          </w:tcPr>
          <w:p w14:paraId="6FBB2AE1" w14:textId="77777777" w:rsidR="00F53917" w:rsidRDefault="00F53917" w:rsidP="00163868">
            <w:pPr>
              <w:pStyle w:val="Marginlie"/>
            </w:pPr>
            <w:r>
              <w:t>Na zhoršení bilance měl vliv růst cen surovin. To také souviselo s prohloubením schodku obchodu se zeměmi mimo EU.</w:t>
            </w:r>
          </w:p>
        </w:tc>
        <w:tc>
          <w:tcPr>
            <w:tcW w:w="221" w:type="dxa"/>
            <w:shd w:val="clear" w:color="auto" w:fill="auto"/>
            <w:tcMar>
              <w:left w:w="0" w:type="dxa"/>
            </w:tcMar>
          </w:tcPr>
          <w:p w14:paraId="7A68EB1A" w14:textId="77777777" w:rsidR="00F53917" w:rsidRDefault="00F53917" w:rsidP="00163868">
            <w:pPr>
              <w:pStyle w:val="Textpoznpodarou"/>
              <w:jc w:val="both"/>
              <w:rPr>
                <w:spacing w:val="-4"/>
              </w:rPr>
            </w:pPr>
          </w:p>
        </w:tc>
        <w:tc>
          <w:tcPr>
            <w:tcW w:w="7670" w:type="dxa"/>
            <w:shd w:val="clear" w:color="auto" w:fill="auto"/>
            <w:tcMar>
              <w:left w:w="0" w:type="dxa"/>
            </w:tcMar>
          </w:tcPr>
          <w:p w14:paraId="26103DE8" w14:textId="77777777" w:rsidR="00F53917" w:rsidRDefault="00F53917" w:rsidP="00163868">
            <w:pPr>
              <w:spacing w:after="180"/>
              <w:rPr>
                <w:spacing w:val="-4"/>
              </w:rPr>
            </w:pPr>
            <w:r>
              <w:rPr>
                <w:spacing w:val="-4"/>
              </w:rPr>
              <w:t xml:space="preserve">Zhoršení bilance zahraničního obchodu se zbožím šlo loni zcela na vrub obchodu se zeměmi mimo EU (prohloubení deficitu o 355,5 mld. korun). Ani rekordní zlepšení bilance obchodu s EU o 168,4 mld. korun tak nestačilo k udržení celkového přebytku. Ve směru zhoršení bilance loni nejvíce působil obchod s Ruskem (−162,1 mld. korun), Čínou (−127,2 mld.), Norskem (−34,0 mld.), Polskem (−27,9 mld.) a Ázerbájdžánem (−19,9 mld.). Naopak se zlepšovalo saldo v případě obchodu s Německem (+81,2 mld. korun), Slovenskem (+46,4 mld.), Itálií (+15,5 mld.), Španělskem (+11,2 mld.), Maďarskem (+11,1 mld.) nebo Kazachstánem (+10,9 mld.). V samotném 4. čtvrtletí se nejvíce meziročně zhoršila bilance obchodu s Čínou (−46,8 mld. korun) a Norskem (−35,5 mld.). Menší propady pak byly zaznamenány u obchodu se Spojenými státy (−6,3 mld. korun), Ázerbájdžánem (−5,7 mld.) nebo Jižní Koreou (−4,9 mld.). Výrazně lepší byl výsledek zahraničního obchodu v případě Německa (+19,8 mld. korun) a Ruska (13,7 mld.). Ve směru přebytku působil také obchod s Itálií (+6,5 mld. korun), Španělskem (+6,3 mld.), Slovenskem (+5,1 mld.), Kazachstánem (+5,1 mld.), Švýcarskem (+5,1 mld.), Rakouskem (+4,5 mld.) nebo Francií (+4,3 mld.).    </w:t>
            </w:r>
          </w:p>
        </w:tc>
      </w:tr>
      <w:tr w:rsidR="00F53917" w:rsidRPr="009110F7" w14:paraId="6E599C6B" w14:textId="77777777" w:rsidTr="52944939">
        <w:trPr>
          <w:trHeight w:val="145"/>
        </w:trPr>
        <w:tc>
          <w:tcPr>
            <w:tcW w:w="1748" w:type="dxa"/>
            <w:shd w:val="clear" w:color="auto" w:fill="auto"/>
            <w:tcMar>
              <w:left w:w="0" w:type="dxa"/>
            </w:tcMar>
          </w:tcPr>
          <w:p w14:paraId="6C64A6EB" w14:textId="77777777" w:rsidR="00F53917" w:rsidRDefault="00F53917" w:rsidP="00163868">
            <w:pPr>
              <w:pStyle w:val="Marginlie"/>
            </w:pPr>
            <w:r>
              <w:t xml:space="preserve">Obchod s ropou </w:t>
            </w:r>
            <w:r>
              <w:br/>
              <w:t xml:space="preserve">a zemním plynem byl hlavním důvodem zhoršení salda </w:t>
            </w:r>
            <w:r>
              <w:lastRenderedPageBreak/>
              <w:t>zahraničního obchodu se zbožím.</w:t>
            </w:r>
          </w:p>
        </w:tc>
        <w:tc>
          <w:tcPr>
            <w:tcW w:w="221" w:type="dxa"/>
            <w:shd w:val="clear" w:color="auto" w:fill="auto"/>
            <w:tcMar>
              <w:left w:w="0" w:type="dxa"/>
            </w:tcMar>
          </w:tcPr>
          <w:p w14:paraId="6C647A7B" w14:textId="77777777" w:rsidR="00F53917" w:rsidRDefault="00F53917" w:rsidP="00163868">
            <w:pPr>
              <w:pStyle w:val="Textpoznpodarou"/>
              <w:jc w:val="both"/>
              <w:rPr>
                <w:spacing w:val="-4"/>
              </w:rPr>
            </w:pPr>
          </w:p>
        </w:tc>
        <w:tc>
          <w:tcPr>
            <w:tcW w:w="7670" w:type="dxa"/>
            <w:shd w:val="clear" w:color="auto" w:fill="auto"/>
            <w:tcMar>
              <w:left w:w="0" w:type="dxa"/>
            </w:tcMar>
          </w:tcPr>
          <w:p w14:paraId="65BBBD4A" w14:textId="77777777" w:rsidR="00F53917" w:rsidRDefault="00F53917" w:rsidP="00163868">
            <w:pPr>
              <w:spacing w:after="180"/>
              <w:rPr>
                <w:spacing w:val="-4"/>
              </w:rPr>
            </w:pPr>
            <w:r>
              <w:rPr>
                <w:spacing w:val="-4"/>
              </w:rPr>
              <w:t xml:space="preserve">Loni se nejvíce zhoršila bilance obchodu s ropou a zemním plynem (−177,0 mld. korun) a dále se základními kovy (−29,6 mld.), elektrickými zařízeními (−23,0 mld.), koksem a rafinovanými ropnými výrobky (−22,8 mld.) a chemickými látkami a přípravky (−17,6 mld.). </w:t>
            </w:r>
            <w:r>
              <w:rPr>
                <w:spacing w:val="-4"/>
              </w:rPr>
              <w:lastRenderedPageBreak/>
              <w:t xml:space="preserve">Negativní vliv na celkovou bilanci měly i obchod s černým a hnědým uhlím </w:t>
            </w:r>
            <w:r>
              <w:rPr>
                <w:spacing w:val="-4"/>
              </w:rPr>
              <w:br/>
              <w:t xml:space="preserve">a lignitem (−14,0 mld. korun), oděvy (−9,8 mld.), potravinářskými výrobky (−6,3 mld.), ostatními výrobky zpracovatelského průmyslu (−4,7 mld.), ostatními dopravními prostředky (−4,6 mld.) nebo usněmi a souvisejícími výrobky (−4,5 mld.). Zlepšení bilance se naopak událo v případě obchodu s elektřinou, plynem, párou a klimatizovaným vzduchem (+46,6 mld. korun), motorovými vozidly (+35,4 mld.), kovodělnými výrobky (+10,0 mld.) nebo produkty zemědělství a myslivosti (+7,9 mld.). </w:t>
            </w:r>
          </w:p>
        </w:tc>
      </w:tr>
      <w:tr w:rsidR="00F53917" w:rsidRPr="009110F7" w14:paraId="7B223ABE" w14:textId="77777777" w:rsidTr="52944939">
        <w:trPr>
          <w:trHeight w:val="145"/>
        </w:trPr>
        <w:tc>
          <w:tcPr>
            <w:tcW w:w="1748" w:type="dxa"/>
            <w:shd w:val="clear" w:color="auto" w:fill="auto"/>
            <w:tcMar>
              <w:left w:w="0" w:type="dxa"/>
            </w:tcMar>
          </w:tcPr>
          <w:p w14:paraId="7ED29B38" w14:textId="77777777" w:rsidR="00F53917" w:rsidRDefault="00F53917" w:rsidP="00163868">
            <w:pPr>
              <w:pStyle w:val="Marginlie"/>
            </w:pPr>
            <w:r>
              <w:lastRenderedPageBreak/>
              <w:t>Na konci roku bilanci zhoršoval obchod s ropou a zemním plynem a elektrickými zařízeními.</w:t>
            </w:r>
          </w:p>
        </w:tc>
        <w:tc>
          <w:tcPr>
            <w:tcW w:w="221" w:type="dxa"/>
            <w:shd w:val="clear" w:color="auto" w:fill="auto"/>
            <w:tcMar>
              <w:left w:w="0" w:type="dxa"/>
            </w:tcMar>
          </w:tcPr>
          <w:p w14:paraId="7099B857" w14:textId="77777777" w:rsidR="00F53917" w:rsidRDefault="00F53917" w:rsidP="00163868">
            <w:pPr>
              <w:pStyle w:val="Textpoznpodarou"/>
              <w:jc w:val="both"/>
              <w:rPr>
                <w:spacing w:val="-4"/>
              </w:rPr>
            </w:pPr>
          </w:p>
        </w:tc>
        <w:tc>
          <w:tcPr>
            <w:tcW w:w="7670" w:type="dxa"/>
            <w:shd w:val="clear" w:color="auto" w:fill="auto"/>
            <w:tcMar>
              <w:left w:w="0" w:type="dxa"/>
            </w:tcMar>
          </w:tcPr>
          <w:p w14:paraId="5441CB54" w14:textId="77777777" w:rsidR="00F53917" w:rsidRDefault="00F53917" w:rsidP="00163868">
            <w:pPr>
              <w:spacing w:after="180"/>
              <w:rPr>
                <w:spacing w:val="-4"/>
              </w:rPr>
            </w:pPr>
            <w:r>
              <w:rPr>
                <w:spacing w:val="-4"/>
              </w:rPr>
              <w:t xml:space="preserve">Ve 4. čtvrtletí se meziročně nejvíce zhoršilo saldo obchodu s ropou a zemním plynem (−24,6 mld. korun) a elektrickými zařízeními (−15,2 mld.). Prohloubil se i schodek u koksu a rafinovaných ropných výrobků (−3,9 mld. korun), chemických látek a přípravků </w:t>
            </w:r>
            <w:r>
              <w:rPr>
                <w:spacing w:val="-4"/>
              </w:rPr>
              <w:br/>
              <w:t xml:space="preserve">(−2,8 mld.) nebo oděvů (−2,2 mld.). Zmírnil se i přebytek obchodu s elektřinou, plynem, párou a klimatizovaným vzduchem (−2,5 mld. korun). Bilance se zlepšovala u menšiny výrobků. Výrazné meziroční posílení bilance bylo ve 4. čtvrtletí zaznamenáno u obchodu s motorovými vozidly (+14,0 mld. korun) a počítači, elektronickými a optickými přístroji a zařízeními (+10,4 mld. korun). Ve směru zlepšení celkové bilance působil také obchod se stroji a zařízeními (+6,7 mld. korun) nebo základními kovy (+2,9 mld.).    </w:t>
            </w:r>
          </w:p>
        </w:tc>
      </w:tr>
      <w:tr w:rsidR="00F53917" w:rsidRPr="009110F7" w14:paraId="553A28BB" w14:textId="77777777" w:rsidTr="52944939">
        <w:trPr>
          <w:trHeight w:val="106"/>
        </w:trPr>
        <w:tc>
          <w:tcPr>
            <w:tcW w:w="1748" w:type="dxa"/>
            <w:vMerge w:val="restart"/>
            <w:shd w:val="clear" w:color="auto" w:fill="auto"/>
            <w:tcMar>
              <w:left w:w="0" w:type="dxa"/>
            </w:tcMar>
          </w:tcPr>
          <w:p w14:paraId="6B347412" w14:textId="77777777" w:rsidR="00F53917" w:rsidRDefault="00F53917" w:rsidP="00163868">
            <w:pPr>
              <w:pStyle w:val="Marginlie"/>
            </w:pPr>
          </w:p>
        </w:tc>
        <w:tc>
          <w:tcPr>
            <w:tcW w:w="221" w:type="dxa"/>
            <w:vMerge w:val="restart"/>
            <w:shd w:val="clear" w:color="auto" w:fill="auto"/>
            <w:tcMar>
              <w:left w:w="0" w:type="dxa"/>
            </w:tcMar>
          </w:tcPr>
          <w:p w14:paraId="5655C9DA" w14:textId="77777777" w:rsidR="00F53917" w:rsidRDefault="00F53917" w:rsidP="00163868">
            <w:pPr>
              <w:pStyle w:val="Textpoznpodarou"/>
              <w:jc w:val="both"/>
              <w:rPr>
                <w:spacing w:val="-4"/>
              </w:rPr>
            </w:pPr>
          </w:p>
        </w:tc>
        <w:tc>
          <w:tcPr>
            <w:tcW w:w="7670" w:type="dxa"/>
            <w:shd w:val="clear" w:color="auto" w:fill="auto"/>
            <w:tcMar>
              <w:left w:w="0" w:type="dxa"/>
            </w:tcMar>
          </w:tcPr>
          <w:p w14:paraId="342D9F04" w14:textId="77777777" w:rsidR="00F53917" w:rsidRPr="00D75AC1" w:rsidRDefault="00F53917" w:rsidP="00163868">
            <w:pPr>
              <w:spacing w:after="0"/>
              <w:rPr>
                <w:spacing w:val="-4"/>
                <w:szCs w:val="20"/>
              </w:rPr>
            </w:pPr>
            <w:r w:rsidRPr="00D75AC1">
              <w:rPr>
                <w:rFonts w:cs="Arial"/>
                <w:b/>
                <w:bCs/>
                <w:color w:val="000000"/>
                <w:szCs w:val="20"/>
              </w:rPr>
              <w:t>Graf č.</w:t>
            </w:r>
            <w:r>
              <w:rPr>
                <w:rFonts w:cs="Arial"/>
                <w:b/>
                <w:bCs/>
                <w:color w:val="000000"/>
                <w:szCs w:val="20"/>
              </w:rPr>
              <w:t xml:space="preserve"> 10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celého roku</w:t>
            </w:r>
            <w:r w:rsidRPr="00D75AC1">
              <w:rPr>
                <w:spacing w:val="-4"/>
                <w:szCs w:val="20"/>
              </w:rPr>
              <w:t>, v mld.</w:t>
            </w:r>
            <w:r>
              <w:rPr>
                <w:spacing w:val="-4"/>
                <w:szCs w:val="20"/>
              </w:rPr>
              <w:t xml:space="preserve"> </w:t>
            </w:r>
            <w:r w:rsidRPr="00D75AC1">
              <w:rPr>
                <w:spacing w:val="-4"/>
                <w:szCs w:val="20"/>
              </w:rPr>
              <w:t>korun, vybrané oddíly klasifikace CPA)</w:t>
            </w:r>
          </w:p>
        </w:tc>
      </w:tr>
      <w:tr w:rsidR="00F53917" w:rsidRPr="009110F7" w14:paraId="67DA8923" w14:textId="77777777" w:rsidTr="52944939">
        <w:tblPrEx>
          <w:tblCellMar>
            <w:left w:w="70" w:type="dxa"/>
            <w:right w:w="70" w:type="dxa"/>
          </w:tblCellMar>
        </w:tblPrEx>
        <w:trPr>
          <w:trHeight w:val="106"/>
        </w:trPr>
        <w:tc>
          <w:tcPr>
            <w:tcW w:w="1748" w:type="dxa"/>
            <w:vMerge/>
          </w:tcPr>
          <w:p w14:paraId="33396454" w14:textId="77777777" w:rsidR="00F53917" w:rsidRDefault="00F53917" w:rsidP="00163868">
            <w:pPr>
              <w:pStyle w:val="Marginlie"/>
            </w:pPr>
          </w:p>
        </w:tc>
        <w:tc>
          <w:tcPr>
            <w:tcW w:w="221" w:type="dxa"/>
            <w:vMerge/>
          </w:tcPr>
          <w:p w14:paraId="3BCAAE8D" w14:textId="77777777" w:rsidR="00F53917" w:rsidRDefault="00F53917" w:rsidP="00163868">
            <w:pPr>
              <w:pStyle w:val="Textpoznpodarou"/>
              <w:jc w:val="both"/>
              <w:rPr>
                <w:spacing w:val="-4"/>
              </w:rPr>
            </w:pPr>
          </w:p>
        </w:tc>
        <w:tc>
          <w:tcPr>
            <w:tcW w:w="7670" w:type="dxa"/>
            <w:shd w:val="clear" w:color="auto" w:fill="auto"/>
          </w:tcPr>
          <w:p w14:paraId="69972E5D" w14:textId="77777777" w:rsidR="00F53917" w:rsidRPr="00AF6F98" w:rsidRDefault="00F53917" w:rsidP="00163868">
            <w:pPr>
              <w:spacing w:after="0"/>
            </w:pPr>
            <w:r>
              <w:rPr>
                <w:noProof/>
              </w:rPr>
              <w:drawing>
                <wp:inline distT="0" distB="0" distL="0" distR="0" wp14:anchorId="723C2E48" wp14:editId="09C87247">
                  <wp:extent cx="4771467" cy="3301500"/>
                  <wp:effectExtent l="0" t="0" r="0" b="0"/>
                  <wp:docPr id="20" name="Graf 2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53917" w:rsidRPr="009110F7" w14:paraId="60DAB82F" w14:textId="77777777" w:rsidTr="52944939">
        <w:trPr>
          <w:trHeight w:val="106"/>
        </w:trPr>
        <w:tc>
          <w:tcPr>
            <w:tcW w:w="1748" w:type="dxa"/>
            <w:vMerge/>
            <w:tcMar>
              <w:left w:w="0" w:type="dxa"/>
            </w:tcMar>
          </w:tcPr>
          <w:p w14:paraId="45CBFE5F" w14:textId="77777777" w:rsidR="00F53917" w:rsidRDefault="00F53917" w:rsidP="00163868">
            <w:pPr>
              <w:pStyle w:val="Marginlie"/>
            </w:pPr>
          </w:p>
        </w:tc>
        <w:tc>
          <w:tcPr>
            <w:tcW w:w="221" w:type="dxa"/>
            <w:vMerge/>
            <w:tcMar>
              <w:left w:w="0" w:type="dxa"/>
            </w:tcMar>
          </w:tcPr>
          <w:p w14:paraId="3DEA699D" w14:textId="77777777" w:rsidR="00F53917" w:rsidRDefault="00F53917" w:rsidP="00163868">
            <w:pPr>
              <w:pStyle w:val="Textpoznpodarou"/>
              <w:jc w:val="both"/>
              <w:rPr>
                <w:spacing w:val="-4"/>
              </w:rPr>
            </w:pPr>
          </w:p>
        </w:tc>
        <w:tc>
          <w:tcPr>
            <w:tcW w:w="7670" w:type="dxa"/>
            <w:shd w:val="clear" w:color="auto" w:fill="auto"/>
            <w:tcMar>
              <w:left w:w="0" w:type="dxa"/>
            </w:tcMar>
          </w:tcPr>
          <w:p w14:paraId="64E28379" w14:textId="77777777" w:rsidR="00F53917" w:rsidRPr="00AF6F98" w:rsidRDefault="00F53917" w:rsidP="00163868">
            <w:pPr>
              <w:spacing w:after="0"/>
              <w:rPr>
                <w:spacing w:val="-4"/>
              </w:rPr>
            </w:pPr>
            <w:r>
              <w:rPr>
                <w:sz w:val="14"/>
                <w:szCs w:val="14"/>
              </w:rPr>
              <w:t>Zdroj: ČSÚ</w:t>
            </w:r>
          </w:p>
        </w:tc>
      </w:tr>
      <w:bookmarkEnd w:id="29"/>
      <w:bookmarkEnd w:id="30"/>
      <w:bookmarkEnd w:id="31"/>
    </w:tbl>
    <w:p w14:paraId="41D8CD3F" w14:textId="77777777" w:rsidR="00F53917" w:rsidRPr="00E42054" w:rsidRDefault="00F53917" w:rsidP="00F53917">
      <w:pPr>
        <w:pStyle w:val="Nadpis11"/>
        <w:rPr>
          <w:b w:val="0"/>
          <w:sz w:val="2"/>
          <w:szCs w:val="2"/>
        </w:rPr>
      </w:pPr>
    </w:p>
    <w:p w14:paraId="3546D27D" w14:textId="77777777" w:rsidR="00F53917" w:rsidRPr="000F45E7" w:rsidRDefault="00F53917" w:rsidP="00F53917">
      <w:pPr>
        <w:pStyle w:val="Nadpis11"/>
        <w:spacing w:after="0"/>
        <w:rPr>
          <w:b w:val="0"/>
          <w:sz w:val="2"/>
          <w:szCs w:val="2"/>
        </w:rPr>
      </w:pPr>
    </w:p>
    <w:p w14:paraId="7905CEC3" w14:textId="77777777" w:rsidR="00F53917" w:rsidRPr="00E42054" w:rsidRDefault="00F53917" w:rsidP="00F53917">
      <w:pPr>
        <w:pStyle w:val="Nadpis11"/>
        <w:rPr>
          <w:b w:val="0"/>
          <w:sz w:val="2"/>
          <w:szCs w:val="2"/>
        </w:rPr>
      </w:pPr>
    </w:p>
    <w:p w14:paraId="6EDA085F" w14:textId="77777777" w:rsidR="00F53917" w:rsidRPr="00E42054" w:rsidRDefault="00F53917" w:rsidP="00F53917">
      <w:pPr>
        <w:pStyle w:val="Nadpis11"/>
        <w:rPr>
          <w:b w:val="0"/>
          <w:sz w:val="2"/>
          <w:szCs w:val="2"/>
        </w:rPr>
      </w:pPr>
    </w:p>
    <w:p w14:paraId="3D801654" w14:textId="77777777" w:rsidR="00F53917" w:rsidRPr="00E42054" w:rsidRDefault="00F53917" w:rsidP="00F53917">
      <w:pPr>
        <w:spacing w:after="0" w:line="240" w:lineRule="auto"/>
        <w:jc w:val="left"/>
        <w:rPr>
          <w:b/>
          <w:sz w:val="2"/>
          <w:szCs w:val="2"/>
        </w:rPr>
      </w:pPr>
    </w:p>
    <w:p w14:paraId="5036A71F" w14:textId="77777777" w:rsidR="00F53917" w:rsidRDefault="00F53917">
      <w:pPr>
        <w:spacing w:after="0" w:line="240" w:lineRule="auto"/>
        <w:jc w:val="left"/>
        <w:rPr>
          <w:rFonts w:eastAsia="MS Gothic"/>
          <w:b/>
          <w:bCs/>
          <w:color w:val="71818C"/>
          <w:sz w:val="32"/>
          <w:szCs w:val="28"/>
        </w:rPr>
      </w:pPr>
      <w:r>
        <w:br w:type="page"/>
      </w:r>
    </w:p>
    <w:p w14:paraId="0B1E4E68" w14:textId="77777777" w:rsidR="0087722C" w:rsidRPr="009110F7" w:rsidRDefault="0087722C" w:rsidP="0087722C">
      <w:pPr>
        <w:pStyle w:val="Nadpis11"/>
      </w:pPr>
      <w:bookmarkStart w:id="32" w:name="_Toc114134050"/>
      <w:bookmarkStart w:id="33" w:name="_Toc130286020"/>
      <w:bookmarkEnd w:id="15"/>
      <w:bookmarkEnd w:id="16"/>
      <w:bookmarkEnd w:id="17"/>
      <w:bookmarkEnd w:id="18"/>
      <w:bookmarkEnd w:id="19"/>
      <w:bookmarkEnd w:id="20"/>
      <w:r w:rsidRPr="009110F7">
        <w:lastRenderedPageBreak/>
        <w:t>5</w:t>
      </w:r>
      <w:r>
        <w:t>. </w:t>
      </w:r>
      <w:r w:rsidRPr="009110F7">
        <w:t>Ceny</w:t>
      </w:r>
      <w:bookmarkEnd w:id="33"/>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87722C" w:rsidRPr="009110F7" w14:paraId="4E5D24DA" w14:textId="77777777" w:rsidTr="52944939">
        <w:trPr>
          <w:trHeight w:val="145"/>
        </w:trPr>
        <w:tc>
          <w:tcPr>
            <w:tcW w:w="1804" w:type="dxa"/>
            <w:shd w:val="clear" w:color="auto" w:fill="auto"/>
            <w:tcMar>
              <w:left w:w="0" w:type="dxa"/>
            </w:tcMar>
          </w:tcPr>
          <w:p w14:paraId="24B2AFD1" w14:textId="77777777" w:rsidR="0087722C" w:rsidRPr="00793D78" w:rsidRDefault="0087722C" w:rsidP="00163868">
            <w:pPr>
              <w:pStyle w:val="Marginlie"/>
              <w:rPr>
                <w:spacing w:val="0"/>
              </w:rPr>
            </w:pPr>
            <w:r>
              <w:rPr>
                <w:spacing w:val="0"/>
              </w:rPr>
              <w:t>Celková cenová hladina v ekonomice loni prudce vzrostla.</w:t>
            </w:r>
          </w:p>
        </w:tc>
        <w:tc>
          <w:tcPr>
            <w:tcW w:w="224" w:type="dxa"/>
            <w:shd w:val="clear" w:color="auto" w:fill="auto"/>
            <w:tcMar>
              <w:left w:w="0" w:type="dxa"/>
            </w:tcMar>
          </w:tcPr>
          <w:p w14:paraId="760FBC10" w14:textId="77777777" w:rsidR="0087722C" w:rsidRPr="00793D78" w:rsidRDefault="0087722C" w:rsidP="00163868">
            <w:pPr>
              <w:pStyle w:val="Textpoznpodarou1"/>
              <w:jc w:val="both"/>
            </w:pPr>
          </w:p>
        </w:tc>
        <w:tc>
          <w:tcPr>
            <w:tcW w:w="7611" w:type="dxa"/>
            <w:shd w:val="clear" w:color="auto" w:fill="auto"/>
            <w:tcMar>
              <w:left w:w="0" w:type="dxa"/>
            </w:tcMar>
          </w:tcPr>
          <w:p w14:paraId="54AEBB88" w14:textId="77777777" w:rsidR="0087722C" w:rsidRPr="00793D78" w:rsidRDefault="0087722C" w:rsidP="00163868">
            <w:pPr>
              <w:rPr>
                <w:szCs w:val="20"/>
              </w:rPr>
            </w:pPr>
            <w:r>
              <w:rPr>
                <w:szCs w:val="20"/>
              </w:rPr>
              <w:t xml:space="preserve">Celková cenová hladina v české ekonomice měřená deflátorem HDP v roce 2022 vzrostla o 8,4 %. To je největší nárůst od roku 1998. Ceny spotřebních statků byly vyšší o 11,9 %, přičemž panovaly výrazné rozdíly mezi spotřebou domácností (navýšení cenové hladiny o 16,3 %) a vládních institucí (3,3 %). Ceny kapitálových statků byly loni vyšší o 12,0 %. Směnné relace byly záporné a dosáhly 95,8 %. Směnné relace obchodu se zbožím činily 94,8 %, zatímco u služeb byly kladné a dosáhly 102,4 %. V průběhu roku meziroční růst cenové hladiny posiloval a ve 4. čtvrtletí meziroční přírůstek cenové hladiny dosáhl 10,7 %. Z toho ceny spotřeby vzrostly o 12,7 % (u spotřeby domácností to bylo 18,0 %, u spotřeby vládních institucí 3,8 %). Ceny kapitálových statků se meziročně navýšily o 14,0 %. Směnné relace byly ve 4. čtvrtletí záporné (97,3 %) – směnné relace obchodu se zbožím dosáhly 96,9 % a v případě služeb to bylo 99,1 %. Mezičtvrtletně se cenová hladina snížila o 0,5 %. Ceny spotřeby byly oproti 3. čtvrtletí nižší o 0,9 %, ceny kapitálových statků stagnovaly (0,1 %) a mezičtvrtletní směnné relace byly mírně kladné (100,1 %).    </w:t>
            </w:r>
          </w:p>
        </w:tc>
      </w:tr>
      <w:tr w:rsidR="0087722C" w:rsidRPr="009110F7" w14:paraId="08869291" w14:textId="77777777" w:rsidTr="52944939">
        <w:trPr>
          <w:trHeight w:val="145"/>
        </w:trPr>
        <w:tc>
          <w:tcPr>
            <w:tcW w:w="1804" w:type="dxa"/>
            <w:shd w:val="clear" w:color="auto" w:fill="auto"/>
            <w:tcMar>
              <w:left w:w="0" w:type="dxa"/>
            </w:tcMar>
          </w:tcPr>
          <w:p w14:paraId="665B8DDE" w14:textId="77777777" w:rsidR="0087722C" w:rsidRPr="00793D78" w:rsidRDefault="0087722C" w:rsidP="00163868">
            <w:pPr>
              <w:pStyle w:val="Marginlie"/>
              <w:rPr>
                <w:spacing w:val="0"/>
              </w:rPr>
            </w:pPr>
            <w:r>
              <w:rPr>
                <w:spacing w:val="0"/>
              </w:rPr>
              <w:t>Spotřebitelské ceny rostly loni nejvíce od roku 1993.</w:t>
            </w:r>
          </w:p>
        </w:tc>
        <w:tc>
          <w:tcPr>
            <w:tcW w:w="224" w:type="dxa"/>
            <w:shd w:val="clear" w:color="auto" w:fill="auto"/>
            <w:tcMar>
              <w:left w:w="0" w:type="dxa"/>
            </w:tcMar>
          </w:tcPr>
          <w:p w14:paraId="615E7336" w14:textId="77777777" w:rsidR="0087722C" w:rsidRPr="00793D78" w:rsidRDefault="0087722C" w:rsidP="00163868">
            <w:pPr>
              <w:pStyle w:val="Textpoznpodarou1"/>
              <w:jc w:val="both"/>
              <w:rPr>
                <w:highlight w:val="yellow"/>
              </w:rPr>
            </w:pPr>
          </w:p>
        </w:tc>
        <w:tc>
          <w:tcPr>
            <w:tcW w:w="7611" w:type="dxa"/>
            <w:shd w:val="clear" w:color="auto" w:fill="auto"/>
            <w:tcMar>
              <w:left w:w="0" w:type="dxa"/>
            </w:tcMar>
          </w:tcPr>
          <w:p w14:paraId="7F76B83A" w14:textId="77777777" w:rsidR="0087722C" w:rsidRPr="000316FC" w:rsidRDefault="0087722C" w:rsidP="00163868">
            <w:r>
              <w:t xml:space="preserve">Index spotřebitelských cen v roce 2022 celkově vzrostl o 15,1 % a ve srovnání s rokem 2021 (3,8 %) jeho růst prudce zrychlil. Šlo o největší přírůstek od roku 1993. Růst cen byl loni plošný a v 7 ze 12 oddílů spotřebního koše byl dvouciferný. Největší vliv na cenový vývoj v loňském roce mělo zvyšování nákladů na bydlení, vodu, energie a paliva (bydlení a energie), které k celkovému přírůstku přispělo z třetiny. Druhý nejvyšší příspěvek měly potraviny a nealkoholické nápoje. U těch cenový růst akceleroval hlavně ve druhé polovině roku a soustředil se do oblasti nejzákladnějších potravin. Výrazný vliv mělo i silné navyšování cen dopravy a stravování a ubytování. Ceny zboží se loni úhrnem zvýšily o 16,8 % a služeb o 12,3 %. </w:t>
            </w:r>
          </w:p>
        </w:tc>
      </w:tr>
      <w:tr w:rsidR="0087722C" w:rsidRPr="009110F7" w14:paraId="4C5A2CCE" w14:textId="77777777" w:rsidTr="52944939">
        <w:trPr>
          <w:trHeight w:val="145"/>
        </w:trPr>
        <w:tc>
          <w:tcPr>
            <w:tcW w:w="1804" w:type="dxa"/>
            <w:shd w:val="clear" w:color="auto" w:fill="auto"/>
            <w:tcMar>
              <w:left w:w="0" w:type="dxa"/>
            </w:tcMar>
          </w:tcPr>
          <w:p w14:paraId="2DB18424" w14:textId="77777777" w:rsidR="0087722C" w:rsidRPr="00793D78" w:rsidRDefault="0087722C" w:rsidP="00163868">
            <w:pPr>
              <w:pStyle w:val="Marginlie"/>
              <w:rPr>
                <w:spacing w:val="0"/>
              </w:rPr>
            </w:pPr>
            <w:r>
              <w:rPr>
                <w:spacing w:val="0"/>
              </w:rPr>
              <w:t xml:space="preserve">Meziroční přírůstek spotřebitelských cen ve 4. čtvrtletí zmírnil. </w:t>
            </w:r>
          </w:p>
        </w:tc>
        <w:tc>
          <w:tcPr>
            <w:tcW w:w="224" w:type="dxa"/>
            <w:shd w:val="clear" w:color="auto" w:fill="auto"/>
            <w:tcMar>
              <w:left w:w="0" w:type="dxa"/>
            </w:tcMar>
          </w:tcPr>
          <w:p w14:paraId="0E272D27" w14:textId="77777777" w:rsidR="0087722C" w:rsidRPr="00793D78" w:rsidRDefault="0087722C" w:rsidP="00163868">
            <w:pPr>
              <w:pStyle w:val="Textpoznpodarou1"/>
              <w:jc w:val="both"/>
              <w:rPr>
                <w:highlight w:val="yellow"/>
              </w:rPr>
            </w:pPr>
          </w:p>
        </w:tc>
        <w:tc>
          <w:tcPr>
            <w:tcW w:w="7611" w:type="dxa"/>
            <w:shd w:val="clear" w:color="auto" w:fill="auto"/>
            <w:tcMar>
              <w:left w:w="0" w:type="dxa"/>
            </w:tcMar>
          </w:tcPr>
          <w:p w14:paraId="0FFBDD01" w14:textId="0507327E" w:rsidR="0087722C" w:rsidRDefault="0087722C" w:rsidP="00163868">
            <w:r>
              <w:t xml:space="preserve">Meziroční růst spotřebitelských cen od 1. do 3. kvartálu zrychloval (11,2 %, 15,8 % a 17,6 %) a mírně zpomalil až v závěru roku. V samotném 4. čtvrtletí 2022 se spotřebitelské ceny meziročně zvýšily o 15,7 %. Ve srovnání se 3. kvartálem ale celkově stagnovaly. K meziročnímu růstu nejvíce přispělo prudké zvýšení cen potravin a nealkoholických nápojů. Výrazný vliv měly i ceny bydlení a energií, stravování a ubytování a dopravy. Zpomalení meziročního přírůstku oproti 3. čtvrtletí bylo výsledkem zmírnění růstu cen dopravy a také zahrnutím </w:t>
            </w:r>
            <w:r w:rsidR="00D95E7F">
              <w:t>úsporného tarifu a odpuštění poplatku za podporované zdroje energie</w:t>
            </w:r>
            <w:r>
              <w:t xml:space="preserve"> do nákladů na bydlení a energie. Většímu zvolnění cenového růstu bránilo výrazné posilování dynamiky cen potravin a nealkoholických nápojů. Ceny zboží ve 4. čtvrtletí úhrnem meziročně vzrostly o 17,4 % a ceny služeb o 12,9 %.   </w:t>
            </w:r>
          </w:p>
        </w:tc>
      </w:tr>
      <w:tr w:rsidR="0087722C" w:rsidRPr="009110F7" w14:paraId="19DF254E" w14:textId="77777777" w:rsidTr="52944939">
        <w:trPr>
          <w:trHeight w:val="145"/>
        </w:trPr>
        <w:tc>
          <w:tcPr>
            <w:tcW w:w="1804" w:type="dxa"/>
            <w:shd w:val="clear" w:color="auto" w:fill="auto"/>
            <w:tcMar>
              <w:left w:w="0" w:type="dxa"/>
            </w:tcMar>
          </w:tcPr>
          <w:p w14:paraId="3A75B294" w14:textId="77777777" w:rsidR="0087722C" w:rsidRDefault="0087722C" w:rsidP="00163868">
            <w:pPr>
              <w:pStyle w:val="Marginlie"/>
              <w:rPr>
                <w:spacing w:val="0"/>
              </w:rPr>
            </w:pPr>
            <w:r>
              <w:rPr>
                <w:spacing w:val="0"/>
              </w:rPr>
              <w:t xml:space="preserve">Meziroční růst cen energií i imputovaného nájemného v závěru roku zmírnil. </w:t>
            </w:r>
          </w:p>
        </w:tc>
        <w:tc>
          <w:tcPr>
            <w:tcW w:w="224" w:type="dxa"/>
            <w:shd w:val="clear" w:color="auto" w:fill="auto"/>
            <w:tcMar>
              <w:left w:w="0" w:type="dxa"/>
            </w:tcMar>
          </w:tcPr>
          <w:p w14:paraId="5050A624" w14:textId="77777777" w:rsidR="0087722C" w:rsidRPr="00793D78" w:rsidRDefault="0087722C" w:rsidP="00163868">
            <w:pPr>
              <w:pStyle w:val="Textpoznpodarou1"/>
              <w:jc w:val="both"/>
              <w:rPr>
                <w:highlight w:val="yellow"/>
              </w:rPr>
            </w:pPr>
          </w:p>
        </w:tc>
        <w:tc>
          <w:tcPr>
            <w:tcW w:w="7611" w:type="dxa"/>
            <w:shd w:val="clear" w:color="auto" w:fill="auto"/>
            <w:tcMar>
              <w:left w:w="0" w:type="dxa"/>
            </w:tcMar>
          </w:tcPr>
          <w:p w14:paraId="41028CC4" w14:textId="11B33DC7" w:rsidR="0087722C" w:rsidRDefault="0087722C" w:rsidP="00163868">
            <w:r>
              <w:t>Ceny bydlení a energií se v roce 2022 zvýšily o 19,0 %. Z toho nejvíce rostly ceny elektrické a tepelné energie, plynu a ostatních paliv (30,9 %). Prudce se zvyšovaly i náklady na běžnou údržbu a drobné opravy bytu (19,4 %) a příliš pozadu nezůstalo ani imputované nájemné</w:t>
            </w:r>
            <w:r>
              <w:rPr>
                <w:rStyle w:val="Znakapoznpodarou"/>
              </w:rPr>
              <w:footnoteReference w:id="55"/>
            </w:r>
            <w:r>
              <w:t xml:space="preserve"> (16,1 %). Nájemné z bytu se loni zvýšilo o 4,9 %, stejně jako ostatní služby související s bydlením. Meziroční růst cen v tomto oddílu vyvrcholil ve 3. čtvrtletí a ve 4. kvartálu oslabil na 14,9 %. Mezičtvrtletně se zde ceny snížily </w:t>
            </w:r>
            <w:r>
              <w:br/>
              <w:t xml:space="preserve">o 5,6 %. Po zahrnutí efektu </w:t>
            </w:r>
            <w:r w:rsidR="00D95E7F">
              <w:t xml:space="preserve">úsporného tarifu a odpuštění poplatku za podporované zdroje energie </w:t>
            </w:r>
            <w:r>
              <w:t>zpomalil meziroční růst cen elektrické a tepelné energie, plynu a</w:t>
            </w:r>
            <w:r w:rsidR="00EB6DA6">
              <w:t> </w:t>
            </w:r>
            <w:r>
              <w:t xml:space="preserve">ostatních paliv na 23,8 %. Imputované nájemné také rostlo pomaleji než v předchozím kvartálu (12,3 %). Běžná údržba a drobné opravy bytu meziročně zdražily </w:t>
            </w:r>
            <w:r>
              <w:lastRenderedPageBreak/>
              <w:t xml:space="preserve">o 20,8 %, růst nájemného z bytu mírně posílil na 5,7 % a ceny ostatních služeb související s bydlením byly vyšší o 5,1 %.  </w:t>
            </w:r>
          </w:p>
        </w:tc>
      </w:tr>
      <w:tr w:rsidR="0087722C" w:rsidRPr="009110F7" w14:paraId="4E2278C0" w14:textId="77777777" w:rsidTr="52944939">
        <w:trPr>
          <w:trHeight w:val="145"/>
        </w:trPr>
        <w:tc>
          <w:tcPr>
            <w:tcW w:w="1804" w:type="dxa"/>
            <w:shd w:val="clear" w:color="auto" w:fill="auto"/>
            <w:tcMar>
              <w:left w:w="0" w:type="dxa"/>
            </w:tcMar>
          </w:tcPr>
          <w:p w14:paraId="20A6DC9B" w14:textId="7870B503" w:rsidR="0087722C" w:rsidRDefault="0087722C" w:rsidP="00163868">
            <w:pPr>
              <w:pStyle w:val="Marginlie"/>
              <w:rPr>
                <w:spacing w:val="0"/>
              </w:rPr>
            </w:pPr>
            <w:r>
              <w:rPr>
                <w:spacing w:val="0"/>
              </w:rPr>
              <w:lastRenderedPageBreak/>
              <w:t xml:space="preserve">V průběhu celého roku výrazně posiloval meziroční růst cen potravin a </w:t>
            </w:r>
            <w:r w:rsidR="00D95E7F">
              <w:rPr>
                <w:spacing w:val="0"/>
              </w:rPr>
              <w:t xml:space="preserve">tento </w:t>
            </w:r>
            <w:r>
              <w:rPr>
                <w:spacing w:val="0"/>
              </w:rPr>
              <w:t>oddíl také nejvíce přispíval k celkovému růstu spotřebitelských cen ve 4. kvartálu.</w:t>
            </w:r>
          </w:p>
        </w:tc>
        <w:tc>
          <w:tcPr>
            <w:tcW w:w="224" w:type="dxa"/>
            <w:shd w:val="clear" w:color="auto" w:fill="auto"/>
            <w:tcMar>
              <w:left w:w="0" w:type="dxa"/>
            </w:tcMar>
          </w:tcPr>
          <w:p w14:paraId="3C69F3C9" w14:textId="77777777" w:rsidR="0087722C" w:rsidRPr="00793D78" w:rsidRDefault="0087722C" w:rsidP="00163868">
            <w:pPr>
              <w:pStyle w:val="Textpoznpodarou1"/>
              <w:jc w:val="both"/>
              <w:rPr>
                <w:highlight w:val="yellow"/>
              </w:rPr>
            </w:pPr>
          </w:p>
        </w:tc>
        <w:tc>
          <w:tcPr>
            <w:tcW w:w="7611" w:type="dxa"/>
            <w:shd w:val="clear" w:color="auto" w:fill="auto"/>
            <w:tcMar>
              <w:left w:w="0" w:type="dxa"/>
            </w:tcMar>
          </w:tcPr>
          <w:p w14:paraId="47BA38D1" w14:textId="297A00F7" w:rsidR="0087722C" w:rsidRDefault="0087722C" w:rsidP="00163868">
            <w:r>
              <w:t xml:space="preserve">Potraviny a nealkoholické nápoje loni celkově zdražily o 16,7 %. Během celého roku se do jejich vývoje totiž citlivě promítal prudký růst cen v zemědělské výrobě. K celkovému přírůstku spotřebitelských cen tak nejvíce přispívala trojice maso (růst o 16,7 %), pekárenské výrobky a obiloviny (21,7 %) a mléko, sýry a vejce (20,8 %). Prudce zdražily také oleje a tuky (38,6 %). V průběhu celého roku docházelo </w:t>
            </w:r>
            <w:r>
              <w:br/>
              <w:t>u potravin a nealkoholických nápojů k výraznému zrychlování meziročního tempa cenového růstu (6,7 %, 14,6 % a 20,0 % v 1., 2. a 3. čtvrtletí). Ve 4. kvartálu pak meziroční přírůstek dosáhl 25,5 %. Mezičtvrtletně se ceny potravin a nealkoholických nápojů zvýšily o 4,7 %. Ke zrychlení meziročního růstu</w:t>
            </w:r>
            <w:r w:rsidR="00D95E7F">
              <w:t xml:space="preserve"> ve 4. čtvrtletí</w:t>
            </w:r>
            <w:r>
              <w:t xml:space="preserve"> přispěl zejména vývoj cen mléka, sýrů a vajec (růst o 32,9 %), pekárenských výrobků a obilovin (30,5</w:t>
            </w:r>
            <w:r w:rsidR="00EB6DA6">
              <w:t> </w:t>
            </w:r>
            <w:r>
              <w:t xml:space="preserve">%) a masa (27,4 %). Zrychlovala ale cenová dynamika většiny druhů potravin. Podobně jako v celoročním pohledu ve 4. kvartálu prudce meziročně rostly i ceny olejů a tuků </w:t>
            </w:r>
            <w:r>
              <w:br/>
              <w:t xml:space="preserve">(43,0 %). </w:t>
            </w:r>
          </w:p>
        </w:tc>
      </w:tr>
      <w:tr w:rsidR="0087722C" w:rsidRPr="009110F7" w14:paraId="39AA128C" w14:textId="77777777" w:rsidTr="52944939">
        <w:trPr>
          <w:trHeight w:val="170"/>
        </w:trPr>
        <w:tc>
          <w:tcPr>
            <w:tcW w:w="1804" w:type="dxa"/>
            <w:vMerge w:val="restart"/>
            <w:shd w:val="clear" w:color="auto" w:fill="auto"/>
            <w:tcMar>
              <w:left w:w="0" w:type="dxa"/>
            </w:tcMar>
          </w:tcPr>
          <w:p w14:paraId="1B7F3AE3" w14:textId="77777777" w:rsidR="0087722C" w:rsidRDefault="0087722C" w:rsidP="00163868">
            <w:pPr>
              <w:pStyle w:val="Marginlie"/>
              <w:rPr>
                <w:spacing w:val="0"/>
              </w:rPr>
            </w:pPr>
          </w:p>
        </w:tc>
        <w:tc>
          <w:tcPr>
            <w:tcW w:w="224" w:type="dxa"/>
            <w:vMerge w:val="restart"/>
            <w:shd w:val="clear" w:color="auto" w:fill="auto"/>
            <w:tcMar>
              <w:left w:w="0" w:type="dxa"/>
            </w:tcMar>
          </w:tcPr>
          <w:p w14:paraId="7B02E7D5" w14:textId="77777777" w:rsidR="0087722C" w:rsidRPr="00793D78" w:rsidRDefault="0087722C" w:rsidP="00163868">
            <w:pPr>
              <w:pStyle w:val="Textpoznpodarou1"/>
              <w:jc w:val="both"/>
            </w:pPr>
          </w:p>
        </w:tc>
        <w:tc>
          <w:tcPr>
            <w:tcW w:w="7611" w:type="dxa"/>
            <w:shd w:val="clear" w:color="auto" w:fill="auto"/>
            <w:tcMar>
              <w:left w:w="0" w:type="dxa"/>
            </w:tcMar>
          </w:tcPr>
          <w:p w14:paraId="3984E09F" w14:textId="00786F7E" w:rsidR="0087722C" w:rsidRDefault="0087722C" w:rsidP="00163868">
            <w:pPr>
              <w:spacing w:after="0"/>
            </w:pPr>
            <w:r w:rsidRPr="00793D78">
              <w:rPr>
                <w:rFonts w:cs="Arial"/>
                <w:b/>
                <w:bCs/>
                <w:color w:val="000000"/>
                <w:sz w:val="18"/>
                <w:szCs w:val="18"/>
              </w:rPr>
              <w:t xml:space="preserve">Graf </w:t>
            </w:r>
            <w:r w:rsidR="008F525A">
              <w:rPr>
                <w:rFonts w:cs="Arial"/>
                <w:b/>
                <w:bCs/>
                <w:color w:val="000000"/>
                <w:sz w:val="18"/>
                <w:szCs w:val="18"/>
              </w:rPr>
              <w:t>č. 11</w:t>
            </w:r>
            <w:r>
              <w:rPr>
                <w:rFonts w:cs="Arial"/>
                <w:b/>
                <w:bCs/>
                <w:color w:val="000000"/>
                <w:sz w:val="18"/>
                <w:szCs w:val="18"/>
              </w:rPr>
              <w:t xml:space="preserve"> </w:t>
            </w:r>
            <w:r w:rsidRPr="00793D78">
              <w:rPr>
                <w:rFonts w:cs="Arial"/>
                <w:b/>
                <w:bCs/>
                <w:color w:val="000000"/>
                <w:sz w:val="18"/>
                <w:szCs w:val="18"/>
              </w:rPr>
              <w:t>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87722C" w:rsidRPr="009110F7" w14:paraId="4559E5C7" w14:textId="77777777" w:rsidTr="52944939">
        <w:tblPrEx>
          <w:tblCellMar>
            <w:left w:w="70" w:type="dxa"/>
            <w:right w:w="70" w:type="dxa"/>
          </w:tblCellMar>
        </w:tblPrEx>
        <w:trPr>
          <w:trHeight w:val="170"/>
        </w:trPr>
        <w:tc>
          <w:tcPr>
            <w:tcW w:w="1804" w:type="dxa"/>
            <w:vMerge/>
          </w:tcPr>
          <w:p w14:paraId="4C965615" w14:textId="77777777" w:rsidR="0087722C" w:rsidRDefault="0087722C" w:rsidP="00163868">
            <w:pPr>
              <w:pStyle w:val="Marginlie"/>
              <w:rPr>
                <w:spacing w:val="0"/>
              </w:rPr>
            </w:pPr>
          </w:p>
        </w:tc>
        <w:tc>
          <w:tcPr>
            <w:tcW w:w="224" w:type="dxa"/>
            <w:vMerge/>
          </w:tcPr>
          <w:p w14:paraId="3E713992" w14:textId="77777777" w:rsidR="0087722C" w:rsidRPr="00793D78" w:rsidRDefault="0087722C" w:rsidP="00163868">
            <w:pPr>
              <w:pStyle w:val="Textpoznpodarou1"/>
              <w:jc w:val="both"/>
            </w:pPr>
          </w:p>
        </w:tc>
        <w:tc>
          <w:tcPr>
            <w:tcW w:w="7611" w:type="dxa"/>
            <w:shd w:val="clear" w:color="auto" w:fill="auto"/>
          </w:tcPr>
          <w:p w14:paraId="18BA7CFE" w14:textId="77777777" w:rsidR="0087722C" w:rsidRDefault="0087722C" w:rsidP="00163868">
            <w:pPr>
              <w:spacing w:after="0"/>
            </w:pPr>
            <w:r>
              <w:rPr>
                <w:noProof/>
              </w:rPr>
              <w:drawing>
                <wp:inline distT="0" distB="0" distL="0" distR="0" wp14:anchorId="040A67C3" wp14:editId="1E3B5AD7">
                  <wp:extent cx="4737600" cy="3553200"/>
                  <wp:effectExtent l="0" t="0" r="6350" b="0"/>
                  <wp:docPr id="26" name="Graf 2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87722C" w:rsidRPr="009110F7" w14:paraId="55F48115" w14:textId="77777777" w:rsidTr="52944939">
        <w:trPr>
          <w:trHeight w:val="170"/>
        </w:trPr>
        <w:tc>
          <w:tcPr>
            <w:tcW w:w="1804" w:type="dxa"/>
            <w:vMerge/>
            <w:tcMar>
              <w:left w:w="0" w:type="dxa"/>
            </w:tcMar>
          </w:tcPr>
          <w:p w14:paraId="24D0E467" w14:textId="77777777" w:rsidR="0087722C" w:rsidRDefault="0087722C" w:rsidP="00163868">
            <w:pPr>
              <w:pStyle w:val="Marginlie"/>
              <w:rPr>
                <w:spacing w:val="0"/>
              </w:rPr>
            </w:pPr>
          </w:p>
        </w:tc>
        <w:tc>
          <w:tcPr>
            <w:tcW w:w="224" w:type="dxa"/>
            <w:vMerge/>
            <w:tcMar>
              <w:left w:w="0" w:type="dxa"/>
            </w:tcMar>
          </w:tcPr>
          <w:p w14:paraId="7CD7067A" w14:textId="77777777" w:rsidR="0087722C" w:rsidRPr="00793D78" w:rsidRDefault="0087722C" w:rsidP="00163868">
            <w:pPr>
              <w:pStyle w:val="Textpoznpodarou1"/>
              <w:jc w:val="both"/>
            </w:pPr>
          </w:p>
        </w:tc>
        <w:tc>
          <w:tcPr>
            <w:tcW w:w="7611" w:type="dxa"/>
            <w:shd w:val="clear" w:color="auto" w:fill="auto"/>
            <w:tcMar>
              <w:left w:w="0" w:type="dxa"/>
            </w:tcMar>
          </w:tcPr>
          <w:p w14:paraId="602065F6" w14:textId="77777777" w:rsidR="0087722C" w:rsidRDefault="0087722C" w:rsidP="00163868">
            <w:r w:rsidRPr="00793D78">
              <w:rPr>
                <w:sz w:val="14"/>
                <w:szCs w:val="14"/>
              </w:rPr>
              <w:t>Zdroj: ČSÚ</w:t>
            </w:r>
          </w:p>
        </w:tc>
      </w:tr>
      <w:tr w:rsidR="0087722C" w:rsidRPr="009110F7" w14:paraId="54820379" w14:textId="77777777" w:rsidTr="52944939">
        <w:trPr>
          <w:trHeight w:val="145"/>
        </w:trPr>
        <w:tc>
          <w:tcPr>
            <w:tcW w:w="1804" w:type="dxa"/>
            <w:shd w:val="clear" w:color="auto" w:fill="auto"/>
            <w:tcMar>
              <w:left w:w="0" w:type="dxa"/>
            </w:tcMar>
          </w:tcPr>
          <w:p w14:paraId="2008DFFE" w14:textId="77777777" w:rsidR="0087722C" w:rsidRDefault="0087722C" w:rsidP="00163868">
            <w:pPr>
              <w:pStyle w:val="Marginlie"/>
              <w:rPr>
                <w:spacing w:val="0"/>
              </w:rPr>
            </w:pPr>
            <w:r>
              <w:rPr>
                <w:spacing w:val="0"/>
              </w:rPr>
              <w:t>Zmírnění růstu cen pohonných hmot utlumilo meziroční přírůstek cen dopravy.</w:t>
            </w:r>
          </w:p>
        </w:tc>
        <w:tc>
          <w:tcPr>
            <w:tcW w:w="224" w:type="dxa"/>
            <w:shd w:val="clear" w:color="auto" w:fill="auto"/>
            <w:tcMar>
              <w:left w:w="0" w:type="dxa"/>
            </w:tcMar>
          </w:tcPr>
          <w:p w14:paraId="0F85D331" w14:textId="77777777" w:rsidR="0087722C" w:rsidRPr="00793D78" w:rsidRDefault="0087722C" w:rsidP="00163868">
            <w:pPr>
              <w:pStyle w:val="Textpoznpodarou1"/>
              <w:jc w:val="both"/>
            </w:pPr>
          </w:p>
        </w:tc>
        <w:tc>
          <w:tcPr>
            <w:tcW w:w="7611" w:type="dxa"/>
            <w:shd w:val="clear" w:color="auto" w:fill="auto"/>
            <w:tcMar>
              <w:left w:w="0" w:type="dxa"/>
            </w:tcMar>
          </w:tcPr>
          <w:p w14:paraId="1C03AFF5" w14:textId="77777777" w:rsidR="0087722C" w:rsidRDefault="0087722C" w:rsidP="00163868">
            <w:r>
              <w:t>Ceny dopravy se loni zvýšily o 18,1 %. Pod vlivem cen pohonných hmot nejvíce rostly náklady na provoz osobních dopravních prostředků (23,9 %). Silně se ale zvyšovaly i ceny nákupu automobilů, motocyklů a jízdních kol (12,9 %) a zrušení slev na jízdném stimulovalo přírůstek cen dopravních služeb (14,2 %). Ceny dopravy loni nejvíce meziročně rostly ve 2. čtvrtletí a pak začala dynamika zpomalovat. Postupně v jednotlivých kvartálech jejich meziroční přírůstek dosáhl 17,2 %, 22,7 % a 19,7 %. Ve 4. čtvrtletí 2022 byly meziročně vyšší o 13,1 %. Oproti předchozímu čtvrtletí se ceny dopravy snížily o 1,2 %. V závěru roku společně s pohonnými hmotami značně zpomalil i meziroční růst cen provozu osobních dopravních prostředků (13,6 %). Mírnější byl i přírůstek cen nákupů automobilů, motocyklů a jízdních kol (11,7 %). Nejvýrazněji tak meziročně vzrostly ceny dopravních služeb (16,6 %).</w:t>
            </w:r>
          </w:p>
        </w:tc>
      </w:tr>
      <w:tr w:rsidR="0087722C" w:rsidRPr="009110F7" w14:paraId="72940AA2" w14:textId="77777777" w:rsidTr="52944939">
        <w:trPr>
          <w:trHeight w:val="145"/>
        </w:trPr>
        <w:tc>
          <w:tcPr>
            <w:tcW w:w="1804" w:type="dxa"/>
            <w:shd w:val="clear" w:color="auto" w:fill="auto"/>
            <w:tcMar>
              <w:left w:w="0" w:type="dxa"/>
            </w:tcMar>
          </w:tcPr>
          <w:p w14:paraId="1ACC1F03" w14:textId="77777777" w:rsidR="0087722C" w:rsidRDefault="0087722C" w:rsidP="00163868">
            <w:pPr>
              <w:pStyle w:val="Marginlie"/>
              <w:rPr>
                <w:spacing w:val="0"/>
              </w:rPr>
            </w:pPr>
            <w:r>
              <w:rPr>
                <w:spacing w:val="0"/>
              </w:rPr>
              <w:lastRenderedPageBreak/>
              <w:t>Růst cen byl plošný.</w:t>
            </w:r>
          </w:p>
        </w:tc>
        <w:tc>
          <w:tcPr>
            <w:tcW w:w="224" w:type="dxa"/>
            <w:shd w:val="clear" w:color="auto" w:fill="auto"/>
            <w:tcMar>
              <w:left w:w="0" w:type="dxa"/>
            </w:tcMar>
          </w:tcPr>
          <w:p w14:paraId="23CE78B4" w14:textId="77777777" w:rsidR="0087722C" w:rsidRPr="00793D78" w:rsidRDefault="0087722C" w:rsidP="00163868">
            <w:pPr>
              <w:pStyle w:val="Textpoznpodarou1"/>
              <w:jc w:val="both"/>
            </w:pPr>
          </w:p>
        </w:tc>
        <w:tc>
          <w:tcPr>
            <w:tcW w:w="7611" w:type="dxa"/>
            <w:shd w:val="clear" w:color="auto" w:fill="auto"/>
            <w:tcMar>
              <w:left w:w="0" w:type="dxa"/>
            </w:tcMar>
          </w:tcPr>
          <w:p w14:paraId="42F95739" w14:textId="77777777" w:rsidR="0087722C" w:rsidRDefault="0087722C" w:rsidP="00163868">
            <w:r>
              <w:t>Z hlediska příspěvku k celkovému růstu spotřebitelských cen se do popředí dostaly i ceny stravování a ubytování, které se loni zvýšily o 21,0 %. Jejich meziroční růst prudce zrychlil ve 2. čtvrtletí a po zbytek roku dál posiloval. Ve 4. čtvrtletí se ceny stravování a ubytování meziročně zvýšily o 25,6 %. Z toho ceny stravování byly vyšší o 26,2 % a ubytování o 20,7 %. Po celý rok byla meziroční dynamika cen stravování vyšší než ubytování. Zrychloval i růst cen rekreací a kultury, které byly celkově vyšší o 11,4 %. Za posílením tempa přitom stály hlavně dovolené s komplexními službami (12,1 %). Po celý rok nejvíce rostly ceny ostatních předmětů pro rekreaci a volný čas včetně zahradnictví a domácích zvířat (16,7 %). V samotném 4. čtvrtletí se ceny rekreací a kultury meziročně zvýšily o 13,2 %. Mezičtvrtletně ale ceny klesly o 1,1 %.</w:t>
            </w:r>
          </w:p>
        </w:tc>
      </w:tr>
      <w:tr w:rsidR="0087722C" w:rsidRPr="009110F7" w14:paraId="40029A63" w14:textId="77777777" w:rsidTr="52944939">
        <w:trPr>
          <w:trHeight w:val="145"/>
        </w:trPr>
        <w:tc>
          <w:tcPr>
            <w:tcW w:w="1804" w:type="dxa"/>
            <w:shd w:val="clear" w:color="auto" w:fill="auto"/>
            <w:tcMar>
              <w:left w:w="0" w:type="dxa"/>
            </w:tcMar>
          </w:tcPr>
          <w:p w14:paraId="3468DC64" w14:textId="77777777" w:rsidR="0087722C" w:rsidRDefault="0087722C" w:rsidP="00163868">
            <w:pPr>
              <w:pStyle w:val="Marginlie"/>
              <w:rPr>
                <w:spacing w:val="0"/>
              </w:rPr>
            </w:pPr>
            <w:r>
              <w:rPr>
                <w:spacing w:val="0"/>
              </w:rPr>
              <w:t xml:space="preserve">Dál se silně zvyšovaly ceny u oděvů, obuvi </w:t>
            </w:r>
            <w:r>
              <w:rPr>
                <w:spacing w:val="0"/>
              </w:rPr>
              <w:br/>
              <w:t>a vybavení domácnosti.</w:t>
            </w:r>
          </w:p>
        </w:tc>
        <w:tc>
          <w:tcPr>
            <w:tcW w:w="224" w:type="dxa"/>
            <w:shd w:val="clear" w:color="auto" w:fill="auto"/>
            <w:tcMar>
              <w:left w:w="0" w:type="dxa"/>
            </w:tcMar>
          </w:tcPr>
          <w:p w14:paraId="35DBC5C4" w14:textId="77777777" w:rsidR="0087722C" w:rsidRPr="00793D78" w:rsidRDefault="0087722C" w:rsidP="00163868">
            <w:pPr>
              <w:pStyle w:val="Textpoznpodarou1"/>
              <w:jc w:val="both"/>
            </w:pPr>
          </w:p>
        </w:tc>
        <w:tc>
          <w:tcPr>
            <w:tcW w:w="7611" w:type="dxa"/>
            <w:shd w:val="clear" w:color="auto" w:fill="auto"/>
            <w:tcMar>
              <w:left w:w="0" w:type="dxa"/>
            </w:tcMar>
          </w:tcPr>
          <w:p w14:paraId="4B3EB716" w14:textId="77777777" w:rsidR="0087722C" w:rsidRDefault="0087722C" w:rsidP="00163868">
            <w:r>
              <w:t xml:space="preserve">V loňském roce pokračoval i silný růst cen odívání a obuvi, jehož posílení je zřetelné od postpandemického oživení poptávky kombinovaného s narušením dodavatelských řetězců v roce 2021. Odívání a obuv loni celkově zdražily o 18,6 %. V samotném 4. čtvrtletí byly ceny meziročně vyšší o 18,2 %. Mezičtvrtletně ceny odívání a obuvi zdražily o 7,1 %, nejvíce ze všech oddílů spotřebního koše. Podobná byla loni situace u bytového vybavení, zařízení domácnosti a oprav. Narušení dodavatelských řetězců ovlivnilo zrychlení růstu cen už v roce 2021 a loni se zde ceny celkově zvýšily </w:t>
            </w:r>
            <w:r>
              <w:br/>
              <w:t xml:space="preserve">o 12,0 %. Hlavní podíl na celkovém růstu měl nábytek, bytové zařízení a výzdoba, koberce a ostatní podlahové krytiny (přírůstek 13,4 %), silně rostly i ceny bytového textilu (16,0 %). Ve 4. čtvrtletí 2022 ceny bytového vybavení, zařízení domácnosti </w:t>
            </w:r>
            <w:r>
              <w:br/>
              <w:t>a oprav meziročně vzrostly o 13,3 % a mezičtvrtletně o 2,4 %.</w:t>
            </w:r>
          </w:p>
        </w:tc>
      </w:tr>
      <w:tr w:rsidR="0087722C" w:rsidRPr="009110F7" w14:paraId="3446F5DC" w14:textId="77777777" w:rsidTr="52944939">
        <w:trPr>
          <w:trHeight w:val="145"/>
        </w:trPr>
        <w:tc>
          <w:tcPr>
            <w:tcW w:w="1804" w:type="dxa"/>
            <w:shd w:val="clear" w:color="auto" w:fill="auto"/>
            <w:tcMar>
              <w:left w:w="0" w:type="dxa"/>
            </w:tcMar>
          </w:tcPr>
          <w:p w14:paraId="3EE9A82C" w14:textId="77777777" w:rsidR="0087722C" w:rsidRDefault="0087722C" w:rsidP="00163868">
            <w:pPr>
              <w:pStyle w:val="Marginlie"/>
              <w:rPr>
                <w:spacing w:val="0"/>
              </w:rPr>
            </w:pPr>
            <w:r>
              <w:rPr>
                <w:spacing w:val="0"/>
              </w:rPr>
              <w:t>Poprvé od roku 2006 loni vzrostly ceny pošt a telekomunikací.</w:t>
            </w:r>
          </w:p>
        </w:tc>
        <w:tc>
          <w:tcPr>
            <w:tcW w:w="224" w:type="dxa"/>
            <w:shd w:val="clear" w:color="auto" w:fill="auto"/>
            <w:tcMar>
              <w:left w:w="0" w:type="dxa"/>
            </w:tcMar>
          </w:tcPr>
          <w:p w14:paraId="24E58284" w14:textId="77777777" w:rsidR="0087722C" w:rsidRPr="00793D78" w:rsidRDefault="0087722C" w:rsidP="00163868">
            <w:pPr>
              <w:pStyle w:val="Textpoznpodarou1"/>
              <w:jc w:val="both"/>
            </w:pPr>
          </w:p>
        </w:tc>
        <w:tc>
          <w:tcPr>
            <w:tcW w:w="7611" w:type="dxa"/>
            <w:shd w:val="clear" w:color="auto" w:fill="auto"/>
            <w:tcMar>
              <w:left w:w="0" w:type="dxa"/>
            </w:tcMar>
          </w:tcPr>
          <w:p w14:paraId="13CCD653" w14:textId="05BE1CE1" w:rsidR="0087722C" w:rsidRDefault="0087722C" w:rsidP="00163868">
            <w:r>
              <w:t>Po celý rok pod vlivem finančních a osobních služeb zrychloval růst cen ostatního zboží a služeb</w:t>
            </w:r>
            <w:r>
              <w:rPr>
                <w:rStyle w:val="Znakapoznpodarou"/>
              </w:rPr>
              <w:footnoteReference w:id="56"/>
            </w:r>
            <w:r>
              <w:t xml:space="preserve">. Za celý rok se zde ceny zvýšily o 10,1 % a v samotném 4. čtvrtletí to bylo meziročně o 12,7 %. V loňském roce se zmírnil růst cen alkoholických nápojů </w:t>
            </w:r>
            <w:r>
              <w:br/>
              <w:t xml:space="preserve">a tabáku. Ty byly celkově vyšší o 6,2 %. Alkohol zdražil o 3,2 % a tabák o 8,2 %. Ve 4. čtvrtletí byly ceny alkoholických nápojů a tabáku meziročně vyšší o 6,0 % </w:t>
            </w:r>
            <w:r>
              <w:br/>
              <w:t xml:space="preserve">a mezičtvrtletně o 0,9 %. V průběhu roku se ale jejich ceny vyvíjely různě. Meziroční dynamika u alkoholu </w:t>
            </w:r>
            <w:r w:rsidR="00D95E7F">
              <w:t xml:space="preserve">měla tendenci </w:t>
            </w:r>
            <w:r>
              <w:t>zrychlova</w:t>
            </w:r>
            <w:r w:rsidR="00D95E7F">
              <w:t>t</w:t>
            </w:r>
            <w:r>
              <w:t xml:space="preserve"> až na 5,4 %, zatímco u tabáku se zmír</w:t>
            </w:r>
            <w:r w:rsidR="00D95E7F">
              <w:t>nila</w:t>
            </w:r>
            <w:r>
              <w:t xml:space="preserve"> na 6,5 %. Výrazně loni rostly ceny zdraví (8,5 %), které vzhledem ke své váze obvykle nemají významnější vliv na celkový index. Jejich meziroční růst zrychloval až na 9,</w:t>
            </w:r>
            <w:r w:rsidR="00D95E7F">
              <w:t>6</w:t>
            </w:r>
            <w:r>
              <w:t xml:space="preserve"> % ve 4. kvartálu. Ceny vzdělávání se loni celkově zvýšily o 3,8 %, z toho ve 4.</w:t>
            </w:r>
            <w:r w:rsidR="00EB6DA6">
              <w:t> </w:t>
            </w:r>
            <w:r>
              <w:t>čtvrtletí meziročně vzrostly o 7,5 %. Nejmírněji se</w:t>
            </w:r>
            <w:r w:rsidR="00D95E7F">
              <w:t xml:space="preserve"> loni meziročně</w:t>
            </w:r>
            <w:r>
              <w:t xml:space="preserve"> zvyšovaly ceny pošt a telekomunikací (0,7 %). Šlo u nich ale o první růst od roku 2006. Ceny v tomto oddíle totiž tradičně mírně klesají. Za zdražením stál vývoj cen telefonních a faxových zařízení (9,3 %). Ve 4. čtvrtletí ceny pošt a telekomunikací meziročně rostly o 2,1 %, nejvíce od 1. čtvrtletí 2007. Ceny telefonních a faxových zařízení byly vyšší o 8,6 %, telefonních a faxových služeb o 1,4 % a poštovních služeb o 2,7 %.      </w:t>
            </w:r>
          </w:p>
        </w:tc>
      </w:tr>
      <w:tr w:rsidR="0087722C" w:rsidRPr="009110F7" w14:paraId="6D3D6FC4" w14:textId="77777777" w:rsidTr="52944939">
        <w:trPr>
          <w:trHeight w:val="145"/>
        </w:trPr>
        <w:tc>
          <w:tcPr>
            <w:tcW w:w="1804" w:type="dxa"/>
            <w:shd w:val="clear" w:color="auto" w:fill="auto"/>
            <w:tcMar>
              <w:left w:w="0" w:type="dxa"/>
            </w:tcMar>
          </w:tcPr>
          <w:p w14:paraId="2152CC3F" w14:textId="77777777" w:rsidR="0087722C" w:rsidRDefault="0087722C" w:rsidP="00163868">
            <w:pPr>
              <w:pStyle w:val="Marginlie"/>
              <w:rPr>
                <w:spacing w:val="0"/>
              </w:rPr>
            </w:pPr>
            <w:r>
              <w:rPr>
                <w:spacing w:val="0"/>
              </w:rPr>
              <w:t xml:space="preserve">Meziroční růst spotřebitelských cen </w:t>
            </w:r>
            <w:r>
              <w:rPr>
                <w:spacing w:val="0"/>
              </w:rPr>
              <w:br/>
              <w:t xml:space="preserve">v EU po celý rok zrychloval. </w:t>
            </w:r>
          </w:p>
        </w:tc>
        <w:tc>
          <w:tcPr>
            <w:tcW w:w="224" w:type="dxa"/>
            <w:shd w:val="clear" w:color="auto" w:fill="auto"/>
            <w:tcMar>
              <w:left w:w="0" w:type="dxa"/>
            </w:tcMar>
          </w:tcPr>
          <w:p w14:paraId="00723FC4" w14:textId="77777777" w:rsidR="0087722C" w:rsidRPr="00793D78" w:rsidRDefault="0087722C" w:rsidP="00163868">
            <w:pPr>
              <w:pStyle w:val="Textpoznpodarou1"/>
              <w:jc w:val="both"/>
            </w:pPr>
          </w:p>
        </w:tc>
        <w:tc>
          <w:tcPr>
            <w:tcW w:w="7611" w:type="dxa"/>
            <w:shd w:val="clear" w:color="auto" w:fill="auto"/>
            <w:tcMar>
              <w:left w:w="0" w:type="dxa"/>
            </w:tcMar>
          </w:tcPr>
          <w:p w14:paraId="3A05027E" w14:textId="77777777" w:rsidR="0087722C" w:rsidRDefault="0087722C" w:rsidP="00163868">
            <w:r>
              <w:t>Harmonizovaný index spotřebitelských cen (HICP)</w:t>
            </w:r>
            <w:r>
              <w:rPr>
                <w:rStyle w:val="Znakapoznpodarou"/>
              </w:rPr>
              <w:footnoteReference w:id="57"/>
            </w:r>
            <w:r>
              <w:t xml:space="preserve"> v Evropské unii loni vzrostl celkem o 9,2 %. To je rekordní navýšení (předchozí maximum z roku 2008 činilo </w:t>
            </w:r>
            <w:r>
              <w:br/>
              <w:t xml:space="preserve">3,7 %). Cenový růst posiloval napříč celým spotřebitelským košem, ale nejvýraznější bylo zrychlení dynamiky u cen potravin a nealkoholických nápojů, bydlení a energií, dopravy a stravování a ubytování. V loňském roce nejvíce rostl HICP v Estonsku (19,4 %), Litvě (18,9 %) a Lotyšsku (17,2 %). Česko se s přírůstkem 14,8 % umístilo na páté pozici. Také v případě zemí s nejmírnější dynamikou cen byly přírůstky velmi vysoké. Ve Francii HICP vzrostl o 5,9 %, na Maltě o 6,1 % a ve Finsku o 7,2 %. Meziroční dynamika spotřebitelských cen v EU v průběhu roku zrychlovala a ve </w:t>
            </w:r>
            <w:r>
              <w:br/>
              <w:t xml:space="preserve">4. kvartálu tak byl HICP meziročně vyšší o 11,0 %. Ve 4. čtvrtletí nejvíce meziročně rostly spotřebitelské ceny v Maďarsku (23,3 %), Lotyšsku (21,4 %) a Litvě (21,2 %). </w:t>
            </w:r>
            <w:r>
              <w:lastRenderedPageBreak/>
              <w:t>Dvacetiprocentní úroveň překonalo i Estonsko (20,4 %) a až s odstupem se za něj zařadilo Česko (16,5 %). Nejmírnější meziroční navýšení vykázaly Španělsko (6,5 %), Francie (7,0 %) a Malta (7,3 %). Oproti 3. čtvrtletí se spotřebitelské ceny v EU zvýšily o 2,5 %. Nejvíce přitom rostly v Maďarsku (6,5 %), Itálii (5,8 %) a Litvě (3,7 %). Naopak mezičtvrtletní poklesy byly zaznamenány na Maltě (−2,4 %), Kypru (−0,5 %), ve Španělsku (−0,2 %) a v Estonsku (−0,1 %).</w:t>
            </w:r>
          </w:p>
        </w:tc>
      </w:tr>
      <w:tr w:rsidR="0087722C" w:rsidRPr="009110F7" w14:paraId="25D43902" w14:textId="77777777" w:rsidTr="52944939">
        <w:trPr>
          <w:trHeight w:val="145"/>
        </w:trPr>
        <w:tc>
          <w:tcPr>
            <w:tcW w:w="1804" w:type="dxa"/>
            <w:shd w:val="clear" w:color="auto" w:fill="auto"/>
            <w:tcMar>
              <w:left w:w="0" w:type="dxa"/>
            </w:tcMar>
          </w:tcPr>
          <w:p w14:paraId="68F5AF42" w14:textId="77777777" w:rsidR="0087722C" w:rsidRDefault="0087722C" w:rsidP="00163868">
            <w:pPr>
              <w:pStyle w:val="Marginlie"/>
              <w:rPr>
                <w:spacing w:val="0"/>
              </w:rPr>
            </w:pPr>
            <w:r>
              <w:rPr>
                <w:spacing w:val="0"/>
              </w:rPr>
              <w:lastRenderedPageBreak/>
              <w:t>Růst nabídkových cen bytů v závěru roku zpomalil…</w:t>
            </w:r>
          </w:p>
        </w:tc>
        <w:tc>
          <w:tcPr>
            <w:tcW w:w="224" w:type="dxa"/>
            <w:shd w:val="clear" w:color="auto" w:fill="auto"/>
            <w:tcMar>
              <w:left w:w="0" w:type="dxa"/>
            </w:tcMar>
          </w:tcPr>
          <w:p w14:paraId="345156F6" w14:textId="77777777" w:rsidR="0087722C" w:rsidRPr="00793D78" w:rsidRDefault="0087722C" w:rsidP="00163868">
            <w:pPr>
              <w:pStyle w:val="Textpoznpodarou1"/>
              <w:jc w:val="both"/>
            </w:pPr>
          </w:p>
        </w:tc>
        <w:tc>
          <w:tcPr>
            <w:tcW w:w="7611" w:type="dxa"/>
            <w:shd w:val="clear" w:color="auto" w:fill="auto"/>
            <w:tcMar>
              <w:left w:w="0" w:type="dxa"/>
            </w:tcMar>
          </w:tcPr>
          <w:p w14:paraId="2F81E8FF" w14:textId="35D9E3AF" w:rsidR="0087722C" w:rsidRDefault="0087722C" w:rsidP="00163868">
            <w:r>
              <w:t>V roce 2022 vyvrcholil prudký meziroční růst cen bytů. Index nabídkových cen bytů v ČR se za celý rok zvýšil o 20,</w:t>
            </w:r>
            <w:r w:rsidR="00D95E7F">
              <w:t>7</w:t>
            </w:r>
            <w:r>
              <w:t xml:space="preserve"> %. Ceny bytů mimo Prahu takto zdražily o 25,2 %, zatímco v Praze přírůstek dosáhl 16,9 %. Meziroční i mezičtvrtletní dynamika dosáhla vrcholu ve 2. kvartálu a dál přírůstky oslabovaly. Ve 4. čtvrtletí nabídkové ceny bytů v ČR meziročně vzrostly o 18,3 %, ceny mimo Prahu o 19,9 % a v Praze o 16,9 %. Mezičtvrtletní přírůstek nabídkových cen v ČR ve 4. čtvrtletí oslabil na 0,5 %. Stál za tím výlučně propad nabídkových cen mimo Prahu o 1,2 %, první mezičtvrtletní pokles od 1. kvartálu 2017. Nabídkové ceny bytů v Praze mezičtvrtletně vzrostly o 2,1 %. V případě realizovaných cen starších bytů byl propad tempa v závěru roku výraznější. Realizované ceny starších bytů vzrostly v</w:t>
            </w:r>
            <w:r w:rsidR="00D95E7F">
              <w:t> </w:t>
            </w:r>
            <w:r>
              <w:t>ČR</w:t>
            </w:r>
            <w:r w:rsidR="00D95E7F">
              <w:t xml:space="preserve"> meziročně</w:t>
            </w:r>
            <w:r>
              <w:t xml:space="preserve"> za celý rok o 22,6 %, a to hlavně vlivem prudkého navýšení cen mimo Prahu (24,9 %). </w:t>
            </w:r>
          </w:p>
        </w:tc>
      </w:tr>
      <w:tr w:rsidR="0087722C" w:rsidRPr="009110F7" w14:paraId="4EA84952" w14:textId="77777777" w:rsidTr="52944939">
        <w:trPr>
          <w:trHeight w:val="170"/>
        </w:trPr>
        <w:tc>
          <w:tcPr>
            <w:tcW w:w="1804" w:type="dxa"/>
            <w:vMerge w:val="restart"/>
            <w:shd w:val="clear" w:color="auto" w:fill="auto"/>
            <w:tcMar>
              <w:left w:w="0" w:type="dxa"/>
            </w:tcMar>
          </w:tcPr>
          <w:p w14:paraId="599BC84F" w14:textId="77777777" w:rsidR="0087722C" w:rsidRDefault="0087722C" w:rsidP="00163868">
            <w:pPr>
              <w:pStyle w:val="Marginlie"/>
              <w:rPr>
                <w:spacing w:val="0"/>
              </w:rPr>
            </w:pPr>
          </w:p>
        </w:tc>
        <w:tc>
          <w:tcPr>
            <w:tcW w:w="224" w:type="dxa"/>
            <w:vMerge w:val="restart"/>
            <w:shd w:val="clear" w:color="auto" w:fill="auto"/>
            <w:tcMar>
              <w:left w:w="0" w:type="dxa"/>
            </w:tcMar>
          </w:tcPr>
          <w:p w14:paraId="48605C96" w14:textId="77777777" w:rsidR="0087722C" w:rsidRPr="00793D78" w:rsidRDefault="0087722C" w:rsidP="00163868">
            <w:pPr>
              <w:pStyle w:val="Textpoznpodarou1"/>
              <w:jc w:val="both"/>
            </w:pPr>
          </w:p>
        </w:tc>
        <w:tc>
          <w:tcPr>
            <w:tcW w:w="7611" w:type="dxa"/>
            <w:shd w:val="clear" w:color="auto" w:fill="auto"/>
            <w:tcMar>
              <w:left w:w="0" w:type="dxa"/>
            </w:tcMar>
          </w:tcPr>
          <w:p w14:paraId="33CCB0D2" w14:textId="1F0D2E2C" w:rsidR="0087722C" w:rsidRDefault="008F525A" w:rsidP="00163868">
            <w:pPr>
              <w:spacing w:after="0"/>
            </w:pPr>
            <w:r>
              <w:rPr>
                <w:b/>
                <w:sz w:val="18"/>
                <w:szCs w:val="18"/>
                <w:lang w:eastAsia="en-US"/>
              </w:rPr>
              <w:t>Graf č. 12</w:t>
            </w:r>
            <w:r w:rsidR="0087722C" w:rsidRPr="00793D78">
              <w:rPr>
                <w:b/>
                <w:sz w:val="18"/>
                <w:szCs w:val="18"/>
                <w:lang w:eastAsia="en-US"/>
              </w:rPr>
              <w:t xml:space="preserve"> Ceny nemovitostí </w:t>
            </w:r>
            <w:r w:rsidR="0087722C" w:rsidRPr="009067EA">
              <w:rPr>
                <w:sz w:val="18"/>
                <w:szCs w:val="18"/>
                <w:lang w:eastAsia="en-US"/>
              </w:rPr>
              <w:t>(meziroční změna, v %)</w:t>
            </w:r>
          </w:p>
        </w:tc>
      </w:tr>
      <w:tr w:rsidR="0087722C" w:rsidRPr="009110F7" w14:paraId="733E560F" w14:textId="77777777" w:rsidTr="52944939">
        <w:tblPrEx>
          <w:tblCellMar>
            <w:left w:w="70" w:type="dxa"/>
            <w:right w:w="70" w:type="dxa"/>
          </w:tblCellMar>
        </w:tblPrEx>
        <w:trPr>
          <w:trHeight w:val="170"/>
        </w:trPr>
        <w:tc>
          <w:tcPr>
            <w:tcW w:w="1804" w:type="dxa"/>
            <w:vMerge/>
          </w:tcPr>
          <w:p w14:paraId="2911B13F" w14:textId="77777777" w:rsidR="0087722C" w:rsidRDefault="0087722C" w:rsidP="00163868">
            <w:pPr>
              <w:pStyle w:val="Marginlie"/>
              <w:rPr>
                <w:spacing w:val="0"/>
              </w:rPr>
            </w:pPr>
          </w:p>
        </w:tc>
        <w:tc>
          <w:tcPr>
            <w:tcW w:w="224" w:type="dxa"/>
            <w:vMerge/>
          </w:tcPr>
          <w:p w14:paraId="26C98B4A" w14:textId="77777777" w:rsidR="0087722C" w:rsidRPr="00793D78" w:rsidRDefault="0087722C" w:rsidP="00163868">
            <w:pPr>
              <w:pStyle w:val="Textpoznpodarou1"/>
              <w:jc w:val="both"/>
            </w:pPr>
          </w:p>
        </w:tc>
        <w:tc>
          <w:tcPr>
            <w:tcW w:w="7611" w:type="dxa"/>
            <w:shd w:val="clear" w:color="auto" w:fill="auto"/>
          </w:tcPr>
          <w:p w14:paraId="1CF161B6" w14:textId="77777777" w:rsidR="0087722C" w:rsidRDefault="0087722C" w:rsidP="00163868">
            <w:pPr>
              <w:spacing w:after="0"/>
            </w:pPr>
            <w:r>
              <w:rPr>
                <w:noProof/>
              </w:rPr>
              <w:drawing>
                <wp:inline distT="0" distB="0" distL="0" distR="0" wp14:anchorId="6618AA04" wp14:editId="5B3F5955">
                  <wp:extent cx="4737600" cy="3553200"/>
                  <wp:effectExtent l="0" t="0" r="6350" b="0"/>
                  <wp:docPr id="27" name="Graf 2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87722C" w:rsidRPr="009110F7" w14:paraId="5984338D" w14:textId="77777777" w:rsidTr="52944939">
        <w:trPr>
          <w:trHeight w:val="170"/>
        </w:trPr>
        <w:tc>
          <w:tcPr>
            <w:tcW w:w="1804" w:type="dxa"/>
            <w:vMerge/>
            <w:tcMar>
              <w:left w:w="0" w:type="dxa"/>
            </w:tcMar>
          </w:tcPr>
          <w:p w14:paraId="39788093" w14:textId="77777777" w:rsidR="0087722C" w:rsidRDefault="0087722C" w:rsidP="00163868">
            <w:pPr>
              <w:pStyle w:val="Marginlie"/>
              <w:rPr>
                <w:spacing w:val="0"/>
              </w:rPr>
            </w:pPr>
          </w:p>
        </w:tc>
        <w:tc>
          <w:tcPr>
            <w:tcW w:w="224" w:type="dxa"/>
            <w:vMerge/>
            <w:tcMar>
              <w:left w:w="0" w:type="dxa"/>
            </w:tcMar>
          </w:tcPr>
          <w:p w14:paraId="5EE95C72" w14:textId="77777777" w:rsidR="0087722C" w:rsidRPr="00793D78" w:rsidRDefault="0087722C" w:rsidP="00163868">
            <w:pPr>
              <w:pStyle w:val="Textpoznpodarou1"/>
              <w:jc w:val="both"/>
            </w:pPr>
          </w:p>
        </w:tc>
        <w:tc>
          <w:tcPr>
            <w:tcW w:w="7611" w:type="dxa"/>
            <w:shd w:val="clear" w:color="auto" w:fill="auto"/>
            <w:tcMar>
              <w:left w:w="0" w:type="dxa"/>
            </w:tcMar>
          </w:tcPr>
          <w:p w14:paraId="398C6179" w14:textId="77777777" w:rsidR="0087722C" w:rsidRDefault="0087722C" w:rsidP="00163868">
            <w:r w:rsidRPr="00793D78">
              <w:rPr>
                <w:sz w:val="14"/>
                <w:szCs w:val="14"/>
              </w:rPr>
              <w:t>Zdroj: ČSÚ</w:t>
            </w:r>
          </w:p>
        </w:tc>
      </w:tr>
      <w:tr w:rsidR="0087722C" w:rsidRPr="009110F7" w14:paraId="37A5DD91" w14:textId="77777777" w:rsidTr="52944939">
        <w:trPr>
          <w:trHeight w:val="145"/>
        </w:trPr>
        <w:tc>
          <w:tcPr>
            <w:tcW w:w="1804" w:type="dxa"/>
            <w:shd w:val="clear" w:color="auto" w:fill="auto"/>
            <w:tcMar>
              <w:left w:w="0" w:type="dxa"/>
            </w:tcMar>
          </w:tcPr>
          <w:p w14:paraId="3FBA84D6" w14:textId="77777777" w:rsidR="0087722C" w:rsidRDefault="0087722C" w:rsidP="00163868">
            <w:pPr>
              <w:pStyle w:val="Marginlie"/>
              <w:rPr>
                <w:spacing w:val="0"/>
              </w:rPr>
            </w:pPr>
            <w:r>
              <w:rPr>
                <w:spacing w:val="0"/>
              </w:rPr>
              <w:t>…výrazněji se ale propadly meziroční přírůstky realizovaných cen starších bytů, což ukazuje na ochlazení nemovitostního trhu.</w:t>
            </w:r>
          </w:p>
        </w:tc>
        <w:tc>
          <w:tcPr>
            <w:tcW w:w="224" w:type="dxa"/>
            <w:shd w:val="clear" w:color="auto" w:fill="auto"/>
            <w:tcMar>
              <w:left w:w="0" w:type="dxa"/>
            </w:tcMar>
          </w:tcPr>
          <w:p w14:paraId="7186CCB2" w14:textId="77777777" w:rsidR="0087722C" w:rsidRPr="00793D78" w:rsidRDefault="0087722C" w:rsidP="00163868">
            <w:pPr>
              <w:pStyle w:val="Textpoznpodarou1"/>
              <w:jc w:val="both"/>
            </w:pPr>
          </w:p>
        </w:tc>
        <w:tc>
          <w:tcPr>
            <w:tcW w:w="7611" w:type="dxa"/>
            <w:shd w:val="clear" w:color="auto" w:fill="auto"/>
            <w:tcMar>
              <w:left w:w="0" w:type="dxa"/>
            </w:tcMar>
          </w:tcPr>
          <w:p w14:paraId="5B67C964" w14:textId="05945414" w:rsidR="0087722C" w:rsidRDefault="0087722C" w:rsidP="00163868">
            <w:r>
              <w:t>Realizované ceny starších bytů v Praze byly loni</w:t>
            </w:r>
            <w:r w:rsidR="00EB6DA6">
              <w:t xml:space="preserve"> meziročně</w:t>
            </w:r>
            <w:r>
              <w:t xml:space="preserve"> vyšší o 14,7 %. Hlavně v první polovině roku ale meziroční dynamika u bytů mimo Prahu atakovala 30 % a</w:t>
            </w:r>
            <w:r w:rsidR="00EB6DA6">
              <w:t> </w:t>
            </w:r>
            <w:r>
              <w:t>ještě ve 3. čtvrtletí se přírůstek držel vysoko nad 20 %. V samotném 4. čtvrtletí ale realizované ceny starších bytů v ČR meziročně vzrostly o 13,8 %, mimo Prahu o 15,3</w:t>
            </w:r>
            <w:r w:rsidR="00EB6DA6">
              <w:t> </w:t>
            </w:r>
            <w:r>
              <w:t>% a v Praze o 8,4 %. Mezičtvrtletně došlo u bytů v ČR k poklesu o 1,0 %, prvnímu od 4.</w:t>
            </w:r>
            <w:r w:rsidR="00EB6DA6">
              <w:t> </w:t>
            </w:r>
            <w:r>
              <w:t xml:space="preserve">kvartálu 2013. Realizované ceny starších bytů mimo Prahu byly oproti 3. čtvrtletí nižší o 1,4 % (první pokles od 3. čtvrtletí 2013). Jen v případě Prahy došlo k mírnému růstu o 0,4 %. Realizované ceny nových bytů, které jsou dostupné pouze za Prahu, popisují podobný průběh – ve 4. čtvrtletí se jejich meziroční přírůstek propadl na 2,9 % a mezičtvrtletně se ceny </w:t>
            </w:r>
            <w:r w:rsidR="00EB6DA6">
              <w:t>snížily</w:t>
            </w:r>
            <w:r>
              <w:t xml:space="preserve"> o 4,3 %. Z výše popsaného vývoje lze vidět prudký propad poptávky, který souvisel s prudkým zdražením hypotečního financování. Tato </w:t>
            </w:r>
            <w:r>
              <w:lastRenderedPageBreak/>
              <w:t xml:space="preserve">situace po letech opět umožňuje kupujícím vyjednávat o ceně. Růst nabídkových cen sice zpomalil, ale tržní realitu odráží spíše propad realizovaných cen. Také je vidět, že prudký růst cen bytů mimo Prahu, který byl patrný v posledních dvou letech, výrazněji narazil na strop finančních možností kupujících i zájmu případných investorů.    </w:t>
            </w:r>
          </w:p>
        </w:tc>
      </w:tr>
      <w:tr w:rsidR="0087722C" w:rsidRPr="009110F7" w14:paraId="20E8557C" w14:textId="77777777" w:rsidTr="52944939">
        <w:trPr>
          <w:trHeight w:val="145"/>
        </w:trPr>
        <w:tc>
          <w:tcPr>
            <w:tcW w:w="1804" w:type="dxa"/>
            <w:shd w:val="clear" w:color="auto" w:fill="auto"/>
            <w:tcMar>
              <w:left w:w="0" w:type="dxa"/>
            </w:tcMar>
          </w:tcPr>
          <w:p w14:paraId="7131CE27" w14:textId="77777777" w:rsidR="0087722C" w:rsidRDefault="0087722C" w:rsidP="00163868">
            <w:pPr>
              <w:pStyle w:val="Marginlie"/>
              <w:rPr>
                <w:spacing w:val="0"/>
              </w:rPr>
            </w:pPr>
            <w:r>
              <w:rPr>
                <w:spacing w:val="0"/>
              </w:rPr>
              <w:lastRenderedPageBreak/>
              <w:t>Na ceny průmyslových výrobců působil prudký růst cen surovin i energií.</w:t>
            </w:r>
          </w:p>
        </w:tc>
        <w:tc>
          <w:tcPr>
            <w:tcW w:w="224" w:type="dxa"/>
            <w:shd w:val="clear" w:color="auto" w:fill="auto"/>
            <w:tcMar>
              <w:left w:w="0" w:type="dxa"/>
            </w:tcMar>
          </w:tcPr>
          <w:p w14:paraId="1EBE9D24" w14:textId="77777777" w:rsidR="0087722C" w:rsidRPr="00793D78" w:rsidRDefault="0087722C" w:rsidP="00163868">
            <w:pPr>
              <w:pStyle w:val="Textpoznpodarou1"/>
              <w:jc w:val="both"/>
            </w:pPr>
          </w:p>
        </w:tc>
        <w:tc>
          <w:tcPr>
            <w:tcW w:w="7611" w:type="dxa"/>
            <w:shd w:val="clear" w:color="auto" w:fill="auto"/>
            <w:tcMar>
              <w:left w:w="0" w:type="dxa"/>
            </w:tcMar>
          </w:tcPr>
          <w:p w14:paraId="119F2202" w14:textId="1173352B" w:rsidR="0087722C" w:rsidRDefault="0087722C" w:rsidP="00163868">
            <w:r>
              <w:t>Ceny průmyslových výrobců se loni zvýšily o 24,3 %. Velmi silný přírůstek byl ovlivněn vývojem cen surovin a energií, který zasáhl prakticky celé spektrum průmyslu. Meziroční růst cen průmyslových výrobců vrcholil ve 2. čtvrtletí roku a pak oslaboval. V jednotlivých čtvrtletích přírůstky postupně dosáhly 21,8 %, 27,7 % a 25,9 %.</w:t>
            </w:r>
            <w:r w:rsidR="00741F2A">
              <w:t xml:space="preserve"> </w:t>
            </w:r>
            <w:r>
              <w:t xml:space="preserve">V samotném 4. čtvrtletí se ceny zvýšily meziročně o 21,8 %. </w:t>
            </w:r>
          </w:p>
        </w:tc>
      </w:tr>
      <w:tr w:rsidR="0087722C" w:rsidRPr="009110F7" w14:paraId="193BDEE8" w14:textId="77777777" w:rsidTr="52944939">
        <w:trPr>
          <w:trHeight w:val="145"/>
        </w:trPr>
        <w:tc>
          <w:tcPr>
            <w:tcW w:w="1804" w:type="dxa"/>
            <w:shd w:val="clear" w:color="auto" w:fill="auto"/>
            <w:tcMar>
              <w:left w:w="0" w:type="dxa"/>
            </w:tcMar>
          </w:tcPr>
          <w:p w14:paraId="0C2436B7" w14:textId="77777777" w:rsidR="0087722C" w:rsidRDefault="0087722C" w:rsidP="00163868">
            <w:pPr>
              <w:pStyle w:val="Marginlie"/>
              <w:rPr>
                <w:spacing w:val="0"/>
              </w:rPr>
            </w:pPr>
            <w:r>
              <w:rPr>
                <w:spacing w:val="0"/>
              </w:rPr>
              <w:t>V závěru roku měl největší vliv na ceny výrobků a služeb zpracovatelského průmyslu přírůstek u cen potravinářských výrobků.</w:t>
            </w:r>
          </w:p>
        </w:tc>
        <w:tc>
          <w:tcPr>
            <w:tcW w:w="224" w:type="dxa"/>
            <w:shd w:val="clear" w:color="auto" w:fill="auto"/>
            <w:tcMar>
              <w:left w:w="0" w:type="dxa"/>
            </w:tcMar>
          </w:tcPr>
          <w:p w14:paraId="6453B497" w14:textId="77777777" w:rsidR="0087722C" w:rsidRPr="00793D78" w:rsidRDefault="0087722C" w:rsidP="00163868">
            <w:pPr>
              <w:pStyle w:val="Textpoznpodarou1"/>
              <w:jc w:val="both"/>
            </w:pPr>
          </w:p>
        </w:tc>
        <w:tc>
          <w:tcPr>
            <w:tcW w:w="7611" w:type="dxa"/>
            <w:shd w:val="clear" w:color="auto" w:fill="auto"/>
            <w:tcMar>
              <w:left w:w="0" w:type="dxa"/>
            </w:tcMar>
          </w:tcPr>
          <w:p w14:paraId="7A43E1D7" w14:textId="1F141703" w:rsidR="0087722C" w:rsidRDefault="0087722C" w:rsidP="00163868">
            <w:r>
              <w:t xml:space="preserve">Nejvíce k celkovému růstu loni přispívaly ceny výrobků a služeb zpracovatelského průmyslu (19,5 %). Ty byly ovlivněny hlavně prudkým růstem cen koksu </w:t>
            </w:r>
            <w:r>
              <w:br/>
              <w:t>a rafinovaných ropných produktů</w:t>
            </w:r>
            <w:r>
              <w:rPr>
                <w:rStyle w:val="Znakapoznpodarou"/>
              </w:rPr>
              <w:footnoteReference w:id="58"/>
            </w:r>
            <w:r>
              <w:t>. Druhý největší vliv na růst cen průmyslových výrobců měly potravinářské výrobky</w:t>
            </w:r>
            <w:r w:rsidR="003A5295">
              <w:t>, nápoje a tabák</w:t>
            </w:r>
            <w:r>
              <w:t xml:space="preserve"> (19,2 %) a silně přispěly i ceny obecných kovů a kovodělných výrobků (22,3 %), pryžových a plastových výrobků</w:t>
            </w:r>
            <w:r w:rsidR="003A5295">
              <w:t>, ostatních nekovových minerálních výrobků</w:t>
            </w:r>
            <w:r>
              <w:t xml:space="preserve"> (19,7</w:t>
            </w:r>
            <w:r w:rsidR="003A5295">
              <w:t> </w:t>
            </w:r>
            <w:r>
              <w:t>%)</w:t>
            </w:r>
            <w:r w:rsidR="00EB6DA6">
              <w:t xml:space="preserve"> </w:t>
            </w:r>
            <w:r>
              <w:t>a</w:t>
            </w:r>
            <w:r w:rsidR="00EB6DA6">
              <w:t> </w:t>
            </w:r>
            <w:r>
              <w:t>chemických látek a výrobků</w:t>
            </w:r>
            <w:r w:rsidR="003A5295">
              <w:t xml:space="preserve"> </w:t>
            </w:r>
            <w:r>
              <w:t>(35,2 %). Loni silně rostly i ceny dřeva, papíru a tisku (24,8 %), textilu, oděvů a usní (13,1 %) a strojů a zařízení (11,6 %). Relativně mírnější bylo navýšení cen nábytku a</w:t>
            </w:r>
            <w:r w:rsidR="003A5295">
              <w:t> </w:t>
            </w:r>
            <w:r>
              <w:t>ostatních výrobků zpracovatelského průmyslu (8,9 %), počítačů, elektronických a</w:t>
            </w:r>
            <w:r w:rsidR="003A5295">
              <w:t> </w:t>
            </w:r>
            <w:r>
              <w:t>optických přístrojů (6,9 %), elektrických zařízení (6,3 %), základních farmaceutických výrobků (6,0 %). Ve 4. čtvrtletí 2022 se ceny výrobků a služeb zpracovatelského průmyslu meziročně zvýšily o 16,0 %, což byl v rámci loňského roku nejslabší přírůstek. Vliv na oslabení měla zčásti i silná základna konce roku 2021, kdy už bylo patrné prudké posílení cen surovin. Nejvíce k růstu přispívalo nadále posilující navýšení cen potravinářských výrobků, nápojů a tabáku (25,7 %). Naopak výrazně oslabil vliv koksu a rafinovaných ropných produktů. Silný vliv si udržovaly pryžové a plastové výrobky</w:t>
            </w:r>
            <w:r w:rsidR="003A5295">
              <w:t>, ostatní nekovové minerální výrobky</w:t>
            </w:r>
            <w:r>
              <w:t xml:space="preserve"> (20,1 %). Podobně jako u cen ropy oslabil meziroční růst cen obecných kovů a</w:t>
            </w:r>
            <w:r w:rsidR="003A5295">
              <w:t> </w:t>
            </w:r>
            <w:r>
              <w:t>kovodělných výrobků (13,1 %).</w:t>
            </w:r>
          </w:p>
        </w:tc>
      </w:tr>
      <w:tr w:rsidR="0087722C" w:rsidRPr="009110F7" w14:paraId="557ED1DD" w14:textId="77777777" w:rsidTr="52944939">
        <w:trPr>
          <w:trHeight w:val="145"/>
        </w:trPr>
        <w:tc>
          <w:tcPr>
            <w:tcW w:w="1804" w:type="dxa"/>
            <w:shd w:val="clear" w:color="auto" w:fill="auto"/>
            <w:tcMar>
              <w:left w:w="0" w:type="dxa"/>
            </w:tcMar>
          </w:tcPr>
          <w:p w14:paraId="28E3300B" w14:textId="77777777" w:rsidR="0087722C" w:rsidRDefault="0087722C" w:rsidP="00163868">
            <w:pPr>
              <w:pStyle w:val="Marginlie"/>
              <w:rPr>
                <w:spacing w:val="0"/>
              </w:rPr>
            </w:pPr>
            <w:r>
              <w:rPr>
                <w:spacing w:val="0"/>
              </w:rPr>
              <w:t xml:space="preserve">Meziroční přírůstek cen elektřiny v závěru roku mírně zpomalil. </w:t>
            </w:r>
          </w:p>
        </w:tc>
        <w:tc>
          <w:tcPr>
            <w:tcW w:w="224" w:type="dxa"/>
            <w:shd w:val="clear" w:color="auto" w:fill="auto"/>
            <w:tcMar>
              <w:left w:w="0" w:type="dxa"/>
            </w:tcMar>
          </w:tcPr>
          <w:p w14:paraId="2EB6CD98" w14:textId="77777777" w:rsidR="0087722C" w:rsidRPr="00793D78" w:rsidRDefault="0087722C" w:rsidP="00163868">
            <w:pPr>
              <w:pStyle w:val="Textpoznpodarou1"/>
              <w:jc w:val="both"/>
            </w:pPr>
          </w:p>
        </w:tc>
        <w:tc>
          <w:tcPr>
            <w:tcW w:w="7611" w:type="dxa"/>
            <w:shd w:val="clear" w:color="auto" w:fill="auto"/>
            <w:tcMar>
              <w:left w:w="0" w:type="dxa"/>
            </w:tcMar>
          </w:tcPr>
          <w:p w14:paraId="35FA1184" w14:textId="77777777" w:rsidR="0087722C" w:rsidRDefault="0087722C" w:rsidP="00163868">
            <w:r>
              <w:t xml:space="preserve">Elektřina, plyn, pára a klimatizovaný vzduch loni zdražily o 50,7 %. Meziroční růst cen zde po celý rok až do 3. kvartálu zrychloval. Ve 4. čtvrtletí meziroční přírůstek mírně zpomalil na 54,3 %, zčásti šlo ale o vliv srovnávací základny předchozího roku, když už bylo zrychlení dynamiky cen elektřiny silně patrné. Ceny těžby a dobývání byly loni vyšší celkem o 27,5 %. Největší vliv na to mělo prudké zdražení ropy a zemního plynu (70,4 %), ale silně se zvyšovaly i ceny ostatních surovin, například těch stavebních, které byly zahrnuty do ostatní těžby a dobývání (17,9 %). Také u cen těžby a dobývání ve 4. čtvrtletí meziroční přírůstek oslabil (23,3 %).  </w:t>
            </w:r>
          </w:p>
        </w:tc>
      </w:tr>
      <w:tr w:rsidR="0087722C" w:rsidRPr="009110F7" w14:paraId="48B70D60" w14:textId="77777777" w:rsidTr="52944939">
        <w:trPr>
          <w:trHeight w:val="145"/>
        </w:trPr>
        <w:tc>
          <w:tcPr>
            <w:tcW w:w="1804" w:type="dxa"/>
            <w:shd w:val="clear" w:color="auto" w:fill="auto"/>
            <w:tcMar>
              <w:left w:w="0" w:type="dxa"/>
            </w:tcMar>
          </w:tcPr>
          <w:p w14:paraId="7D45EE1D" w14:textId="77777777" w:rsidR="0087722C" w:rsidRDefault="0087722C" w:rsidP="00163868">
            <w:pPr>
              <w:pStyle w:val="Marginlie"/>
              <w:rPr>
                <w:spacing w:val="0"/>
              </w:rPr>
            </w:pPr>
            <w:r>
              <w:rPr>
                <w:spacing w:val="0"/>
              </w:rPr>
              <w:t>Ceny průmyslových výrobců v EU prudce rostly.</w:t>
            </w:r>
          </w:p>
        </w:tc>
        <w:tc>
          <w:tcPr>
            <w:tcW w:w="224" w:type="dxa"/>
            <w:shd w:val="clear" w:color="auto" w:fill="auto"/>
            <w:tcMar>
              <w:left w:w="0" w:type="dxa"/>
            </w:tcMar>
          </w:tcPr>
          <w:p w14:paraId="7ECCBEC6" w14:textId="77777777" w:rsidR="0087722C" w:rsidRPr="00793D78" w:rsidRDefault="0087722C" w:rsidP="00163868">
            <w:pPr>
              <w:pStyle w:val="Textpoznpodarou1"/>
              <w:jc w:val="both"/>
            </w:pPr>
          </w:p>
        </w:tc>
        <w:tc>
          <w:tcPr>
            <w:tcW w:w="7611" w:type="dxa"/>
            <w:shd w:val="clear" w:color="auto" w:fill="auto"/>
            <w:tcMar>
              <w:left w:w="0" w:type="dxa"/>
            </w:tcMar>
          </w:tcPr>
          <w:p w14:paraId="0FBFB608" w14:textId="291413FD" w:rsidR="0087722C" w:rsidRDefault="0087722C" w:rsidP="00EB6DA6">
            <w:r>
              <w:t>Ceny průmyslových výrobců</w:t>
            </w:r>
            <w:r>
              <w:rPr>
                <w:rStyle w:val="Znakapoznpodarou"/>
              </w:rPr>
              <w:footnoteReference w:id="59"/>
            </w:r>
            <w:r>
              <w:t xml:space="preserve"> v EU loni vzrostly o 34,3 %, přičemž navázaly na velmi vysoký 12,4% přírůstek z roku 2021. Ceny těžby a dobývání byly vyšší o 69,7 %, výrobků a služeb zpracovatelského průmyslu o 17,6 % a elektřiny, plynu, páry a klimatizovaného vzduchu o 94,9 %. Ceny průmyslových výrobců loni nejvíce vzrostly v Rumunsku (58,1 %), v Maďarsku (53,1 %) a Lotyšsku (49,5 %). Nejnižší přírůstek měly ceny na Maltě (</w:t>
            </w:r>
            <w:r w:rsidR="003A5295">
              <w:t>8,8</w:t>
            </w:r>
            <w:r>
              <w:t xml:space="preserve"> %), ve Švédsku (20,4 %) a v Portugalsku (20,6 %). Až do 3. kvartálu meziroční dynamika cen průmyslových výrobců v EU posilovala a až ve 4. čtvrtletí oslabil přírůstek na 27,9 %. Zároveň poprvé od 2. čtvrtletí 2020 ceny mezičtvrtletně klesly (−0,3 %). Zpomalení meziročního přírůstku se týkalo všech sekcí. Ceny těžby a dobývání byly meziročně vyšší o 39,9 %, výrobků a služeb zpracovatelského průmyslu o 15,3 % a elektřiny, plynu, páry a klimatizovaného vzduchu o 64,0 %. V závěru roku rostly meziročně nejsilněji ceny průmyslových </w:t>
            </w:r>
            <w:r>
              <w:lastRenderedPageBreak/>
              <w:t>výrobců v Maďarsku (64,7 %), Lotyšsku (53,1 %) a Rumunsku (46,6 %). Naopak meziročně klesly ceny v Irsku (−6,1 %) a nejmírnější přírůstky byly zaznamenány na Maltě (8,</w:t>
            </w:r>
            <w:r w:rsidR="003A5295">
              <w:t>1</w:t>
            </w:r>
            <w:r>
              <w:t xml:space="preserve"> %) a v Portugalsku (10,8 %).</w:t>
            </w:r>
          </w:p>
        </w:tc>
      </w:tr>
      <w:tr w:rsidR="0087722C" w:rsidRPr="009110F7" w14:paraId="292744FD" w14:textId="77777777" w:rsidTr="52944939">
        <w:trPr>
          <w:trHeight w:val="170"/>
        </w:trPr>
        <w:tc>
          <w:tcPr>
            <w:tcW w:w="1804" w:type="dxa"/>
            <w:vMerge w:val="restart"/>
            <w:shd w:val="clear" w:color="auto" w:fill="auto"/>
            <w:tcMar>
              <w:left w:w="0" w:type="dxa"/>
            </w:tcMar>
          </w:tcPr>
          <w:p w14:paraId="3188E5C1" w14:textId="77777777" w:rsidR="0087722C" w:rsidRDefault="0087722C" w:rsidP="00163868">
            <w:pPr>
              <w:pStyle w:val="Marginlie"/>
              <w:rPr>
                <w:spacing w:val="0"/>
              </w:rPr>
            </w:pPr>
          </w:p>
        </w:tc>
        <w:tc>
          <w:tcPr>
            <w:tcW w:w="224" w:type="dxa"/>
            <w:vMerge w:val="restart"/>
            <w:shd w:val="clear" w:color="auto" w:fill="auto"/>
            <w:tcMar>
              <w:left w:w="0" w:type="dxa"/>
            </w:tcMar>
          </w:tcPr>
          <w:p w14:paraId="6BE2FAB2" w14:textId="77777777" w:rsidR="0087722C" w:rsidRPr="00793D78" w:rsidRDefault="0087722C" w:rsidP="00163868">
            <w:pPr>
              <w:pStyle w:val="Textpoznpodarou1"/>
              <w:jc w:val="both"/>
              <w:rPr>
                <w:highlight w:val="yellow"/>
              </w:rPr>
            </w:pPr>
          </w:p>
        </w:tc>
        <w:tc>
          <w:tcPr>
            <w:tcW w:w="7611" w:type="dxa"/>
            <w:shd w:val="clear" w:color="auto" w:fill="auto"/>
            <w:tcMar>
              <w:left w:w="0" w:type="dxa"/>
            </w:tcMar>
          </w:tcPr>
          <w:p w14:paraId="7DB879D8" w14:textId="2D110E40" w:rsidR="0087722C" w:rsidRPr="00D75AC1" w:rsidRDefault="008F525A" w:rsidP="00163868">
            <w:pPr>
              <w:spacing w:after="0"/>
              <w:rPr>
                <w:b/>
                <w:szCs w:val="20"/>
              </w:rPr>
            </w:pPr>
            <w:r>
              <w:rPr>
                <w:b/>
                <w:sz w:val="18"/>
                <w:szCs w:val="18"/>
              </w:rPr>
              <w:t>Graf č. 1</w:t>
            </w:r>
            <w:r w:rsidR="00D95CBE">
              <w:rPr>
                <w:b/>
                <w:sz w:val="18"/>
                <w:szCs w:val="18"/>
              </w:rPr>
              <w:t>3</w:t>
            </w:r>
            <w:r w:rsidR="0087722C" w:rsidRPr="00793D78">
              <w:rPr>
                <w:b/>
                <w:sz w:val="18"/>
                <w:szCs w:val="18"/>
              </w:rPr>
              <w:t xml:space="preserve"> </w:t>
            </w:r>
            <w:r w:rsidR="0087722C" w:rsidRPr="00793D78">
              <w:rPr>
                <w:b/>
                <w:sz w:val="18"/>
                <w:szCs w:val="18"/>
                <w:lang w:eastAsia="en-US"/>
              </w:rPr>
              <w:t xml:space="preserve">Ceny hlavních skupin průmyslových výrobců </w:t>
            </w:r>
            <w:r w:rsidR="0087722C" w:rsidRPr="009067EA">
              <w:rPr>
                <w:sz w:val="18"/>
                <w:szCs w:val="18"/>
                <w:lang w:eastAsia="en-US"/>
              </w:rPr>
              <w:t>(meziroční změna, v %, podle klasifikace CPA)</w:t>
            </w:r>
          </w:p>
        </w:tc>
      </w:tr>
      <w:tr w:rsidR="0087722C" w:rsidRPr="009110F7" w14:paraId="67C13DFF" w14:textId="77777777" w:rsidTr="52944939">
        <w:tblPrEx>
          <w:tblCellMar>
            <w:left w:w="70" w:type="dxa"/>
            <w:right w:w="70" w:type="dxa"/>
          </w:tblCellMar>
        </w:tblPrEx>
        <w:trPr>
          <w:trHeight w:val="170"/>
        </w:trPr>
        <w:tc>
          <w:tcPr>
            <w:tcW w:w="1804" w:type="dxa"/>
            <w:vMerge/>
          </w:tcPr>
          <w:p w14:paraId="628E5894" w14:textId="77777777" w:rsidR="0087722C" w:rsidRPr="00793D78" w:rsidRDefault="0087722C" w:rsidP="00163868">
            <w:pPr>
              <w:pStyle w:val="Marginlie"/>
              <w:rPr>
                <w:spacing w:val="0"/>
              </w:rPr>
            </w:pPr>
          </w:p>
        </w:tc>
        <w:tc>
          <w:tcPr>
            <w:tcW w:w="224" w:type="dxa"/>
            <w:vMerge/>
          </w:tcPr>
          <w:p w14:paraId="09E9083A" w14:textId="77777777" w:rsidR="0087722C" w:rsidRPr="00793D78" w:rsidRDefault="0087722C" w:rsidP="00163868">
            <w:pPr>
              <w:pStyle w:val="Textpoznpodarou1"/>
              <w:jc w:val="both"/>
            </w:pPr>
          </w:p>
        </w:tc>
        <w:tc>
          <w:tcPr>
            <w:tcW w:w="7611" w:type="dxa"/>
            <w:shd w:val="clear" w:color="auto" w:fill="auto"/>
          </w:tcPr>
          <w:p w14:paraId="4BED401C" w14:textId="77777777" w:rsidR="0087722C" w:rsidRPr="00793D78" w:rsidRDefault="0087722C" w:rsidP="00163868">
            <w:pPr>
              <w:spacing w:after="0"/>
            </w:pPr>
            <w:r>
              <w:rPr>
                <w:noProof/>
              </w:rPr>
              <w:drawing>
                <wp:inline distT="0" distB="0" distL="0" distR="0" wp14:anchorId="2852F1B7" wp14:editId="110FB92C">
                  <wp:extent cx="4737600" cy="3553200"/>
                  <wp:effectExtent l="0" t="0" r="6350" b="0"/>
                  <wp:docPr id="43" name="Graf 4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87722C" w:rsidRPr="009110F7" w14:paraId="0D20FFE4" w14:textId="77777777" w:rsidTr="52944939">
        <w:trPr>
          <w:trHeight w:val="170"/>
        </w:trPr>
        <w:tc>
          <w:tcPr>
            <w:tcW w:w="1804" w:type="dxa"/>
            <w:vMerge/>
            <w:tcMar>
              <w:left w:w="0" w:type="dxa"/>
            </w:tcMar>
          </w:tcPr>
          <w:p w14:paraId="7B7458F1" w14:textId="77777777" w:rsidR="0087722C" w:rsidRPr="00793D78" w:rsidRDefault="0087722C" w:rsidP="00163868">
            <w:pPr>
              <w:pStyle w:val="Marginlie"/>
              <w:rPr>
                <w:spacing w:val="0"/>
              </w:rPr>
            </w:pPr>
          </w:p>
        </w:tc>
        <w:tc>
          <w:tcPr>
            <w:tcW w:w="224" w:type="dxa"/>
            <w:vMerge/>
            <w:tcMar>
              <w:left w:w="0" w:type="dxa"/>
            </w:tcMar>
          </w:tcPr>
          <w:p w14:paraId="398518AD" w14:textId="77777777" w:rsidR="0087722C" w:rsidRPr="00793D78" w:rsidRDefault="0087722C" w:rsidP="00163868">
            <w:pPr>
              <w:pStyle w:val="Textpoznpodarou1"/>
              <w:jc w:val="both"/>
            </w:pPr>
          </w:p>
        </w:tc>
        <w:tc>
          <w:tcPr>
            <w:tcW w:w="7611" w:type="dxa"/>
            <w:shd w:val="clear" w:color="auto" w:fill="auto"/>
            <w:tcMar>
              <w:left w:w="0" w:type="dxa"/>
            </w:tcMar>
          </w:tcPr>
          <w:p w14:paraId="421079E4" w14:textId="77777777" w:rsidR="0087722C" w:rsidRPr="00793D78" w:rsidRDefault="0087722C" w:rsidP="00163868">
            <w:r w:rsidRPr="00793D78">
              <w:rPr>
                <w:sz w:val="14"/>
                <w:szCs w:val="14"/>
              </w:rPr>
              <w:t>Zdroj: ČSÚ</w:t>
            </w:r>
          </w:p>
        </w:tc>
      </w:tr>
      <w:tr w:rsidR="0087722C" w:rsidRPr="009110F7" w14:paraId="55B9C3EE" w14:textId="77777777" w:rsidTr="52944939">
        <w:trPr>
          <w:trHeight w:val="145"/>
        </w:trPr>
        <w:tc>
          <w:tcPr>
            <w:tcW w:w="1804" w:type="dxa"/>
            <w:shd w:val="clear" w:color="auto" w:fill="auto"/>
            <w:tcMar>
              <w:left w:w="0" w:type="dxa"/>
            </w:tcMar>
          </w:tcPr>
          <w:p w14:paraId="46057C0F" w14:textId="77777777" w:rsidR="0087722C" w:rsidRDefault="0087722C" w:rsidP="00163868">
            <w:pPr>
              <w:pStyle w:val="Marginlie"/>
              <w:rPr>
                <w:spacing w:val="0"/>
              </w:rPr>
            </w:pPr>
            <w:r>
              <w:rPr>
                <w:spacing w:val="0"/>
              </w:rPr>
              <w:t>Loni se silně zvyšovaly ceny stavebních prací.</w:t>
            </w:r>
          </w:p>
        </w:tc>
        <w:tc>
          <w:tcPr>
            <w:tcW w:w="224" w:type="dxa"/>
            <w:shd w:val="clear" w:color="auto" w:fill="auto"/>
            <w:tcMar>
              <w:left w:w="0" w:type="dxa"/>
            </w:tcMar>
          </w:tcPr>
          <w:p w14:paraId="5B75280F" w14:textId="77777777" w:rsidR="0087722C" w:rsidRPr="00793D78" w:rsidRDefault="0087722C" w:rsidP="00163868">
            <w:pPr>
              <w:pStyle w:val="Textpoznpodarou1"/>
              <w:jc w:val="both"/>
            </w:pPr>
          </w:p>
        </w:tc>
        <w:tc>
          <w:tcPr>
            <w:tcW w:w="7611" w:type="dxa"/>
            <w:shd w:val="clear" w:color="auto" w:fill="auto"/>
            <w:tcMar>
              <w:left w:w="0" w:type="dxa"/>
            </w:tcMar>
          </w:tcPr>
          <w:p w14:paraId="388EB4C5" w14:textId="77777777" w:rsidR="0087722C" w:rsidRPr="00793D78" w:rsidRDefault="0087722C" w:rsidP="00163868">
            <w:r>
              <w:t xml:space="preserve">Ceny stavebních prací loni celkově vzrostly o 12,3 %. Z toho se ceny materiálů </w:t>
            </w:r>
            <w:r w:rsidRPr="002F305B">
              <w:t>a</w:t>
            </w:r>
            <w:r>
              <w:t> </w:t>
            </w:r>
            <w:r w:rsidRPr="002F305B">
              <w:t>výrobků</w:t>
            </w:r>
            <w:r>
              <w:t xml:space="preserve"> spotřebovaných ve stavebnictví zvýšily o 20,7 %. Meziroční růst cen stavebních prací dosáhl vrcholu ve 2. kvartálu a pak mírně oslaboval. Ve 4. čtvrtletí se ceny stavebních prací zvýšily meziročně o 12,0 % a mezičtvrtletně o 1,2 %. Ceny materiálů a výrobků spotřebovaných ve stavebnictví byly meziročně vyšší o 16,7 % a mezičtvrtletně stagnovaly. </w:t>
            </w:r>
          </w:p>
        </w:tc>
      </w:tr>
      <w:tr w:rsidR="0087722C" w:rsidRPr="009110F7" w14:paraId="6A01922F" w14:textId="77777777" w:rsidTr="52944939">
        <w:trPr>
          <w:trHeight w:val="145"/>
        </w:trPr>
        <w:tc>
          <w:tcPr>
            <w:tcW w:w="1804" w:type="dxa"/>
            <w:shd w:val="clear" w:color="auto" w:fill="auto"/>
            <w:tcMar>
              <w:left w:w="0" w:type="dxa"/>
            </w:tcMar>
          </w:tcPr>
          <w:p w14:paraId="529E5D8C" w14:textId="77777777" w:rsidR="0087722C" w:rsidRPr="00793D78" w:rsidRDefault="0087722C" w:rsidP="00163868">
            <w:pPr>
              <w:pStyle w:val="Marginlie"/>
              <w:rPr>
                <w:spacing w:val="0"/>
              </w:rPr>
            </w:pPr>
            <w:r>
              <w:rPr>
                <w:spacing w:val="0"/>
              </w:rPr>
              <w:t xml:space="preserve">Ceny tržních služeb silně rostly pod vlivem pozemní a potrubní dopravy a skladování </w:t>
            </w:r>
            <w:r>
              <w:rPr>
                <w:spacing w:val="0"/>
              </w:rPr>
              <w:br/>
              <w:t>a podpůrných služeb.</w:t>
            </w:r>
          </w:p>
        </w:tc>
        <w:tc>
          <w:tcPr>
            <w:tcW w:w="224" w:type="dxa"/>
            <w:shd w:val="clear" w:color="auto" w:fill="auto"/>
            <w:tcMar>
              <w:left w:w="0" w:type="dxa"/>
            </w:tcMar>
          </w:tcPr>
          <w:p w14:paraId="2077A6C4" w14:textId="77777777" w:rsidR="0087722C" w:rsidRPr="00793D78" w:rsidRDefault="0087722C" w:rsidP="00163868">
            <w:pPr>
              <w:pStyle w:val="Textpoznpodarou1"/>
              <w:jc w:val="both"/>
            </w:pPr>
          </w:p>
        </w:tc>
        <w:tc>
          <w:tcPr>
            <w:tcW w:w="7611" w:type="dxa"/>
            <w:shd w:val="clear" w:color="auto" w:fill="auto"/>
            <w:tcMar>
              <w:left w:w="0" w:type="dxa"/>
            </w:tcMar>
          </w:tcPr>
          <w:p w14:paraId="29457E0D" w14:textId="77777777" w:rsidR="0087722C" w:rsidRPr="00793D78" w:rsidRDefault="0087722C" w:rsidP="00163868">
            <w:r>
              <w:t xml:space="preserve">Ceny tržních služeb loni celkově vzrostly o 5,8 %. Přírůstek výrazně zrychlil oproti předchozímu roku, k čemuž nejvíce přispívaly skladování a podpůrné služby v dopravě, v pozemní a potrubní dopravě, a pak reklamní služby a průzkum trhu. Navýšení cen skladování a podpůrných služeb v dopravě (15,1 %) nejvíce přispívalo k celkovému přírůstku cen tržních služeb. Významné bylo také zdražení cen reklamních služeb a průzkumu trhu o 17,4 % a pozemní a potrubní dopravy o 6,2 %. Vliv měl i přírůstek cen služeb v oblasti programování a souvisejícího poradenství (5,1 %), služeb v oblasti zaměstnání (15,1 %), služeb v oblasti nemovitostí (3,1 %), architektonických a inženýrských služeb a technických zkoušek a analýz (4,2 %), služeb v oblasti pronájmu a operativního leasingu (8,7 %) nebo právních a účetnických služeb (5,5 %). Posiloval růst cen téměř ve všech oblastech a klesly jen ceny telekomunikačních služeb (−0,7 %). </w:t>
            </w:r>
          </w:p>
        </w:tc>
      </w:tr>
      <w:tr w:rsidR="0087722C" w:rsidRPr="009110F7" w14:paraId="4670B16A" w14:textId="77777777" w:rsidTr="52944939">
        <w:trPr>
          <w:trHeight w:val="145"/>
        </w:trPr>
        <w:tc>
          <w:tcPr>
            <w:tcW w:w="1804" w:type="dxa"/>
            <w:shd w:val="clear" w:color="auto" w:fill="auto"/>
            <w:tcMar>
              <w:left w:w="0" w:type="dxa"/>
            </w:tcMar>
          </w:tcPr>
          <w:p w14:paraId="595210A1" w14:textId="77777777" w:rsidR="0087722C" w:rsidRPr="00793D78" w:rsidRDefault="0087722C" w:rsidP="00163868">
            <w:pPr>
              <w:pStyle w:val="Marginlie"/>
              <w:rPr>
                <w:spacing w:val="0"/>
              </w:rPr>
            </w:pPr>
            <w:r>
              <w:rPr>
                <w:spacing w:val="0"/>
              </w:rPr>
              <w:t>U cen tržních služeb ve 4. čtvrtletí pokračovalo zrychlování cenové dynamiky.</w:t>
            </w:r>
          </w:p>
        </w:tc>
        <w:tc>
          <w:tcPr>
            <w:tcW w:w="224" w:type="dxa"/>
            <w:shd w:val="clear" w:color="auto" w:fill="auto"/>
            <w:tcMar>
              <w:left w:w="0" w:type="dxa"/>
            </w:tcMar>
          </w:tcPr>
          <w:p w14:paraId="3C54DE7C" w14:textId="77777777" w:rsidR="0087722C" w:rsidRPr="00793D78" w:rsidRDefault="0087722C" w:rsidP="00163868">
            <w:pPr>
              <w:pStyle w:val="Textpoznpodarou1"/>
              <w:jc w:val="both"/>
            </w:pPr>
          </w:p>
        </w:tc>
        <w:tc>
          <w:tcPr>
            <w:tcW w:w="7611" w:type="dxa"/>
            <w:shd w:val="clear" w:color="auto" w:fill="auto"/>
            <w:tcMar>
              <w:left w:w="0" w:type="dxa"/>
            </w:tcMar>
          </w:tcPr>
          <w:p w14:paraId="1EE80767" w14:textId="77777777" w:rsidR="0087722C" w:rsidRDefault="0087722C" w:rsidP="00163868">
            <w:r>
              <w:t xml:space="preserve">V průběhu roku meziroční přírůstky cen tržních služeb zrychlovaly a ve 4. kvartálu navýšení dosáhlo 6,7 %. Největší vliv na celkový meziroční růst měly ceny pozemní a potrubní dopravy (7,7 %) a skladování a podpůrných služeb v dopravě (15,2 %), reklamních služeb a průzkumu trhu (15,0 %) a služeb v oblasti programování a souvisejícího poradenství (7,7 %). Z dalších oblastí významně přispěly i ceny služeb </w:t>
            </w:r>
            <w:r>
              <w:lastRenderedPageBreak/>
              <w:t>v oblasti zaměstnání (18,5 %), architektonických a inženýrských služeb a technických zkoušek a analýz (5,6 %) nebo služeb v oblasti nemovitostí (3,2 %).</w:t>
            </w:r>
          </w:p>
        </w:tc>
      </w:tr>
      <w:tr w:rsidR="0087722C" w:rsidRPr="009110F7" w14:paraId="56F0F3FF" w14:textId="77777777" w:rsidTr="52944939">
        <w:trPr>
          <w:trHeight w:val="145"/>
        </w:trPr>
        <w:tc>
          <w:tcPr>
            <w:tcW w:w="1804" w:type="dxa"/>
            <w:shd w:val="clear" w:color="auto" w:fill="auto"/>
            <w:tcMar>
              <w:left w:w="0" w:type="dxa"/>
            </w:tcMar>
          </w:tcPr>
          <w:p w14:paraId="6C5315C8" w14:textId="77777777" w:rsidR="0087722C" w:rsidRPr="00793D78" w:rsidRDefault="0087722C" w:rsidP="00163868">
            <w:pPr>
              <w:pStyle w:val="Marginlie"/>
              <w:rPr>
                <w:spacing w:val="0"/>
              </w:rPr>
            </w:pPr>
            <w:r>
              <w:rPr>
                <w:spacing w:val="0"/>
              </w:rPr>
              <w:lastRenderedPageBreak/>
              <w:t>Ceny zemědělské výroby loni prudce rostly.</w:t>
            </w:r>
          </w:p>
        </w:tc>
        <w:tc>
          <w:tcPr>
            <w:tcW w:w="224" w:type="dxa"/>
            <w:shd w:val="clear" w:color="auto" w:fill="auto"/>
            <w:tcMar>
              <w:left w:w="0" w:type="dxa"/>
            </w:tcMar>
          </w:tcPr>
          <w:p w14:paraId="4A779789" w14:textId="77777777" w:rsidR="0087722C" w:rsidRPr="00793D78" w:rsidRDefault="0087722C" w:rsidP="00163868">
            <w:pPr>
              <w:pStyle w:val="Textpoznpodarou1"/>
              <w:jc w:val="both"/>
            </w:pPr>
          </w:p>
        </w:tc>
        <w:tc>
          <w:tcPr>
            <w:tcW w:w="7611" w:type="dxa"/>
            <w:shd w:val="clear" w:color="auto" w:fill="auto"/>
            <w:tcMar>
              <w:left w:w="0" w:type="dxa"/>
            </w:tcMar>
          </w:tcPr>
          <w:p w14:paraId="68FD429A" w14:textId="77777777" w:rsidR="0087722C" w:rsidRPr="00CB64E1" w:rsidRDefault="0087722C" w:rsidP="00163868">
            <w:pPr>
              <w:rPr>
                <w:spacing w:val="-2"/>
              </w:rPr>
            </w:pPr>
            <w:r>
              <w:rPr>
                <w:spacing w:val="-2"/>
              </w:rPr>
              <w:t>Ceny zemědělské výroby včetně ryb loni vzrostly o 31,8 %. Velmi silný nárůst byl výsledkem prudkého zvýšení nákladů na energie, paliva nebo také cen hnojiv. Vlivem geopolitické situace došlo také k výraznému růstu cen některých zemědělských komodit na světových trzích. I v případě zemědělské výroby meziroční růst cen dosáhl vrcholu ve 2. čtvrtletí a pak zvolňoval. Ve 4. kvartálu zde ceny meziročně rostly o 28,0 %.</w:t>
            </w:r>
          </w:p>
        </w:tc>
      </w:tr>
      <w:tr w:rsidR="0087722C" w:rsidRPr="009110F7" w14:paraId="764C89F0" w14:textId="77777777" w:rsidTr="52944939">
        <w:trPr>
          <w:trHeight w:val="145"/>
        </w:trPr>
        <w:tc>
          <w:tcPr>
            <w:tcW w:w="1804" w:type="dxa"/>
            <w:shd w:val="clear" w:color="auto" w:fill="auto"/>
            <w:tcMar>
              <w:left w:w="0" w:type="dxa"/>
            </w:tcMar>
          </w:tcPr>
          <w:p w14:paraId="74CD669C" w14:textId="77777777" w:rsidR="0087722C" w:rsidRPr="00793D78" w:rsidRDefault="0087722C" w:rsidP="00163868">
            <w:pPr>
              <w:pStyle w:val="Marginlie"/>
              <w:rPr>
                <w:spacing w:val="0"/>
              </w:rPr>
            </w:pPr>
            <w:r>
              <w:rPr>
                <w:spacing w:val="0"/>
              </w:rPr>
              <w:t>U rostlinné výroby v závěru roku došlo ke zmírnění meziroční dynamiky.</w:t>
            </w:r>
          </w:p>
        </w:tc>
        <w:tc>
          <w:tcPr>
            <w:tcW w:w="224" w:type="dxa"/>
            <w:shd w:val="clear" w:color="auto" w:fill="auto"/>
            <w:tcMar>
              <w:left w:w="0" w:type="dxa"/>
            </w:tcMar>
          </w:tcPr>
          <w:p w14:paraId="06E65ADF" w14:textId="77777777" w:rsidR="0087722C" w:rsidRPr="00793D78" w:rsidRDefault="0087722C" w:rsidP="00163868">
            <w:pPr>
              <w:pStyle w:val="Textpoznpodarou1"/>
              <w:jc w:val="both"/>
            </w:pPr>
          </w:p>
        </w:tc>
        <w:tc>
          <w:tcPr>
            <w:tcW w:w="7611" w:type="dxa"/>
            <w:shd w:val="clear" w:color="auto" w:fill="auto"/>
            <w:tcMar>
              <w:left w:w="0" w:type="dxa"/>
            </w:tcMar>
          </w:tcPr>
          <w:p w14:paraId="4E38DB94" w14:textId="77777777" w:rsidR="0087722C" w:rsidRDefault="0087722C" w:rsidP="00163868">
            <w:pPr>
              <w:rPr>
                <w:spacing w:val="-2"/>
              </w:rPr>
            </w:pPr>
            <w:r>
              <w:rPr>
                <w:spacing w:val="-2"/>
              </w:rPr>
              <w:t>Ceny rostlinné výroby byly loni vyšší o 37,1 %. Obiloviny zdražily o 48,9 %, z toho pšenice o 50,8 %, žito o 67,8 %, ječmen o 46,7 % a kukuřice na zrno o 38,8 %. Také ceny průmyslových plodin prudce rostly (33,0 %), zejména pod vlivem cen olejnin (40,2 %). Ceny krmných plodin se zvýšily o 7,7 %, zeleniny a zahradnických produktů o 19,0 % a brambor o 28,4 %. Naopak klesly ceny ovoce (−2,4 %) i vína (−1,0 %). U rostlinné výroby meziroční cenový růst dosáhl nejvyšší úrovně ve 2. kvartálu a pak zmírňoval. Ve 4. čtvrtletí se zde ceny meziročně zvýšily o 23,5 %. Ceny obilovin vzrostly o 41,8 %, z toho pšenice o 41,6 %, žita o 61,1 %, ječmene o 43,6 % a kukuřice o 36,0 %. K výraznému zmírnění meziroční dynamiky došlo u průmyslových plodin (11,4 %), hlavně pod vlivem vývoje u cen olejnin (17,4 %). Růst cen krmných plodin zpomalil na 3,1 %. Ceny zeleniny a zahradnických produktů byly meziročně vyšší o 18,6 % a brambor o 30,6 %. Výrazně se naopak propadaly ceny ovoce (−12,8 %) a nižší byly i ceny vína (−4,3 %).</w:t>
            </w:r>
          </w:p>
        </w:tc>
      </w:tr>
      <w:tr w:rsidR="0087722C" w:rsidRPr="009110F7" w14:paraId="3C6EBCA4" w14:textId="77777777" w:rsidTr="52944939">
        <w:trPr>
          <w:trHeight w:val="145"/>
        </w:trPr>
        <w:tc>
          <w:tcPr>
            <w:tcW w:w="1804" w:type="dxa"/>
            <w:shd w:val="clear" w:color="auto" w:fill="auto"/>
            <w:tcMar>
              <w:left w:w="0" w:type="dxa"/>
            </w:tcMar>
          </w:tcPr>
          <w:p w14:paraId="7154BFD5" w14:textId="77777777" w:rsidR="0087722C" w:rsidRPr="00793D78" w:rsidRDefault="0087722C" w:rsidP="00163868">
            <w:pPr>
              <w:pStyle w:val="Marginlie"/>
              <w:rPr>
                <w:spacing w:val="0"/>
              </w:rPr>
            </w:pPr>
            <w:r>
              <w:rPr>
                <w:spacing w:val="0"/>
              </w:rPr>
              <w:t>Meziroční růst cen živočišné výroby v průběhu roku zrychloval.</w:t>
            </w:r>
          </w:p>
        </w:tc>
        <w:tc>
          <w:tcPr>
            <w:tcW w:w="224" w:type="dxa"/>
            <w:shd w:val="clear" w:color="auto" w:fill="auto"/>
            <w:tcMar>
              <w:left w:w="0" w:type="dxa"/>
            </w:tcMar>
          </w:tcPr>
          <w:p w14:paraId="5B505420" w14:textId="77777777" w:rsidR="0087722C" w:rsidRPr="00793D78" w:rsidRDefault="0087722C" w:rsidP="00163868">
            <w:pPr>
              <w:pStyle w:val="Textpoznpodarou1"/>
              <w:jc w:val="both"/>
            </w:pPr>
          </w:p>
        </w:tc>
        <w:tc>
          <w:tcPr>
            <w:tcW w:w="7611" w:type="dxa"/>
            <w:shd w:val="clear" w:color="auto" w:fill="auto"/>
            <w:tcMar>
              <w:left w:w="0" w:type="dxa"/>
            </w:tcMar>
          </w:tcPr>
          <w:p w14:paraId="33B8324E" w14:textId="77777777" w:rsidR="0087722C" w:rsidRDefault="0087722C" w:rsidP="00163868">
            <w:pPr>
              <w:rPr>
                <w:spacing w:val="-2"/>
              </w:rPr>
            </w:pPr>
            <w:r>
              <w:rPr>
                <w:spacing w:val="-2"/>
              </w:rPr>
              <w:t xml:space="preserve">Ceny živočišné výroby byly loni vyšší o 24,4 %. Silný růst zasáhl celou kategorii. Ceny hospodářských zvířat vzrostly o 22,8 %, z toho u skotu vzrostly o 23,5 %, u prasat </w:t>
            </w:r>
            <w:r>
              <w:rPr>
                <w:spacing w:val="-2"/>
              </w:rPr>
              <w:br/>
              <w:t xml:space="preserve">a selat o 24,4 % a ceny drůbeže byly vyšší o 19,5 %. Živočišné výrobky zdražily loni </w:t>
            </w:r>
            <w:r>
              <w:rPr>
                <w:spacing w:val="-2"/>
              </w:rPr>
              <w:br/>
              <w:t xml:space="preserve">o 25,7 %. Ceny mléka vzrostly o 25,4 % a vajec o 28,2 %. Meziroční růst cen živočišné výroby po celý rok zrychloval až na 36,6 % ve 4. čtvrtletí. V závěru roku byly ceny hospodářských zvířat meziročně vyšší o 35,8 %, z toho skotu o 21,7 %, prasat a selat </w:t>
            </w:r>
            <w:r>
              <w:rPr>
                <w:spacing w:val="-2"/>
              </w:rPr>
              <w:br/>
              <w:t>o 49,4 % a drůbeže o 33,7 %. Ceny živočišných výrobků ve 4. čtvrtletí vzrostly meziročně o 37,3 %. Mléko zdražilo o 35,5 % a vejce o 58,1 %.</w:t>
            </w:r>
          </w:p>
        </w:tc>
      </w:tr>
      <w:tr w:rsidR="0087722C" w:rsidRPr="009110F7" w14:paraId="425852F3" w14:textId="77777777" w:rsidTr="52944939">
        <w:trPr>
          <w:trHeight w:val="145"/>
        </w:trPr>
        <w:tc>
          <w:tcPr>
            <w:tcW w:w="1804" w:type="dxa"/>
            <w:shd w:val="clear" w:color="auto" w:fill="auto"/>
            <w:tcMar>
              <w:left w:w="0" w:type="dxa"/>
            </w:tcMar>
          </w:tcPr>
          <w:p w14:paraId="7F47C567" w14:textId="77777777" w:rsidR="0087722C" w:rsidRPr="00793D78" w:rsidRDefault="0087722C" w:rsidP="00163868">
            <w:pPr>
              <w:pStyle w:val="Marginlie"/>
              <w:rPr>
                <w:spacing w:val="0"/>
              </w:rPr>
            </w:pPr>
            <w:r>
              <w:rPr>
                <w:spacing w:val="0"/>
              </w:rPr>
              <w:t>Ceny exportu po celý rok silně meziročně rostly.</w:t>
            </w:r>
          </w:p>
        </w:tc>
        <w:tc>
          <w:tcPr>
            <w:tcW w:w="224" w:type="dxa"/>
            <w:shd w:val="clear" w:color="auto" w:fill="auto"/>
            <w:tcMar>
              <w:left w:w="0" w:type="dxa"/>
            </w:tcMar>
          </w:tcPr>
          <w:p w14:paraId="7F6CFAD9" w14:textId="77777777" w:rsidR="0087722C" w:rsidRPr="00793D78" w:rsidRDefault="0087722C" w:rsidP="00163868">
            <w:pPr>
              <w:pStyle w:val="Textpoznpodarou1"/>
              <w:jc w:val="both"/>
            </w:pPr>
          </w:p>
        </w:tc>
        <w:tc>
          <w:tcPr>
            <w:tcW w:w="7611" w:type="dxa"/>
            <w:shd w:val="clear" w:color="auto" w:fill="auto"/>
            <w:tcMar>
              <w:left w:w="0" w:type="dxa"/>
            </w:tcMar>
          </w:tcPr>
          <w:p w14:paraId="12E04F8B" w14:textId="678AE369" w:rsidR="0087722C" w:rsidRPr="00793D78" w:rsidRDefault="0087722C" w:rsidP="00163868">
            <w:r>
              <w:t>V loňském roce se ceny vývozu zboží zvýšily celkově o 12,7 %. Kurzové vlivy po celý rok tlumily meziroční růst cen exportu, protože kurz koruny vůči euru meziročně posiloval</w:t>
            </w:r>
            <w:r>
              <w:rPr>
                <w:rStyle w:val="Znakapoznpodarou"/>
              </w:rPr>
              <w:footnoteReference w:id="60"/>
            </w:r>
            <w:r>
              <w:t xml:space="preserve">. Nejvíce </w:t>
            </w:r>
            <w:r w:rsidR="00D95E7F">
              <w:t xml:space="preserve">v průměru za celý rok 2022 </w:t>
            </w:r>
            <w:r>
              <w:t>posilovaly ceny minerálních paliv a</w:t>
            </w:r>
            <w:r w:rsidR="00EB6DA6">
              <w:t> </w:t>
            </w:r>
            <w:r>
              <w:t>maziv (120,1 %) následované potravinami a živými zvířaty (21,3 %), polotovary</w:t>
            </w:r>
            <w:r>
              <w:rPr>
                <w:rStyle w:val="Znakapoznpodarou"/>
              </w:rPr>
              <w:footnoteReference w:id="61"/>
            </w:r>
            <w:r>
              <w:t xml:space="preserve"> (18,9 %) a ostatními surovinami</w:t>
            </w:r>
            <w:r>
              <w:rPr>
                <w:rStyle w:val="Znakapoznpodarou"/>
              </w:rPr>
              <w:footnoteReference w:id="62"/>
            </w:r>
            <w:r>
              <w:t xml:space="preserve"> (18,</w:t>
            </w:r>
            <w:r w:rsidR="00D95E7F">
              <w:t>0</w:t>
            </w:r>
            <w:r>
              <w:t xml:space="preserve"> %). Meziroční dynamika cen exportu vyvrcholila ve 2. kvartálu a ve 4. čtvrtletí přírůstek oslabil na 9,8 %. Nejvíce se </w:t>
            </w:r>
            <w:r w:rsidR="00D95E7F">
              <w:t>ve 4. kvartálu</w:t>
            </w:r>
            <w:r>
              <w:t xml:space="preserve"> zvyšovaly ceny minerálních paliv (64,3 %), silný byl přírůstek u potravin a živých zvířat (20,8 %), polotovarů (14,0 %), chemikálií (12,1 %) a nápojů a tabáku (11,3 %). Vyšší byly ceny průmyslového spotřebního zboží (4,3 %) a strojů a dopravních prostředků (2,3 %). Meziročně klesly ceny ostatních surovin (−1,6 %).  </w:t>
            </w:r>
          </w:p>
        </w:tc>
      </w:tr>
      <w:tr w:rsidR="0087722C" w:rsidRPr="009110F7" w14:paraId="46C3D910" w14:textId="77777777" w:rsidTr="52944939">
        <w:trPr>
          <w:trHeight w:val="145"/>
        </w:trPr>
        <w:tc>
          <w:tcPr>
            <w:tcW w:w="1804" w:type="dxa"/>
            <w:shd w:val="clear" w:color="auto" w:fill="auto"/>
            <w:tcMar>
              <w:left w:w="0" w:type="dxa"/>
            </w:tcMar>
          </w:tcPr>
          <w:p w14:paraId="51730ABE" w14:textId="77777777" w:rsidR="0087722C" w:rsidRPr="00793D78" w:rsidRDefault="0087722C" w:rsidP="00163868">
            <w:pPr>
              <w:pStyle w:val="Marginlie"/>
              <w:rPr>
                <w:spacing w:val="0"/>
              </w:rPr>
            </w:pPr>
            <w:r>
              <w:rPr>
                <w:spacing w:val="0"/>
              </w:rPr>
              <w:t>Směnné relace byly celý rok záporné.</w:t>
            </w:r>
          </w:p>
        </w:tc>
        <w:tc>
          <w:tcPr>
            <w:tcW w:w="224" w:type="dxa"/>
            <w:shd w:val="clear" w:color="auto" w:fill="auto"/>
            <w:tcMar>
              <w:left w:w="0" w:type="dxa"/>
            </w:tcMar>
          </w:tcPr>
          <w:p w14:paraId="45700C64" w14:textId="77777777" w:rsidR="0087722C" w:rsidRPr="00793D78" w:rsidRDefault="0087722C" w:rsidP="00163868">
            <w:pPr>
              <w:pStyle w:val="Textpoznpodarou1"/>
              <w:jc w:val="both"/>
            </w:pPr>
          </w:p>
        </w:tc>
        <w:tc>
          <w:tcPr>
            <w:tcW w:w="7611" w:type="dxa"/>
            <w:shd w:val="clear" w:color="auto" w:fill="auto"/>
            <w:tcMar>
              <w:left w:w="0" w:type="dxa"/>
            </w:tcMar>
          </w:tcPr>
          <w:p w14:paraId="76982B58" w14:textId="2637CF75" w:rsidR="0087722C" w:rsidRDefault="0087722C" w:rsidP="00163868">
            <w:r>
              <w:t xml:space="preserve">Ceny dovozu loni vzrostly o 17,2 %. Nejsilněji se zvyšovaly ceny dovozu minerálních paliv a maziv (104,4 %) následované nápoji a tabákem (16,6 %) a polotovary </w:t>
            </w:r>
            <w:r>
              <w:br/>
              <w:t>(16,6 %). Dvouciferný přírůstek měly také ceny potravin a živých zvířat (14,7 %), chemikálií (12,3 %) a ostatních surovin (10,8 %). Meziroční dynamika cen importu posilovala až do 3. kvartálu. Přírůstek pak ve 4. čtvrtletí zmírnil na 11,8 %. Nejvíce meziročně</w:t>
            </w:r>
            <w:r w:rsidR="00D95E7F">
              <w:t xml:space="preserve"> ve 4. kvartálu</w:t>
            </w:r>
            <w:r>
              <w:t xml:space="preserve"> rostly ceny minerálních paliv (46,8 %) a dále potravin a živých </w:t>
            </w:r>
            <w:r>
              <w:lastRenderedPageBreak/>
              <w:t xml:space="preserve">zvířat (21,5 %), nápojů a tabáku (20,6 %), průmyslového spotřebního zboží (11,6 %) </w:t>
            </w:r>
            <w:r>
              <w:br/>
              <w:t xml:space="preserve">a polotovarů (10,0 %). Výrazné bylo i navýšení u ostatních surovin (6,6 %) a chemikálií (5,9 %) a mírně vyšší byly ceny strojů a dopravních prostředků (2,4 %). Směnné relace zahraničního obchodu se zbožím byly loni výrazně záporné a dosáhly 96,2 %. Výrazně záporné byly loni směnné relace obchodu s nápoji a tabákem (91,0 %) a průmyslovým spotřebním zbožím (96,7 %). Naopak silně kladné byly směnné relace u minerálních paliv (107,7 %), ostatních surovin (106,5 %) a potravin a živých zvířat (105,8 %). V samotném 4. čtvrtletí směnné relace dosáhly 98,2 %. Záporné byly relace obchodu s nápoji a tabákem (92,3 %), ostatními surovinami (92,3 %), průmyslovým spotřebním zbožím (93,5 %), potravinami a živými zvířaty (99,4 %) a stroji a dopravními prostředky (99,9 %). Naopak kladné byly směnné relace v případě minerálních paliv (111,9 %), chemikálií (105,9 %) a polotovarů (103,6 %).   </w:t>
            </w:r>
          </w:p>
        </w:tc>
      </w:tr>
    </w:tbl>
    <w:p w14:paraId="626B0BA9" w14:textId="77777777" w:rsidR="0087722C" w:rsidRPr="00E42054" w:rsidRDefault="0087722C" w:rsidP="0087722C">
      <w:pPr>
        <w:pStyle w:val="Nadpis11"/>
        <w:rPr>
          <w:b w:val="0"/>
          <w:sz w:val="2"/>
          <w:szCs w:val="2"/>
        </w:rPr>
      </w:pPr>
    </w:p>
    <w:p w14:paraId="3FAB2BDC" w14:textId="77777777" w:rsidR="0087722C" w:rsidRDefault="0087722C" w:rsidP="0087722C">
      <w:pPr>
        <w:spacing w:after="0" w:line="240" w:lineRule="auto"/>
        <w:jc w:val="left"/>
        <w:rPr>
          <w:rFonts w:eastAsia="MS Gothic"/>
          <w:b/>
          <w:bCs/>
          <w:color w:val="71818C"/>
          <w:sz w:val="32"/>
          <w:szCs w:val="28"/>
        </w:rPr>
      </w:pPr>
    </w:p>
    <w:p w14:paraId="24BE6C1E" w14:textId="77777777" w:rsidR="0087722C" w:rsidRPr="000F45E7" w:rsidRDefault="0087722C" w:rsidP="0087722C">
      <w:pPr>
        <w:pStyle w:val="Nadpis11"/>
        <w:spacing w:after="0"/>
        <w:rPr>
          <w:b w:val="0"/>
          <w:sz w:val="2"/>
          <w:szCs w:val="2"/>
        </w:rPr>
      </w:pPr>
    </w:p>
    <w:p w14:paraId="38468288" w14:textId="77777777" w:rsidR="0087722C" w:rsidRPr="00E42054" w:rsidRDefault="0087722C" w:rsidP="0087722C">
      <w:pPr>
        <w:pStyle w:val="Nadpis11"/>
        <w:rPr>
          <w:b w:val="0"/>
          <w:sz w:val="2"/>
          <w:szCs w:val="2"/>
        </w:rPr>
      </w:pPr>
    </w:p>
    <w:p w14:paraId="6F53A4E4" w14:textId="77777777" w:rsidR="0087722C" w:rsidRDefault="0087722C">
      <w:pPr>
        <w:spacing w:after="0" w:line="240" w:lineRule="auto"/>
        <w:jc w:val="left"/>
        <w:rPr>
          <w:rFonts w:eastAsia="MS Gothic"/>
          <w:b/>
          <w:bCs/>
          <w:color w:val="71818C"/>
          <w:sz w:val="32"/>
          <w:szCs w:val="28"/>
        </w:rPr>
      </w:pPr>
      <w:r>
        <w:br w:type="page"/>
      </w:r>
    </w:p>
    <w:p w14:paraId="13C60D3C" w14:textId="77777777" w:rsidR="009908AF" w:rsidRDefault="009908AF" w:rsidP="009908AF">
      <w:pPr>
        <w:pStyle w:val="Nadpis11"/>
        <w:spacing w:after="120"/>
      </w:pPr>
      <w:bookmarkStart w:id="34" w:name="_Toc130286021"/>
      <w:bookmarkEnd w:id="32"/>
      <w:r w:rsidRPr="00B43216">
        <w:lastRenderedPageBreak/>
        <w:t>6. Trh práce</w:t>
      </w:r>
      <w:bookmarkEnd w:id="34"/>
    </w:p>
    <w:tbl>
      <w:tblPr>
        <w:tblW w:w="9674" w:type="dxa"/>
        <w:tblInd w:w="-35" w:type="dxa"/>
        <w:tblCellMar>
          <w:left w:w="0" w:type="dxa"/>
          <w:right w:w="0" w:type="dxa"/>
        </w:tblCellMar>
        <w:tblLook w:val="00A0" w:firstRow="1" w:lastRow="0" w:firstColumn="1" w:lastColumn="0" w:noHBand="0" w:noVBand="0"/>
      </w:tblPr>
      <w:tblGrid>
        <w:gridCol w:w="1723"/>
        <w:gridCol w:w="202"/>
        <w:gridCol w:w="7749"/>
      </w:tblGrid>
      <w:tr w:rsidR="001C3855" w:rsidRPr="00FE39EE" w14:paraId="3D9A95BD" w14:textId="77777777" w:rsidTr="52944939">
        <w:trPr>
          <w:trHeight w:val="155"/>
        </w:trPr>
        <w:tc>
          <w:tcPr>
            <w:tcW w:w="1814" w:type="dxa"/>
            <w:shd w:val="clear" w:color="auto" w:fill="auto"/>
            <w:tcMar>
              <w:left w:w="0" w:type="dxa"/>
            </w:tcMar>
          </w:tcPr>
          <w:p w14:paraId="6485E18E" w14:textId="77777777" w:rsidR="001C3855" w:rsidRDefault="001C3855" w:rsidP="00C8019E">
            <w:pPr>
              <w:pStyle w:val="Marginlie"/>
              <w:spacing w:after="120"/>
              <w:rPr>
                <w:color w:val="0D0D0D" w:themeColor="text1" w:themeTint="F2"/>
                <w:spacing w:val="-4"/>
              </w:rPr>
            </w:pPr>
            <w:r>
              <w:rPr>
                <w:color w:val="0D0D0D" w:themeColor="text1" w:themeTint="F2"/>
                <w:spacing w:val="-4"/>
              </w:rPr>
              <w:t>Na pracovním trhu v ČR se ve 2. pololetí 2022 začaly objevovat zřetelné známky ochlazení související s cyklickým útlumem ekonomiky.</w:t>
            </w:r>
          </w:p>
        </w:tc>
        <w:tc>
          <w:tcPr>
            <w:tcW w:w="213" w:type="dxa"/>
            <w:shd w:val="clear" w:color="auto" w:fill="auto"/>
            <w:tcMar>
              <w:left w:w="0" w:type="dxa"/>
            </w:tcMar>
          </w:tcPr>
          <w:p w14:paraId="7F2AE265" w14:textId="77777777" w:rsidR="001C3855" w:rsidRPr="009F0D7F"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2B3C266B" w14:textId="77777777" w:rsidR="001C3855" w:rsidRPr="00FE39EE" w:rsidRDefault="001C3855" w:rsidP="00C8019E">
            <w:pPr>
              <w:rPr>
                <w:color w:val="0D0D0D" w:themeColor="text1" w:themeTint="F2"/>
                <w:spacing w:val="-4"/>
              </w:rPr>
            </w:pPr>
            <w:r w:rsidRPr="00FE39EE">
              <w:rPr>
                <w:color w:val="0D0D0D" w:themeColor="text1" w:themeTint="F2"/>
                <w:spacing w:val="-4"/>
              </w:rPr>
              <w:t>Tuzemský trh práce</w:t>
            </w:r>
            <w:r>
              <w:rPr>
                <w:color w:val="0D0D0D" w:themeColor="text1" w:themeTint="F2"/>
                <w:spacing w:val="-4"/>
              </w:rPr>
              <w:t xml:space="preserve">, jenž se po </w:t>
            </w:r>
            <w:r w:rsidRPr="00FE39EE">
              <w:rPr>
                <w:color w:val="0D0D0D" w:themeColor="text1" w:themeTint="F2"/>
                <w:spacing w:val="-4"/>
              </w:rPr>
              <w:t xml:space="preserve">odeznění dopadů protipandemických restrikcí </w:t>
            </w:r>
            <w:r>
              <w:rPr>
                <w:color w:val="0D0D0D" w:themeColor="text1" w:themeTint="F2"/>
                <w:spacing w:val="-4"/>
              </w:rPr>
              <w:t xml:space="preserve">znovu </w:t>
            </w:r>
            <w:r w:rsidRPr="00FE39EE">
              <w:rPr>
                <w:color w:val="0D0D0D" w:themeColor="text1" w:themeTint="F2"/>
                <w:spacing w:val="-4"/>
              </w:rPr>
              <w:t>rozvíjel, z</w:t>
            </w:r>
            <w:r>
              <w:rPr>
                <w:color w:val="0D0D0D" w:themeColor="text1" w:themeTint="F2"/>
                <w:spacing w:val="-4"/>
              </w:rPr>
              <w:t>ažil ve druhé polovině loňského roku</w:t>
            </w:r>
            <w:r w:rsidRPr="00FE39EE">
              <w:rPr>
                <w:color w:val="0D0D0D" w:themeColor="text1" w:themeTint="F2"/>
                <w:spacing w:val="-4"/>
              </w:rPr>
              <w:t xml:space="preserve"> postupné ochlazení. Zatímco růst zaměstnanosti</w:t>
            </w:r>
            <w:r w:rsidRPr="00FE39EE">
              <w:rPr>
                <w:color w:val="0D0D0D" w:themeColor="text1" w:themeTint="F2"/>
                <w:spacing w:val="-4"/>
                <w:vertAlign w:val="superscript"/>
              </w:rPr>
              <w:footnoteReference w:id="63"/>
            </w:r>
            <w:r w:rsidRPr="00FE39EE">
              <w:rPr>
                <w:color w:val="0D0D0D" w:themeColor="text1" w:themeTint="F2"/>
                <w:spacing w:val="-4"/>
              </w:rPr>
              <w:t xml:space="preserve"> dosáhl v </w:t>
            </w:r>
            <w:proofErr w:type="spellStart"/>
            <w:r w:rsidRPr="00FE39EE">
              <w:rPr>
                <w:color w:val="0D0D0D" w:themeColor="text1" w:themeTint="F2"/>
                <w:spacing w:val="-4"/>
              </w:rPr>
              <w:t>mezikvartálním</w:t>
            </w:r>
            <w:proofErr w:type="spellEnd"/>
            <w:r w:rsidRPr="00FE39EE">
              <w:rPr>
                <w:color w:val="0D0D0D" w:themeColor="text1" w:themeTint="F2"/>
                <w:spacing w:val="-4"/>
              </w:rPr>
              <w:t xml:space="preserve"> vy</w:t>
            </w:r>
            <w:r>
              <w:rPr>
                <w:color w:val="0D0D0D" w:themeColor="text1" w:themeTint="F2"/>
                <w:spacing w:val="-4"/>
              </w:rPr>
              <w:t>jádření ještě ve 2.</w:t>
            </w:r>
            <w:r w:rsidRPr="00FE39EE">
              <w:rPr>
                <w:color w:val="0D0D0D" w:themeColor="text1" w:themeTint="F2"/>
                <w:spacing w:val="-4"/>
              </w:rPr>
              <w:t xml:space="preserve"> čtvrtletí </w:t>
            </w:r>
            <w:r>
              <w:rPr>
                <w:color w:val="0D0D0D" w:themeColor="text1" w:themeTint="F2"/>
                <w:spacing w:val="-4"/>
              </w:rPr>
              <w:t xml:space="preserve">2022 </w:t>
            </w:r>
            <w:r w:rsidRPr="00FE39EE">
              <w:rPr>
                <w:color w:val="0D0D0D" w:themeColor="text1" w:themeTint="F2"/>
                <w:spacing w:val="-4"/>
              </w:rPr>
              <w:t xml:space="preserve">silných 1,5 % (a počet pracovníků poprvé </w:t>
            </w:r>
            <w:r>
              <w:rPr>
                <w:color w:val="0D0D0D" w:themeColor="text1" w:themeTint="F2"/>
                <w:spacing w:val="-4"/>
              </w:rPr>
              <w:t xml:space="preserve">lehce </w:t>
            </w:r>
            <w:r w:rsidRPr="00FE39EE">
              <w:rPr>
                <w:color w:val="0D0D0D" w:themeColor="text1" w:themeTint="F2"/>
                <w:spacing w:val="-4"/>
              </w:rPr>
              <w:t>překonal rekordní úroveň z vrcholu předpandemické konjunktury</w:t>
            </w:r>
            <w:r>
              <w:rPr>
                <w:color w:val="0D0D0D" w:themeColor="text1" w:themeTint="F2"/>
                <w:spacing w:val="-4"/>
              </w:rPr>
              <w:t xml:space="preserve"> – 5,45 mil. osob</w:t>
            </w:r>
            <w:r w:rsidRPr="00FE39EE">
              <w:rPr>
                <w:color w:val="0D0D0D" w:themeColor="text1" w:themeTint="F2"/>
                <w:spacing w:val="-4"/>
              </w:rPr>
              <w:t xml:space="preserve">), v následující části roku se stavy pracovníků </w:t>
            </w:r>
            <w:r>
              <w:rPr>
                <w:color w:val="0D0D0D" w:themeColor="text1" w:themeTint="F2"/>
                <w:spacing w:val="-4"/>
              </w:rPr>
              <w:t>již mírně</w:t>
            </w:r>
            <w:r w:rsidRPr="00FE39EE">
              <w:rPr>
                <w:color w:val="0D0D0D" w:themeColor="text1" w:themeTint="F2"/>
                <w:spacing w:val="-4"/>
              </w:rPr>
              <w:t xml:space="preserve"> redukovaly (v úhrnu za celé pololetí o</w:t>
            </w:r>
            <w:r>
              <w:rPr>
                <w:color w:val="0D0D0D" w:themeColor="text1" w:themeTint="F2"/>
                <w:spacing w:val="-4"/>
              </w:rPr>
              <w:t> 27 tis., resp. 0,5</w:t>
            </w:r>
            <w:r w:rsidRPr="00FE39EE">
              <w:rPr>
                <w:color w:val="0D0D0D" w:themeColor="text1" w:themeTint="F2"/>
                <w:spacing w:val="-4"/>
              </w:rPr>
              <w:t xml:space="preserve"> %). Klesající poptávku po pracovní síle dokresloval rovněž úbytek volných pracovních míst</w:t>
            </w:r>
            <w:r>
              <w:rPr>
                <w:color w:val="0D0D0D" w:themeColor="text1" w:themeTint="F2"/>
                <w:spacing w:val="-4"/>
              </w:rPr>
              <w:t xml:space="preserve"> nebo</w:t>
            </w:r>
            <w:r w:rsidRPr="00FE39EE">
              <w:rPr>
                <w:color w:val="0D0D0D" w:themeColor="text1" w:themeTint="F2"/>
                <w:spacing w:val="-4"/>
              </w:rPr>
              <w:t xml:space="preserve"> zhoršení krátkodobých očekávání podniků v oblasti </w:t>
            </w:r>
            <w:r>
              <w:rPr>
                <w:color w:val="0D0D0D" w:themeColor="text1" w:themeTint="F2"/>
                <w:spacing w:val="-4"/>
              </w:rPr>
              <w:t>zaměstnanosti, k němuž došlo napříč hlavními odvětvími</w:t>
            </w:r>
            <w:r w:rsidRPr="00FE39EE">
              <w:rPr>
                <w:color w:val="0D0D0D" w:themeColor="text1" w:themeTint="F2"/>
                <w:spacing w:val="-4"/>
              </w:rPr>
              <w:t>. To spolu s poklesem HDP podtrhlo skutečnost, že českou ekonomiku postihla recese. Vzhledem k povaze hospodářské</w:t>
            </w:r>
            <w:r>
              <w:rPr>
                <w:color w:val="0D0D0D" w:themeColor="text1" w:themeTint="F2"/>
                <w:spacing w:val="-4"/>
              </w:rPr>
              <w:t>ho</w:t>
            </w:r>
            <w:r w:rsidRPr="00FE39EE">
              <w:rPr>
                <w:color w:val="0D0D0D" w:themeColor="text1" w:themeTint="F2"/>
                <w:spacing w:val="-4"/>
              </w:rPr>
              <w:t xml:space="preserve"> útlumu není překvapivé, že pracovní pozice </w:t>
            </w:r>
            <w:r w:rsidRPr="00FE39EE">
              <w:rPr>
                <w:color w:val="0D0D0D" w:themeColor="text1" w:themeTint="F2"/>
                <w:spacing w:val="-6"/>
              </w:rPr>
              <w:t xml:space="preserve">ztrácelo </w:t>
            </w:r>
            <w:r>
              <w:rPr>
                <w:color w:val="0D0D0D" w:themeColor="text1" w:themeTint="F2"/>
                <w:spacing w:val="-6"/>
              </w:rPr>
              <w:t xml:space="preserve">během </w:t>
            </w:r>
            <w:r w:rsidRPr="00FE39EE">
              <w:rPr>
                <w:color w:val="0D0D0D" w:themeColor="text1" w:themeTint="F2"/>
                <w:spacing w:val="-6"/>
              </w:rPr>
              <w:t>2. pololetí především uskupení obchod, doprava, ubytování a pohostinství</w:t>
            </w:r>
            <w:r>
              <w:rPr>
                <w:color w:val="0D0D0D" w:themeColor="text1" w:themeTint="F2"/>
                <w:spacing w:val="-6"/>
              </w:rPr>
              <w:t xml:space="preserve"> (−28</w:t>
            </w:r>
            <w:r w:rsidRPr="00FE39EE">
              <w:rPr>
                <w:color w:val="0D0D0D" w:themeColor="text1" w:themeTint="F2"/>
                <w:spacing w:val="-6"/>
              </w:rPr>
              <w:t> tis.</w:t>
            </w:r>
            <w:r>
              <w:rPr>
                <w:color w:val="0D0D0D" w:themeColor="text1" w:themeTint="F2"/>
                <w:spacing w:val="-6"/>
              </w:rPr>
              <w:t xml:space="preserve"> osob</w:t>
            </w:r>
            <w:r w:rsidRPr="00FE39EE">
              <w:rPr>
                <w:color w:val="0D0D0D" w:themeColor="text1" w:themeTint="F2"/>
                <w:spacing w:val="-6"/>
              </w:rPr>
              <w:t>).</w:t>
            </w:r>
            <w:r>
              <w:rPr>
                <w:color w:val="0D0D0D" w:themeColor="text1" w:themeTint="F2"/>
                <w:spacing w:val="-4"/>
              </w:rPr>
              <w:t xml:space="preserve"> K poklesu došlo i</w:t>
            </w:r>
            <w:r w:rsidRPr="00FE39EE">
              <w:rPr>
                <w:color w:val="0D0D0D" w:themeColor="text1" w:themeTint="F2"/>
                <w:spacing w:val="-4"/>
              </w:rPr>
              <w:t xml:space="preserve"> ve váhově dominantním odvětví – zpracovatelském průmyslu</w:t>
            </w:r>
            <w:r>
              <w:rPr>
                <w:color w:val="0D0D0D" w:themeColor="text1" w:themeTint="F2"/>
                <w:spacing w:val="-4"/>
              </w:rPr>
              <w:t xml:space="preserve"> (−15 tis osob.). P</w:t>
            </w:r>
            <w:r w:rsidRPr="00FE39EE">
              <w:rPr>
                <w:color w:val="0D0D0D" w:themeColor="text1" w:themeTint="F2"/>
                <w:spacing w:val="-4"/>
              </w:rPr>
              <w:t xml:space="preserve">roti hlubší redukci zaměstnanosti v ekonomice </w:t>
            </w:r>
            <w:r>
              <w:rPr>
                <w:color w:val="0D0D0D" w:themeColor="text1" w:themeTint="F2"/>
                <w:spacing w:val="-4"/>
              </w:rPr>
              <w:t xml:space="preserve">naopak </w:t>
            </w:r>
            <w:r w:rsidRPr="00FE39EE">
              <w:rPr>
                <w:color w:val="0D0D0D" w:themeColor="text1" w:themeTint="F2"/>
                <w:spacing w:val="-4"/>
              </w:rPr>
              <w:t>působila nejvíce dlouhodobě rost</w:t>
            </w:r>
            <w:r>
              <w:rPr>
                <w:color w:val="0D0D0D" w:themeColor="text1" w:themeTint="F2"/>
                <w:spacing w:val="-4"/>
              </w:rPr>
              <w:t>oucí poptávka po pracovnících v </w:t>
            </w:r>
            <w:r w:rsidRPr="00FE39EE">
              <w:rPr>
                <w:color w:val="0D0D0D" w:themeColor="text1" w:themeTint="F2"/>
                <w:spacing w:val="-4"/>
              </w:rPr>
              <w:t>oblasti veřejných služeb a také v informačních a komunikačních činnostech.</w:t>
            </w:r>
          </w:p>
        </w:tc>
      </w:tr>
      <w:tr w:rsidR="001C3855" w14:paraId="2C6EB655" w14:textId="77777777" w:rsidTr="52944939">
        <w:trPr>
          <w:trHeight w:val="155"/>
        </w:trPr>
        <w:tc>
          <w:tcPr>
            <w:tcW w:w="1814" w:type="dxa"/>
            <w:shd w:val="clear" w:color="auto" w:fill="auto"/>
            <w:tcMar>
              <w:left w:w="0" w:type="dxa"/>
            </w:tcMar>
          </w:tcPr>
          <w:p w14:paraId="6E6F3658" w14:textId="77777777" w:rsidR="001C3855" w:rsidRDefault="001C3855" w:rsidP="00C8019E">
            <w:pPr>
              <w:pStyle w:val="Marginlie"/>
              <w:spacing w:after="120"/>
              <w:rPr>
                <w:color w:val="0D0D0D" w:themeColor="text1" w:themeTint="F2"/>
                <w:spacing w:val="-4"/>
              </w:rPr>
            </w:pPr>
            <w:r>
              <w:rPr>
                <w:color w:val="0D0D0D" w:themeColor="text1" w:themeTint="F2"/>
                <w:spacing w:val="-4"/>
              </w:rPr>
              <w:t>V celoročním pohledu stále převládal efekt postpandemického oživení. K růstu zaměstnanosti přispěly skoro ze tří čtvrtin služby.</w:t>
            </w:r>
          </w:p>
          <w:p w14:paraId="3B84C122" w14:textId="77777777" w:rsidR="001C3855" w:rsidRDefault="001C3855" w:rsidP="00C8019E">
            <w:pPr>
              <w:pStyle w:val="Marginlie"/>
              <w:spacing w:after="120"/>
              <w:rPr>
                <w:color w:val="0D0D0D" w:themeColor="text1" w:themeTint="F2"/>
                <w:spacing w:val="-4"/>
              </w:rPr>
            </w:pPr>
          </w:p>
          <w:p w14:paraId="6EF2163B" w14:textId="77777777" w:rsidR="001C3855" w:rsidRDefault="001C3855" w:rsidP="00C8019E">
            <w:pPr>
              <w:pStyle w:val="Marginlie"/>
              <w:spacing w:after="120"/>
              <w:rPr>
                <w:color w:val="0D0D0D" w:themeColor="text1" w:themeTint="F2"/>
                <w:spacing w:val="-4"/>
              </w:rPr>
            </w:pPr>
          </w:p>
          <w:p w14:paraId="584BD051" w14:textId="77777777" w:rsidR="001C3855" w:rsidRDefault="001C3855" w:rsidP="00C8019E">
            <w:pPr>
              <w:pStyle w:val="Marginlie"/>
              <w:spacing w:after="120"/>
              <w:rPr>
                <w:color w:val="0D0D0D" w:themeColor="text1" w:themeTint="F2"/>
                <w:spacing w:val="-4"/>
              </w:rPr>
            </w:pPr>
          </w:p>
          <w:p w14:paraId="6F838911" w14:textId="77777777" w:rsidR="001C3855" w:rsidRDefault="001C3855" w:rsidP="00C8019E">
            <w:pPr>
              <w:pStyle w:val="Marginlie"/>
              <w:spacing w:after="120"/>
              <w:rPr>
                <w:color w:val="0D0D0D" w:themeColor="text1" w:themeTint="F2"/>
                <w:spacing w:val="-4"/>
              </w:rPr>
            </w:pPr>
          </w:p>
          <w:p w14:paraId="242E429F" w14:textId="77777777" w:rsidR="001C3855" w:rsidRDefault="001C3855" w:rsidP="00C8019E">
            <w:pPr>
              <w:pStyle w:val="Marginlie"/>
              <w:spacing w:after="120"/>
              <w:rPr>
                <w:color w:val="0D0D0D" w:themeColor="text1" w:themeTint="F2"/>
                <w:spacing w:val="-4"/>
              </w:rPr>
            </w:pPr>
            <w:r>
              <w:rPr>
                <w:color w:val="0D0D0D" w:themeColor="text1" w:themeTint="F2"/>
                <w:spacing w:val="-4"/>
              </w:rPr>
              <w:t>Průmyslové podniky přistupovaly obezřetně k vytváření nových pracovních míst.</w:t>
            </w:r>
          </w:p>
        </w:tc>
        <w:tc>
          <w:tcPr>
            <w:tcW w:w="213" w:type="dxa"/>
            <w:shd w:val="clear" w:color="auto" w:fill="auto"/>
            <w:tcMar>
              <w:left w:w="0" w:type="dxa"/>
            </w:tcMar>
          </w:tcPr>
          <w:p w14:paraId="1DBE818A" w14:textId="77777777" w:rsidR="001C3855" w:rsidRPr="009F0D7F"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307C5251" w14:textId="77777777" w:rsidR="001C3855" w:rsidRDefault="001C3855" w:rsidP="00C8019E">
            <w:pPr>
              <w:rPr>
                <w:color w:val="0D0D0D" w:themeColor="text1" w:themeTint="F2"/>
                <w:spacing w:val="-5"/>
              </w:rPr>
            </w:pPr>
            <w:r>
              <w:rPr>
                <w:color w:val="0D0D0D" w:themeColor="text1" w:themeTint="F2"/>
                <w:spacing w:val="-5"/>
              </w:rPr>
              <w:t xml:space="preserve">V úhrnu za loňský rok ovšem celková zaměstnanost stále svižně rostla (+1,7 %, nejvíce po roce 2008). Stála za tím primárně nižší srovnávací základna, neboť v roce 2021 byl tuzemský trh práce ještě významně ovlivněn dopady protipandemických restrikcí a v řadě klíčových odvětví se tak počet pracovníků nezvyšoval. K loňskému růstu celkové zaměstnanosti (+93 tis. osob) zásadně přispěli samotní zaměstnanci, neboť počet </w:t>
            </w:r>
            <w:proofErr w:type="spellStart"/>
            <w:r>
              <w:rPr>
                <w:spacing w:val="-5"/>
              </w:rPr>
              <w:t>sebezaměstnaných</w:t>
            </w:r>
            <w:proofErr w:type="spellEnd"/>
            <w:r>
              <w:rPr>
                <w:spacing w:val="-5"/>
              </w:rPr>
              <w:t xml:space="preserve"> fakticky stagnoval</w:t>
            </w:r>
            <w:r>
              <w:rPr>
                <w:rStyle w:val="Znakapoznpodarou"/>
                <w:spacing w:val="-5"/>
              </w:rPr>
              <w:footnoteReference w:id="64"/>
            </w:r>
            <w:r>
              <w:rPr>
                <w:spacing w:val="-5"/>
              </w:rPr>
              <w:t>. Jestliže navýšení u zaměstnanců mělo spíše plošný charakter, drobní podnikatelé v některých odvětvích stále čelili slabší poptávce (zpracovatelský průmysl, p</w:t>
            </w:r>
            <w:r w:rsidRPr="00A15324">
              <w:rPr>
                <w:spacing w:val="-5"/>
              </w:rPr>
              <w:t>rofesní, vědecké, technické a administrativní činnosti</w:t>
            </w:r>
            <w:r>
              <w:rPr>
                <w:spacing w:val="-5"/>
              </w:rPr>
              <w:t xml:space="preserve">). Růst celkového počtu pracovníků byl takřka ze tří čtvrtin </w:t>
            </w:r>
            <w:r w:rsidRPr="00122079">
              <w:rPr>
                <w:color w:val="0D0D0D" w:themeColor="text1" w:themeTint="F2"/>
                <w:spacing w:val="-5"/>
              </w:rPr>
              <w:t>tažen sektorem služeb</w:t>
            </w:r>
            <w:r>
              <w:rPr>
                <w:spacing w:val="-5"/>
              </w:rPr>
              <w:t>. Šlo v prvé řadě o uskupení o</w:t>
            </w:r>
            <w:r w:rsidRPr="00FD05EB">
              <w:rPr>
                <w:spacing w:val="-5"/>
              </w:rPr>
              <w:t>bchod, doprava, ubytování a pohostinství</w:t>
            </w:r>
            <w:r>
              <w:rPr>
                <w:spacing w:val="-5"/>
              </w:rPr>
              <w:t xml:space="preserve"> (+26 tis.) a </w:t>
            </w:r>
            <w:r>
              <w:rPr>
                <w:spacing w:val="-4"/>
              </w:rPr>
              <w:t>veřejné služby</w:t>
            </w:r>
            <w:r>
              <w:rPr>
                <w:rStyle w:val="Znakapoznpodarou"/>
                <w:spacing w:val="-4"/>
              </w:rPr>
              <w:footnoteReference w:id="65"/>
            </w:r>
            <w:r>
              <w:rPr>
                <w:spacing w:val="-4"/>
              </w:rPr>
              <w:t xml:space="preserve"> (+24 tis.), v nichž shodně jako v předchozích letech stát reagoval na zvýšenou poptávku hlavně v oblasti vzdělávání a zdravotní i sociální péče. Alespoň mírný růst zaměstnanosti ovšem loni nastal ve všech hlavních odvětvích </w:t>
            </w:r>
            <w:r w:rsidRPr="00D91858">
              <w:rPr>
                <w:color w:val="0D0D0D" w:themeColor="text1" w:themeTint="F2"/>
                <w:spacing w:val="-4"/>
              </w:rPr>
              <w:t>služeb. Mimo terciární sféru</w:t>
            </w:r>
            <w:r>
              <w:rPr>
                <w:color w:val="0D0D0D" w:themeColor="text1" w:themeTint="F2"/>
                <w:spacing w:val="-4"/>
              </w:rPr>
              <w:t xml:space="preserve"> navyšovalo pracovní místa nejvíce stavebnictví (+14</w:t>
            </w:r>
            <w:r w:rsidRPr="00D91858">
              <w:rPr>
                <w:color w:val="0D0D0D" w:themeColor="text1" w:themeTint="F2"/>
                <w:spacing w:val="-4"/>
              </w:rPr>
              <w:t xml:space="preserve"> tis. osob),</w:t>
            </w:r>
            <w:r>
              <w:rPr>
                <w:color w:val="0D0D0D" w:themeColor="text1" w:themeTint="F2"/>
                <w:spacing w:val="-4"/>
              </w:rPr>
              <w:t xml:space="preserve"> jež těžilo ze solidní dynamiky veřejných investic na dopravní stavby na sklonku programového období EU. Zaměstnanost v průmyslu pod vlivem přetrvávajících problémů s dodavatelskými řetězci i silných nákladových tlaků vyvolaných prudkým růstem energií rostla mírněji (+0,7 %), z toho v nezpracovatelském segmentu těžby a energetiky celkově stagnovala (obdobně jako po většinu předchozí dekády). </w:t>
            </w:r>
          </w:p>
        </w:tc>
      </w:tr>
      <w:tr w:rsidR="001C3855" w:rsidRPr="007A3342" w14:paraId="097337D3" w14:textId="77777777" w:rsidTr="52944939">
        <w:trPr>
          <w:trHeight w:val="155"/>
        </w:trPr>
        <w:tc>
          <w:tcPr>
            <w:tcW w:w="1814" w:type="dxa"/>
            <w:shd w:val="clear" w:color="auto" w:fill="auto"/>
            <w:tcMar>
              <w:left w:w="0" w:type="dxa"/>
            </w:tcMar>
          </w:tcPr>
          <w:p w14:paraId="2E55AA9B" w14:textId="77777777" w:rsidR="001C3855" w:rsidRDefault="001C3855" w:rsidP="00C8019E">
            <w:pPr>
              <w:pStyle w:val="Marginlie"/>
              <w:spacing w:after="120"/>
              <w:rPr>
                <w:color w:val="0D0D0D" w:themeColor="text1" w:themeTint="F2"/>
                <w:spacing w:val="-4"/>
              </w:rPr>
            </w:pPr>
            <w:r>
              <w:rPr>
                <w:color w:val="0D0D0D" w:themeColor="text1" w:themeTint="F2"/>
                <w:spacing w:val="-4"/>
              </w:rPr>
              <w:t>Na konci roku rostla zaměstnanost relativně nejvíce v oblastech ICT. K úbytku došlo v tzv. ostatních službách.</w:t>
            </w:r>
          </w:p>
        </w:tc>
        <w:tc>
          <w:tcPr>
            <w:tcW w:w="213" w:type="dxa"/>
            <w:shd w:val="clear" w:color="auto" w:fill="auto"/>
            <w:tcMar>
              <w:left w:w="0" w:type="dxa"/>
            </w:tcMar>
          </w:tcPr>
          <w:p w14:paraId="277EB9FA" w14:textId="77777777" w:rsidR="001C3855" w:rsidRPr="009F0D7F"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43B1721A" w14:textId="77777777" w:rsidR="001C3855" w:rsidRPr="007A3342" w:rsidRDefault="001C3855" w:rsidP="00C8019E">
            <w:pPr>
              <w:rPr>
                <w:spacing w:val="-5"/>
              </w:rPr>
            </w:pPr>
            <w:r>
              <w:rPr>
                <w:spacing w:val="-5"/>
              </w:rPr>
              <w:t>Celková zaměstnanost se ve 4. čtvrtletí meziročně zvýšila o 1,3 %, převážně zásluhou veřejných služeb. Relativně nejvíce však přibylo pracovníků v i</w:t>
            </w:r>
            <w:r w:rsidRPr="006139DE">
              <w:rPr>
                <w:spacing w:val="-5"/>
              </w:rPr>
              <w:t>nformační</w:t>
            </w:r>
            <w:r>
              <w:rPr>
                <w:spacing w:val="-5"/>
              </w:rPr>
              <w:t>ch</w:t>
            </w:r>
            <w:r w:rsidRPr="006139DE">
              <w:rPr>
                <w:spacing w:val="-5"/>
              </w:rPr>
              <w:t xml:space="preserve"> a komunikační</w:t>
            </w:r>
            <w:r>
              <w:rPr>
                <w:spacing w:val="-5"/>
              </w:rPr>
              <w:t>ch činnostech (+5,5 %), dařilo se i oblasti nemovitostí (+2,1 %). Naopak tzv.</w:t>
            </w:r>
            <w:r>
              <w:rPr>
                <w:spacing w:val="-4"/>
              </w:rPr>
              <w:t xml:space="preserve"> ostatní služby</w:t>
            </w:r>
            <w:r>
              <w:rPr>
                <w:rStyle w:val="Znakapoznpodarou"/>
                <w:spacing w:val="-4"/>
              </w:rPr>
              <w:footnoteReference w:id="66"/>
            </w:r>
            <w:r>
              <w:rPr>
                <w:spacing w:val="-4"/>
              </w:rPr>
              <w:t xml:space="preserve"> zaznamenaly téměř 2% pokles. To mohlo souviset s omezováním výdajů domácností na „zbytné“ služby. Ve srovnání s vrcholem předpandemické konjunktury (období 2015 až 2019) ubylo v tomto odvětví 7 % pracovníků, v odvětví peněžnictví a pojišťovnictví šlo dokonce o 13 % (zde však za poklesem stáli z významné části drobní podnikatelé). Za předpandemickou úrovní zaostávala na konci loňského roku také zaměstnanost v průmyslu (o 4%) či v zemědělství a lesnictví (5,5 %), naopak v oblastech ICT, nemovitostí či veřejných službách tuto úroveň zřetelně převyšovala (o 6 až 9 %). </w:t>
            </w:r>
          </w:p>
        </w:tc>
      </w:tr>
      <w:tr w:rsidR="001C3855" w14:paraId="587897E1" w14:textId="77777777" w:rsidTr="52944939">
        <w:trPr>
          <w:trHeight w:val="155"/>
        </w:trPr>
        <w:tc>
          <w:tcPr>
            <w:tcW w:w="1814" w:type="dxa"/>
            <w:shd w:val="clear" w:color="auto" w:fill="auto"/>
            <w:tcMar>
              <w:left w:w="0" w:type="dxa"/>
            </w:tcMar>
          </w:tcPr>
          <w:p w14:paraId="24314E1B" w14:textId="77777777" w:rsidR="001C3855" w:rsidRDefault="001C3855" w:rsidP="00C8019E">
            <w:pPr>
              <w:pStyle w:val="Marginlie"/>
              <w:spacing w:after="120"/>
              <w:rPr>
                <w:color w:val="0D0D0D" w:themeColor="text1" w:themeTint="F2"/>
                <w:spacing w:val="-4"/>
              </w:rPr>
            </w:pPr>
            <w:r w:rsidRPr="00631DC2">
              <w:rPr>
                <w:spacing w:val="-5"/>
              </w:rPr>
              <w:lastRenderedPageBreak/>
              <w:t>Růst počtu cizinců pracujících v Česku zrychlil.</w:t>
            </w:r>
            <w:r>
              <w:rPr>
                <w:spacing w:val="-5"/>
              </w:rPr>
              <w:t xml:space="preserve"> Byl podpořen</w:t>
            </w:r>
            <w:r w:rsidRPr="00631DC2">
              <w:rPr>
                <w:spacing w:val="-5"/>
              </w:rPr>
              <w:t xml:space="preserve"> </w:t>
            </w:r>
            <w:r>
              <w:rPr>
                <w:spacing w:val="-5"/>
              </w:rPr>
              <w:t>i</w:t>
            </w:r>
            <w:r>
              <w:rPr>
                <w:color w:val="0D0D0D" w:themeColor="text1" w:themeTint="F2"/>
                <w:spacing w:val="-4"/>
              </w:rPr>
              <w:t> </w:t>
            </w:r>
            <w:r>
              <w:rPr>
                <w:spacing w:val="-5"/>
              </w:rPr>
              <w:t>počínající integrací</w:t>
            </w:r>
            <w:r w:rsidRPr="00631DC2">
              <w:rPr>
                <w:spacing w:val="-5"/>
              </w:rPr>
              <w:t xml:space="preserve"> uprchlíků z</w:t>
            </w:r>
            <w:r>
              <w:rPr>
                <w:spacing w:val="-5"/>
              </w:rPr>
              <w:t> </w:t>
            </w:r>
            <w:r w:rsidRPr="00631DC2">
              <w:rPr>
                <w:spacing w:val="-5"/>
              </w:rPr>
              <w:t>Ukrajiny</w:t>
            </w:r>
            <w:r>
              <w:rPr>
                <w:spacing w:val="-5"/>
              </w:rPr>
              <w:t>.</w:t>
            </w:r>
          </w:p>
        </w:tc>
        <w:tc>
          <w:tcPr>
            <w:tcW w:w="213" w:type="dxa"/>
            <w:shd w:val="clear" w:color="auto" w:fill="auto"/>
            <w:tcMar>
              <w:left w:w="0" w:type="dxa"/>
            </w:tcMar>
          </w:tcPr>
          <w:p w14:paraId="128E1AFB" w14:textId="77777777" w:rsidR="001C3855" w:rsidRPr="009F0D7F"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70ADD95C" w14:textId="77777777" w:rsidR="001C3855" w:rsidRDefault="001C3855" w:rsidP="00C8019E">
            <w:pPr>
              <w:spacing w:after="200"/>
              <w:rPr>
                <w:color w:val="0D0D0D" w:themeColor="text1" w:themeTint="F2"/>
                <w:spacing w:val="-4"/>
              </w:rPr>
            </w:pPr>
            <w:r>
              <w:rPr>
                <w:color w:val="0D0D0D" w:themeColor="text1" w:themeTint="F2"/>
                <w:spacing w:val="-4"/>
              </w:rPr>
              <w:t>Také v roce 2022 vykrývaly podniky (zejména v průmyslu, stavebnictví i v některých „</w:t>
            </w:r>
            <w:proofErr w:type="spellStart"/>
            <w:r>
              <w:rPr>
                <w:color w:val="0D0D0D" w:themeColor="text1" w:themeTint="F2"/>
                <w:spacing w:val="-4"/>
              </w:rPr>
              <w:t>nízkovýdělkových</w:t>
            </w:r>
            <w:proofErr w:type="spellEnd"/>
            <w:r>
              <w:rPr>
                <w:color w:val="0D0D0D" w:themeColor="text1" w:themeTint="F2"/>
                <w:spacing w:val="-4"/>
              </w:rPr>
              <w:t xml:space="preserve">“ odvětvích služeb) z významné části poptávku po volné pracovní síle </w:t>
            </w:r>
            <w:r>
              <w:rPr>
                <w:spacing w:val="-4"/>
              </w:rPr>
              <w:t xml:space="preserve">náborem </w:t>
            </w:r>
            <w:r w:rsidRPr="003278DA">
              <w:rPr>
                <w:color w:val="0D0D0D" w:themeColor="text1" w:themeTint="F2"/>
                <w:spacing w:val="-4"/>
              </w:rPr>
              <w:t>ze zahraničí</w:t>
            </w:r>
            <w:r>
              <w:rPr>
                <w:color w:val="0D0D0D" w:themeColor="text1" w:themeTint="F2"/>
                <w:spacing w:val="-4"/>
              </w:rPr>
              <w:t>, neboť rezervoár potenciální pracovní síly z tuzemska se za poslední roky takřka vyčerpal</w:t>
            </w:r>
            <w:r>
              <w:rPr>
                <w:rStyle w:val="Znakapoznpodarou"/>
                <w:color w:val="0D0D0D" w:themeColor="text1" w:themeTint="F2"/>
                <w:spacing w:val="-4"/>
              </w:rPr>
              <w:footnoteReference w:id="67"/>
            </w:r>
            <w:r>
              <w:rPr>
                <w:color w:val="0D0D0D" w:themeColor="text1" w:themeTint="F2"/>
                <w:spacing w:val="-4"/>
              </w:rPr>
              <w:t xml:space="preserve">. </w:t>
            </w:r>
            <w:r w:rsidRPr="00DD3343">
              <w:rPr>
                <w:spacing w:val="-4"/>
              </w:rPr>
              <w:t>Růst po</w:t>
            </w:r>
            <w:r>
              <w:rPr>
                <w:spacing w:val="-4"/>
              </w:rPr>
              <w:t>čtu cizinců pracujících v Česku loni znatel</w:t>
            </w:r>
            <w:r w:rsidRPr="00DD3343">
              <w:rPr>
                <w:spacing w:val="-4"/>
              </w:rPr>
              <w:t>ně zrychlil</w:t>
            </w:r>
            <w:r>
              <w:rPr>
                <w:spacing w:val="-4"/>
              </w:rPr>
              <w:t>, v listopadu dosáhl u zaměstnanců rekordních 800 tis</w:t>
            </w:r>
            <w:r w:rsidRPr="003278DA">
              <w:rPr>
                <w:rStyle w:val="Znakapoznpodarou"/>
                <w:color w:val="0D0D0D" w:themeColor="text1" w:themeTint="F2"/>
                <w:spacing w:val="-4"/>
              </w:rPr>
              <w:footnoteReference w:id="68"/>
            </w:r>
            <w:r w:rsidRPr="00DD3343">
              <w:rPr>
                <w:spacing w:val="-4"/>
              </w:rPr>
              <w:t xml:space="preserve">. </w:t>
            </w:r>
            <w:r>
              <w:rPr>
                <w:spacing w:val="-4"/>
              </w:rPr>
              <w:t>Projevila se zde</w:t>
            </w:r>
            <w:r w:rsidRPr="00DD3343">
              <w:rPr>
                <w:spacing w:val="-4"/>
              </w:rPr>
              <w:t xml:space="preserve"> počínající integrace uprchlíků z Ukrajiny</w:t>
            </w:r>
            <w:r>
              <w:rPr>
                <w:rStyle w:val="Znakapoznpodarou"/>
                <w:spacing w:val="-4"/>
              </w:rPr>
              <w:footnoteReference w:id="69"/>
            </w:r>
            <w:r w:rsidRPr="00DD3343">
              <w:rPr>
                <w:spacing w:val="-4"/>
              </w:rPr>
              <w:t>, řádově menší vliv měla pokračující ekonomická migrace z hospodářsky slabších regionů EU i ze států mimo EU</w:t>
            </w:r>
            <w:r>
              <w:rPr>
                <w:spacing w:val="-4"/>
              </w:rPr>
              <w:t>.</w:t>
            </w:r>
          </w:p>
        </w:tc>
      </w:tr>
      <w:tr w:rsidR="001C3855" w:rsidRPr="00303551" w14:paraId="3560C851" w14:textId="77777777" w:rsidTr="52944939">
        <w:trPr>
          <w:trHeight w:val="155"/>
        </w:trPr>
        <w:tc>
          <w:tcPr>
            <w:tcW w:w="1814" w:type="dxa"/>
            <w:shd w:val="clear" w:color="auto" w:fill="auto"/>
            <w:tcMar>
              <w:left w:w="0" w:type="dxa"/>
            </w:tcMar>
          </w:tcPr>
          <w:p w14:paraId="25677D83" w14:textId="77777777" w:rsidR="001C3855" w:rsidRDefault="001C3855" w:rsidP="00C8019E">
            <w:pPr>
              <w:pStyle w:val="Marginlie"/>
              <w:spacing w:after="120"/>
              <w:rPr>
                <w:color w:val="0D0D0D" w:themeColor="text1" w:themeTint="F2"/>
                <w:spacing w:val="-4"/>
              </w:rPr>
            </w:pPr>
            <w:r>
              <w:rPr>
                <w:color w:val="0D0D0D" w:themeColor="text1" w:themeTint="F2"/>
                <w:spacing w:val="-4"/>
              </w:rPr>
              <w:t>Růst hodinové produktivity práce se loni zastavil. Produktivita na pracovníka se však mírně navýšila a přiblížila se úrovni z roku 2019.</w:t>
            </w:r>
          </w:p>
        </w:tc>
        <w:tc>
          <w:tcPr>
            <w:tcW w:w="213" w:type="dxa"/>
            <w:shd w:val="clear" w:color="auto" w:fill="auto"/>
            <w:tcMar>
              <w:left w:w="0" w:type="dxa"/>
            </w:tcMar>
          </w:tcPr>
          <w:p w14:paraId="0E46DE37" w14:textId="77777777" w:rsidR="001C3855" w:rsidRPr="009F0D7F"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4FC78C5E" w14:textId="77777777" w:rsidR="001C3855" w:rsidRPr="00303551" w:rsidRDefault="001C3855" w:rsidP="00C8019E">
            <w:pPr>
              <w:spacing w:after="220"/>
              <w:rPr>
                <w:color w:val="0D0D0D" w:themeColor="text1" w:themeTint="F2"/>
                <w:spacing w:val="-5"/>
              </w:rPr>
            </w:pPr>
            <w:r w:rsidRPr="00303551">
              <w:rPr>
                <w:color w:val="0D0D0D" w:themeColor="text1" w:themeTint="F2"/>
                <w:spacing w:val="-5"/>
              </w:rPr>
              <w:t xml:space="preserve">Produktivita práce vyjádřená reálnou výší vytvořené hrubé přidané hodnoty na jednoho pracovníka se loni meziročně mírně zvýšila </w:t>
            </w:r>
            <w:r>
              <w:rPr>
                <w:color w:val="0D0D0D" w:themeColor="text1" w:themeTint="F2"/>
                <w:spacing w:val="-5"/>
              </w:rPr>
              <w:t>(o 0,7 %) a téměř dosáhla úrovně</w:t>
            </w:r>
            <w:r w:rsidRPr="00303551">
              <w:rPr>
                <w:color w:val="0D0D0D" w:themeColor="text1" w:themeTint="F2"/>
                <w:spacing w:val="-5"/>
              </w:rPr>
              <w:t xml:space="preserve"> z roku 2019. </w:t>
            </w:r>
            <w:r>
              <w:rPr>
                <w:color w:val="0D0D0D" w:themeColor="text1" w:themeTint="F2"/>
                <w:spacing w:val="-5"/>
              </w:rPr>
              <w:t>Z pozice</w:t>
            </w:r>
            <w:r w:rsidRPr="00303551">
              <w:rPr>
                <w:color w:val="0D0D0D" w:themeColor="text1" w:themeTint="F2"/>
                <w:spacing w:val="-5"/>
              </w:rPr>
              <w:t xml:space="preserve"> celé ekonomiky byl loni hlavním tahounem vyšší produktivity zpracovatelský průmysl (byť ještě zcela nedohnal propad z roku 2020), z dlouhodobějšího pohledu pak finančnictví. Národohospodářská produktivita vztažená na odpracovanou hodinu se loni reálně o 1,1 % snížila a klesla poprvé za posledních šest let. Loňský výsledek byl negativně ovlivněn zejména skupinou odvětví obchod, doprava, ubytování i pohostinství a rovněž veřejnými službami, u</w:t>
            </w:r>
            <w:r>
              <w:rPr>
                <w:color w:val="0D0D0D" w:themeColor="text1" w:themeTint="F2"/>
                <w:spacing w:val="-5"/>
              </w:rPr>
              <w:t> </w:t>
            </w:r>
            <w:r w:rsidRPr="00303551">
              <w:rPr>
                <w:color w:val="0D0D0D" w:themeColor="text1" w:themeTint="F2"/>
                <w:spacing w:val="-5"/>
              </w:rPr>
              <w:t xml:space="preserve">kterých se vytížení (z pohledu průměrné odpracované doby) v některých jejich segmentech od ústupu pandemie snížilo. Ve srovnání s rokem 2019 zde však hodinová produktivita skoro o 5 % narostla, vyšší byla i ve většině dalších hlavních odvětví služeb (vyjma činnosti v oblasti nemovitostí, v nichž </w:t>
            </w:r>
            <w:r>
              <w:rPr>
                <w:color w:val="0D0D0D" w:themeColor="text1" w:themeTint="F2"/>
                <w:spacing w:val="-5"/>
              </w:rPr>
              <w:t xml:space="preserve">zaostávala o více než desetinu </w:t>
            </w:r>
            <w:r w:rsidRPr="00303551">
              <w:rPr>
                <w:color w:val="0D0D0D" w:themeColor="text1" w:themeTint="F2"/>
                <w:spacing w:val="-5"/>
              </w:rPr>
              <w:t>za předkrizovou úrovní). Podobný odstup mělo loni také stavebnictví (</w:t>
            </w:r>
            <w:r>
              <w:rPr>
                <w:color w:val="0D0D0D" w:themeColor="text1" w:themeTint="F2"/>
                <w:spacing w:val="-5"/>
              </w:rPr>
              <w:t>−12 %). N</w:t>
            </w:r>
            <w:r w:rsidRPr="00303551">
              <w:rPr>
                <w:color w:val="0D0D0D" w:themeColor="text1" w:themeTint="F2"/>
                <w:spacing w:val="-5"/>
              </w:rPr>
              <w:t>aopak produkti</w:t>
            </w:r>
            <w:r>
              <w:rPr>
                <w:color w:val="0D0D0D" w:themeColor="text1" w:themeTint="F2"/>
                <w:spacing w:val="-5"/>
              </w:rPr>
              <w:t>vita v průmyslu</w:t>
            </w:r>
            <w:r w:rsidRPr="00303551">
              <w:rPr>
                <w:color w:val="0D0D0D" w:themeColor="text1" w:themeTint="F2"/>
                <w:spacing w:val="-5"/>
              </w:rPr>
              <w:t xml:space="preserve"> dosáhla výše z roku 2019, a to výhradně díky zpracovatelský</w:t>
            </w:r>
            <w:r>
              <w:rPr>
                <w:color w:val="0D0D0D" w:themeColor="text1" w:themeTint="F2"/>
                <w:spacing w:val="-5"/>
              </w:rPr>
              <w:t xml:space="preserve">m </w:t>
            </w:r>
            <w:r w:rsidRPr="00303551">
              <w:rPr>
                <w:color w:val="0D0D0D" w:themeColor="text1" w:themeTint="F2"/>
                <w:spacing w:val="-5"/>
              </w:rPr>
              <w:t>odv</w:t>
            </w:r>
            <w:r>
              <w:rPr>
                <w:color w:val="0D0D0D" w:themeColor="text1" w:themeTint="F2"/>
                <w:spacing w:val="-5"/>
              </w:rPr>
              <w:t>ětvím (+0,7 %), neboť v těžbě i </w:t>
            </w:r>
            <w:r w:rsidRPr="00303551">
              <w:rPr>
                <w:color w:val="0D0D0D" w:themeColor="text1" w:themeTint="F2"/>
                <w:spacing w:val="-5"/>
              </w:rPr>
              <w:t xml:space="preserve">energetice </w:t>
            </w:r>
            <w:r>
              <w:rPr>
                <w:color w:val="0D0D0D" w:themeColor="text1" w:themeTint="F2"/>
                <w:spacing w:val="-5"/>
              </w:rPr>
              <w:t xml:space="preserve">stále znatelně zaostávala </w:t>
            </w:r>
            <w:r w:rsidRPr="00303551">
              <w:rPr>
                <w:color w:val="0D0D0D" w:themeColor="text1" w:themeTint="F2"/>
                <w:spacing w:val="-5"/>
              </w:rPr>
              <w:t>za předpa</w:t>
            </w:r>
            <w:r>
              <w:rPr>
                <w:color w:val="0D0D0D" w:themeColor="text1" w:themeTint="F2"/>
                <w:spacing w:val="-5"/>
              </w:rPr>
              <w:t>n</w:t>
            </w:r>
            <w:r w:rsidRPr="00303551">
              <w:rPr>
                <w:color w:val="0D0D0D" w:themeColor="text1" w:themeTint="F2"/>
                <w:spacing w:val="-5"/>
              </w:rPr>
              <w:t>demickou úrovní.</w:t>
            </w:r>
          </w:p>
        </w:tc>
      </w:tr>
      <w:tr w:rsidR="001C3855" w14:paraId="365D755F" w14:textId="77777777" w:rsidTr="52944939">
        <w:trPr>
          <w:trHeight w:val="155"/>
        </w:trPr>
        <w:tc>
          <w:tcPr>
            <w:tcW w:w="1814" w:type="dxa"/>
            <w:shd w:val="clear" w:color="auto" w:fill="auto"/>
            <w:tcMar>
              <w:left w:w="0" w:type="dxa"/>
            </w:tcMar>
          </w:tcPr>
          <w:p w14:paraId="5CF1A0EB" w14:textId="77777777" w:rsidR="001C3855" w:rsidRDefault="001C3855" w:rsidP="00C8019E">
            <w:pPr>
              <w:pStyle w:val="Marginlie"/>
              <w:rPr>
                <w:color w:val="0D0D0D" w:themeColor="text1" w:themeTint="F2"/>
                <w:spacing w:val="-4"/>
              </w:rPr>
            </w:pPr>
            <w:r>
              <w:rPr>
                <w:color w:val="0D0D0D" w:themeColor="text1" w:themeTint="F2"/>
                <w:spacing w:val="-4"/>
              </w:rPr>
              <w:t xml:space="preserve">Očekávání podniků v oblasti zaměstnanosti se loni postupně zhoršovala. Mírný optimismus si stále udržovali obchodníci. </w:t>
            </w:r>
          </w:p>
          <w:p w14:paraId="3CB73AE0" w14:textId="77777777" w:rsidR="001C3855" w:rsidRDefault="001C3855" w:rsidP="00C8019E">
            <w:pPr>
              <w:pStyle w:val="Marginlie"/>
              <w:rPr>
                <w:color w:val="0D0D0D" w:themeColor="text1" w:themeTint="F2"/>
                <w:spacing w:val="-4"/>
              </w:rPr>
            </w:pPr>
          </w:p>
          <w:p w14:paraId="5C5A859B" w14:textId="77777777" w:rsidR="001C3855" w:rsidRDefault="001C3855" w:rsidP="00C8019E">
            <w:pPr>
              <w:pStyle w:val="Marginlie"/>
              <w:rPr>
                <w:color w:val="0D0D0D" w:themeColor="text1" w:themeTint="F2"/>
                <w:spacing w:val="-4"/>
              </w:rPr>
            </w:pPr>
          </w:p>
          <w:p w14:paraId="17C46A2C" w14:textId="77777777" w:rsidR="001C3855" w:rsidRDefault="001C3855" w:rsidP="00C8019E">
            <w:pPr>
              <w:pStyle w:val="Marginlie"/>
              <w:rPr>
                <w:color w:val="0D0D0D" w:themeColor="text1" w:themeTint="F2"/>
                <w:spacing w:val="-4"/>
              </w:rPr>
            </w:pPr>
          </w:p>
          <w:p w14:paraId="6529CBCF" w14:textId="77777777" w:rsidR="001C3855" w:rsidRDefault="001C3855" w:rsidP="00C8019E">
            <w:pPr>
              <w:pStyle w:val="Marginlie"/>
              <w:rPr>
                <w:color w:val="0D0D0D" w:themeColor="text1" w:themeTint="F2"/>
                <w:spacing w:val="-4"/>
              </w:rPr>
            </w:pPr>
          </w:p>
          <w:p w14:paraId="0F7CBC63" w14:textId="77777777" w:rsidR="001C3855" w:rsidRDefault="001C3855" w:rsidP="00C8019E">
            <w:pPr>
              <w:pStyle w:val="Marginlie"/>
              <w:rPr>
                <w:color w:val="0D0D0D" w:themeColor="text1" w:themeTint="F2"/>
                <w:spacing w:val="-4"/>
              </w:rPr>
            </w:pPr>
          </w:p>
          <w:p w14:paraId="3F53E2EE" w14:textId="77777777" w:rsidR="001C3855" w:rsidRDefault="001C3855" w:rsidP="00C8019E">
            <w:pPr>
              <w:pStyle w:val="Marginlie"/>
              <w:rPr>
                <w:color w:val="0D0D0D" w:themeColor="text1" w:themeTint="F2"/>
                <w:spacing w:val="-4"/>
              </w:rPr>
            </w:pPr>
            <w:r>
              <w:rPr>
                <w:color w:val="0D0D0D" w:themeColor="text1" w:themeTint="F2"/>
                <w:spacing w:val="-4"/>
              </w:rPr>
              <w:t>Nedostatek pracovníků zůstává hlavní růstovou bariérou ve stavebnictví, jinde jeho role spíše oslabovala.</w:t>
            </w:r>
          </w:p>
          <w:p w14:paraId="10358A72" w14:textId="77777777" w:rsidR="001C3855" w:rsidRDefault="001C3855" w:rsidP="00C8019E">
            <w:pPr>
              <w:pStyle w:val="Marginlie"/>
              <w:spacing w:after="120"/>
              <w:rPr>
                <w:color w:val="0D0D0D" w:themeColor="text1" w:themeTint="F2"/>
                <w:spacing w:val="-4"/>
              </w:rPr>
            </w:pPr>
          </w:p>
        </w:tc>
        <w:tc>
          <w:tcPr>
            <w:tcW w:w="213" w:type="dxa"/>
            <w:shd w:val="clear" w:color="auto" w:fill="auto"/>
            <w:tcMar>
              <w:left w:w="0" w:type="dxa"/>
            </w:tcMar>
          </w:tcPr>
          <w:p w14:paraId="710D03EA" w14:textId="77777777" w:rsidR="001C3855" w:rsidRPr="009F0D7F"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1B5C134F" w14:textId="77777777" w:rsidR="001C3855" w:rsidRDefault="001C3855" w:rsidP="00C8019E">
            <w:pPr>
              <w:spacing w:after="200"/>
              <w:rPr>
                <w:color w:val="0D0D0D" w:themeColor="text1" w:themeTint="F2"/>
                <w:spacing w:val="-4"/>
              </w:rPr>
            </w:pPr>
            <w:r w:rsidRPr="00A60C4D">
              <w:rPr>
                <w:color w:val="0D0D0D" w:themeColor="text1" w:themeTint="F2"/>
                <w:spacing w:val="-4"/>
              </w:rPr>
              <w:t>Krátkodobá očekávání podniků v celé ekonomic</w:t>
            </w:r>
            <w:r>
              <w:rPr>
                <w:color w:val="0D0D0D" w:themeColor="text1" w:themeTint="F2"/>
                <w:spacing w:val="-4"/>
              </w:rPr>
              <w:t xml:space="preserve">e v oblasti zaměstnanosti se po </w:t>
            </w:r>
            <w:r w:rsidRPr="00A60C4D">
              <w:rPr>
                <w:color w:val="0D0D0D" w:themeColor="text1" w:themeTint="F2"/>
                <w:spacing w:val="-4"/>
              </w:rPr>
              <w:t xml:space="preserve">optimistických výhledech z počátku </w:t>
            </w:r>
            <w:r>
              <w:rPr>
                <w:color w:val="0D0D0D" w:themeColor="text1" w:themeTint="F2"/>
                <w:spacing w:val="-4"/>
              </w:rPr>
              <w:t>loňského roku (kdy byla nejpříznivěj</w:t>
            </w:r>
            <w:r w:rsidRPr="00A60C4D">
              <w:rPr>
                <w:color w:val="0D0D0D" w:themeColor="text1" w:themeTint="F2"/>
                <w:spacing w:val="-4"/>
              </w:rPr>
              <w:t xml:space="preserve">ší od léta 2019) postupně mírně zhoršovala. </w:t>
            </w:r>
            <w:r>
              <w:rPr>
                <w:color w:val="0D0D0D" w:themeColor="text1" w:themeTint="F2"/>
                <w:spacing w:val="-4"/>
              </w:rPr>
              <w:t xml:space="preserve">V únoru 2023 sestoupila na nejnižší úroveň od března 2021 (kdy protipandemická opatření vrcholila). Negativní tendence byly patrné hlavně v průmyslu a stavebnictví. V maloobchodu i službách se výhledy zaměstnanosti po většinu loňského roku příliš neměnily, na přelomu let 2022 a 2023 došlo ovšem ke zhoršení i zde. Pouze podniky v obchodě si uchovávaly mírný optimismus, který kontrastoval s velmi nízkou spotřebitelskou </w:t>
            </w:r>
            <w:r w:rsidRPr="00A26315">
              <w:rPr>
                <w:color w:val="0D0D0D" w:themeColor="text1" w:themeTint="F2"/>
                <w:spacing w:val="-4"/>
              </w:rPr>
              <w:t>důvěrou. Letos v lednu plánovalo redukci stavů zaměstnanců (v nejbližších třech měsících) v obchodě 10 % firem (obdobný podíl předpokládal naopak vytvářet nová místa), v průmyslu 13 %, ve stavebnictví 18 % a ve službách 21 %</w:t>
            </w:r>
            <w:r w:rsidRPr="00A26315">
              <w:rPr>
                <w:rStyle w:val="Znakapoznpodarou"/>
                <w:color w:val="0D0D0D" w:themeColor="text1" w:themeTint="F2"/>
                <w:spacing w:val="-4"/>
              </w:rPr>
              <w:footnoteReference w:id="70"/>
            </w:r>
            <w:r w:rsidRPr="00A26315">
              <w:rPr>
                <w:color w:val="0D0D0D" w:themeColor="text1" w:themeTint="F2"/>
                <w:spacing w:val="-4"/>
              </w:rPr>
              <w:t>. Nelze opomenout</w:t>
            </w:r>
            <w:r>
              <w:rPr>
                <w:color w:val="0D0D0D" w:themeColor="text1" w:themeTint="F2"/>
                <w:spacing w:val="-4"/>
              </w:rPr>
              <w:t>, že situace na úrovni dílčích odvětví v rámci průmyslu i služeb se odlišovala</w:t>
            </w:r>
            <w:r w:rsidRPr="00A60C4D">
              <w:rPr>
                <w:rStyle w:val="Znakapoznpodarou"/>
                <w:color w:val="0D0D0D" w:themeColor="text1" w:themeTint="F2"/>
                <w:spacing w:val="-4"/>
              </w:rPr>
              <w:footnoteReference w:id="71"/>
            </w:r>
            <w:r w:rsidRPr="00A60C4D">
              <w:rPr>
                <w:color w:val="0D0D0D" w:themeColor="text1" w:themeTint="F2"/>
                <w:spacing w:val="-4"/>
              </w:rPr>
              <w:t xml:space="preserve">. </w:t>
            </w:r>
            <w:r>
              <w:rPr>
                <w:color w:val="0D0D0D" w:themeColor="text1" w:themeTint="F2"/>
                <w:spacing w:val="-4"/>
              </w:rPr>
              <w:t>Vlivem zhoršení</w:t>
            </w:r>
            <w:r w:rsidRPr="00A60C4D">
              <w:rPr>
                <w:color w:val="0D0D0D" w:themeColor="text1" w:themeTint="F2"/>
                <w:spacing w:val="-4"/>
              </w:rPr>
              <w:t xml:space="preserve"> celkových ekonomických výhledů</w:t>
            </w:r>
            <w:r>
              <w:rPr>
                <w:color w:val="0D0D0D" w:themeColor="text1" w:themeTint="F2"/>
                <w:spacing w:val="-4"/>
              </w:rPr>
              <w:t xml:space="preserve"> i neočekávaného většího přílivu osob z Ukrajiny na tuzemský pracovní trh klesl během loňského</w:t>
            </w:r>
            <w:r w:rsidRPr="00A60C4D">
              <w:rPr>
                <w:color w:val="0D0D0D" w:themeColor="text1" w:themeTint="F2"/>
                <w:spacing w:val="-4"/>
              </w:rPr>
              <w:t xml:space="preserve"> roku </w:t>
            </w:r>
            <w:r>
              <w:rPr>
                <w:color w:val="0D0D0D" w:themeColor="text1" w:themeTint="F2"/>
                <w:spacing w:val="-4"/>
              </w:rPr>
              <w:t>ve většině</w:t>
            </w:r>
            <w:r w:rsidRPr="00A60C4D">
              <w:rPr>
                <w:color w:val="0D0D0D" w:themeColor="text1" w:themeTint="F2"/>
                <w:spacing w:val="-4"/>
              </w:rPr>
              <w:t xml:space="preserve"> </w:t>
            </w:r>
            <w:r>
              <w:rPr>
                <w:color w:val="0D0D0D" w:themeColor="text1" w:themeTint="F2"/>
                <w:spacing w:val="-4"/>
              </w:rPr>
              <w:t>hlavních odvětví</w:t>
            </w:r>
            <w:r w:rsidRPr="00A60C4D">
              <w:rPr>
                <w:color w:val="0D0D0D" w:themeColor="text1" w:themeTint="F2"/>
                <w:spacing w:val="-4"/>
              </w:rPr>
              <w:t xml:space="preserve"> </w:t>
            </w:r>
            <w:r>
              <w:rPr>
                <w:color w:val="0D0D0D" w:themeColor="text1" w:themeTint="F2"/>
                <w:spacing w:val="-4"/>
              </w:rPr>
              <w:t>podíl</w:t>
            </w:r>
            <w:r w:rsidRPr="00A60C4D">
              <w:rPr>
                <w:color w:val="0D0D0D" w:themeColor="text1" w:themeTint="F2"/>
                <w:spacing w:val="-4"/>
              </w:rPr>
              <w:t xml:space="preserve"> podniků, pro něž představuje nedostatek pracovní síly jednu z </w:t>
            </w:r>
            <w:r>
              <w:rPr>
                <w:color w:val="0D0D0D" w:themeColor="text1" w:themeTint="F2"/>
                <w:spacing w:val="-4"/>
              </w:rPr>
              <w:t>významných růstových bariér (např. ve službách označilo tuto bariéru loni v lednu 20 % podniků, o rok později jen 9 %). V</w:t>
            </w:r>
            <w:r w:rsidRPr="00A60C4D">
              <w:rPr>
                <w:color w:val="0D0D0D" w:themeColor="text1" w:themeTint="F2"/>
                <w:spacing w:val="-4"/>
              </w:rPr>
              <w:t>e stavebnictví ovšem zůstával tento problé</w:t>
            </w:r>
            <w:r>
              <w:rPr>
                <w:color w:val="0D0D0D" w:themeColor="text1" w:themeTint="F2"/>
                <w:spacing w:val="-4"/>
              </w:rPr>
              <w:t>m stále palčivý, protože i na počátku</w:t>
            </w:r>
            <w:r w:rsidRPr="00A60C4D">
              <w:rPr>
                <w:color w:val="0D0D0D" w:themeColor="text1" w:themeTint="F2"/>
                <w:spacing w:val="-4"/>
              </w:rPr>
              <w:t xml:space="preserve"> roku </w:t>
            </w:r>
            <w:r>
              <w:rPr>
                <w:color w:val="0D0D0D" w:themeColor="text1" w:themeTint="F2"/>
                <w:spacing w:val="-4"/>
              </w:rPr>
              <w:t xml:space="preserve">2023 </w:t>
            </w:r>
            <w:r w:rsidRPr="00A60C4D">
              <w:rPr>
                <w:color w:val="0D0D0D" w:themeColor="text1" w:themeTint="F2"/>
                <w:spacing w:val="-4"/>
              </w:rPr>
              <w:t>limitoval více než</w:t>
            </w:r>
            <w:r>
              <w:rPr>
                <w:color w:val="0D0D0D" w:themeColor="text1" w:themeTint="F2"/>
                <w:spacing w:val="-4"/>
              </w:rPr>
              <w:t xml:space="preserve"> 40 % podniků, a nadále představoval klíčovou růstovou bariéru.</w:t>
            </w:r>
          </w:p>
        </w:tc>
      </w:tr>
      <w:tr w:rsidR="001C3855" w:rsidRPr="00CA5850" w14:paraId="0275EC1B" w14:textId="77777777" w:rsidTr="52944939">
        <w:trPr>
          <w:trHeight w:val="155"/>
        </w:trPr>
        <w:tc>
          <w:tcPr>
            <w:tcW w:w="1814" w:type="dxa"/>
            <w:vMerge w:val="restart"/>
            <w:shd w:val="clear" w:color="auto" w:fill="auto"/>
            <w:tcMar>
              <w:left w:w="0" w:type="dxa"/>
            </w:tcMar>
          </w:tcPr>
          <w:p w14:paraId="3A6C95C7" w14:textId="77777777" w:rsidR="001C3855" w:rsidRPr="00B43216" w:rsidRDefault="001C3855" w:rsidP="00C8019E">
            <w:pPr>
              <w:pStyle w:val="Marginlie"/>
              <w:spacing w:after="120"/>
              <w:rPr>
                <w:spacing w:val="-4"/>
              </w:rPr>
            </w:pPr>
          </w:p>
        </w:tc>
        <w:tc>
          <w:tcPr>
            <w:tcW w:w="213" w:type="dxa"/>
            <w:vMerge w:val="restart"/>
            <w:shd w:val="clear" w:color="auto" w:fill="auto"/>
            <w:tcMar>
              <w:left w:w="0" w:type="dxa"/>
            </w:tcMar>
          </w:tcPr>
          <w:p w14:paraId="72BACC15" w14:textId="77777777" w:rsidR="001C3855" w:rsidRPr="00B43216" w:rsidRDefault="001C3855" w:rsidP="00C8019E">
            <w:pPr>
              <w:pStyle w:val="Textpoznpodarou"/>
              <w:spacing w:after="120"/>
              <w:jc w:val="both"/>
              <w:rPr>
                <w:spacing w:val="-4"/>
              </w:rPr>
            </w:pPr>
          </w:p>
        </w:tc>
        <w:tc>
          <w:tcPr>
            <w:tcW w:w="7759" w:type="dxa"/>
            <w:shd w:val="clear" w:color="auto" w:fill="auto"/>
            <w:tcMar>
              <w:left w:w="0" w:type="dxa"/>
            </w:tcMar>
          </w:tcPr>
          <w:p w14:paraId="033424D7" w14:textId="330984C2" w:rsidR="001C3855" w:rsidRPr="00CA5850" w:rsidRDefault="008F525A" w:rsidP="00C8019E">
            <w:pPr>
              <w:spacing w:after="0"/>
              <w:rPr>
                <w:spacing w:val="-2"/>
              </w:rPr>
            </w:pPr>
            <w:r>
              <w:rPr>
                <w:rFonts w:cs="Arial"/>
                <w:b/>
                <w:bCs/>
                <w:color w:val="000000"/>
                <w:szCs w:val="20"/>
              </w:rPr>
              <w:t>Graf č. 14</w:t>
            </w:r>
            <w:r w:rsidR="001C3855" w:rsidRPr="0068569E">
              <w:rPr>
                <w:rFonts w:cs="Arial"/>
                <w:b/>
                <w:bCs/>
                <w:color w:val="000000"/>
                <w:sz w:val="18"/>
                <w:szCs w:val="18"/>
              </w:rPr>
              <w:t xml:space="preserve"> </w:t>
            </w:r>
            <w:r w:rsidR="001C3855" w:rsidRPr="0068569E">
              <w:rPr>
                <w:b/>
                <w:bCs/>
                <w:lang w:eastAsia="en-US"/>
              </w:rPr>
              <w:t xml:space="preserve">Celková zaměstnanost </w:t>
            </w:r>
            <w:r w:rsidR="001C3855" w:rsidRPr="0068569E">
              <w:rPr>
                <w:lang w:eastAsia="en-US"/>
              </w:rPr>
              <w:t>(</w:t>
            </w:r>
            <w:r w:rsidR="001C3855" w:rsidRPr="0068569E">
              <w:rPr>
                <w:spacing w:val="-2"/>
              </w:rPr>
              <w:t>meziročně v</w:t>
            </w:r>
            <w:r w:rsidR="001C3855">
              <w:rPr>
                <w:spacing w:val="-2"/>
              </w:rPr>
              <w:t> %</w:t>
            </w:r>
            <w:r w:rsidR="001C3855" w:rsidRPr="0068569E">
              <w:rPr>
                <w:spacing w:val="-2"/>
              </w:rPr>
              <w:t>)</w:t>
            </w:r>
            <w:r w:rsidR="001C3855" w:rsidRPr="0068569E">
              <w:rPr>
                <w:b/>
                <w:bCs/>
                <w:spacing w:val="-2"/>
              </w:rPr>
              <w:t xml:space="preserve">, </w:t>
            </w:r>
            <w:r w:rsidR="001C3855">
              <w:rPr>
                <w:b/>
                <w:bCs/>
                <w:spacing w:val="-2"/>
              </w:rPr>
              <w:t xml:space="preserve">příspěvky </w:t>
            </w:r>
            <w:r w:rsidR="001C3855" w:rsidRPr="0068569E">
              <w:rPr>
                <w:b/>
                <w:bCs/>
                <w:spacing w:val="-2"/>
              </w:rPr>
              <w:t xml:space="preserve">odvětví k meziroční změně zaměstnanosti </w:t>
            </w:r>
            <w:r w:rsidR="001C3855" w:rsidRPr="0068569E">
              <w:rPr>
                <w:spacing w:val="-2"/>
              </w:rPr>
              <w:t>(v</w:t>
            </w:r>
            <w:r w:rsidR="001C3855">
              <w:rPr>
                <w:spacing w:val="-2"/>
              </w:rPr>
              <w:t> p. b.</w:t>
            </w:r>
            <w:r w:rsidR="001C3855" w:rsidRPr="0068569E">
              <w:rPr>
                <w:spacing w:val="-2"/>
              </w:rPr>
              <w:t>)</w:t>
            </w:r>
            <w:r w:rsidR="001C3855" w:rsidRPr="0068569E">
              <w:rPr>
                <w:b/>
                <w:bCs/>
                <w:spacing w:val="-2"/>
              </w:rPr>
              <w:t xml:space="preserve"> a očekávání vývoje zaměst</w:t>
            </w:r>
            <w:r w:rsidR="001C3855">
              <w:rPr>
                <w:b/>
                <w:bCs/>
                <w:spacing w:val="-2"/>
              </w:rPr>
              <w:t>nanosti</w:t>
            </w:r>
            <w:r w:rsidR="001C3855" w:rsidRPr="0068569E">
              <w:rPr>
                <w:b/>
                <w:bCs/>
                <w:spacing w:val="-2"/>
              </w:rPr>
              <w:t xml:space="preserve"> </w:t>
            </w:r>
            <w:r w:rsidR="001C3855" w:rsidRPr="0068569E">
              <w:rPr>
                <w:spacing w:val="-2"/>
              </w:rPr>
              <w:t>(saldo v</w:t>
            </w:r>
            <w:r w:rsidR="001C3855">
              <w:rPr>
                <w:spacing w:val="-2"/>
              </w:rPr>
              <w:t> p. b.)</w:t>
            </w:r>
          </w:p>
        </w:tc>
      </w:tr>
      <w:tr w:rsidR="001C3855" w:rsidRPr="00B43216" w14:paraId="4DD0CFB9" w14:textId="77777777" w:rsidTr="52944939">
        <w:tblPrEx>
          <w:tblCellMar>
            <w:left w:w="70" w:type="dxa"/>
            <w:right w:w="70" w:type="dxa"/>
          </w:tblCellMar>
        </w:tblPrEx>
        <w:trPr>
          <w:trHeight w:val="155"/>
        </w:trPr>
        <w:tc>
          <w:tcPr>
            <w:tcW w:w="1814" w:type="dxa"/>
            <w:vMerge/>
          </w:tcPr>
          <w:p w14:paraId="00EF6A6F" w14:textId="77777777" w:rsidR="001C3855" w:rsidRPr="00B43216" w:rsidRDefault="001C3855" w:rsidP="00C8019E">
            <w:pPr>
              <w:pStyle w:val="Marginlie"/>
              <w:spacing w:after="120"/>
              <w:rPr>
                <w:spacing w:val="-4"/>
              </w:rPr>
            </w:pPr>
          </w:p>
        </w:tc>
        <w:tc>
          <w:tcPr>
            <w:tcW w:w="213" w:type="dxa"/>
            <w:vMerge/>
          </w:tcPr>
          <w:p w14:paraId="7BD2C549" w14:textId="77777777" w:rsidR="001C3855" w:rsidRPr="00B43216" w:rsidRDefault="001C3855" w:rsidP="00C8019E">
            <w:pPr>
              <w:pStyle w:val="Textpoznpodarou"/>
              <w:spacing w:after="120"/>
              <w:jc w:val="both"/>
              <w:rPr>
                <w:spacing w:val="-4"/>
              </w:rPr>
            </w:pPr>
          </w:p>
        </w:tc>
        <w:tc>
          <w:tcPr>
            <w:tcW w:w="7759" w:type="dxa"/>
            <w:shd w:val="clear" w:color="auto" w:fill="auto"/>
          </w:tcPr>
          <w:p w14:paraId="5FE77718" w14:textId="77777777" w:rsidR="001C3855" w:rsidRPr="00B43216" w:rsidRDefault="001C3855" w:rsidP="00C8019E">
            <w:pPr>
              <w:spacing w:after="0"/>
            </w:pPr>
            <w:r>
              <w:rPr>
                <w:noProof/>
              </w:rPr>
              <w:drawing>
                <wp:inline distT="0" distB="0" distL="0" distR="0" wp14:anchorId="785AAC04" wp14:editId="4985FDAE">
                  <wp:extent cx="4642986" cy="3812048"/>
                  <wp:effectExtent l="0" t="0" r="571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C3855" w:rsidRPr="00485ED5" w14:paraId="2E7971A5" w14:textId="77777777" w:rsidTr="52944939">
        <w:trPr>
          <w:trHeight w:val="671"/>
        </w:trPr>
        <w:tc>
          <w:tcPr>
            <w:tcW w:w="1814" w:type="dxa"/>
            <w:vMerge/>
            <w:tcMar>
              <w:left w:w="0" w:type="dxa"/>
            </w:tcMar>
          </w:tcPr>
          <w:p w14:paraId="5EBDDDA6" w14:textId="77777777" w:rsidR="001C3855" w:rsidRPr="00B43216" w:rsidRDefault="001C3855" w:rsidP="00C8019E">
            <w:pPr>
              <w:pStyle w:val="Marginlie"/>
              <w:spacing w:after="120"/>
              <w:rPr>
                <w:spacing w:val="-4"/>
              </w:rPr>
            </w:pPr>
          </w:p>
        </w:tc>
        <w:tc>
          <w:tcPr>
            <w:tcW w:w="213" w:type="dxa"/>
            <w:vMerge/>
            <w:tcMar>
              <w:left w:w="0" w:type="dxa"/>
            </w:tcMar>
          </w:tcPr>
          <w:p w14:paraId="34ED034B" w14:textId="77777777" w:rsidR="001C3855" w:rsidRPr="00B43216" w:rsidRDefault="001C3855" w:rsidP="00C8019E">
            <w:pPr>
              <w:pStyle w:val="Textpoznpodarou"/>
              <w:spacing w:after="120"/>
              <w:jc w:val="both"/>
              <w:rPr>
                <w:spacing w:val="-4"/>
              </w:rPr>
            </w:pPr>
          </w:p>
        </w:tc>
        <w:tc>
          <w:tcPr>
            <w:tcW w:w="7759" w:type="dxa"/>
            <w:shd w:val="clear" w:color="auto" w:fill="auto"/>
            <w:tcMar>
              <w:left w:w="0" w:type="dxa"/>
            </w:tcMar>
          </w:tcPr>
          <w:p w14:paraId="03A433DC" w14:textId="77777777" w:rsidR="001C3855" w:rsidRDefault="001C3855" w:rsidP="00C8019E">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4D6629B5" w14:textId="77777777" w:rsidR="001C3855" w:rsidRDefault="001C3855" w:rsidP="00C8019E">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635AD3BA" w14:textId="77777777" w:rsidR="001C3855" w:rsidRPr="00485ED5" w:rsidRDefault="001C3855" w:rsidP="00C8019E">
            <w:pPr>
              <w:spacing w:after="200" w:line="240" w:lineRule="auto"/>
              <w:rPr>
                <w:rFonts w:cs="Arial"/>
                <w:color w:val="0D0D0D" w:themeColor="text1" w:themeTint="F2"/>
                <w:spacing w:val="-2"/>
                <w:sz w:val="14"/>
                <w:szCs w:val="14"/>
              </w:rPr>
            </w:pPr>
            <w:r>
              <w:rPr>
                <w:rFonts w:cs="Arial"/>
                <w:sz w:val="14"/>
                <w:szCs w:val="14"/>
              </w:rPr>
              <w:t xml:space="preserve">Zdroj: ČSÚ, </w:t>
            </w:r>
            <w:proofErr w:type="spellStart"/>
            <w:r>
              <w:rPr>
                <w:rFonts w:cs="Arial"/>
                <w:sz w:val="14"/>
                <w:szCs w:val="14"/>
              </w:rPr>
              <w:t>Eurostat</w:t>
            </w:r>
            <w:proofErr w:type="spellEnd"/>
            <w:r>
              <w:rPr>
                <w:rFonts w:cs="Arial"/>
                <w:sz w:val="14"/>
                <w:szCs w:val="14"/>
              </w:rPr>
              <w:t xml:space="preserve"> (národní účty, konjunkturální průzkumy)</w:t>
            </w:r>
          </w:p>
        </w:tc>
      </w:tr>
      <w:tr w:rsidR="001C3855" w:rsidRPr="00EC1398" w14:paraId="6D9A12E6" w14:textId="77777777" w:rsidTr="52944939">
        <w:trPr>
          <w:trHeight w:val="145"/>
        </w:trPr>
        <w:tc>
          <w:tcPr>
            <w:tcW w:w="1814" w:type="dxa"/>
            <w:shd w:val="clear" w:color="auto" w:fill="auto"/>
            <w:tcMar>
              <w:left w:w="0" w:type="dxa"/>
            </w:tcMar>
          </w:tcPr>
          <w:p w14:paraId="04099013" w14:textId="77777777" w:rsidR="001C3855" w:rsidRDefault="001C3855" w:rsidP="00C8019E">
            <w:pPr>
              <w:pStyle w:val="Marginlie"/>
              <w:rPr>
                <w:color w:val="0D0D0D" w:themeColor="text1" w:themeTint="F2"/>
                <w:spacing w:val="-5"/>
              </w:rPr>
            </w:pPr>
            <w:r>
              <w:rPr>
                <w:color w:val="0D0D0D" w:themeColor="text1" w:themeTint="F2"/>
                <w:spacing w:val="-5"/>
              </w:rPr>
              <w:t>Obecná míra nezaměstnanosti loni mírně kolísala blízko historického minima. Dlouhodobě nezaměstnaných stále ubývalo.</w:t>
            </w:r>
          </w:p>
          <w:p w14:paraId="7DE8E72A" w14:textId="77777777" w:rsidR="001C3855" w:rsidRDefault="001C3855" w:rsidP="00C8019E">
            <w:pPr>
              <w:pStyle w:val="Marginlie"/>
              <w:rPr>
                <w:color w:val="0D0D0D" w:themeColor="text1" w:themeTint="F2"/>
                <w:spacing w:val="-5"/>
              </w:rPr>
            </w:pPr>
          </w:p>
          <w:p w14:paraId="6AF93449" w14:textId="77777777" w:rsidR="001C3855" w:rsidRDefault="001C3855" w:rsidP="00C8019E">
            <w:pPr>
              <w:pStyle w:val="Marginlie"/>
              <w:rPr>
                <w:color w:val="0D0D0D" w:themeColor="text1" w:themeTint="F2"/>
                <w:spacing w:val="-5"/>
              </w:rPr>
            </w:pPr>
          </w:p>
          <w:p w14:paraId="7557C270" w14:textId="77777777" w:rsidR="001C3855" w:rsidRDefault="001C3855" w:rsidP="00C8019E">
            <w:pPr>
              <w:pStyle w:val="Marginlie"/>
              <w:rPr>
                <w:color w:val="0D0D0D" w:themeColor="text1" w:themeTint="F2"/>
                <w:spacing w:val="-5"/>
              </w:rPr>
            </w:pPr>
          </w:p>
          <w:p w14:paraId="42CB2E82" w14:textId="77777777" w:rsidR="001C3855" w:rsidRDefault="001C3855" w:rsidP="00C8019E">
            <w:pPr>
              <w:pStyle w:val="Marginlie"/>
              <w:rPr>
                <w:color w:val="0D0D0D" w:themeColor="text1" w:themeTint="F2"/>
                <w:spacing w:val="-5"/>
              </w:rPr>
            </w:pPr>
          </w:p>
          <w:p w14:paraId="07C419C1" w14:textId="77777777" w:rsidR="001C3855" w:rsidRDefault="001C3855" w:rsidP="00C8019E">
            <w:pPr>
              <w:pStyle w:val="Marginlie"/>
              <w:rPr>
                <w:color w:val="0D0D0D" w:themeColor="text1" w:themeTint="F2"/>
                <w:spacing w:val="-5"/>
              </w:rPr>
            </w:pPr>
          </w:p>
          <w:p w14:paraId="091CC381" w14:textId="77777777" w:rsidR="001C3855" w:rsidRPr="00EC1398" w:rsidRDefault="001C3855" w:rsidP="00C8019E">
            <w:pPr>
              <w:pStyle w:val="Marginlie"/>
              <w:rPr>
                <w:color w:val="0D0D0D" w:themeColor="text1" w:themeTint="F2"/>
                <w:spacing w:val="-5"/>
              </w:rPr>
            </w:pPr>
            <w:r>
              <w:rPr>
                <w:color w:val="0D0D0D" w:themeColor="text1" w:themeTint="F2"/>
                <w:spacing w:val="-5"/>
              </w:rPr>
              <w:t>Obavy lidí z růstu nezaměstnanosti se po většinu loňského roku zvyšovaly.</w:t>
            </w:r>
          </w:p>
        </w:tc>
        <w:tc>
          <w:tcPr>
            <w:tcW w:w="213" w:type="dxa"/>
            <w:shd w:val="clear" w:color="auto" w:fill="auto"/>
            <w:tcMar>
              <w:left w:w="0" w:type="dxa"/>
            </w:tcMar>
          </w:tcPr>
          <w:p w14:paraId="2F84DCCB" w14:textId="77777777" w:rsidR="001C3855" w:rsidRPr="00EC1398"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171722AD" w14:textId="204F8F21" w:rsidR="001C3855" w:rsidRPr="00EC1398" w:rsidRDefault="001C3855" w:rsidP="00C8019E">
            <w:pPr>
              <w:spacing w:after="200"/>
              <w:rPr>
                <w:color w:val="0D0D0D" w:themeColor="text1" w:themeTint="F2"/>
                <w:spacing w:val="-4"/>
              </w:rPr>
            </w:pPr>
            <w:r>
              <w:rPr>
                <w:color w:val="0D0D0D" w:themeColor="text1" w:themeTint="F2"/>
                <w:spacing w:val="-4"/>
              </w:rPr>
              <w:t xml:space="preserve">Pokles </w:t>
            </w:r>
            <w:r w:rsidRPr="00A812A7">
              <w:rPr>
                <w:color w:val="0D0D0D" w:themeColor="text1" w:themeTint="F2"/>
                <w:spacing w:val="-4"/>
              </w:rPr>
              <w:t>obecné míry nezaměstnanosti</w:t>
            </w:r>
            <w:r w:rsidRPr="00A812A7">
              <w:rPr>
                <w:rStyle w:val="Znakapoznpodarou"/>
                <w:color w:val="0D0D0D" w:themeColor="text1" w:themeTint="F2"/>
                <w:spacing w:val="-4"/>
              </w:rPr>
              <w:footnoteReference w:id="72"/>
            </w:r>
            <w:r w:rsidRPr="00A812A7">
              <w:rPr>
                <w:color w:val="0D0D0D" w:themeColor="text1" w:themeTint="F2"/>
                <w:spacing w:val="-4"/>
              </w:rPr>
              <w:t xml:space="preserve"> (osob ve věku 15 až 64 let</w:t>
            </w:r>
            <w:r>
              <w:rPr>
                <w:color w:val="0D0D0D" w:themeColor="text1" w:themeTint="F2"/>
                <w:spacing w:val="-4"/>
              </w:rPr>
              <w:t>) se v Česku již na počátku roku 2022 zastavil. V následujícím období však nebyl patrný ani trend jejího zvyšování. S tím korespondují také údaje o uchazečích o zaměstnání registrovaných na úřadech práce (ÚP), jejichž průběh odpovídal běžným sezónním vlivům</w:t>
            </w:r>
            <w:r>
              <w:rPr>
                <w:rStyle w:val="Znakapoznpodarou"/>
                <w:color w:val="0D0D0D" w:themeColor="text1" w:themeTint="F2"/>
                <w:spacing w:val="-4"/>
              </w:rPr>
              <w:footnoteReference w:id="73"/>
            </w:r>
            <w:r>
              <w:rPr>
                <w:color w:val="0D0D0D" w:themeColor="text1" w:themeTint="F2"/>
                <w:spacing w:val="-4"/>
              </w:rPr>
              <w:t>. Obecná míra nezaměstnanosti loni v prosinci dosahovala u mužů 1,8 % a u žen 2,5 % a setrvávala tak blízko svého historického minima. P</w:t>
            </w:r>
            <w:r w:rsidR="5CF587E8">
              <w:rPr>
                <w:color w:val="0D0D0D" w:themeColor="text1" w:themeTint="F2"/>
                <w:spacing w:val="-4"/>
              </w:rPr>
              <w:t>říznivé</w:t>
            </w:r>
            <w:r>
              <w:rPr>
                <w:color w:val="0D0D0D" w:themeColor="text1" w:themeTint="F2"/>
                <w:spacing w:val="-4"/>
              </w:rPr>
              <w:t xml:space="preserve"> je, že počet dlouhodobě nezaměstnaných se ve 2. pololetí 2022 meziročně snižoval. Ve 4. čtvrtletí dle údajů VŠPS mírně přesáhl 30 tis. a tvořil pouze čtvrtinu všech nezaměstnaných (</w:t>
            </w:r>
            <w:r>
              <w:rPr>
                <w:color w:val="1D1B11" w:themeColor="background2" w:themeShade="1A"/>
                <w:spacing w:val="-4"/>
              </w:rPr>
              <w:t xml:space="preserve">obdobný podíl jako v posledním „předpandemickém“ roce). To souvisí se stále vysokou zásobou volných pracovních míst a dokládá, že významná část tuzemské nezaměstnanosti má stále frikční charakter. Obavy lidí z růstu nezaměstnanosti se po většinu loňského roku zvyšovaly, což souviselo s jejich negativním vnímáním celkové </w:t>
            </w:r>
            <w:r>
              <w:rPr>
                <w:color w:val="0D0D0D" w:themeColor="text1" w:themeTint="F2"/>
                <w:spacing w:val="-4"/>
              </w:rPr>
              <w:t>hospodářské situace v ČR i s horším očekáváním vlastní finanční situace domácnosti. Obavy z nezaměstnanosti ale zatím plně nedosáhly intenzity z období z vrcholu pandemie ani např. z období recese v roce 2012 až 2013. Navíc počátek roku 2023 přinesl náznak mírného snížení obav domácností.</w:t>
            </w:r>
          </w:p>
        </w:tc>
      </w:tr>
      <w:tr w:rsidR="001C3855" w:rsidRPr="003C66DA" w14:paraId="0E9363C5" w14:textId="77777777" w:rsidTr="52944939">
        <w:trPr>
          <w:trHeight w:val="145"/>
        </w:trPr>
        <w:tc>
          <w:tcPr>
            <w:tcW w:w="1814" w:type="dxa"/>
            <w:shd w:val="clear" w:color="auto" w:fill="auto"/>
            <w:tcMar>
              <w:left w:w="0" w:type="dxa"/>
            </w:tcMar>
          </w:tcPr>
          <w:p w14:paraId="4AD3E968" w14:textId="77777777" w:rsidR="001C3855" w:rsidRDefault="001C3855" w:rsidP="00C8019E">
            <w:pPr>
              <w:pStyle w:val="Marginlie"/>
              <w:rPr>
                <w:color w:val="0D0D0D" w:themeColor="text1" w:themeTint="F2"/>
                <w:spacing w:val="-5"/>
              </w:rPr>
            </w:pPr>
            <w:r>
              <w:rPr>
                <w:color w:val="0D0D0D" w:themeColor="text1" w:themeTint="F2"/>
                <w:spacing w:val="-5"/>
              </w:rPr>
              <w:t xml:space="preserve">Nabídka volných míst na ÚP loni od jara setrvale klesala a letos v lednu byla </w:t>
            </w:r>
            <w:proofErr w:type="gramStart"/>
            <w:r>
              <w:rPr>
                <w:color w:val="0D0D0D" w:themeColor="text1" w:themeTint="F2"/>
                <w:spacing w:val="-5"/>
              </w:rPr>
              <w:t>nižší</w:t>
            </w:r>
            <w:proofErr w:type="gramEnd"/>
            <w:r>
              <w:rPr>
                <w:color w:val="0D0D0D" w:themeColor="text1" w:themeTint="F2"/>
                <w:spacing w:val="-5"/>
              </w:rPr>
              <w:t xml:space="preserve"> než počet uchazečů o práci.</w:t>
            </w:r>
          </w:p>
          <w:p w14:paraId="3EAE0B54" w14:textId="77777777" w:rsidR="001C3855" w:rsidRDefault="001C3855" w:rsidP="00C8019E">
            <w:pPr>
              <w:pStyle w:val="Marginlie"/>
              <w:rPr>
                <w:color w:val="0D0D0D" w:themeColor="text1" w:themeTint="F2"/>
                <w:spacing w:val="-5"/>
              </w:rPr>
            </w:pPr>
            <w:r>
              <w:rPr>
                <w:color w:val="0D0D0D" w:themeColor="text1" w:themeTint="F2"/>
                <w:spacing w:val="-5"/>
              </w:rPr>
              <w:lastRenderedPageBreak/>
              <w:t>Úbytek míst byl plošný, relativně nejvíce se omezila nabídka pro osoby s minimální kvalifikací.</w:t>
            </w:r>
          </w:p>
          <w:p w14:paraId="35F57979" w14:textId="77777777" w:rsidR="001C3855" w:rsidRDefault="001C3855" w:rsidP="00C8019E">
            <w:pPr>
              <w:pStyle w:val="Marginlie"/>
              <w:rPr>
                <w:color w:val="0D0D0D" w:themeColor="text1" w:themeTint="F2"/>
                <w:spacing w:val="-5"/>
              </w:rPr>
            </w:pPr>
          </w:p>
          <w:p w14:paraId="2541D646" w14:textId="77777777" w:rsidR="001C3855" w:rsidRDefault="001C3855" w:rsidP="00C8019E">
            <w:pPr>
              <w:pStyle w:val="Marginlie"/>
              <w:rPr>
                <w:color w:val="0D0D0D" w:themeColor="text1" w:themeTint="F2"/>
                <w:spacing w:val="-5"/>
              </w:rPr>
            </w:pPr>
          </w:p>
          <w:p w14:paraId="69C6018F" w14:textId="77777777" w:rsidR="001C3855" w:rsidRDefault="001C3855" w:rsidP="00C8019E">
            <w:pPr>
              <w:pStyle w:val="Marginlie"/>
              <w:rPr>
                <w:color w:val="0D0D0D" w:themeColor="text1" w:themeTint="F2"/>
                <w:spacing w:val="-5"/>
              </w:rPr>
            </w:pPr>
          </w:p>
          <w:p w14:paraId="6C36CBC0" w14:textId="77777777" w:rsidR="001C3855" w:rsidRDefault="001C3855" w:rsidP="00C8019E">
            <w:pPr>
              <w:pStyle w:val="Marginlie"/>
              <w:rPr>
                <w:color w:val="0D0D0D" w:themeColor="text1" w:themeTint="F2"/>
                <w:spacing w:val="-5"/>
              </w:rPr>
            </w:pPr>
          </w:p>
          <w:p w14:paraId="0D3367CF" w14:textId="77777777" w:rsidR="001C3855" w:rsidRDefault="001C3855" w:rsidP="00C8019E">
            <w:pPr>
              <w:pStyle w:val="Marginlie"/>
              <w:rPr>
                <w:color w:val="0D0D0D" w:themeColor="text1" w:themeTint="F2"/>
                <w:spacing w:val="-5"/>
              </w:rPr>
            </w:pPr>
          </w:p>
          <w:p w14:paraId="082228C6" w14:textId="77777777" w:rsidR="001C3855" w:rsidRPr="003F5B27" w:rsidRDefault="001C3855" w:rsidP="00C8019E">
            <w:pPr>
              <w:pStyle w:val="Marginlie"/>
              <w:rPr>
                <w:color w:val="0D0D0D" w:themeColor="text1" w:themeTint="F2"/>
                <w:spacing w:val="-5"/>
              </w:rPr>
            </w:pPr>
            <w:r>
              <w:rPr>
                <w:color w:val="0D0D0D" w:themeColor="text1" w:themeTint="F2"/>
                <w:spacing w:val="-5"/>
              </w:rPr>
              <w:t>Převis nabídky míst nad počty uchazečů o práci registrovala letos v lednu třetina okresů ČR.</w:t>
            </w:r>
          </w:p>
        </w:tc>
        <w:tc>
          <w:tcPr>
            <w:tcW w:w="213" w:type="dxa"/>
            <w:shd w:val="clear" w:color="auto" w:fill="auto"/>
            <w:tcMar>
              <w:left w:w="0" w:type="dxa"/>
            </w:tcMar>
          </w:tcPr>
          <w:p w14:paraId="2182ECBA" w14:textId="77777777" w:rsidR="001C3855" w:rsidRPr="00EA508C" w:rsidRDefault="001C3855" w:rsidP="00C8019E">
            <w:pPr>
              <w:pStyle w:val="Textpoznpodarou"/>
              <w:spacing w:after="120"/>
              <w:jc w:val="both"/>
              <w:rPr>
                <w:color w:val="0D0D0D" w:themeColor="text1" w:themeTint="F2"/>
                <w:spacing w:val="-4"/>
              </w:rPr>
            </w:pPr>
          </w:p>
        </w:tc>
        <w:tc>
          <w:tcPr>
            <w:tcW w:w="7759" w:type="dxa"/>
            <w:shd w:val="clear" w:color="auto" w:fill="auto"/>
            <w:tcMar>
              <w:left w:w="0" w:type="dxa"/>
            </w:tcMar>
          </w:tcPr>
          <w:p w14:paraId="36C06946" w14:textId="77777777" w:rsidR="001C3855" w:rsidRPr="003C66DA" w:rsidRDefault="001C3855" w:rsidP="00C8019E">
            <w:pPr>
              <w:spacing w:after="200"/>
              <w:rPr>
                <w:color w:val="0D0D0D" w:themeColor="text1" w:themeTint="F2"/>
                <w:spacing w:val="-4"/>
              </w:rPr>
            </w:pPr>
            <w:r>
              <w:rPr>
                <w:color w:val="0D0D0D" w:themeColor="text1" w:themeTint="F2"/>
                <w:spacing w:val="-4"/>
              </w:rPr>
              <w:t xml:space="preserve">Jestliže v roce </w:t>
            </w:r>
            <w:r w:rsidRPr="009058E1">
              <w:rPr>
                <w:color w:val="0D0D0D" w:themeColor="text1" w:themeTint="F2"/>
                <w:spacing w:val="-4"/>
              </w:rPr>
              <w:t>2021 vykazoval počet voln</w:t>
            </w:r>
            <w:r>
              <w:rPr>
                <w:color w:val="0D0D0D" w:themeColor="text1" w:themeTint="F2"/>
                <w:spacing w:val="-4"/>
              </w:rPr>
              <w:t>ých pracovních míst nabízených ÚP</w:t>
            </w:r>
            <w:r w:rsidRPr="009058E1">
              <w:rPr>
                <w:color w:val="0D0D0D" w:themeColor="text1" w:themeTint="F2"/>
                <w:spacing w:val="-4"/>
              </w:rPr>
              <w:t xml:space="preserve"> typický sezónní průběh</w:t>
            </w:r>
            <w:r w:rsidRPr="00303304">
              <w:rPr>
                <w:color w:val="0D0D0D" w:themeColor="text1" w:themeTint="F2"/>
                <w:spacing w:val="-4"/>
              </w:rPr>
              <w:t xml:space="preserve">, </w:t>
            </w:r>
            <w:r>
              <w:rPr>
                <w:color w:val="0D0D0D" w:themeColor="text1" w:themeTint="F2"/>
                <w:spacing w:val="-4"/>
              </w:rPr>
              <w:t>loni i v době vrcholících sezónních prací se celková nabídka míst snižovala. Počet míst meziměsíčně klesal nepřetržitě od března (z 360 tis.) do prosince (na 289 tis.)</w:t>
            </w:r>
            <w:r>
              <w:rPr>
                <w:rStyle w:val="Znakapoznpodarou"/>
                <w:color w:val="0D0D0D" w:themeColor="text1" w:themeTint="F2"/>
                <w:spacing w:val="-4"/>
              </w:rPr>
              <w:footnoteReference w:id="74"/>
            </w:r>
            <w:r>
              <w:rPr>
                <w:color w:val="0D0D0D" w:themeColor="text1" w:themeTint="F2"/>
                <w:spacing w:val="-4"/>
              </w:rPr>
              <w:t xml:space="preserve">. Tento trend stvrdil i letošní leden, kdy se nabídka míst (281 tis.) zredukovala na takřka pětileté </w:t>
            </w:r>
            <w:r>
              <w:rPr>
                <w:color w:val="0D0D0D" w:themeColor="text1" w:themeTint="F2"/>
                <w:spacing w:val="-4"/>
              </w:rPr>
              <w:lastRenderedPageBreak/>
              <w:t>minimum a poprvé od dubna 2018 byla nižší než počet všech uchazečů o zaměstnání (283 tis.). Projevoval se zde dopad cyklického útlumu ekonomiky, kdy podniky začaly tvorbu nových pracovních míst omezovat a současně častěji přistupovaly k propouštění pracovníků (byť dosud zpravidla ne hromadnému). Relativně nejvíce ubylo meziročně volných míst vyžadujících minimální kvalifikaci (</w:t>
            </w:r>
            <w:r w:rsidRPr="00943FBB">
              <w:rPr>
                <w:color w:val="0D0D0D" w:themeColor="text1" w:themeTint="F2"/>
                <w:spacing w:val="-4"/>
              </w:rPr>
              <w:t>maximálně základní vzdělání), oproti lednu 2022 o 23 % (na 202 tis.).</w:t>
            </w:r>
            <w:r>
              <w:rPr>
                <w:color w:val="0D0D0D" w:themeColor="text1" w:themeTint="F2"/>
                <w:spacing w:val="-4"/>
              </w:rPr>
              <w:t xml:space="preserve"> Lze předpokládat, že část méně kvalifikovaných míst mohli obsadit uprchlíci z Ukrajiny</w:t>
            </w:r>
            <w:r>
              <w:t>.</w:t>
            </w:r>
            <w:r>
              <w:rPr>
                <w:color w:val="0D0D0D" w:themeColor="text1" w:themeTint="F2"/>
                <w:spacing w:val="-4"/>
              </w:rPr>
              <w:t xml:space="preserve"> Také nabídka míst pro středoškoláky bez maturity se snížila, a to o 13,9 % (na 43 tis.), pro osoby s vyšším vzděláním pak o 8,5 % (na 37 tis.). Převis veškeré nabídky volných míst nad počtem registrovaných uchazečů o práci nastal v říjnu v pěti krajích ČR a ve třetině okresů (kromě Prahy zpravidla ve středních, jihozápadních a východních Čechách). Naopak ve všech okresech Ústeckého, Libereckého, Olomouckého i Moravskoslezského kraje již letos na konci ledna nabídka míst na ÚP nemohla poptávku ze strany uchazečů o práci ani teoreticky (bez ohledu na kvalifikační nároky) plně pokrýt. Tradičně nejhorší situace panovala na Karvinsku (s 12 uchazeči na jedno místo), kde navíc výraznějšímu zhoršení zabránilo rozhodnutí o prodloužení těžby uhlí. </w:t>
            </w:r>
          </w:p>
        </w:tc>
      </w:tr>
      <w:tr w:rsidR="001C3855" w:rsidRPr="009C410C" w14:paraId="09696C5F" w14:textId="77777777" w:rsidTr="52944939">
        <w:trPr>
          <w:trHeight w:val="155"/>
        </w:trPr>
        <w:tc>
          <w:tcPr>
            <w:tcW w:w="1814" w:type="dxa"/>
            <w:vMerge w:val="restart"/>
            <w:shd w:val="clear" w:color="auto" w:fill="auto"/>
            <w:tcMar>
              <w:left w:w="0" w:type="dxa"/>
            </w:tcMar>
          </w:tcPr>
          <w:p w14:paraId="47673F07" w14:textId="77777777" w:rsidR="001C3855" w:rsidRPr="00B43216" w:rsidRDefault="001C3855" w:rsidP="00C8019E">
            <w:pPr>
              <w:pStyle w:val="Marginlie"/>
              <w:spacing w:after="120"/>
              <w:rPr>
                <w:spacing w:val="-4"/>
              </w:rPr>
            </w:pPr>
          </w:p>
        </w:tc>
        <w:tc>
          <w:tcPr>
            <w:tcW w:w="213" w:type="dxa"/>
            <w:vMerge w:val="restart"/>
            <w:shd w:val="clear" w:color="auto" w:fill="auto"/>
            <w:tcMar>
              <w:left w:w="0" w:type="dxa"/>
            </w:tcMar>
          </w:tcPr>
          <w:p w14:paraId="5EE9CDCD" w14:textId="77777777" w:rsidR="001C3855" w:rsidRPr="00B43216" w:rsidRDefault="001C3855" w:rsidP="00C8019E">
            <w:pPr>
              <w:pStyle w:val="Textpoznpodarou"/>
              <w:spacing w:after="120"/>
              <w:jc w:val="both"/>
              <w:rPr>
                <w:spacing w:val="-4"/>
              </w:rPr>
            </w:pPr>
          </w:p>
        </w:tc>
        <w:tc>
          <w:tcPr>
            <w:tcW w:w="7759" w:type="dxa"/>
            <w:shd w:val="clear" w:color="auto" w:fill="auto"/>
            <w:tcMar>
              <w:left w:w="0" w:type="dxa"/>
            </w:tcMar>
          </w:tcPr>
          <w:p w14:paraId="4A891EA5" w14:textId="4F2D51C9" w:rsidR="001C3855" w:rsidRPr="009C410C" w:rsidRDefault="008F525A" w:rsidP="00C8019E">
            <w:pPr>
              <w:spacing w:after="0"/>
              <w:rPr>
                <w:b/>
                <w:spacing w:val="-4"/>
              </w:rPr>
            </w:pPr>
            <w:r>
              <w:rPr>
                <w:b/>
                <w:spacing w:val="-4"/>
              </w:rPr>
              <w:t>Graf č. 15</w:t>
            </w:r>
            <w:r w:rsidR="001C3855" w:rsidRPr="009C410C">
              <w:rPr>
                <w:b/>
                <w:spacing w:val="-4"/>
              </w:rPr>
              <w:t xml:space="preserve"> </w:t>
            </w:r>
            <w:r w:rsidR="001C3855" w:rsidRPr="009C410C">
              <w:rPr>
                <w:rFonts w:cs="Arial"/>
                <w:b/>
                <w:spacing w:val="-4"/>
              </w:rPr>
              <w:t xml:space="preserve">Obecná míra nezaměstnanosti </w:t>
            </w:r>
            <w:r w:rsidR="001C3855" w:rsidRPr="009C410C">
              <w:rPr>
                <w:rFonts w:cs="Arial"/>
                <w:bCs/>
                <w:spacing w:val="-4"/>
              </w:rPr>
              <w:t>(v %</w:t>
            </w:r>
            <w:r w:rsidR="001C3855">
              <w:rPr>
                <w:rFonts w:cs="Arial"/>
                <w:bCs/>
                <w:spacing w:val="-4"/>
              </w:rPr>
              <w:t>, věk 15 až 64 let</w:t>
            </w:r>
            <w:r w:rsidR="001C3855" w:rsidRPr="009C410C">
              <w:rPr>
                <w:rFonts w:cs="Arial"/>
                <w:bCs/>
                <w:spacing w:val="-4"/>
              </w:rPr>
              <w:t>)</w:t>
            </w:r>
            <w:r w:rsidR="001C3855" w:rsidRPr="009C410C">
              <w:rPr>
                <w:rFonts w:cs="Arial"/>
                <w:b/>
                <w:spacing w:val="-4"/>
              </w:rPr>
              <w:t xml:space="preserve">, </w:t>
            </w:r>
            <w:r w:rsidR="001C3855">
              <w:rPr>
                <w:rFonts w:cs="Arial"/>
                <w:b/>
                <w:spacing w:val="-4"/>
              </w:rPr>
              <w:t>míra ekonomické aktivity</w:t>
            </w:r>
            <w:r w:rsidR="001C3855">
              <w:rPr>
                <w:rFonts w:cs="Arial"/>
                <w:bCs/>
                <w:spacing w:val="-4"/>
              </w:rPr>
              <w:t xml:space="preserve"> (v %, věk 15 až 64 let)</w:t>
            </w:r>
            <w:r w:rsidR="001C3855" w:rsidRPr="009C410C">
              <w:rPr>
                <w:rFonts w:cs="Arial"/>
                <w:b/>
                <w:spacing w:val="-4"/>
              </w:rPr>
              <w:t xml:space="preserve">, ekonomicky neaktivní chtějící pracovat </w:t>
            </w:r>
            <w:r w:rsidR="001C3855" w:rsidRPr="009C410C">
              <w:rPr>
                <w:rFonts w:cs="Arial"/>
                <w:bCs/>
                <w:spacing w:val="-4"/>
              </w:rPr>
              <w:t>(v tis.</w:t>
            </w:r>
            <w:r w:rsidR="001C3855">
              <w:rPr>
                <w:rFonts w:cs="Arial"/>
                <w:bCs/>
                <w:spacing w:val="-4"/>
              </w:rPr>
              <w:t xml:space="preserve"> </w:t>
            </w:r>
            <w:proofErr w:type="gramStart"/>
            <w:r w:rsidR="001C3855">
              <w:rPr>
                <w:rFonts w:cs="Arial"/>
                <w:bCs/>
                <w:spacing w:val="-4"/>
              </w:rPr>
              <w:t>osob</w:t>
            </w:r>
            <w:r w:rsidR="001C3855" w:rsidRPr="009C410C">
              <w:rPr>
                <w:rFonts w:cs="Arial"/>
                <w:bCs/>
                <w:spacing w:val="-4"/>
              </w:rPr>
              <w:t>)*</w:t>
            </w:r>
            <w:proofErr w:type="gramEnd"/>
            <w:r w:rsidR="001C3855" w:rsidRPr="00D94F3D">
              <w:rPr>
                <w:rFonts w:cs="Arial"/>
                <w:b/>
                <w:bCs/>
                <w:spacing w:val="-4"/>
              </w:rPr>
              <w:t xml:space="preserve">, volná pracovní místa </w:t>
            </w:r>
            <w:r w:rsidR="001C3855">
              <w:rPr>
                <w:rFonts w:cs="Arial"/>
                <w:bCs/>
                <w:spacing w:val="-4"/>
              </w:rPr>
              <w:t xml:space="preserve">(v tis.) </w:t>
            </w:r>
            <w:r w:rsidR="001C3855" w:rsidRPr="00D94F3D">
              <w:rPr>
                <w:rFonts w:cs="Arial"/>
                <w:b/>
                <w:bCs/>
                <w:spacing w:val="-4"/>
              </w:rPr>
              <w:t>a</w:t>
            </w:r>
            <w:r w:rsidR="001C3855" w:rsidRPr="009C410C">
              <w:rPr>
                <w:rFonts w:cs="Arial"/>
                <w:bCs/>
                <w:spacing w:val="-4"/>
              </w:rPr>
              <w:t xml:space="preserve"> </w:t>
            </w:r>
            <w:r w:rsidR="001C3855">
              <w:rPr>
                <w:rFonts w:cs="Arial"/>
                <w:b/>
                <w:bCs/>
                <w:spacing w:val="-4"/>
              </w:rPr>
              <w:t>očekávání nezaměstnanosti od domácností</w:t>
            </w:r>
            <w:r w:rsidR="001C3855" w:rsidRPr="009C410C">
              <w:rPr>
                <w:rFonts w:cs="Arial"/>
                <w:bCs/>
                <w:spacing w:val="-4"/>
              </w:rPr>
              <w:t xml:space="preserve"> (v p. b.)**</w:t>
            </w:r>
          </w:p>
        </w:tc>
      </w:tr>
      <w:tr w:rsidR="001C3855" w:rsidRPr="00B43216" w14:paraId="79F99BED" w14:textId="77777777" w:rsidTr="52944939">
        <w:tblPrEx>
          <w:tblCellMar>
            <w:left w:w="70" w:type="dxa"/>
            <w:right w:w="70" w:type="dxa"/>
          </w:tblCellMar>
        </w:tblPrEx>
        <w:trPr>
          <w:trHeight w:val="155"/>
        </w:trPr>
        <w:tc>
          <w:tcPr>
            <w:tcW w:w="1814" w:type="dxa"/>
            <w:vMerge/>
          </w:tcPr>
          <w:p w14:paraId="2C6F367B" w14:textId="77777777" w:rsidR="001C3855" w:rsidRPr="00B43216" w:rsidRDefault="001C3855" w:rsidP="00C8019E">
            <w:pPr>
              <w:pStyle w:val="Marginlie"/>
              <w:spacing w:after="120"/>
              <w:rPr>
                <w:spacing w:val="-4"/>
              </w:rPr>
            </w:pPr>
          </w:p>
        </w:tc>
        <w:tc>
          <w:tcPr>
            <w:tcW w:w="213" w:type="dxa"/>
            <w:vMerge/>
          </w:tcPr>
          <w:p w14:paraId="4189C87A" w14:textId="77777777" w:rsidR="001C3855" w:rsidRPr="00B43216" w:rsidRDefault="001C3855" w:rsidP="00C8019E">
            <w:pPr>
              <w:pStyle w:val="Textpoznpodarou"/>
              <w:spacing w:after="120"/>
              <w:jc w:val="both"/>
              <w:rPr>
                <w:spacing w:val="-4"/>
              </w:rPr>
            </w:pPr>
          </w:p>
        </w:tc>
        <w:tc>
          <w:tcPr>
            <w:tcW w:w="7759" w:type="dxa"/>
            <w:shd w:val="clear" w:color="auto" w:fill="auto"/>
          </w:tcPr>
          <w:p w14:paraId="5DDCC836" w14:textId="77777777" w:rsidR="001C3855" w:rsidRPr="00B43216" w:rsidRDefault="001C3855" w:rsidP="00C8019E">
            <w:pPr>
              <w:spacing w:after="0"/>
            </w:pPr>
            <w:r>
              <w:rPr>
                <w:noProof/>
              </w:rPr>
              <w:drawing>
                <wp:inline distT="0" distB="0" distL="0" distR="0" wp14:anchorId="3461C92A" wp14:editId="266F18A4">
                  <wp:extent cx="4691380" cy="339915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C3855" w:rsidRPr="00485ED5" w14:paraId="555143BE" w14:textId="77777777" w:rsidTr="52944939">
        <w:trPr>
          <w:trHeight w:val="132"/>
        </w:trPr>
        <w:tc>
          <w:tcPr>
            <w:tcW w:w="1814" w:type="dxa"/>
            <w:vMerge/>
            <w:tcMar>
              <w:left w:w="0" w:type="dxa"/>
            </w:tcMar>
          </w:tcPr>
          <w:p w14:paraId="77DFCAE8" w14:textId="77777777" w:rsidR="001C3855" w:rsidRPr="00B43216" w:rsidRDefault="001C3855" w:rsidP="00C8019E">
            <w:pPr>
              <w:pStyle w:val="Marginlie"/>
              <w:rPr>
                <w:spacing w:val="-4"/>
              </w:rPr>
            </w:pPr>
          </w:p>
        </w:tc>
        <w:tc>
          <w:tcPr>
            <w:tcW w:w="213" w:type="dxa"/>
            <w:vMerge/>
            <w:tcMar>
              <w:left w:w="0" w:type="dxa"/>
            </w:tcMar>
          </w:tcPr>
          <w:p w14:paraId="5F781134" w14:textId="77777777" w:rsidR="001C3855" w:rsidRPr="00B43216" w:rsidRDefault="001C3855" w:rsidP="00C8019E">
            <w:pPr>
              <w:pStyle w:val="Textpoznpodarou"/>
              <w:jc w:val="both"/>
              <w:rPr>
                <w:spacing w:val="-4"/>
              </w:rPr>
            </w:pPr>
          </w:p>
        </w:tc>
        <w:tc>
          <w:tcPr>
            <w:tcW w:w="7759" w:type="dxa"/>
            <w:shd w:val="clear" w:color="auto" w:fill="auto"/>
            <w:tcMar>
              <w:left w:w="0" w:type="dxa"/>
            </w:tcMar>
          </w:tcPr>
          <w:p w14:paraId="1C38D986" w14:textId="77777777" w:rsidR="001C3855" w:rsidRPr="00D94F3D" w:rsidRDefault="001C3855" w:rsidP="00C8019E">
            <w:pPr>
              <w:spacing w:after="0" w:line="240" w:lineRule="auto"/>
              <w:rPr>
                <w:rFonts w:cs="Arial"/>
                <w:color w:val="0D0D0D" w:themeColor="text1" w:themeTint="F2"/>
                <w:spacing w:val="-4"/>
                <w:sz w:val="14"/>
                <w:szCs w:val="14"/>
              </w:rPr>
            </w:pPr>
            <w:r w:rsidRPr="00D94F3D">
              <w:rPr>
                <w:rFonts w:cs="Arial"/>
                <w:color w:val="0D0D0D" w:themeColor="text1" w:themeTint="F2"/>
                <w:spacing w:val="-4"/>
                <w:sz w:val="14"/>
                <w:szCs w:val="14"/>
              </w:rPr>
              <w:t xml:space="preserve">Pozn.: Údaje o mírách nezaměstnanosti i </w:t>
            </w:r>
            <w:proofErr w:type="spellStart"/>
            <w:r w:rsidRPr="00D94F3D">
              <w:rPr>
                <w:rFonts w:cs="Arial"/>
                <w:color w:val="0D0D0D" w:themeColor="text1" w:themeTint="F2"/>
                <w:spacing w:val="-4"/>
                <w:sz w:val="14"/>
                <w:szCs w:val="14"/>
              </w:rPr>
              <w:t>ekon</w:t>
            </w:r>
            <w:proofErr w:type="spellEnd"/>
            <w:r w:rsidRPr="00D94F3D">
              <w:rPr>
                <w:rFonts w:cs="Arial"/>
                <w:color w:val="0D0D0D" w:themeColor="text1" w:themeTint="F2"/>
                <w:spacing w:val="-4"/>
                <w:sz w:val="14"/>
                <w:szCs w:val="14"/>
              </w:rPr>
              <w:t>. aktivity jsou po sezónním očištění. VPM = volná pracovní místa (stav na konci čtvrtletí)</w:t>
            </w:r>
          </w:p>
          <w:p w14:paraId="4BFDB728" w14:textId="77777777" w:rsidR="001C3855" w:rsidRDefault="001C3855" w:rsidP="00C8019E">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5F684C53" w14:textId="77777777" w:rsidR="001C3855" w:rsidRDefault="001C3855" w:rsidP="00C8019E">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3F450157" w14:textId="77777777" w:rsidR="001C3855" w:rsidRPr="00485ED5" w:rsidRDefault="001C3855" w:rsidP="00C8019E">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 MPSV (volná pracovní místa registrovaná na úřadech práce v ČR)</w:t>
            </w:r>
          </w:p>
        </w:tc>
      </w:tr>
      <w:tr w:rsidR="001C3855" w:rsidRPr="00FA68D2" w14:paraId="5501AED2" w14:textId="77777777" w:rsidTr="52944939">
        <w:trPr>
          <w:trHeight w:val="132"/>
        </w:trPr>
        <w:tc>
          <w:tcPr>
            <w:tcW w:w="1814" w:type="dxa"/>
            <w:shd w:val="clear" w:color="auto" w:fill="auto"/>
            <w:tcMar>
              <w:left w:w="0" w:type="dxa"/>
            </w:tcMar>
          </w:tcPr>
          <w:p w14:paraId="29A0A166" w14:textId="77777777" w:rsidR="001C3855" w:rsidRDefault="001C3855" w:rsidP="00C8019E">
            <w:pPr>
              <w:pStyle w:val="Marginlie"/>
              <w:rPr>
                <w:spacing w:val="-4"/>
              </w:rPr>
            </w:pPr>
            <w:proofErr w:type="spellStart"/>
            <w:r>
              <w:rPr>
                <w:spacing w:val="-4"/>
              </w:rPr>
              <w:t>Mezikvartální</w:t>
            </w:r>
            <w:proofErr w:type="spellEnd"/>
            <w:r>
              <w:rPr>
                <w:spacing w:val="-4"/>
              </w:rPr>
              <w:t xml:space="preserve"> nominální růst průměrné mzdy během roku 2022 mírně zrychloval.</w:t>
            </w:r>
          </w:p>
          <w:p w14:paraId="125C8393" w14:textId="77777777" w:rsidR="001C3855" w:rsidRDefault="001C3855" w:rsidP="00C8019E">
            <w:pPr>
              <w:pStyle w:val="Marginlie"/>
              <w:rPr>
                <w:spacing w:val="-4"/>
              </w:rPr>
            </w:pPr>
          </w:p>
          <w:p w14:paraId="023056C1" w14:textId="77777777" w:rsidR="001C3855" w:rsidRDefault="001C3855" w:rsidP="00C8019E">
            <w:pPr>
              <w:pStyle w:val="Marginlie"/>
              <w:rPr>
                <w:spacing w:val="-4"/>
              </w:rPr>
            </w:pPr>
          </w:p>
          <w:p w14:paraId="137CCE02" w14:textId="77777777" w:rsidR="001C3855" w:rsidRDefault="001C3855" w:rsidP="00C8019E">
            <w:pPr>
              <w:pStyle w:val="Marginlie"/>
              <w:rPr>
                <w:spacing w:val="-4"/>
              </w:rPr>
            </w:pPr>
          </w:p>
          <w:p w14:paraId="35F7D66E" w14:textId="77777777" w:rsidR="001C3855" w:rsidRDefault="001C3855" w:rsidP="00C8019E">
            <w:pPr>
              <w:pStyle w:val="Marginlie"/>
              <w:rPr>
                <w:spacing w:val="-4"/>
              </w:rPr>
            </w:pPr>
          </w:p>
          <w:p w14:paraId="7FEA112D" w14:textId="77777777" w:rsidR="001C3855" w:rsidRDefault="001C3855" w:rsidP="00C8019E">
            <w:pPr>
              <w:pStyle w:val="Marginlie"/>
              <w:rPr>
                <w:spacing w:val="-4"/>
              </w:rPr>
            </w:pPr>
          </w:p>
          <w:p w14:paraId="51A1D5AC" w14:textId="77777777" w:rsidR="001C3855" w:rsidRDefault="001C3855" w:rsidP="00C8019E">
            <w:pPr>
              <w:pStyle w:val="Marginlie"/>
              <w:rPr>
                <w:spacing w:val="-4"/>
              </w:rPr>
            </w:pPr>
          </w:p>
          <w:p w14:paraId="488EF7BB" w14:textId="77777777" w:rsidR="001C3855" w:rsidRDefault="001C3855" w:rsidP="00C8019E">
            <w:pPr>
              <w:pStyle w:val="Marginlie"/>
              <w:rPr>
                <w:spacing w:val="-4"/>
              </w:rPr>
            </w:pPr>
            <w:r>
              <w:rPr>
                <w:spacing w:val="-4"/>
              </w:rPr>
              <w:t xml:space="preserve">Hluboký </w:t>
            </w:r>
            <w:r>
              <w:rPr>
                <w:color w:val="0D0D0D" w:themeColor="text1" w:themeTint="F2"/>
                <w:spacing w:val="-5"/>
              </w:rPr>
              <w:t xml:space="preserve">meziroční propad reálných mezd pokračoval páté čtvrtletí </w:t>
            </w:r>
            <w:r>
              <w:rPr>
                <w:color w:val="0D0D0D" w:themeColor="text1" w:themeTint="F2"/>
                <w:spacing w:val="-5"/>
              </w:rPr>
              <w:lastRenderedPageBreak/>
              <w:t>v řadě. Postihl všechna odvětví a regiony.</w:t>
            </w:r>
          </w:p>
          <w:p w14:paraId="2FC2AF61" w14:textId="77777777" w:rsidR="001C3855" w:rsidRPr="00B43216" w:rsidRDefault="001C3855" w:rsidP="00C8019E">
            <w:pPr>
              <w:pStyle w:val="Marginlie"/>
              <w:rPr>
                <w:spacing w:val="-4"/>
              </w:rPr>
            </w:pPr>
          </w:p>
        </w:tc>
        <w:tc>
          <w:tcPr>
            <w:tcW w:w="213" w:type="dxa"/>
            <w:shd w:val="clear" w:color="auto" w:fill="auto"/>
            <w:tcMar>
              <w:left w:w="0" w:type="dxa"/>
            </w:tcMar>
          </w:tcPr>
          <w:p w14:paraId="5ACEEC09" w14:textId="77777777" w:rsidR="001C3855" w:rsidRPr="00B43216" w:rsidRDefault="001C3855" w:rsidP="00C8019E">
            <w:pPr>
              <w:pStyle w:val="Textpoznpodarou"/>
              <w:jc w:val="both"/>
              <w:rPr>
                <w:spacing w:val="-4"/>
              </w:rPr>
            </w:pPr>
          </w:p>
        </w:tc>
        <w:tc>
          <w:tcPr>
            <w:tcW w:w="7759" w:type="dxa"/>
            <w:shd w:val="clear" w:color="auto" w:fill="auto"/>
            <w:tcMar>
              <w:left w:w="0" w:type="dxa"/>
            </w:tcMar>
          </w:tcPr>
          <w:p w14:paraId="4F420044" w14:textId="77777777" w:rsidR="001C3855" w:rsidRPr="00FA68D2" w:rsidRDefault="001C3855" w:rsidP="00C8019E">
            <w:pPr>
              <w:spacing w:after="0"/>
              <w:rPr>
                <w:spacing w:val="-4"/>
              </w:rPr>
            </w:pPr>
            <w:r w:rsidRPr="00FA68D2">
              <w:rPr>
                <w:color w:val="0D0D0D" w:themeColor="text1" w:themeTint="F2"/>
                <w:spacing w:val="-4"/>
              </w:rPr>
              <w:t xml:space="preserve">Průměrná hrubá měsíční nominální mzda (na zaměstnance, při zohlednění délky úvazku) vystoupala ve 4. čtvrtletí 2022 na 43 412 tis. korun a meziročně byla vyšší o 7,9 %. </w:t>
            </w:r>
            <w:r w:rsidRPr="00FA68D2">
              <w:rPr>
                <w:spacing w:val="-4"/>
              </w:rPr>
              <w:t xml:space="preserve">Mzda po očištění od sezónních vlivů se ve 4. čtvrtletí </w:t>
            </w:r>
            <w:r w:rsidRPr="00FA68D2">
              <w:rPr>
                <w:color w:val="0D0D0D" w:themeColor="text1" w:themeTint="F2"/>
                <w:spacing w:val="-4"/>
              </w:rPr>
              <w:t xml:space="preserve">mezikvartálně navýšila </w:t>
            </w:r>
            <w:r w:rsidRPr="00FA68D2">
              <w:rPr>
                <w:spacing w:val="-4"/>
              </w:rPr>
              <w:t>o 2,1 %, což v kontextu od počátku loňského roku značilo mírnou akceleraci. Ta ale nestačila zaměstnancům pokrýt prudce rostoucí životní náklady. Hluboký meziroční pokles průměrné reálné mzdy totiž pokračoval pátý kvartál v řadě, byť ve srovnání s rekordními bezmála 10% propady ve 2.</w:t>
            </w:r>
            <w:r>
              <w:rPr>
                <w:spacing w:val="-4"/>
              </w:rPr>
              <w:t> </w:t>
            </w:r>
            <w:proofErr w:type="gramStart"/>
            <w:r w:rsidRPr="00FA68D2">
              <w:rPr>
                <w:spacing w:val="-4"/>
              </w:rPr>
              <w:t>i</w:t>
            </w:r>
            <w:r>
              <w:rPr>
                <w:spacing w:val="-4"/>
              </w:rPr>
              <w:t> </w:t>
            </w:r>
            <w:r w:rsidRPr="00FA68D2">
              <w:rPr>
                <w:spacing w:val="-4"/>
              </w:rPr>
              <w:t xml:space="preserve"> 3.</w:t>
            </w:r>
            <w:proofErr w:type="gramEnd"/>
            <w:r>
              <w:rPr>
                <w:spacing w:val="-4"/>
              </w:rPr>
              <w:t> </w:t>
            </w:r>
            <w:r w:rsidRPr="00FA68D2">
              <w:rPr>
                <w:spacing w:val="-4"/>
              </w:rPr>
              <w:t xml:space="preserve">čtvrtletí 2022 na konci roku zvolnil (na </w:t>
            </w:r>
            <w:r>
              <w:rPr>
                <w:spacing w:val="-4"/>
              </w:rPr>
              <w:t>−</w:t>
            </w:r>
            <w:r w:rsidRPr="00FA68D2">
              <w:rPr>
                <w:spacing w:val="-4"/>
              </w:rPr>
              <w:t>6,7 %). Příčina tohoto zmírnění spočívala spíše než v oblasti výdělků v dočasném zpomalení cenového růstu spotřebitelů (vlivem zavedení úsporného energetického tarifu pro domácnosti). Bez ohledu na tento vliv poklesla ve 4.</w:t>
            </w:r>
            <w:r>
              <w:rPr>
                <w:spacing w:val="-4"/>
              </w:rPr>
              <w:t> </w:t>
            </w:r>
            <w:r w:rsidRPr="00FA68D2">
              <w:rPr>
                <w:spacing w:val="-4"/>
              </w:rPr>
              <w:t>čtvrtletí reálná mzda ve všech sledovaných odvětvových sekcích i ve všech hlavních průmyslových oborech, podobně jako napříč kraji ČR. Mzdový vývoj ve 4. čtvrtletí (shodně</w:t>
            </w:r>
            <w:r>
              <w:rPr>
                <w:spacing w:val="-4"/>
              </w:rPr>
              <w:t xml:space="preserve"> </w:t>
            </w:r>
            <w:r>
              <w:rPr>
                <w:spacing w:val="-4"/>
              </w:rPr>
              <w:lastRenderedPageBreak/>
              <w:t>jako po celý loňský rok</w:t>
            </w:r>
            <w:r w:rsidRPr="00FA68D2">
              <w:rPr>
                <w:spacing w:val="-4"/>
              </w:rPr>
              <w:t>) tak byl patrně rozhodujícím faktorem snížení celkové kupní síly tuzemských domácností</w:t>
            </w:r>
            <w:r w:rsidRPr="00FA68D2">
              <w:rPr>
                <w:rStyle w:val="Znakapoznpodarou"/>
                <w:spacing w:val="-4"/>
              </w:rPr>
              <w:footnoteReference w:id="75"/>
            </w:r>
            <w:r w:rsidRPr="00FA68D2">
              <w:rPr>
                <w:spacing w:val="-4"/>
              </w:rPr>
              <w:t>.</w:t>
            </w:r>
            <w:r>
              <w:rPr>
                <w:spacing w:val="-4"/>
              </w:rPr>
              <w:t xml:space="preserve"> Z</w:t>
            </w:r>
            <w:r w:rsidRPr="00FA68D2">
              <w:rPr>
                <w:spacing w:val="-4"/>
              </w:rPr>
              <w:t xml:space="preserve">a </w:t>
            </w:r>
            <w:r>
              <w:rPr>
                <w:spacing w:val="-4"/>
              </w:rPr>
              <w:t>rok 2022 se reálná mzda propadla</w:t>
            </w:r>
            <w:r w:rsidRPr="00FA68D2">
              <w:rPr>
                <w:spacing w:val="-4"/>
              </w:rPr>
              <w:t xml:space="preserve"> </w:t>
            </w:r>
            <w:r>
              <w:rPr>
                <w:spacing w:val="-4"/>
              </w:rPr>
              <w:t xml:space="preserve">o </w:t>
            </w:r>
            <w:r w:rsidRPr="00FA68D2">
              <w:rPr>
                <w:spacing w:val="-4"/>
              </w:rPr>
              <w:t>7,5 %, koupěschopnost průměrných zaměstnaneckých výdělků tak zhruba dosáhla úrovně roku 2018</w:t>
            </w:r>
            <w:r w:rsidRPr="00FA68D2">
              <w:rPr>
                <w:rStyle w:val="Znakapoznpodarou"/>
                <w:spacing w:val="-4"/>
              </w:rPr>
              <w:footnoteReference w:id="76"/>
            </w:r>
            <w:r w:rsidRPr="00FA68D2">
              <w:rPr>
                <w:spacing w:val="-4"/>
              </w:rPr>
              <w:t xml:space="preserve">. </w:t>
            </w:r>
          </w:p>
          <w:p w14:paraId="3211193B" w14:textId="77777777" w:rsidR="001C3855" w:rsidRPr="00FA68D2" w:rsidRDefault="001C3855" w:rsidP="00C8019E">
            <w:pPr>
              <w:spacing w:after="0" w:line="240" w:lineRule="auto"/>
              <w:rPr>
                <w:rFonts w:cs="Arial"/>
                <w:color w:val="0D0D0D" w:themeColor="text1" w:themeTint="F2"/>
                <w:spacing w:val="-4"/>
                <w:szCs w:val="20"/>
              </w:rPr>
            </w:pPr>
          </w:p>
        </w:tc>
      </w:tr>
      <w:tr w:rsidR="001C3855" w:rsidRPr="00D94F3D" w14:paraId="3F5FFC5F" w14:textId="77777777" w:rsidTr="52944939">
        <w:trPr>
          <w:trHeight w:val="132"/>
        </w:trPr>
        <w:tc>
          <w:tcPr>
            <w:tcW w:w="1814" w:type="dxa"/>
            <w:shd w:val="clear" w:color="auto" w:fill="auto"/>
            <w:tcMar>
              <w:left w:w="0" w:type="dxa"/>
            </w:tcMar>
          </w:tcPr>
          <w:p w14:paraId="3C9C8595" w14:textId="77777777" w:rsidR="001C3855" w:rsidRPr="00BC343C" w:rsidRDefault="001C3855" w:rsidP="00C8019E">
            <w:pPr>
              <w:pStyle w:val="Marginlie"/>
              <w:rPr>
                <w:spacing w:val="-6"/>
              </w:rPr>
            </w:pPr>
            <w:r w:rsidRPr="00BC343C">
              <w:rPr>
                <w:spacing w:val="-6"/>
              </w:rPr>
              <w:lastRenderedPageBreak/>
              <w:t>Za mzdovým růstem stála primárně tržní odvětví. Část z nich stále sužoval problém s nedostatkem pracovní síly.</w:t>
            </w:r>
          </w:p>
          <w:p w14:paraId="5BBD700E" w14:textId="77777777" w:rsidR="001C3855" w:rsidRDefault="001C3855" w:rsidP="00C8019E">
            <w:pPr>
              <w:pStyle w:val="Marginlie"/>
              <w:rPr>
                <w:spacing w:val="-4"/>
              </w:rPr>
            </w:pPr>
          </w:p>
          <w:p w14:paraId="0D80BB81" w14:textId="77777777" w:rsidR="001C3855" w:rsidRDefault="001C3855" w:rsidP="00C8019E">
            <w:pPr>
              <w:pStyle w:val="Marginlie"/>
              <w:rPr>
                <w:spacing w:val="-4"/>
              </w:rPr>
            </w:pPr>
          </w:p>
          <w:p w14:paraId="1EA6055A" w14:textId="77777777" w:rsidR="001C3855" w:rsidRDefault="001C3855" w:rsidP="00C8019E">
            <w:pPr>
              <w:pStyle w:val="Marginlie"/>
              <w:rPr>
                <w:spacing w:val="-4"/>
              </w:rPr>
            </w:pPr>
          </w:p>
          <w:p w14:paraId="62281E17" w14:textId="77777777" w:rsidR="001C3855" w:rsidRDefault="001C3855" w:rsidP="00C8019E">
            <w:pPr>
              <w:pStyle w:val="Marginlie"/>
              <w:rPr>
                <w:spacing w:val="-4"/>
              </w:rPr>
            </w:pPr>
            <w:r>
              <w:rPr>
                <w:spacing w:val="-4"/>
              </w:rPr>
              <w:t>V odvětvích s dominancí státu se projevoval vliv úsporných opatření.</w:t>
            </w:r>
          </w:p>
          <w:p w14:paraId="381754BD" w14:textId="77777777" w:rsidR="001C3855" w:rsidRPr="00B43216" w:rsidRDefault="001C3855" w:rsidP="00C8019E">
            <w:pPr>
              <w:pStyle w:val="Marginlie"/>
              <w:rPr>
                <w:spacing w:val="-4"/>
              </w:rPr>
            </w:pPr>
          </w:p>
        </w:tc>
        <w:tc>
          <w:tcPr>
            <w:tcW w:w="213" w:type="dxa"/>
            <w:shd w:val="clear" w:color="auto" w:fill="auto"/>
            <w:tcMar>
              <w:left w:w="0" w:type="dxa"/>
            </w:tcMar>
          </w:tcPr>
          <w:p w14:paraId="721A9E37" w14:textId="77777777" w:rsidR="001C3855" w:rsidRPr="00B43216" w:rsidRDefault="001C3855" w:rsidP="00C8019E">
            <w:pPr>
              <w:pStyle w:val="Textpoznpodarou"/>
              <w:jc w:val="both"/>
              <w:rPr>
                <w:spacing w:val="-4"/>
              </w:rPr>
            </w:pPr>
          </w:p>
        </w:tc>
        <w:tc>
          <w:tcPr>
            <w:tcW w:w="7759" w:type="dxa"/>
            <w:shd w:val="clear" w:color="auto" w:fill="auto"/>
            <w:tcMar>
              <w:left w:w="0" w:type="dxa"/>
            </w:tcMar>
          </w:tcPr>
          <w:p w14:paraId="02348FBB" w14:textId="77777777" w:rsidR="001C3855" w:rsidRPr="00554750" w:rsidRDefault="001C3855" w:rsidP="00C8019E">
            <w:pPr>
              <w:spacing w:after="0"/>
              <w:rPr>
                <w:rFonts w:cs="Arial"/>
                <w:color w:val="0D0D0D" w:themeColor="text1" w:themeTint="F2"/>
                <w:spacing w:val="-4"/>
                <w:szCs w:val="20"/>
              </w:rPr>
            </w:pPr>
            <w:r>
              <w:rPr>
                <w:rFonts w:cs="Arial"/>
                <w:color w:val="0D0D0D" w:themeColor="text1" w:themeTint="F2"/>
                <w:spacing w:val="-4"/>
                <w:szCs w:val="20"/>
              </w:rPr>
              <w:t xml:space="preserve">Mzdový růst byl po celý loňský rok podporován </w:t>
            </w:r>
            <w:r>
              <w:rPr>
                <w:spacing w:val="-5"/>
              </w:rPr>
              <w:t>pokračujícím</w:t>
            </w:r>
            <w:r w:rsidRPr="00D766A7">
              <w:rPr>
                <w:spacing w:val="-5"/>
              </w:rPr>
              <w:t xml:space="preserve"> napětí</w:t>
            </w:r>
            <w:r>
              <w:rPr>
                <w:spacing w:val="-5"/>
              </w:rPr>
              <w:t>m</w:t>
            </w:r>
            <w:r w:rsidRPr="00D766A7">
              <w:rPr>
                <w:spacing w:val="-5"/>
              </w:rPr>
              <w:t xml:space="preserve"> na pracovním trhu spojen</w:t>
            </w:r>
            <w:r>
              <w:rPr>
                <w:spacing w:val="-5"/>
              </w:rPr>
              <w:t>ým</w:t>
            </w:r>
            <w:r w:rsidRPr="00D766A7">
              <w:rPr>
                <w:spacing w:val="-5"/>
              </w:rPr>
              <w:t xml:space="preserve"> s přetrvávající nízkou nezaměstnaností, stále vysokým počtem volných míst </w:t>
            </w:r>
            <w:r>
              <w:rPr>
                <w:spacing w:val="-5"/>
              </w:rPr>
              <w:br/>
            </w:r>
            <w:r w:rsidRPr="00D766A7">
              <w:rPr>
                <w:spacing w:val="-5"/>
              </w:rPr>
              <w:t>i faktem,</w:t>
            </w:r>
            <w:r>
              <w:rPr>
                <w:spacing w:val="-5"/>
              </w:rPr>
              <w:t xml:space="preserve"> že nedostatek zaměstnanců významně</w:t>
            </w:r>
            <w:r w:rsidRPr="00D766A7">
              <w:rPr>
                <w:spacing w:val="-5"/>
              </w:rPr>
              <w:t xml:space="preserve"> limitoval produkci v některých odvětví</w:t>
            </w:r>
            <w:r>
              <w:rPr>
                <w:spacing w:val="-5"/>
              </w:rPr>
              <w:t>ch</w:t>
            </w:r>
            <w:r w:rsidRPr="00D766A7">
              <w:rPr>
                <w:spacing w:val="-5"/>
              </w:rPr>
              <w:t>. Hlavně v odvětvích s nízkou úrovní výdělků mělo dílčí dopad i</w:t>
            </w:r>
            <w:r w:rsidRPr="00D766A7">
              <w:rPr>
                <w:bCs/>
                <w:color w:val="0D0D0D" w:themeColor="text1" w:themeTint="F2"/>
                <w:spacing w:val="-5"/>
              </w:rPr>
              <w:t> </w:t>
            </w:r>
            <w:r w:rsidRPr="00D766A7">
              <w:rPr>
                <w:spacing w:val="-5"/>
              </w:rPr>
              <w:t>pokračující navyšování minimální mzdy. Naopak příchod ukrajinských uprchlíků úroveň průměrných mezd ani v těchto odvětvích zatím patrně významněji neovlivnil</w:t>
            </w:r>
            <w:r w:rsidRPr="00D766A7">
              <w:rPr>
                <w:rStyle w:val="Znakapoznpodarou"/>
                <w:spacing w:val="-5"/>
              </w:rPr>
              <w:footnoteReference w:id="77"/>
            </w:r>
            <w:r w:rsidRPr="00D766A7">
              <w:rPr>
                <w:spacing w:val="-5"/>
              </w:rPr>
              <w:t>.</w:t>
            </w:r>
            <w:r>
              <w:rPr>
                <w:spacing w:val="-5"/>
              </w:rPr>
              <w:t xml:space="preserve"> </w:t>
            </w:r>
            <w:r w:rsidRPr="00D766A7">
              <w:rPr>
                <w:spacing w:val="-5"/>
              </w:rPr>
              <w:t xml:space="preserve">Růst mezd v celé ekonomice </w:t>
            </w:r>
            <w:r w:rsidRPr="00D766A7">
              <w:rPr>
                <w:color w:val="0D0D0D" w:themeColor="text1" w:themeTint="F2"/>
                <w:spacing w:val="-5"/>
              </w:rPr>
              <w:t>byl</w:t>
            </w:r>
            <w:r>
              <w:rPr>
                <w:color w:val="0D0D0D" w:themeColor="text1" w:themeTint="F2"/>
                <w:spacing w:val="-5"/>
              </w:rPr>
              <w:t xml:space="preserve"> po většinu roku</w:t>
            </w:r>
            <w:r w:rsidRPr="00D766A7">
              <w:rPr>
                <w:color w:val="0D0D0D" w:themeColor="text1" w:themeTint="F2"/>
                <w:spacing w:val="-5"/>
              </w:rPr>
              <w:t xml:space="preserve"> </w:t>
            </w:r>
            <w:r w:rsidRPr="002B1DAD">
              <w:rPr>
                <w:color w:val="0D0D0D" w:themeColor="text1" w:themeTint="F2"/>
                <w:spacing w:val="-5"/>
              </w:rPr>
              <w:t xml:space="preserve">tlumen nastavením </w:t>
            </w:r>
            <w:r w:rsidRPr="00D766A7">
              <w:rPr>
                <w:spacing w:val="-5"/>
              </w:rPr>
              <w:t>platových tarifů v rozpočtové sféře (zmrazení či jen velmi mírný rů</w:t>
            </w:r>
            <w:r>
              <w:rPr>
                <w:spacing w:val="-5"/>
              </w:rPr>
              <w:t>st u většiny skupin zaměstnanců)</w:t>
            </w:r>
            <w:r>
              <w:rPr>
                <w:rStyle w:val="Znakapoznpodarou"/>
                <w:spacing w:val="-5"/>
              </w:rPr>
              <w:footnoteReference w:id="78"/>
            </w:r>
            <w:r>
              <w:rPr>
                <w:spacing w:val="-5"/>
              </w:rPr>
              <w:t xml:space="preserve">. </w:t>
            </w:r>
            <w:r w:rsidRPr="00D766A7">
              <w:rPr>
                <w:spacing w:val="-5"/>
              </w:rPr>
              <w:t>Vysoká inflační očekávání se zatím ve mzdové oblasti projevovala nejednoznačně. Vedla sice k rostoucímu tlaku zaměstnanců na svižnější mzdový růst, ten ovšem narážel na stále ob</w:t>
            </w:r>
            <w:r>
              <w:rPr>
                <w:spacing w:val="-5"/>
              </w:rPr>
              <w:t xml:space="preserve">tížnější situaci zaměstnavatelů (z důvodu rychlého </w:t>
            </w:r>
            <w:r w:rsidRPr="00D766A7">
              <w:rPr>
                <w:spacing w:val="-5"/>
              </w:rPr>
              <w:t>růst</w:t>
            </w:r>
            <w:r>
              <w:rPr>
                <w:spacing w:val="-5"/>
              </w:rPr>
              <w:t>u</w:t>
            </w:r>
            <w:r w:rsidRPr="00D766A7">
              <w:rPr>
                <w:spacing w:val="-5"/>
              </w:rPr>
              <w:t xml:space="preserve"> nemzdových výrobních nákladů</w:t>
            </w:r>
            <w:r>
              <w:rPr>
                <w:spacing w:val="-5"/>
              </w:rPr>
              <w:t>). Přesto n</w:t>
            </w:r>
            <w:r w:rsidRPr="00D766A7">
              <w:rPr>
                <w:spacing w:val="-5"/>
              </w:rPr>
              <w:t>ěkteré podniky s přízn</w:t>
            </w:r>
            <w:r>
              <w:rPr>
                <w:spacing w:val="-5"/>
              </w:rPr>
              <w:t>ivou hospodářskou situací zaměstnancům částečně kompenzovaly</w:t>
            </w:r>
            <w:r w:rsidRPr="00D766A7">
              <w:rPr>
                <w:spacing w:val="-5"/>
              </w:rPr>
              <w:t xml:space="preserve"> vysoký růst životních nákladů formou mimořádných odměn</w:t>
            </w:r>
            <w:r>
              <w:rPr>
                <w:spacing w:val="-5"/>
              </w:rPr>
              <w:t>, zejména na konci roku.</w:t>
            </w:r>
          </w:p>
          <w:p w14:paraId="357AB434" w14:textId="77777777" w:rsidR="001C3855" w:rsidRPr="00D94F3D" w:rsidRDefault="001C3855" w:rsidP="00C8019E">
            <w:pPr>
              <w:spacing w:after="0" w:line="240" w:lineRule="auto"/>
              <w:rPr>
                <w:rFonts w:cs="Arial"/>
                <w:color w:val="0D0D0D" w:themeColor="text1" w:themeTint="F2"/>
                <w:spacing w:val="-4"/>
                <w:sz w:val="14"/>
                <w:szCs w:val="14"/>
              </w:rPr>
            </w:pPr>
          </w:p>
        </w:tc>
      </w:tr>
      <w:tr w:rsidR="001C3855" w:rsidRPr="00D94F3D" w14:paraId="458A8228" w14:textId="77777777" w:rsidTr="52944939">
        <w:trPr>
          <w:trHeight w:val="132"/>
        </w:trPr>
        <w:tc>
          <w:tcPr>
            <w:tcW w:w="1814" w:type="dxa"/>
            <w:shd w:val="clear" w:color="auto" w:fill="auto"/>
            <w:tcMar>
              <w:left w:w="0" w:type="dxa"/>
            </w:tcMar>
          </w:tcPr>
          <w:p w14:paraId="60618BF2" w14:textId="77777777" w:rsidR="001C3855" w:rsidRDefault="001C3855" w:rsidP="00C8019E">
            <w:pPr>
              <w:pStyle w:val="Marginlie"/>
              <w:rPr>
                <w:spacing w:val="-4"/>
              </w:rPr>
            </w:pPr>
            <w:r>
              <w:rPr>
                <w:spacing w:val="-4"/>
              </w:rPr>
              <w:t>Mzdový růst ve 4. čtvrtletí byl mezi odvětvími různorodý. V řadě odvětví s dobrými hospodářskými výsledky byl posílen výplatou odměn.</w:t>
            </w:r>
          </w:p>
          <w:p w14:paraId="1942AF0A" w14:textId="77777777" w:rsidR="001C3855" w:rsidRDefault="001C3855" w:rsidP="00C8019E">
            <w:pPr>
              <w:pStyle w:val="Marginlie"/>
              <w:rPr>
                <w:spacing w:val="-4"/>
              </w:rPr>
            </w:pPr>
          </w:p>
          <w:p w14:paraId="2E41CA3B" w14:textId="77777777" w:rsidR="001C3855" w:rsidRDefault="001C3855" w:rsidP="00C8019E">
            <w:pPr>
              <w:pStyle w:val="Marginlie"/>
              <w:rPr>
                <w:spacing w:val="-4"/>
              </w:rPr>
            </w:pPr>
          </w:p>
          <w:p w14:paraId="2CF80ABB" w14:textId="77777777" w:rsidR="001C3855" w:rsidRDefault="001C3855" w:rsidP="00C8019E">
            <w:pPr>
              <w:pStyle w:val="Marginlie"/>
              <w:rPr>
                <w:spacing w:val="-4"/>
              </w:rPr>
            </w:pPr>
          </w:p>
          <w:p w14:paraId="42C084D8" w14:textId="77777777" w:rsidR="001C3855" w:rsidRDefault="001C3855" w:rsidP="00C8019E">
            <w:pPr>
              <w:pStyle w:val="Marginlie"/>
              <w:rPr>
                <w:spacing w:val="-4"/>
              </w:rPr>
            </w:pPr>
          </w:p>
          <w:p w14:paraId="6EB5354C" w14:textId="77777777" w:rsidR="001C3855" w:rsidRDefault="001C3855" w:rsidP="00C8019E">
            <w:pPr>
              <w:pStyle w:val="Marginlie"/>
              <w:rPr>
                <w:spacing w:val="-4"/>
              </w:rPr>
            </w:pPr>
          </w:p>
          <w:p w14:paraId="38CA94DA" w14:textId="77777777" w:rsidR="001C3855" w:rsidRDefault="001C3855" w:rsidP="00C8019E">
            <w:pPr>
              <w:pStyle w:val="Marginlie"/>
              <w:rPr>
                <w:spacing w:val="-4"/>
              </w:rPr>
            </w:pPr>
          </w:p>
          <w:p w14:paraId="4EBD4CEE" w14:textId="77777777" w:rsidR="001C3855" w:rsidRDefault="001C3855" w:rsidP="00C8019E">
            <w:pPr>
              <w:pStyle w:val="Marginlie"/>
              <w:rPr>
                <w:spacing w:val="-4"/>
              </w:rPr>
            </w:pPr>
          </w:p>
          <w:p w14:paraId="4F3D2937" w14:textId="77777777" w:rsidR="001C3855" w:rsidRDefault="001C3855" w:rsidP="00C8019E">
            <w:pPr>
              <w:pStyle w:val="Marginlie"/>
              <w:rPr>
                <w:spacing w:val="-4"/>
              </w:rPr>
            </w:pPr>
          </w:p>
          <w:p w14:paraId="78630C40" w14:textId="77777777" w:rsidR="001C3855" w:rsidRPr="00B43216" w:rsidRDefault="001C3855" w:rsidP="00C8019E">
            <w:pPr>
              <w:pStyle w:val="Marginlie"/>
              <w:rPr>
                <w:spacing w:val="-4"/>
              </w:rPr>
            </w:pPr>
            <w:r>
              <w:rPr>
                <w:spacing w:val="-4"/>
              </w:rPr>
              <w:t>V některých odvětvích s významnou rolí státu se ve výdělcích promítlo podzimní zvýšení platových tarifů.</w:t>
            </w:r>
          </w:p>
        </w:tc>
        <w:tc>
          <w:tcPr>
            <w:tcW w:w="213" w:type="dxa"/>
            <w:shd w:val="clear" w:color="auto" w:fill="auto"/>
            <w:tcMar>
              <w:left w:w="0" w:type="dxa"/>
            </w:tcMar>
          </w:tcPr>
          <w:p w14:paraId="0AD9FB53" w14:textId="77777777" w:rsidR="001C3855" w:rsidRPr="00B43216" w:rsidRDefault="001C3855" w:rsidP="00C8019E">
            <w:pPr>
              <w:pStyle w:val="Textpoznpodarou"/>
              <w:jc w:val="both"/>
              <w:rPr>
                <w:spacing w:val="-4"/>
              </w:rPr>
            </w:pPr>
          </w:p>
        </w:tc>
        <w:tc>
          <w:tcPr>
            <w:tcW w:w="7759" w:type="dxa"/>
            <w:shd w:val="clear" w:color="auto" w:fill="auto"/>
            <w:tcMar>
              <w:left w:w="0" w:type="dxa"/>
            </w:tcMar>
          </w:tcPr>
          <w:p w14:paraId="678B4D3B" w14:textId="77777777" w:rsidR="001C3855" w:rsidRPr="00554750" w:rsidRDefault="001C3855" w:rsidP="00C8019E">
            <w:pPr>
              <w:spacing w:after="0"/>
              <w:rPr>
                <w:rFonts w:cs="Arial"/>
                <w:color w:val="0D0D0D" w:themeColor="text1" w:themeTint="F2"/>
                <w:spacing w:val="-4"/>
                <w:szCs w:val="20"/>
              </w:rPr>
            </w:pPr>
            <w:r>
              <w:rPr>
                <w:rFonts w:cs="Arial"/>
                <w:color w:val="0D0D0D" w:themeColor="text1" w:themeTint="F2"/>
                <w:spacing w:val="-4"/>
                <w:szCs w:val="20"/>
              </w:rPr>
              <w:t xml:space="preserve">V </w:t>
            </w:r>
            <w:r w:rsidRPr="001C3855">
              <w:rPr>
                <w:rFonts w:cs="Arial"/>
                <w:color w:val="0D0D0D" w:themeColor="text1" w:themeTint="F2"/>
                <w:spacing w:val="-5"/>
                <w:szCs w:val="20"/>
              </w:rPr>
              <w:t>rámci odvětví vzrostly ve 4. čtvrtletí 2022 i díky příznivým hospodářským výsledkům meziročně průměrné měsíční mzdy nejvíce v energetice</w:t>
            </w:r>
            <w:r w:rsidRPr="001C3855">
              <w:rPr>
                <w:rStyle w:val="Znakapoznpodarou"/>
                <w:color w:val="0D0D0D" w:themeColor="text1" w:themeTint="F2"/>
                <w:spacing w:val="-5"/>
                <w:szCs w:val="20"/>
              </w:rPr>
              <w:footnoteReference w:id="79"/>
            </w:r>
            <w:r w:rsidRPr="001C3855">
              <w:rPr>
                <w:rFonts w:cs="Arial"/>
                <w:color w:val="0D0D0D" w:themeColor="text1" w:themeTint="F2"/>
                <w:spacing w:val="-5"/>
                <w:szCs w:val="20"/>
              </w:rPr>
              <w:t xml:space="preserve"> (+14,6 % nominálně), když jejich výše překonala úroveň celé ekonomiky o polovinu a výrazně se přiblížila výdělkové hladině v peněžnictví a pojišťovnictví (66,4 tis. korun). Ta se zvýšila také svižně (+10,3 %), podobně jako v informačních a komunikačních činnostech (+9,1 %), kde je mzdová úroveň v posledních letech mezi odvětvími vůbec nejvyšší. Nezvykle nadprůměrný mzdový růst vykázala ve 4. čtvrtletí (i po celý loňský rok) těžba a dobývání, v níž se patrně projevil dopad výrazné restrukturalizace z předchozích let (spojené s razantní redukcí zaměstnaností) i zlepšených hospodářských výsledků vlivem růstu poptávky po uhlí. O desetinu narostly meziročně výdělky i v administrativních a podpůrných činnostech či v odvětví zemědělství, lesnictví a rybářství. Na rozdíl od těžby jde však o odvětví s velmi nízkou mzdovou úrovní. Mzdový růst v ostatních tržních odvětvích se na konci loňského roku pohyboval kolem 9 %, což platilo i pro zpracovatelský průmysl. Mezi významnějšími zpracovatelskými obory vyčnívala výroba motorových vozidel, kde průměrné mzdy i díky výplatě odměn na konci roku vzrostly o 13,4 % – tedy skoro dvojnásobně než v energeticky náročné výrobě nekovových minerálních výrobků</w:t>
            </w:r>
            <w:r w:rsidRPr="001C3855">
              <w:rPr>
                <w:rStyle w:val="Znakapoznpodarou"/>
                <w:color w:val="0D0D0D" w:themeColor="text1" w:themeTint="F2"/>
                <w:spacing w:val="-5"/>
                <w:szCs w:val="20"/>
              </w:rPr>
              <w:footnoteReference w:id="80"/>
            </w:r>
            <w:r w:rsidRPr="001C3855">
              <w:rPr>
                <w:rFonts w:cs="Arial"/>
                <w:color w:val="0D0D0D" w:themeColor="text1" w:themeTint="F2"/>
                <w:spacing w:val="-5"/>
                <w:szCs w:val="20"/>
              </w:rPr>
              <w:t>. V odvětvích s významnou rolí vládního sektoru</w:t>
            </w:r>
            <w:r w:rsidRPr="001C3855">
              <w:rPr>
                <w:rStyle w:val="Znakapoznpodarou"/>
                <w:color w:val="0D0D0D" w:themeColor="text1" w:themeTint="F2"/>
                <w:spacing w:val="-5"/>
                <w:szCs w:val="20"/>
              </w:rPr>
              <w:footnoteReference w:id="81"/>
            </w:r>
            <w:r w:rsidRPr="001C3855">
              <w:rPr>
                <w:rFonts w:cs="Arial"/>
                <w:color w:val="0D0D0D" w:themeColor="text1" w:themeTint="F2"/>
                <w:spacing w:val="-5"/>
                <w:szCs w:val="20"/>
              </w:rPr>
              <w:t xml:space="preserve"> byla situace odlišná, a to z pohledu dynamiky zaměstnanosti i průměrných výdělků. Podzimní selektivní zvýšení platových tarifů se zčásti promítlo do 8% růstu mezd v odvětví veřejná správa, obrana a sociální zabezpečení, podobně tomu bylo i v oblasti kultury. Naopak ve vzdělávání se průměrná měsíční výše výdělků nepatrně snížila, přesto dosahovala 49 tis. korun.</w:t>
            </w:r>
            <w:r>
              <w:rPr>
                <w:rFonts w:cs="Arial"/>
                <w:color w:val="0D0D0D" w:themeColor="text1" w:themeTint="F2"/>
                <w:spacing w:val="-4"/>
                <w:szCs w:val="20"/>
              </w:rPr>
              <w:t xml:space="preserve"> </w:t>
            </w:r>
          </w:p>
          <w:p w14:paraId="661EC578" w14:textId="77777777" w:rsidR="001C3855" w:rsidRPr="00D94F3D" w:rsidRDefault="001C3855" w:rsidP="00C8019E">
            <w:pPr>
              <w:spacing w:after="0" w:line="240" w:lineRule="auto"/>
              <w:rPr>
                <w:rFonts w:cs="Arial"/>
                <w:color w:val="0D0D0D" w:themeColor="text1" w:themeTint="F2"/>
                <w:spacing w:val="-4"/>
                <w:sz w:val="14"/>
                <w:szCs w:val="14"/>
              </w:rPr>
            </w:pPr>
          </w:p>
        </w:tc>
      </w:tr>
      <w:tr w:rsidR="001C3855" w:rsidRPr="00D94F3D" w14:paraId="6803E07D" w14:textId="77777777" w:rsidTr="52944939">
        <w:trPr>
          <w:trHeight w:val="132"/>
        </w:trPr>
        <w:tc>
          <w:tcPr>
            <w:tcW w:w="1814" w:type="dxa"/>
            <w:shd w:val="clear" w:color="auto" w:fill="auto"/>
            <w:tcMar>
              <w:left w:w="0" w:type="dxa"/>
            </w:tcMar>
          </w:tcPr>
          <w:p w14:paraId="6DB01225" w14:textId="77777777" w:rsidR="001C3855" w:rsidRDefault="001C3855" w:rsidP="00C8019E">
            <w:pPr>
              <w:pStyle w:val="Marginlie"/>
              <w:rPr>
                <w:spacing w:val="-4"/>
              </w:rPr>
            </w:pPr>
            <w:r>
              <w:rPr>
                <w:spacing w:val="-4"/>
              </w:rPr>
              <w:t xml:space="preserve">Mzdová dynamika za celý loňský rok se mezi tržními odvětvími zásadně neodlišovala, </w:t>
            </w:r>
            <w:r>
              <w:rPr>
                <w:spacing w:val="-4"/>
              </w:rPr>
              <w:br/>
            </w:r>
            <w:r>
              <w:rPr>
                <w:spacing w:val="-4"/>
              </w:rPr>
              <w:lastRenderedPageBreak/>
              <w:t>a to přesto, že byla ovlivněna různorodým mixem faktorů.</w:t>
            </w:r>
          </w:p>
          <w:p w14:paraId="16B4F893" w14:textId="77777777" w:rsidR="001C3855" w:rsidRDefault="001C3855" w:rsidP="00C8019E">
            <w:pPr>
              <w:pStyle w:val="Marginlie"/>
              <w:rPr>
                <w:spacing w:val="-4"/>
              </w:rPr>
            </w:pPr>
          </w:p>
          <w:p w14:paraId="37B0DEDE" w14:textId="77777777" w:rsidR="001C3855" w:rsidRDefault="001C3855" w:rsidP="00C8019E">
            <w:pPr>
              <w:pStyle w:val="Marginlie"/>
              <w:rPr>
                <w:spacing w:val="-4"/>
              </w:rPr>
            </w:pPr>
          </w:p>
          <w:p w14:paraId="1762BEB9" w14:textId="77777777" w:rsidR="001C3855" w:rsidRDefault="001C3855" w:rsidP="00C8019E">
            <w:pPr>
              <w:pStyle w:val="Marginlie"/>
              <w:rPr>
                <w:spacing w:val="-4"/>
              </w:rPr>
            </w:pPr>
          </w:p>
          <w:p w14:paraId="423B6B0A" w14:textId="77777777" w:rsidR="001C3855" w:rsidRDefault="001C3855" w:rsidP="00C8019E">
            <w:pPr>
              <w:pStyle w:val="Marginlie"/>
              <w:rPr>
                <w:spacing w:val="-4"/>
              </w:rPr>
            </w:pPr>
          </w:p>
          <w:p w14:paraId="7C86426F" w14:textId="77777777" w:rsidR="001C3855" w:rsidRDefault="001C3855" w:rsidP="00C8019E">
            <w:pPr>
              <w:pStyle w:val="Marginlie"/>
              <w:rPr>
                <w:spacing w:val="-4"/>
              </w:rPr>
            </w:pPr>
          </w:p>
          <w:p w14:paraId="45AF9A6E" w14:textId="77777777" w:rsidR="001C3855" w:rsidRDefault="001C3855" w:rsidP="00C8019E">
            <w:pPr>
              <w:pStyle w:val="Marginlie"/>
              <w:rPr>
                <w:spacing w:val="-4"/>
              </w:rPr>
            </w:pPr>
            <w:r>
              <w:rPr>
                <w:spacing w:val="-4"/>
              </w:rPr>
              <w:t>Růst mezd ve vzdělávání se loni zmírnil na sedmileté minimum.</w:t>
            </w:r>
          </w:p>
          <w:p w14:paraId="7CC43C68" w14:textId="77777777" w:rsidR="001C3855" w:rsidRDefault="001C3855" w:rsidP="00C8019E">
            <w:pPr>
              <w:pStyle w:val="Marginlie"/>
              <w:rPr>
                <w:spacing w:val="-4"/>
              </w:rPr>
            </w:pPr>
          </w:p>
          <w:p w14:paraId="0F4E68CE" w14:textId="77777777" w:rsidR="001C3855" w:rsidRPr="00B43216" w:rsidRDefault="001C3855" w:rsidP="00C8019E">
            <w:pPr>
              <w:pStyle w:val="Marginlie"/>
              <w:rPr>
                <w:spacing w:val="-4"/>
              </w:rPr>
            </w:pPr>
            <w:r>
              <w:rPr>
                <w:spacing w:val="-4"/>
              </w:rPr>
              <w:t xml:space="preserve"> </w:t>
            </w:r>
          </w:p>
        </w:tc>
        <w:tc>
          <w:tcPr>
            <w:tcW w:w="213" w:type="dxa"/>
            <w:shd w:val="clear" w:color="auto" w:fill="auto"/>
            <w:tcMar>
              <w:left w:w="0" w:type="dxa"/>
            </w:tcMar>
          </w:tcPr>
          <w:p w14:paraId="4E176699" w14:textId="77777777" w:rsidR="001C3855" w:rsidRPr="00B43216" w:rsidRDefault="001C3855" w:rsidP="00C8019E">
            <w:pPr>
              <w:pStyle w:val="Textpoznpodarou"/>
              <w:jc w:val="both"/>
              <w:rPr>
                <w:spacing w:val="-4"/>
              </w:rPr>
            </w:pPr>
          </w:p>
        </w:tc>
        <w:tc>
          <w:tcPr>
            <w:tcW w:w="7759" w:type="dxa"/>
            <w:shd w:val="clear" w:color="auto" w:fill="auto"/>
            <w:tcMar>
              <w:left w:w="0" w:type="dxa"/>
            </w:tcMar>
          </w:tcPr>
          <w:p w14:paraId="72C7EB86" w14:textId="77777777" w:rsidR="001C3855" w:rsidRPr="00554750" w:rsidRDefault="001C3855" w:rsidP="00C8019E">
            <w:pPr>
              <w:spacing w:after="0"/>
              <w:rPr>
                <w:rFonts w:cs="Arial"/>
                <w:color w:val="0D0D0D" w:themeColor="text1" w:themeTint="F2"/>
                <w:spacing w:val="-4"/>
                <w:szCs w:val="20"/>
              </w:rPr>
            </w:pPr>
            <w:r>
              <w:rPr>
                <w:rFonts w:cs="Arial"/>
                <w:color w:val="0D0D0D" w:themeColor="text1" w:themeTint="F2"/>
                <w:spacing w:val="-4"/>
                <w:szCs w:val="20"/>
              </w:rPr>
              <w:t xml:space="preserve">V úhrnu za rok 2022 se průměrná měsíční mzda v celé ekonomice zvýšila o nominálních 6,5 % a těsně přesáhla hranici 40 tis. korun. Mzdový růst se (na rozdíl od zaměstnanosti) mezi tržními odvětvími zásadně nelišil – pohyboval se od 7,4 % (zemědělství, lesnictví </w:t>
            </w:r>
            <w:r>
              <w:rPr>
                <w:rFonts w:cs="Arial"/>
                <w:color w:val="0D0D0D" w:themeColor="text1" w:themeTint="F2"/>
                <w:spacing w:val="-4"/>
                <w:szCs w:val="20"/>
              </w:rPr>
              <w:lastRenderedPageBreak/>
              <w:t>a </w:t>
            </w:r>
            <w:r w:rsidRPr="007C3FDC">
              <w:rPr>
                <w:rFonts w:cs="Arial"/>
                <w:color w:val="0D0D0D" w:themeColor="text1" w:themeTint="F2"/>
                <w:spacing w:val="-4"/>
                <w:szCs w:val="20"/>
              </w:rPr>
              <w:t>rybářství</w:t>
            </w:r>
            <w:r>
              <w:rPr>
                <w:rFonts w:cs="Arial"/>
                <w:color w:val="0D0D0D" w:themeColor="text1" w:themeTint="F2"/>
                <w:spacing w:val="-4"/>
                <w:szCs w:val="20"/>
              </w:rPr>
              <w:t>) do 10,7 % (ve finančnictví)</w:t>
            </w:r>
            <w:r>
              <w:rPr>
                <w:rStyle w:val="Znakapoznpodarou"/>
                <w:color w:val="0D0D0D" w:themeColor="text1" w:themeTint="F2"/>
                <w:spacing w:val="-4"/>
                <w:szCs w:val="20"/>
              </w:rPr>
              <w:footnoteReference w:id="82"/>
            </w:r>
            <w:r>
              <w:rPr>
                <w:rFonts w:cs="Arial"/>
                <w:color w:val="0D0D0D" w:themeColor="text1" w:themeTint="F2"/>
                <w:spacing w:val="-4"/>
                <w:szCs w:val="20"/>
              </w:rPr>
              <w:t>. V nadprůměrném růstu výdělků některých odvětví se odrážel dozvuk postpandemického oživení poptávky (obchod, doprava a skladování, u</w:t>
            </w:r>
            <w:r w:rsidRPr="006C3D76">
              <w:rPr>
                <w:rFonts w:cs="Arial"/>
                <w:color w:val="0D0D0D" w:themeColor="text1" w:themeTint="F2"/>
                <w:spacing w:val="-4"/>
                <w:szCs w:val="20"/>
              </w:rPr>
              <w:t>bytování, stravování a pohostinství</w:t>
            </w:r>
            <w:r>
              <w:rPr>
                <w:rFonts w:cs="Arial"/>
                <w:color w:val="0D0D0D" w:themeColor="text1" w:themeTint="F2"/>
                <w:spacing w:val="-4"/>
                <w:szCs w:val="20"/>
              </w:rPr>
              <w:t>). Jinde růst mezd patrně souvisel s propouštěním málo kvalifikovaných pracovníků (a</w:t>
            </w:r>
            <w:r w:rsidRPr="006C3D76">
              <w:rPr>
                <w:rFonts w:cs="Arial"/>
                <w:color w:val="0D0D0D" w:themeColor="text1" w:themeTint="F2"/>
                <w:spacing w:val="-4"/>
                <w:szCs w:val="20"/>
              </w:rPr>
              <w:t>dministrativní a podpůrné činnosti</w:t>
            </w:r>
            <w:r>
              <w:rPr>
                <w:rFonts w:cs="Arial"/>
                <w:color w:val="0D0D0D" w:themeColor="text1" w:themeTint="F2"/>
                <w:spacing w:val="-4"/>
                <w:szCs w:val="20"/>
              </w:rPr>
              <w:t>). Mzdy v odvětvích s významnou rolí vládního sektoru meziročně v úhrnu téměř stagnovaly (+0,5 %)</w:t>
            </w:r>
            <w:r>
              <w:rPr>
                <w:rStyle w:val="Znakapoznpodarou"/>
                <w:color w:val="0D0D0D" w:themeColor="text1" w:themeTint="F2"/>
                <w:spacing w:val="-4"/>
                <w:szCs w:val="20"/>
              </w:rPr>
              <w:footnoteReference w:id="83"/>
            </w:r>
            <w:r>
              <w:rPr>
                <w:rFonts w:cs="Arial"/>
                <w:color w:val="0D0D0D" w:themeColor="text1" w:themeTint="F2"/>
                <w:spacing w:val="-4"/>
                <w:szCs w:val="20"/>
              </w:rPr>
              <w:t xml:space="preserve">. Nejvyšší úroveň mezi nimi si stále držely mzdy ve zdravotní a sociální péči (44,4 tis. korun měsíčně). Ty oproti výdělkům z roku 2021 (navýšeným o mimořádné „pandemické“ odměny) ale poklesly o 4,3 % (v celoročním úhrnu se snížily poprvé ve srovnatelné řadě po roce 2000). Ve vzdělávání výdělky vzrostly o 1,8 %, nejméně za posledních sedm let. I tak se jejich výše udržela nad úrovní celé ekonomiky, byť za celý loňský rok jen o necelá 3 %. </w:t>
            </w:r>
          </w:p>
          <w:p w14:paraId="7AA35BC0" w14:textId="77777777" w:rsidR="001C3855" w:rsidRPr="00D94F3D" w:rsidRDefault="001C3855" w:rsidP="00C8019E">
            <w:pPr>
              <w:spacing w:after="0" w:line="240" w:lineRule="auto"/>
              <w:rPr>
                <w:rFonts w:cs="Arial"/>
                <w:color w:val="0D0D0D" w:themeColor="text1" w:themeTint="F2"/>
                <w:spacing w:val="-4"/>
                <w:sz w:val="14"/>
                <w:szCs w:val="14"/>
              </w:rPr>
            </w:pPr>
          </w:p>
        </w:tc>
      </w:tr>
      <w:tr w:rsidR="001C3855" w:rsidRPr="00A90A79" w14:paraId="3F4861DB" w14:textId="77777777" w:rsidTr="52944939">
        <w:trPr>
          <w:trHeight w:val="132"/>
        </w:trPr>
        <w:tc>
          <w:tcPr>
            <w:tcW w:w="1814" w:type="dxa"/>
            <w:shd w:val="clear" w:color="auto" w:fill="auto"/>
            <w:tcMar>
              <w:left w:w="0" w:type="dxa"/>
            </w:tcMar>
          </w:tcPr>
          <w:p w14:paraId="77C81278" w14:textId="77777777" w:rsidR="001C3855" w:rsidRPr="00A90A79" w:rsidRDefault="001C3855" w:rsidP="00C8019E">
            <w:pPr>
              <w:pStyle w:val="Marginlie"/>
              <w:rPr>
                <w:spacing w:val="-4"/>
              </w:rPr>
            </w:pPr>
          </w:p>
        </w:tc>
        <w:tc>
          <w:tcPr>
            <w:tcW w:w="213" w:type="dxa"/>
            <w:shd w:val="clear" w:color="auto" w:fill="auto"/>
            <w:tcMar>
              <w:left w:w="0" w:type="dxa"/>
            </w:tcMar>
          </w:tcPr>
          <w:p w14:paraId="5179777C" w14:textId="77777777" w:rsidR="001C3855" w:rsidRPr="00B43216" w:rsidRDefault="001C3855" w:rsidP="00C8019E">
            <w:pPr>
              <w:pStyle w:val="Textpoznpodarou"/>
              <w:jc w:val="both"/>
              <w:rPr>
                <w:spacing w:val="-4"/>
              </w:rPr>
            </w:pPr>
          </w:p>
        </w:tc>
        <w:tc>
          <w:tcPr>
            <w:tcW w:w="7759" w:type="dxa"/>
            <w:shd w:val="clear" w:color="auto" w:fill="auto"/>
            <w:tcMar>
              <w:left w:w="0" w:type="dxa"/>
            </w:tcMar>
          </w:tcPr>
          <w:p w14:paraId="3BE9AD7C" w14:textId="2438CEAF" w:rsidR="001C3855" w:rsidRDefault="008F525A" w:rsidP="00C8019E">
            <w:pPr>
              <w:spacing w:after="0"/>
              <w:rPr>
                <w:rFonts w:cs="Arial"/>
                <w:b/>
                <w:color w:val="0D0D0D" w:themeColor="text1" w:themeTint="F2"/>
                <w:spacing w:val="-4"/>
                <w:szCs w:val="20"/>
              </w:rPr>
            </w:pPr>
            <w:r>
              <w:rPr>
                <w:rFonts w:cs="Arial"/>
                <w:b/>
                <w:color w:val="0D0D0D" w:themeColor="text1" w:themeTint="F2"/>
                <w:spacing w:val="-4"/>
                <w:szCs w:val="20"/>
              </w:rPr>
              <w:t>Graf č. 16</w:t>
            </w:r>
            <w:r w:rsidR="001C3855" w:rsidRPr="00A90A79">
              <w:rPr>
                <w:rFonts w:cs="Arial"/>
                <w:b/>
                <w:color w:val="0D0D0D" w:themeColor="text1" w:themeTint="F2"/>
                <w:spacing w:val="-4"/>
                <w:szCs w:val="20"/>
              </w:rPr>
              <w:t xml:space="preserve"> Průměrná nominální i reálná mzda a produktivita</w:t>
            </w:r>
            <w:r w:rsidR="001C3855" w:rsidRPr="00A90A79">
              <w:rPr>
                <w:rFonts w:cs="Arial"/>
                <w:color w:val="0D0D0D" w:themeColor="text1" w:themeTint="F2"/>
                <w:spacing w:val="-4"/>
                <w:szCs w:val="20"/>
              </w:rPr>
              <w:t xml:space="preserve"> </w:t>
            </w:r>
            <w:r w:rsidR="001C3855" w:rsidRPr="00A90A79">
              <w:rPr>
                <w:rFonts w:cs="Arial"/>
                <w:b/>
                <w:color w:val="0D0D0D" w:themeColor="text1" w:themeTint="F2"/>
                <w:spacing w:val="-4"/>
                <w:szCs w:val="20"/>
              </w:rPr>
              <w:t>práce</w:t>
            </w:r>
          </w:p>
          <w:p w14:paraId="0EB134EF" w14:textId="77777777" w:rsidR="001C3855" w:rsidRPr="00A90A79" w:rsidRDefault="001C3855" w:rsidP="00C8019E">
            <w:pPr>
              <w:spacing w:after="0"/>
              <w:rPr>
                <w:rFonts w:cs="Arial"/>
                <w:color w:val="0D0D0D" w:themeColor="text1" w:themeTint="F2"/>
                <w:spacing w:val="-4"/>
                <w:szCs w:val="20"/>
              </w:rPr>
            </w:pPr>
            <w:r w:rsidRPr="00A90A79">
              <w:rPr>
                <w:rFonts w:cs="Arial"/>
                <w:color w:val="0D0D0D" w:themeColor="text1" w:themeTint="F2"/>
                <w:spacing w:val="-4"/>
                <w:szCs w:val="20"/>
              </w:rPr>
              <w:t>(</w:t>
            </w:r>
            <w:r>
              <w:rPr>
                <w:rFonts w:cs="Arial"/>
                <w:color w:val="0D0D0D" w:themeColor="text1" w:themeTint="F2"/>
                <w:spacing w:val="-4"/>
                <w:szCs w:val="20"/>
              </w:rPr>
              <w:t>roční úhrny</w:t>
            </w:r>
            <w:r w:rsidRPr="00A90A79">
              <w:rPr>
                <w:rFonts w:cs="Arial"/>
                <w:color w:val="0D0D0D" w:themeColor="text1" w:themeTint="F2"/>
                <w:spacing w:val="-4"/>
                <w:szCs w:val="20"/>
              </w:rPr>
              <w:t xml:space="preserve">, </w:t>
            </w:r>
            <w:r>
              <w:rPr>
                <w:rFonts w:cs="Arial"/>
                <w:color w:val="0D0D0D" w:themeColor="text1" w:themeTint="F2"/>
                <w:spacing w:val="-4"/>
                <w:szCs w:val="20"/>
              </w:rPr>
              <w:t>meziroční změna</w:t>
            </w:r>
            <w:r w:rsidRPr="00A90A79">
              <w:rPr>
                <w:rFonts w:cs="Arial"/>
                <w:color w:val="0D0D0D" w:themeColor="text1" w:themeTint="F2"/>
                <w:spacing w:val="-4"/>
                <w:szCs w:val="20"/>
              </w:rPr>
              <w:t xml:space="preserve"> v %)</w:t>
            </w:r>
          </w:p>
        </w:tc>
      </w:tr>
      <w:tr w:rsidR="001C3855" w:rsidRPr="00A90A79" w14:paraId="1A8016D5" w14:textId="77777777" w:rsidTr="52944939">
        <w:tblPrEx>
          <w:tblCellMar>
            <w:left w:w="70" w:type="dxa"/>
            <w:right w:w="70" w:type="dxa"/>
          </w:tblCellMar>
        </w:tblPrEx>
        <w:trPr>
          <w:trHeight w:val="132"/>
        </w:trPr>
        <w:tc>
          <w:tcPr>
            <w:tcW w:w="1814" w:type="dxa"/>
            <w:shd w:val="clear" w:color="auto" w:fill="auto"/>
          </w:tcPr>
          <w:p w14:paraId="56DEEEC4" w14:textId="77777777" w:rsidR="001C3855" w:rsidRPr="00A90A79" w:rsidRDefault="001C3855" w:rsidP="00C8019E">
            <w:pPr>
              <w:pStyle w:val="Marginlie"/>
              <w:rPr>
                <w:spacing w:val="-4"/>
              </w:rPr>
            </w:pPr>
          </w:p>
        </w:tc>
        <w:tc>
          <w:tcPr>
            <w:tcW w:w="213" w:type="dxa"/>
            <w:shd w:val="clear" w:color="auto" w:fill="auto"/>
          </w:tcPr>
          <w:p w14:paraId="417AB7BC" w14:textId="77777777" w:rsidR="001C3855" w:rsidRPr="00B43216" w:rsidRDefault="001C3855" w:rsidP="00C8019E">
            <w:pPr>
              <w:pStyle w:val="Textpoznpodarou"/>
              <w:jc w:val="both"/>
              <w:rPr>
                <w:spacing w:val="-4"/>
              </w:rPr>
            </w:pPr>
          </w:p>
        </w:tc>
        <w:tc>
          <w:tcPr>
            <w:tcW w:w="7759" w:type="dxa"/>
            <w:shd w:val="clear" w:color="auto" w:fill="auto"/>
          </w:tcPr>
          <w:p w14:paraId="1BE77BAB" w14:textId="77777777" w:rsidR="001C3855" w:rsidRPr="00A90A79" w:rsidRDefault="001C3855" w:rsidP="00C8019E">
            <w:pPr>
              <w:spacing w:after="0" w:line="240" w:lineRule="auto"/>
              <w:rPr>
                <w:rFonts w:cs="Arial"/>
                <w:color w:val="0D0D0D" w:themeColor="text1" w:themeTint="F2"/>
                <w:spacing w:val="-4"/>
                <w:sz w:val="14"/>
                <w:szCs w:val="14"/>
              </w:rPr>
            </w:pPr>
            <w:r>
              <w:rPr>
                <w:noProof/>
              </w:rPr>
              <w:drawing>
                <wp:inline distT="0" distB="0" distL="0" distR="0" wp14:anchorId="0F1110E4" wp14:editId="1CC1AEFB">
                  <wp:extent cx="4794250" cy="3571875"/>
                  <wp:effectExtent l="0" t="0" r="63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C3855" w:rsidRPr="00A90A79" w14:paraId="59CF42E4" w14:textId="77777777" w:rsidTr="52944939">
        <w:trPr>
          <w:trHeight w:val="132"/>
        </w:trPr>
        <w:tc>
          <w:tcPr>
            <w:tcW w:w="1814" w:type="dxa"/>
            <w:shd w:val="clear" w:color="auto" w:fill="auto"/>
            <w:tcMar>
              <w:left w:w="0" w:type="dxa"/>
            </w:tcMar>
          </w:tcPr>
          <w:p w14:paraId="3EF89656" w14:textId="77777777" w:rsidR="001C3855" w:rsidRPr="00A90A79" w:rsidRDefault="001C3855" w:rsidP="00C8019E">
            <w:pPr>
              <w:pStyle w:val="Marginlie"/>
              <w:rPr>
                <w:spacing w:val="-4"/>
              </w:rPr>
            </w:pPr>
          </w:p>
        </w:tc>
        <w:tc>
          <w:tcPr>
            <w:tcW w:w="213" w:type="dxa"/>
            <w:shd w:val="clear" w:color="auto" w:fill="auto"/>
            <w:tcMar>
              <w:left w:w="0" w:type="dxa"/>
            </w:tcMar>
          </w:tcPr>
          <w:p w14:paraId="61AC3A7B" w14:textId="77777777" w:rsidR="001C3855" w:rsidRPr="00B43216" w:rsidRDefault="001C3855" w:rsidP="00C8019E">
            <w:pPr>
              <w:pStyle w:val="Textpoznpodarou"/>
              <w:jc w:val="both"/>
              <w:rPr>
                <w:spacing w:val="-4"/>
              </w:rPr>
            </w:pPr>
          </w:p>
        </w:tc>
        <w:tc>
          <w:tcPr>
            <w:tcW w:w="7759" w:type="dxa"/>
            <w:shd w:val="clear" w:color="auto" w:fill="auto"/>
            <w:tcMar>
              <w:left w:w="0" w:type="dxa"/>
            </w:tcMar>
          </w:tcPr>
          <w:p w14:paraId="274C6756" w14:textId="77777777" w:rsidR="001C3855" w:rsidRDefault="001C3855" w:rsidP="00C8019E">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w:t>
            </w:r>
            <w:r w:rsidRPr="00A90A79">
              <w:rPr>
                <w:rFonts w:cs="Arial"/>
                <w:color w:val="0D0D0D" w:themeColor="text1" w:themeTint="F2"/>
                <w:spacing w:val="-4"/>
                <w:sz w:val="14"/>
                <w:szCs w:val="14"/>
              </w:rPr>
              <w:t>Zahrnuj</w:t>
            </w:r>
            <w:r>
              <w:rPr>
                <w:rFonts w:cs="Arial"/>
                <w:color w:val="0D0D0D" w:themeColor="text1" w:themeTint="F2"/>
                <w:spacing w:val="-4"/>
                <w:sz w:val="14"/>
                <w:szCs w:val="14"/>
              </w:rPr>
              <w:t>e odvětví s významnou rolí vládního sektoru</w:t>
            </w:r>
            <w:r w:rsidRPr="00A90A79">
              <w:rPr>
                <w:rFonts w:cs="Arial"/>
                <w:color w:val="0D0D0D" w:themeColor="text1" w:themeTint="F2"/>
                <w:spacing w:val="-4"/>
                <w:sz w:val="14"/>
                <w:szCs w:val="14"/>
              </w:rPr>
              <w:t>: Veřejná správa a obrana, povinné sociální zabezpečení; Vzdělávání; Zdravotní a sociální péče; Kulturní, zábavní a rekreační činnosti.</w:t>
            </w:r>
          </w:p>
          <w:p w14:paraId="3925223D" w14:textId="77777777" w:rsidR="001C3855" w:rsidRDefault="001C3855" w:rsidP="00C8019E">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**Produktivitu práce představuje hrubá přidaná hodnota (ve srovnatelných cenách roku 2015) </w:t>
            </w:r>
            <w:r w:rsidRPr="009163A9">
              <w:rPr>
                <w:rFonts w:cs="Arial"/>
                <w:color w:val="0D0D0D" w:themeColor="text1" w:themeTint="F2"/>
                <w:spacing w:val="-4"/>
                <w:sz w:val="14"/>
                <w:szCs w:val="14"/>
              </w:rPr>
              <w:t>připadající</w:t>
            </w:r>
            <w:r>
              <w:rPr>
                <w:rFonts w:cs="Arial"/>
                <w:color w:val="0D0D0D" w:themeColor="text1" w:themeTint="F2"/>
                <w:spacing w:val="-4"/>
                <w:sz w:val="14"/>
                <w:szCs w:val="14"/>
              </w:rPr>
              <w:t xml:space="preserve"> na jednoho pracovníka.</w:t>
            </w:r>
          </w:p>
          <w:p w14:paraId="609F4963" w14:textId="77777777" w:rsidR="001C3855" w:rsidRPr="00A90A79" w:rsidRDefault="001C3855" w:rsidP="00C8019E">
            <w:pPr>
              <w:spacing w:after="22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                                                                                                                                                                                                           </w:t>
            </w:r>
            <w:r w:rsidRPr="00A90A79">
              <w:rPr>
                <w:rFonts w:cs="Arial"/>
                <w:color w:val="0D0D0D" w:themeColor="text1" w:themeTint="F2"/>
                <w:spacing w:val="-4"/>
                <w:sz w:val="14"/>
                <w:szCs w:val="14"/>
              </w:rPr>
              <w:t>Zdroj: ČSÚ</w:t>
            </w:r>
          </w:p>
        </w:tc>
      </w:tr>
      <w:tr w:rsidR="001C3855" w:rsidRPr="00841D1B" w14:paraId="7F9E561E" w14:textId="77777777" w:rsidTr="52944939">
        <w:trPr>
          <w:trHeight w:val="132"/>
        </w:trPr>
        <w:tc>
          <w:tcPr>
            <w:tcW w:w="1814" w:type="dxa"/>
            <w:shd w:val="clear" w:color="auto" w:fill="auto"/>
            <w:tcMar>
              <w:left w:w="0" w:type="dxa"/>
            </w:tcMar>
          </w:tcPr>
          <w:p w14:paraId="7F45FC31" w14:textId="77777777" w:rsidR="001C3855" w:rsidRPr="00841D1B" w:rsidRDefault="001C3855" w:rsidP="00C8019E">
            <w:pPr>
              <w:pStyle w:val="Marginlie"/>
              <w:rPr>
                <w:spacing w:val="-4"/>
                <w:sz w:val="20"/>
                <w:szCs w:val="20"/>
              </w:rPr>
            </w:pPr>
          </w:p>
        </w:tc>
        <w:tc>
          <w:tcPr>
            <w:tcW w:w="213" w:type="dxa"/>
            <w:shd w:val="clear" w:color="auto" w:fill="auto"/>
            <w:tcMar>
              <w:left w:w="0" w:type="dxa"/>
            </w:tcMar>
          </w:tcPr>
          <w:p w14:paraId="3AE8DC10" w14:textId="77777777" w:rsidR="001C3855" w:rsidRPr="00841D1B" w:rsidRDefault="001C3855" w:rsidP="00C8019E">
            <w:pPr>
              <w:pStyle w:val="Textpoznpodarou"/>
              <w:jc w:val="both"/>
              <w:rPr>
                <w:spacing w:val="-4"/>
              </w:rPr>
            </w:pPr>
          </w:p>
        </w:tc>
        <w:tc>
          <w:tcPr>
            <w:tcW w:w="7759" w:type="dxa"/>
            <w:shd w:val="clear" w:color="auto" w:fill="auto"/>
            <w:tcMar>
              <w:left w:w="0" w:type="dxa"/>
            </w:tcMar>
          </w:tcPr>
          <w:p w14:paraId="124F19D2" w14:textId="77777777" w:rsidR="001C3855" w:rsidRPr="00841D1B" w:rsidRDefault="001C3855" w:rsidP="00C8019E">
            <w:pPr>
              <w:spacing w:after="0"/>
              <w:rPr>
                <w:rFonts w:cs="Arial"/>
                <w:color w:val="0D0D0D" w:themeColor="text1" w:themeTint="F2"/>
                <w:spacing w:val="-4"/>
                <w:szCs w:val="20"/>
              </w:rPr>
            </w:pPr>
            <w:r>
              <w:rPr>
                <w:rFonts w:cs="Arial"/>
                <w:color w:val="0D0D0D" w:themeColor="text1" w:themeTint="F2"/>
                <w:spacing w:val="-4"/>
                <w:szCs w:val="20"/>
              </w:rPr>
              <w:t>Medián mezd v ekonomice se ve 4. čtvrtletí 2022 meziročně zvýšil o rovných 9 %. U mužů činil měsíčně 40,2 tis. korun, u žen 34,6 tis. korun. Procentuální růst středních výdělků byl po celý loňský rok mírně vyšší u mužů než u žen (v předchozích letech zpravidla platil opačný vzorec). Mzdové diference se po celý rok 2022 mírně snižovaly, a to zásluhou žen, u nichž relativní růst nízkých mezd (v prvním decilu) předčil navyšování vysoce nadprůměrných výdělků (v devátém decilu). Z pohledu hlavních tříd klasifikace zaměstnání vzrostla za loňský rok mediánová mzda nejvíce řemeslníkům a opravářům (+8,4 %)</w:t>
            </w:r>
            <w:r>
              <w:rPr>
                <w:rStyle w:val="Znakapoznpodarou"/>
                <w:color w:val="0D0D0D" w:themeColor="text1" w:themeTint="F2"/>
                <w:spacing w:val="-4"/>
                <w:szCs w:val="20"/>
              </w:rPr>
              <w:footnoteReference w:id="84"/>
            </w:r>
            <w:r>
              <w:rPr>
                <w:rFonts w:cs="Arial"/>
                <w:color w:val="0D0D0D" w:themeColor="text1" w:themeTint="F2"/>
                <w:spacing w:val="-4"/>
                <w:szCs w:val="20"/>
              </w:rPr>
              <w:t xml:space="preserve">, mírně nadprůměrný růst zaznamenali také zákonodárci a řídící pracovníci (7,3 %). Nejméně rostly průměrné výdělky zaměstnancům v ozbrojených složkách (+1,8 %). Slabší mzdové tempo zaznamenala také početná třída specialistů (+4,1 %), což se odrazilo i v podprůměrném procentním růstu výdělků vysokoškoláků. </w:t>
            </w:r>
          </w:p>
        </w:tc>
      </w:tr>
    </w:tbl>
    <w:p w14:paraId="2A38F41D" w14:textId="322AD747" w:rsidR="007A6A6E" w:rsidRDefault="007A6A6E" w:rsidP="007A6A6E">
      <w:pPr>
        <w:pStyle w:val="Nadpis11"/>
        <w:spacing w:after="120"/>
      </w:pPr>
      <w:bookmarkStart w:id="35" w:name="_Toc130286022"/>
      <w:r>
        <w:lastRenderedPageBreak/>
        <w:t>7. Měnové podmínky</w:t>
      </w:r>
      <w:bookmarkEnd w:id="35"/>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7A6A6E" w:rsidRPr="0037004A" w14:paraId="092920EF" w14:textId="77777777" w:rsidTr="00163868">
        <w:trPr>
          <w:trHeight w:val="145"/>
        </w:trPr>
        <w:tc>
          <w:tcPr>
            <w:tcW w:w="1802" w:type="dxa"/>
          </w:tcPr>
          <w:p w14:paraId="65F9D27A" w14:textId="77777777" w:rsidR="007A6A6E" w:rsidRDefault="007A6A6E" w:rsidP="00163868">
            <w:pPr>
              <w:pStyle w:val="Marginlie"/>
              <w:rPr>
                <w:lang w:eastAsia="en-US"/>
              </w:rPr>
            </w:pPr>
            <w:r>
              <w:rPr>
                <w:lang w:eastAsia="en-US"/>
              </w:rPr>
              <w:t xml:space="preserve">Nastavení </w:t>
            </w:r>
            <w:proofErr w:type="spellStart"/>
            <w:r>
              <w:rPr>
                <w:lang w:eastAsia="en-US"/>
              </w:rPr>
              <w:t>měnověpolitických</w:t>
            </w:r>
            <w:proofErr w:type="spellEnd"/>
            <w:r>
              <w:rPr>
                <w:lang w:eastAsia="en-US"/>
              </w:rPr>
              <w:t xml:space="preserve"> sazeb se ve 2. pololetí neměnilo.</w:t>
            </w:r>
          </w:p>
        </w:tc>
        <w:tc>
          <w:tcPr>
            <w:tcW w:w="229" w:type="dxa"/>
          </w:tcPr>
          <w:p w14:paraId="3C0C7946" w14:textId="77777777" w:rsidR="007A6A6E" w:rsidRDefault="007A6A6E" w:rsidP="00163868">
            <w:pPr>
              <w:pStyle w:val="Textpoznpodarou"/>
              <w:jc w:val="both"/>
              <w:rPr>
                <w:spacing w:val="-4"/>
                <w:lang w:eastAsia="en-US"/>
              </w:rPr>
            </w:pPr>
          </w:p>
        </w:tc>
        <w:tc>
          <w:tcPr>
            <w:tcW w:w="7610" w:type="dxa"/>
          </w:tcPr>
          <w:p w14:paraId="45953BEF" w14:textId="43312895" w:rsidR="007A6A6E" w:rsidRPr="0037004A" w:rsidRDefault="007A6A6E" w:rsidP="00163868">
            <w:pPr>
              <w:rPr>
                <w:spacing w:val="-2"/>
                <w:lang w:eastAsia="en-US"/>
              </w:rPr>
            </w:pPr>
            <w:r>
              <w:rPr>
                <w:spacing w:val="-2"/>
                <w:lang w:eastAsia="en-US"/>
              </w:rPr>
              <w:t xml:space="preserve">Úroveň základních </w:t>
            </w:r>
            <w:proofErr w:type="spellStart"/>
            <w:r>
              <w:rPr>
                <w:spacing w:val="-2"/>
                <w:lang w:eastAsia="en-US"/>
              </w:rPr>
              <w:t>měnověpolitických</w:t>
            </w:r>
            <w:proofErr w:type="spellEnd"/>
            <w:r>
              <w:rPr>
                <w:spacing w:val="-2"/>
                <w:lang w:eastAsia="en-US"/>
              </w:rPr>
              <w:t xml:space="preserve"> sazeb se ve 4. čtvrtletí nezměnila. Poté, co v 1. pololetí došlo k rychlému navýšení, setrvala tedy až do konce roku dvoutýdenní </w:t>
            </w:r>
            <w:proofErr w:type="spellStart"/>
            <w:r>
              <w:rPr>
                <w:spacing w:val="-2"/>
                <w:lang w:eastAsia="en-US"/>
              </w:rPr>
              <w:t>repo</w:t>
            </w:r>
            <w:proofErr w:type="spellEnd"/>
            <w:r>
              <w:rPr>
                <w:spacing w:val="-2"/>
                <w:lang w:eastAsia="en-US"/>
              </w:rPr>
              <w:t xml:space="preserve"> sazba na hodnotě 7,00 %, diskontní sazba na 6,00 % a lombardní sazba na 8,00 %.</w:t>
            </w:r>
            <w:r w:rsidRPr="0037004A">
              <w:rPr>
                <w:rStyle w:val="Znakapoznpodarou"/>
                <w:spacing w:val="-2"/>
                <w:lang w:eastAsia="en-US"/>
              </w:rPr>
              <w:footnoteReference w:id="85"/>
            </w:r>
            <w:r>
              <w:rPr>
                <w:spacing w:val="-2"/>
                <w:lang w:eastAsia="en-US"/>
              </w:rPr>
              <w:t xml:space="preserve"> V případě směnného kurzu koruny vůči euru byl vývoj loni ovlivněn intervencemi proti oslabení, které ČNB prováděla od poloviny května. Nejjasněji se intervence projevovaly na strnulém kurzu v květnu a červnu, pak ale došlo k mírnému posilování, které trvalo do konce roku. Ve 4. čtvrtletí dosáhla průměrná hodnota kurzu koruny vůči euru 24,39 CZK/EUR. Meziročně koruna vůči euru posílila o 3,9 %. Mezičtvrtletně byl kurz silnější o 0,8 %. U dolarového kurzu byl vývoj turbulentnější. Koruna od počátku roku až na dočasné výjimky držela oslabující trend, který vyvrcholil na přelomu 3. a 4. kvartálu. V průběhu listopadu došlo k výraznému posílení z úrovně nad 25 korunami za dolar ke 23,50 korunám. Do konce prosince kurz klesl na 22,62 CZK/USD, což je ale stále nižší úroveň než na začátku roku (nejvyšší hodnota v únoru činila 21,18 CZK/USD). Průměr za celé 4. čtvrtletí byl 23,92 CZK/USD, což představuje meziroční oslabení o 7,8 % a </w:t>
            </w:r>
            <w:proofErr w:type="spellStart"/>
            <w:r>
              <w:rPr>
                <w:spacing w:val="-2"/>
                <w:lang w:eastAsia="en-US"/>
              </w:rPr>
              <w:t>mezikvartální</w:t>
            </w:r>
            <w:proofErr w:type="spellEnd"/>
            <w:r>
              <w:rPr>
                <w:spacing w:val="-2"/>
                <w:lang w:eastAsia="en-US"/>
              </w:rPr>
              <w:t xml:space="preserve"> posílení o 2,0 %.  </w:t>
            </w:r>
          </w:p>
        </w:tc>
      </w:tr>
      <w:tr w:rsidR="007A6A6E" w14:paraId="21674348" w14:textId="77777777" w:rsidTr="00163868">
        <w:trPr>
          <w:trHeight w:val="145"/>
        </w:trPr>
        <w:tc>
          <w:tcPr>
            <w:tcW w:w="1802" w:type="dxa"/>
          </w:tcPr>
          <w:p w14:paraId="09E133E3" w14:textId="77777777" w:rsidR="007A6A6E" w:rsidRDefault="007A6A6E" w:rsidP="00163868">
            <w:pPr>
              <w:pStyle w:val="Marginlie"/>
              <w:rPr>
                <w:lang w:eastAsia="en-US"/>
              </w:rPr>
            </w:pPr>
            <w:r>
              <w:rPr>
                <w:lang w:eastAsia="en-US"/>
              </w:rPr>
              <w:t>Na konci roku klesaly výnosy dluhopisů.</w:t>
            </w:r>
          </w:p>
        </w:tc>
        <w:tc>
          <w:tcPr>
            <w:tcW w:w="229" w:type="dxa"/>
          </w:tcPr>
          <w:p w14:paraId="1F9054BF" w14:textId="77777777" w:rsidR="007A6A6E" w:rsidRDefault="007A6A6E" w:rsidP="00163868">
            <w:pPr>
              <w:pStyle w:val="Textpoznpodarou"/>
              <w:jc w:val="both"/>
              <w:rPr>
                <w:spacing w:val="-4"/>
                <w:lang w:eastAsia="en-US"/>
              </w:rPr>
            </w:pPr>
          </w:p>
        </w:tc>
        <w:tc>
          <w:tcPr>
            <w:tcW w:w="7610" w:type="dxa"/>
          </w:tcPr>
          <w:p w14:paraId="7F0FEF96" w14:textId="77777777" w:rsidR="007A6A6E" w:rsidRDefault="007A6A6E" w:rsidP="00163868">
            <w:pPr>
              <w:rPr>
                <w:spacing w:val="-1"/>
                <w:lang w:eastAsia="en-US"/>
              </w:rPr>
            </w:pPr>
            <w:r>
              <w:rPr>
                <w:spacing w:val="-1"/>
                <w:lang w:eastAsia="en-US"/>
              </w:rPr>
              <w:t xml:space="preserve">Sazby mezibankovního trhu kopírovaly vývoj těch </w:t>
            </w:r>
            <w:proofErr w:type="spellStart"/>
            <w:r>
              <w:rPr>
                <w:spacing w:val="-1"/>
                <w:lang w:eastAsia="en-US"/>
              </w:rPr>
              <w:t>měnopolitických</w:t>
            </w:r>
            <w:proofErr w:type="spellEnd"/>
            <w:r>
              <w:rPr>
                <w:spacing w:val="-1"/>
                <w:lang w:eastAsia="en-US"/>
              </w:rPr>
              <w:t xml:space="preserve"> a od července si držely stálou úroveň. Tříměsíční sazba PRIBOR rok 2022 zakončila na hodnotě </w:t>
            </w:r>
            <w:r>
              <w:rPr>
                <w:spacing w:val="-1"/>
                <w:lang w:eastAsia="en-US"/>
              </w:rPr>
              <w:br/>
              <w:t xml:space="preserve">7,26 %. Jistá očekávání budoucího poklesu </w:t>
            </w:r>
            <w:proofErr w:type="spellStart"/>
            <w:r>
              <w:rPr>
                <w:spacing w:val="-1"/>
                <w:lang w:eastAsia="en-US"/>
              </w:rPr>
              <w:t>měnověpolitických</w:t>
            </w:r>
            <w:proofErr w:type="spellEnd"/>
            <w:r>
              <w:rPr>
                <w:spacing w:val="-1"/>
                <w:lang w:eastAsia="en-US"/>
              </w:rPr>
              <w:t xml:space="preserve"> úrokových sazeb byla patrná na šestiměsíční a roční PRIBOR sazbě, které v posledních měsících roku 2022 drobně poklesly (znatelněji roční sazba – ze 7,44 % na konci září na 7,28 % na konci prosince). Výnosy dluhopisů v první polovině loňského roku značně narostly, ale ve </w:t>
            </w:r>
            <w:r>
              <w:rPr>
                <w:spacing w:val="-1"/>
                <w:lang w:eastAsia="en-US"/>
              </w:rPr>
              <w:br/>
              <w:t>4. čtvrtletí klesaly. Nejvíce se snížilo průměrné úročení v případě krátkodobých dluhopisů (−0,71 p. b.</w:t>
            </w:r>
            <w:r>
              <w:rPr>
                <w:rStyle w:val="Znakapoznpodarou"/>
                <w:spacing w:val="-1"/>
                <w:lang w:eastAsia="en-US"/>
              </w:rPr>
              <w:footnoteReference w:id="86"/>
            </w:r>
            <w:r>
              <w:rPr>
                <w:spacing w:val="-1"/>
                <w:lang w:eastAsia="en-US"/>
              </w:rPr>
              <w:t xml:space="preserve">), ty si ale nadále držely nejvyšší úroveň úročení, když rok zakončily na 5,38 %. Střednědobé dluhopisy byly ke konci prosince úročeny </w:t>
            </w:r>
            <w:r>
              <w:rPr>
                <w:spacing w:val="-1"/>
                <w:lang w:eastAsia="en-US"/>
              </w:rPr>
              <w:br/>
              <w:t xml:space="preserve">4,73 % (–0,16 p. b.) a dlouhodobé 4,47 % (–0,01 p. b.).   </w:t>
            </w:r>
          </w:p>
        </w:tc>
      </w:tr>
      <w:tr w:rsidR="007A6A6E" w14:paraId="1BD86ABB" w14:textId="77777777" w:rsidTr="00163868">
        <w:trPr>
          <w:trHeight w:val="145"/>
        </w:trPr>
        <w:tc>
          <w:tcPr>
            <w:tcW w:w="1802" w:type="dxa"/>
            <w:hideMark/>
          </w:tcPr>
          <w:p w14:paraId="118CE951" w14:textId="77777777" w:rsidR="007A6A6E" w:rsidRDefault="007A6A6E" w:rsidP="00163868">
            <w:pPr>
              <w:pStyle w:val="Marginlie"/>
              <w:rPr>
                <w:lang w:eastAsia="en-US"/>
              </w:rPr>
            </w:pPr>
            <w:r>
              <w:rPr>
                <w:lang w:eastAsia="en-US"/>
              </w:rPr>
              <w:t>Loni klesal objem netermínovaných vkladů, které střadatelé převáděli na termínované účty.</w:t>
            </w:r>
          </w:p>
        </w:tc>
        <w:tc>
          <w:tcPr>
            <w:tcW w:w="229" w:type="dxa"/>
          </w:tcPr>
          <w:p w14:paraId="65DF78D4" w14:textId="77777777" w:rsidR="007A6A6E" w:rsidRDefault="007A6A6E" w:rsidP="00163868">
            <w:pPr>
              <w:pStyle w:val="Textpoznpodarou"/>
              <w:jc w:val="both"/>
              <w:rPr>
                <w:spacing w:val="-4"/>
                <w:lang w:eastAsia="en-US"/>
              </w:rPr>
            </w:pPr>
          </w:p>
        </w:tc>
        <w:tc>
          <w:tcPr>
            <w:tcW w:w="7610" w:type="dxa"/>
          </w:tcPr>
          <w:p w14:paraId="492B43E4" w14:textId="578A9871" w:rsidR="007A6A6E" w:rsidRDefault="007A6A6E" w:rsidP="00163868">
            <w:pPr>
              <w:rPr>
                <w:spacing w:val="-3"/>
                <w:lang w:eastAsia="en-US"/>
              </w:rPr>
            </w:pPr>
            <w:r>
              <w:rPr>
                <w:spacing w:val="-3"/>
                <w:lang w:eastAsia="en-US"/>
              </w:rPr>
              <w:t>V průběhu roku se postupně zvyšovalo úročení klientských účtů. Ke konci roku byly jednodenní vklady domácností v průměru úročeny 1,33 % (nárůst o 1,04 p. b. meziročně a 0,26 p. b. od konce září). K drobnému posunu došlo také u běžných účtů, u kterých úrokové sazby setrvávaly posledních několik let na nulové úrovni (meziročně +0,16 p. b. na 0,22 % ke konci prosince 2022). Největší nárůst se loni odehrál v případě úrokových sazeb u vkladů s dohodnutou splatností, hlavně u splatností pod dva roky. Průměrná úroková sazba u vkladů s dohodnutou splatností ke konci roku 2022 dosahovala 6,0 % a meziročně se zvýšila o 3,68 p. b. Mezičtvrtletně zde celkově sazby spíše stagnovaly (−0,08 p. b.), což lze přičíst vkladům se splatností pod jeden rok, kterých je mezi obyvatelstvem nejvíce. Naopak u delších splatností úrokové sazby mezičtvrtletně rostly. Běžné účty nefinančních podniků byly ke konci roku úročeny v průměru 0,81 % (meziročně +0,61 p. b., mezičtvrtletně –0,07 p. b.). Průměrná sazba jejich vkladů s dohodnutou splatností činila 5,78 % (+3,31 p. b. meziročně). Mezičtvrtletně sazba klesla o 0,67 p. b. Po celý loňský rok zcela netypicky klesal objem netermínovaných vkladů, které střadatelé zřejmě převáděli na termínované účty. Ke konci roku 2022 byl celkový objem vkladů meziročně vyšší o 356,6 mld. korun. Z toho ale netermínované vklady klesly o 315,4 mld. korun, a naopak termínované se zvýšily o 671,9 mld. Domácnosti</w:t>
            </w:r>
            <w:r>
              <w:rPr>
                <w:rStyle w:val="Znakapoznpodarou"/>
                <w:spacing w:val="-3"/>
                <w:lang w:eastAsia="en-US"/>
              </w:rPr>
              <w:footnoteReference w:id="87"/>
            </w:r>
            <w:r>
              <w:rPr>
                <w:spacing w:val="-3"/>
                <w:lang w:eastAsia="en-US"/>
              </w:rPr>
              <w:t xml:space="preserve"> se na popsaném nárůstu podílely nejvíce (+131,8 mld. korun), následovaly finanční instituce (+104,3 mld.), vládní instituce (+73,3 mld.) a nefinanční podniky (+58,1 mld.). Vklady nerezidentů meziročně klesly o 16,6 mld. korun.     </w:t>
            </w:r>
          </w:p>
        </w:tc>
      </w:tr>
      <w:tr w:rsidR="007A6A6E" w14:paraId="70020B78" w14:textId="77777777" w:rsidTr="00163868">
        <w:trPr>
          <w:trHeight w:val="145"/>
        </w:trPr>
        <w:tc>
          <w:tcPr>
            <w:tcW w:w="1802" w:type="dxa"/>
          </w:tcPr>
          <w:p w14:paraId="588346CC" w14:textId="77777777" w:rsidR="007A6A6E" w:rsidRDefault="007A6A6E" w:rsidP="00163868">
            <w:pPr>
              <w:pStyle w:val="Marginlie"/>
              <w:rPr>
                <w:lang w:eastAsia="en-US"/>
              </w:rPr>
            </w:pPr>
            <w:r>
              <w:rPr>
                <w:lang w:eastAsia="en-US"/>
              </w:rPr>
              <w:lastRenderedPageBreak/>
              <w:t>Výrazně rostly úrokové sazby úvěrů.</w:t>
            </w:r>
          </w:p>
        </w:tc>
        <w:tc>
          <w:tcPr>
            <w:tcW w:w="229" w:type="dxa"/>
          </w:tcPr>
          <w:p w14:paraId="3F3FE929" w14:textId="77777777" w:rsidR="007A6A6E" w:rsidRDefault="007A6A6E" w:rsidP="00163868">
            <w:pPr>
              <w:pStyle w:val="Textpoznpodarou"/>
              <w:jc w:val="both"/>
              <w:rPr>
                <w:spacing w:val="-4"/>
                <w:lang w:eastAsia="en-US"/>
              </w:rPr>
            </w:pPr>
          </w:p>
        </w:tc>
        <w:tc>
          <w:tcPr>
            <w:tcW w:w="7610" w:type="dxa"/>
          </w:tcPr>
          <w:p w14:paraId="11E096B3" w14:textId="77777777" w:rsidR="007A6A6E" w:rsidRDefault="007A6A6E" w:rsidP="00163868">
            <w:pPr>
              <w:rPr>
                <w:lang w:eastAsia="en-US"/>
              </w:rPr>
            </w:pPr>
            <w:r>
              <w:rPr>
                <w:lang w:eastAsia="en-US"/>
              </w:rPr>
              <w:t>V loňském roce dál pokračovalo zdražování úvěrového financování. Úvěry na spotřebu domácností byly ke konci roku úročeny v průměru 9,66 %, což představovalo meziroční nárůst o 1,75 p. b. a mezičtvrtletní stagnaci (–0,04 p. b.). Objem spotřebních úvěrů byl ke konci roku meziročně o 7,3 % vyšší. To je poměrně solidní přírůstek, který ale zaostával za cenovým růstem. Na konci loňského roku byla meziročně o 1,96 p. b. vyšší průměrná úroková sazba úvěrů na bydlení (4,88 %). Meziroční dynamika úvěrů na bydlení tak pokračovala v poklesu. Objem poskytnutých úvěrů na bydlení byl ke konci roku meziročně vyšší o 4,8 %, což je nejmenší přírůstek od 2. čtvrtletí 2013. Objem nových hypotečních úvěrů</w:t>
            </w:r>
            <w:r>
              <w:rPr>
                <w:rStyle w:val="Znakapoznpodarou"/>
                <w:lang w:eastAsia="en-US"/>
              </w:rPr>
              <w:footnoteReference w:id="88"/>
            </w:r>
            <w:r>
              <w:rPr>
                <w:lang w:eastAsia="en-US"/>
              </w:rPr>
              <w:t xml:space="preserve"> se po ohromné expanzi z roku 2021 loni prudce propadl. Pokles se týkal zejména čistých nových úvěrů. Většinu z nových úvěrů tvořila ve 2.</w:t>
            </w:r>
            <w:r>
              <w:t> </w:t>
            </w:r>
            <w:r>
              <w:rPr>
                <w:lang w:eastAsia="en-US"/>
              </w:rPr>
              <w:t xml:space="preserve">pololetí 2022 ostatní ujednání, tedy úvěry, u kterých končily fixace úrokové sazby.  </w:t>
            </w:r>
          </w:p>
        </w:tc>
      </w:tr>
      <w:tr w:rsidR="007A6A6E" w14:paraId="211E8A39" w14:textId="77777777" w:rsidTr="00163868">
        <w:trPr>
          <w:trHeight w:val="145"/>
        </w:trPr>
        <w:tc>
          <w:tcPr>
            <w:tcW w:w="1802" w:type="dxa"/>
          </w:tcPr>
          <w:p w14:paraId="197EEE83" w14:textId="77777777" w:rsidR="007A6A6E" w:rsidRDefault="007A6A6E" w:rsidP="00163868">
            <w:pPr>
              <w:pStyle w:val="Marginlie"/>
              <w:rPr>
                <w:lang w:eastAsia="en-US"/>
              </w:rPr>
            </w:pPr>
            <w:r>
              <w:rPr>
                <w:lang w:eastAsia="en-US"/>
              </w:rPr>
              <w:t>Podniky ve velké míře pořizovaly úvěry v cizí měně.</w:t>
            </w:r>
          </w:p>
        </w:tc>
        <w:tc>
          <w:tcPr>
            <w:tcW w:w="229" w:type="dxa"/>
          </w:tcPr>
          <w:p w14:paraId="3590CB11" w14:textId="77777777" w:rsidR="007A6A6E" w:rsidRDefault="007A6A6E" w:rsidP="00163868">
            <w:pPr>
              <w:pStyle w:val="Textpoznpodarou"/>
              <w:jc w:val="both"/>
              <w:rPr>
                <w:spacing w:val="-4"/>
                <w:lang w:eastAsia="en-US"/>
              </w:rPr>
            </w:pPr>
          </w:p>
        </w:tc>
        <w:tc>
          <w:tcPr>
            <w:tcW w:w="7610" w:type="dxa"/>
          </w:tcPr>
          <w:p w14:paraId="0ECB1CDA" w14:textId="1D7170C3" w:rsidR="007A6A6E" w:rsidRDefault="007A6A6E" w:rsidP="00163868">
            <w:pPr>
              <w:rPr>
                <w:lang w:eastAsia="en-US"/>
              </w:rPr>
            </w:pPr>
            <w:r>
              <w:rPr>
                <w:lang w:eastAsia="en-US"/>
              </w:rPr>
              <w:t>Loni se prudce navyšovaly také úrokové sazby úvěrů pro podniky. Úvěry s objemem do 7,5 mil. korun byly ke konci roku úročeny v průměru 7,54 % (meziročně +2,68 p. b.), úvěry mezi 7,5 a 30 mil. měly průměrnou sazbu 8,03 % (+3,32 p. b.) a úvěry nad 30 mil. byly úročeny 9,17 % (meziročně +4,79 p. b.). Celkový objem úvěrů a pohledávek nefinančních podniků byl ke konci prosince meziročně vyšší o 4,1 %. Přitom se ale úvěry a pohledávky v korunách meziročně propadly o 13,2 %, zatímco úvěry v cizí měně narostly o 36,6 %</w:t>
            </w:r>
            <w:r>
              <w:rPr>
                <w:rStyle w:val="Znakapoznpodarou"/>
                <w:lang w:eastAsia="en-US"/>
              </w:rPr>
              <w:footnoteReference w:id="89"/>
            </w:r>
            <w:r>
              <w:rPr>
                <w:lang w:eastAsia="en-US"/>
              </w:rPr>
              <w:t>. Ke konci prosince vykazovaly největší meziroční navýšení úvěry poskytnuté v odvětví peněžnictví a pojišťovnictví (22,0 %), veřejná správa a obrana, povinné sociální zabezpečení, vzdělávání, zdravotní a sociální péče (10,1 %), velkoobchod a maloobchod, opravy a údržba motorových vozidel (9,2 %), stavebnictví a činnosti v oblasti nemovitostí (shodně o 7,1 %). Úvěry pro informační a komunikační činnosti byly ke konci roku 2022 meziročně o 11,1 % nižší.</w:t>
            </w:r>
          </w:p>
        </w:tc>
      </w:tr>
      <w:tr w:rsidR="007A6A6E" w14:paraId="17C9ACE9" w14:textId="77777777" w:rsidTr="00163868">
        <w:trPr>
          <w:trHeight w:val="304"/>
        </w:trPr>
        <w:tc>
          <w:tcPr>
            <w:tcW w:w="1802" w:type="dxa"/>
            <w:vMerge w:val="restart"/>
          </w:tcPr>
          <w:p w14:paraId="2BA97AEF" w14:textId="77777777" w:rsidR="007A6A6E" w:rsidRDefault="007A6A6E" w:rsidP="00163868">
            <w:pPr>
              <w:pStyle w:val="Marginlie"/>
              <w:rPr>
                <w:lang w:eastAsia="en-US"/>
              </w:rPr>
            </w:pPr>
          </w:p>
        </w:tc>
        <w:tc>
          <w:tcPr>
            <w:tcW w:w="229" w:type="dxa"/>
            <w:vMerge w:val="restart"/>
          </w:tcPr>
          <w:p w14:paraId="1FDDEE94" w14:textId="77777777" w:rsidR="007A6A6E" w:rsidRDefault="007A6A6E" w:rsidP="00163868">
            <w:pPr>
              <w:pStyle w:val="Textpoznpodarou"/>
              <w:jc w:val="both"/>
              <w:rPr>
                <w:spacing w:val="-4"/>
                <w:lang w:eastAsia="en-US"/>
              </w:rPr>
            </w:pPr>
          </w:p>
        </w:tc>
        <w:tc>
          <w:tcPr>
            <w:tcW w:w="7610" w:type="dxa"/>
            <w:hideMark/>
          </w:tcPr>
          <w:p w14:paraId="20166FBF" w14:textId="1F35FADD" w:rsidR="007A6A6E" w:rsidRPr="00D721B4" w:rsidRDefault="008F525A" w:rsidP="00163868">
            <w:pPr>
              <w:spacing w:after="0"/>
              <w:rPr>
                <w:szCs w:val="20"/>
                <w:lang w:eastAsia="en-US"/>
              </w:rPr>
            </w:pPr>
            <w:r>
              <w:rPr>
                <w:rFonts w:cs="Arial"/>
                <w:b/>
                <w:bCs/>
                <w:color w:val="000000"/>
                <w:szCs w:val="20"/>
                <w:lang w:eastAsia="en-US"/>
              </w:rPr>
              <w:t>Graf č. 17</w:t>
            </w:r>
            <w:r w:rsidR="007A6A6E" w:rsidRPr="00D721B4">
              <w:rPr>
                <w:rFonts w:cs="Arial"/>
                <w:b/>
                <w:bCs/>
                <w:color w:val="000000"/>
                <w:szCs w:val="20"/>
                <w:lang w:eastAsia="en-US"/>
              </w:rPr>
              <w:t xml:space="preserve"> </w:t>
            </w:r>
            <w:r w:rsidR="007A6A6E" w:rsidRPr="00D721B4">
              <w:rPr>
                <w:b/>
                <w:spacing w:val="-4"/>
                <w:szCs w:val="20"/>
                <w:lang w:eastAsia="en-US"/>
              </w:rPr>
              <w:t xml:space="preserve">Tržní úrokové sazby </w:t>
            </w:r>
            <w:r w:rsidR="007A6A6E" w:rsidRPr="00D721B4">
              <w:rPr>
                <w:bCs/>
                <w:spacing w:val="-4"/>
                <w:szCs w:val="20"/>
                <w:lang w:eastAsia="en-US"/>
              </w:rPr>
              <w:t>(v</w:t>
            </w:r>
            <w:r w:rsidR="007A6A6E">
              <w:rPr>
                <w:bCs/>
                <w:spacing w:val="-4"/>
                <w:szCs w:val="20"/>
                <w:lang w:eastAsia="en-US"/>
              </w:rPr>
              <w:t> %</w:t>
            </w:r>
            <w:r w:rsidR="007A6A6E" w:rsidRPr="00D721B4">
              <w:rPr>
                <w:bCs/>
                <w:spacing w:val="-4"/>
                <w:szCs w:val="20"/>
                <w:lang w:eastAsia="en-US"/>
              </w:rPr>
              <w:t>)</w:t>
            </w:r>
          </w:p>
        </w:tc>
      </w:tr>
      <w:tr w:rsidR="007A6A6E" w14:paraId="7EDFB7F5" w14:textId="77777777" w:rsidTr="00163868">
        <w:tblPrEx>
          <w:tblCellMar>
            <w:left w:w="70" w:type="dxa"/>
            <w:right w:w="70" w:type="dxa"/>
          </w:tblCellMar>
        </w:tblPrEx>
        <w:trPr>
          <w:trHeight w:val="170"/>
        </w:trPr>
        <w:tc>
          <w:tcPr>
            <w:tcW w:w="1802" w:type="dxa"/>
            <w:vMerge/>
            <w:vAlign w:val="center"/>
            <w:hideMark/>
          </w:tcPr>
          <w:p w14:paraId="2EFB14CD" w14:textId="77777777" w:rsidR="007A6A6E" w:rsidRDefault="007A6A6E" w:rsidP="00163868">
            <w:pPr>
              <w:spacing w:after="0" w:line="240" w:lineRule="auto"/>
              <w:jc w:val="left"/>
              <w:rPr>
                <w:spacing w:val="-2"/>
                <w:sz w:val="16"/>
                <w:szCs w:val="16"/>
                <w:lang w:eastAsia="en-US"/>
              </w:rPr>
            </w:pPr>
          </w:p>
        </w:tc>
        <w:tc>
          <w:tcPr>
            <w:tcW w:w="229" w:type="dxa"/>
            <w:vMerge/>
            <w:vAlign w:val="center"/>
            <w:hideMark/>
          </w:tcPr>
          <w:p w14:paraId="7159D21D" w14:textId="77777777" w:rsidR="007A6A6E" w:rsidRDefault="007A6A6E" w:rsidP="00163868">
            <w:pPr>
              <w:spacing w:after="0" w:line="240" w:lineRule="auto"/>
              <w:jc w:val="left"/>
              <w:rPr>
                <w:rFonts w:eastAsia="Calibri"/>
                <w:spacing w:val="-4"/>
                <w:szCs w:val="20"/>
                <w:lang w:eastAsia="en-US"/>
              </w:rPr>
            </w:pPr>
          </w:p>
        </w:tc>
        <w:tc>
          <w:tcPr>
            <w:tcW w:w="7610" w:type="dxa"/>
            <w:hideMark/>
          </w:tcPr>
          <w:p w14:paraId="1DDE93FB" w14:textId="77777777" w:rsidR="007A6A6E" w:rsidRDefault="007A6A6E" w:rsidP="00163868">
            <w:pPr>
              <w:spacing w:after="0"/>
              <w:rPr>
                <w:sz w:val="14"/>
                <w:szCs w:val="14"/>
                <w:lang w:eastAsia="en-US"/>
              </w:rPr>
            </w:pPr>
            <w:r>
              <w:rPr>
                <w:noProof/>
              </w:rPr>
              <w:drawing>
                <wp:inline distT="0" distB="0" distL="0" distR="0" wp14:anchorId="6549D6F9" wp14:editId="5CC908AA">
                  <wp:extent cx="4737600" cy="3553200"/>
                  <wp:effectExtent l="0" t="0" r="6350" b="0"/>
                  <wp:docPr id="44" name="Graf 4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A6A6E" w14:paraId="508E6FED" w14:textId="77777777" w:rsidTr="00163868">
        <w:trPr>
          <w:trHeight w:val="170"/>
        </w:trPr>
        <w:tc>
          <w:tcPr>
            <w:tcW w:w="0" w:type="auto"/>
            <w:vMerge/>
            <w:vAlign w:val="center"/>
            <w:hideMark/>
          </w:tcPr>
          <w:p w14:paraId="67A11F8C" w14:textId="77777777" w:rsidR="007A6A6E" w:rsidRDefault="007A6A6E" w:rsidP="00163868">
            <w:pPr>
              <w:spacing w:after="0" w:line="240" w:lineRule="auto"/>
              <w:jc w:val="left"/>
              <w:rPr>
                <w:spacing w:val="-2"/>
                <w:sz w:val="16"/>
                <w:szCs w:val="16"/>
                <w:lang w:eastAsia="en-US"/>
              </w:rPr>
            </w:pPr>
          </w:p>
        </w:tc>
        <w:tc>
          <w:tcPr>
            <w:tcW w:w="0" w:type="auto"/>
            <w:vMerge/>
            <w:vAlign w:val="center"/>
            <w:hideMark/>
          </w:tcPr>
          <w:p w14:paraId="2B442D48" w14:textId="77777777" w:rsidR="007A6A6E" w:rsidRDefault="007A6A6E" w:rsidP="00163868">
            <w:pPr>
              <w:spacing w:after="0" w:line="240" w:lineRule="auto"/>
              <w:jc w:val="left"/>
              <w:rPr>
                <w:rFonts w:eastAsia="Calibri"/>
                <w:spacing w:val="-4"/>
                <w:szCs w:val="20"/>
                <w:lang w:eastAsia="en-US"/>
              </w:rPr>
            </w:pPr>
          </w:p>
        </w:tc>
        <w:tc>
          <w:tcPr>
            <w:tcW w:w="7610" w:type="dxa"/>
            <w:hideMark/>
          </w:tcPr>
          <w:p w14:paraId="7189DA73" w14:textId="77777777" w:rsidR="007A6A6E" w:rsidRDefault="007A6A6E" w:rsidP="00163868">
            <w:pPr>
              <w:spacing w:after="0"/>
              <w:rPr>
                <w:sz w:val="14"/>
                <w:szCs w:val="14"/>
                <w:lang w:eastAsia="en-US"/>
              </w:rPr>
            </w:pPr>
            <w:r>
              <w:rPr>
                <w:sz w:val="14"/>
                <w:szCs w:val="14"/>
                <w:lang w:eastAsia="en-US"/>
              </w:rPr>
              <w:t>Zdroj: ČNB</w:t>
            </w:r>
          </w:p>
        </w:tc>
      </w:tr>
    </w:tbl>
    <w:p w14:paraId="0368C492" w14:textId="77777777" w:rsidR="007A6A6E" w:rsidRPr="00E42054" w:rsidRDefault="007A6A6E" w:rsidP="007A6A6E">
      <w:pPr>
        <w:pStyle w:val="Nadpis11"/>
        <w:rPr>
          <w:b w:val="0"/>
          <w:sz w:val="2"/>
          <w:szCs w:val="2"/>
        </w:rPr>
      </w:pPr>
    </w:p>
    <w:p w14:paraId="100CE809" w14:textId="77777777" w:rsidR="001C3855" w:rsidRDefault="001C3855" w:rsidP="00C15537">
      <w:pPr>
        <w:pStyle w:val="Nadpis11"/>
        <w:rPr>
          <w:szCs w:val="32"/>
        </w:rPr>
      </w:pPr>
      <w:r>
        <w:rPr>
          <w:szCs w:val="32"/>
        </w:rPr>
        <w:br w:type="page"/>
      </w:r>
    </w:p>
    <w:p w14:paraId="5B2C737B" w14:textId="6E592835" w:rsidR="00C15537" w:rsidRDefault="00C15537" w:rsidP="00C15537">
      <w:pPr>
        <w:pStyle w:val="Nadpis11"/>
      </w:pPr>
      <w:bookmarkStart w:id="36" w:name="_Toc130286023"/>
      <w:r w:rsidRPr="00787441">
        <w:rPr>
          <w:szCs w:val="32"/>
        </w:rPr>
        <w:lastRenderedPageBreak/>
        <w:t>8</w:t>
      </w:r>
      <w:r>
        <w:t>. </w:t>
      </w:r>
      <w:r w:rsidRPr="009110F7">
        <w:t>Státní rozpočet</w:t>
      </w:r>
      <w:bookmarkEnd w:id="36"/>
    </w:p>
    <w:tbl>
      <w:tblPr>
        <w:tblW w:w="9669" w:type="dxa"/>
        <w:tblInd w:w="-20" w:type="dxa"/>
        <w:tblCellMar>
          <w:left w:w="0" w:type="dxa"/>
          <w:right w:w="0" w:type="dxa"/>
        </w:tblCellMar>
        <w:tblLook w:val="00A0" w:firstRow="1" w:lastRow="0" w:firstColumn="1" w:lastColumn="0" w:noHBand="0" w:noVBand="0"/>
      </w:tblPr>
      <w:tblGrid>
        <w:gridCol w:w="1773"/>
        <w:gridCol w:w="217"/>
        <w:gridCol w:w="7679"/>
      </w:tblGrid>
      <w:tr w:rsidR="001C3855" w:rsidRPr="003C07E6" w14:paraId="7190197A" w14:textId="77777777" w:rsidTr="00C8019E">
        <w:trPr>
          <w:trHeight w:val="145"/>
        </w:trPr>
        <w:tc>
          <w:tcPr>
            <w:tcW w:w="1773" w:type="dxa"/>
            <w:shd w:val="clear" w:color="auto" w:fill="auto"/>
            <w:tcMar>
              <w:left w:w="0" w:type="dxa"/>
            </w:tcMar>
          </w:tcPr>
          <w:p w14:paraId="2009B53F" w14:textId="77777777" w:rsidR="001C3855" w:rsidRDefault="001C3855" w:rsidP="00C8019E">
            <w:pPr>
              <w:pStyle w:val="Marginlie"/>
              <w:rPr>
                <w:spacing w:val="-5"/>
              </w:rPr>
            </w:pPr>
            <w:r>
              <w:rPr>
                <w:spacing w:val="-5"/>
              </w:rPr>
              <w:t>Státní rozpočet loni hospodařil s hlubokým deficitem třetí rok v řadě.</w:t>
            </w:r>
          </w:p>
          <w:p w14:paraId="2F7AFF97" w14:textId="77777777" w:rsidR="001C3855" w:rsidRDefault="001C3855" w:rsidP="00C8019E">
            <w:pPr>
              <w:pStyle w:val="Marginlie"/>
              <w:rPr>
                <w:spacing w:val="-5"/>
              </w:rPr>
            </w:pPr>
          </w:p>
          <w:p w14:paraId="1CAC0532" w14:textId="77777777" w:rsidR="001C3855" w:rsidRDefault="001C3855" w:rsidP="00C8019E">
            <w:pPr>
              <w:pStyle w:val="Marginlie"/>
              <w:rPr>
                <w:spacing w:val="-5"/>
              </w:rPr>
            </w:pPr>
          </w:p>
          <w:p w14:paraId="0E5011A1" w14:textId="77777777" w:rsidR="001C3855" w:rsidRDefault="001C3855" w:rsidP="00C8019E">
            <w:pPr>
              <w:pStyle w:val="Marginlie"/>
              <w:rPr>
                <w:spacing w:val="-5"/>
              </w:rPr>
            </w:pPr>
          </w:p>
          <w:p w14:paraId="30C10563" w14:textId="77777777" w:rsidR="001C3855" w:rsidRDefault="001C3855" w:rsidP="00C8019E">
            <w:pPr>
              <w:pStyle w:val="Marginlie"/>
              <w:rPr>
                <w:spacing w:val="-5"/>
              </w:rPr>
            </w:pPr>
          </w:p>
          <w:p w14:paraId="77F86DC5" w14:textId="77777777" w:rsidR="001C3855" w:rsidRDefault="001C3855" w:rsidP="00C8019E">
            <w:pPr>
              <w:pStyle w:val="Marginlie"/>
              <w:rPr>
                <w:spacing w:val="-5"/>
              </w:rPr>
            </w:pPr>
          </w:p>
          <w:p w14:paraId="1098115C" w14:textId="77777777" w:rsidR="001C3855" w:rsidRDefault="001C3855" w:rsidP="00C8019E">
            <w:pPr>
              <w:pStyle w:val="Marginlie"/>
              <w:rPr>
                <w:spacing w:val="-5"/>
              </w:rPr>
            </w:pPr>
          </w:p>
          <w:p w14:paraId="34DEB463" w14:textId="77777777" w:rsidR="001C3855" w:rsidRPr="00980316" w:rsidRDefault="001C3855" w:rsidP="00C8019E">
            <w:pPr>
              <w:pStyle w:val="Marginlie"/>
              <w:rPr>
                <w:spacing w:val="-5"/>
              </w:rPr>
            </w:pPr>
            <w:r>
              <w:rPr>
                <w:spacing w:val="-5"/>
              </w:rPr>
              <w:t xml:space="preserve">Dopady války na Ukrajině ovlivnily celkové příjmy </w:t>
            </w:r>
            <w:r>
              <w:rPr>
                <w:spacing w:val="-5"/>
              </w:rPr>
              <w:br/>
              <w:t>i výdaje. Ty zůstaly shodně o 3,7 % za rozpočtovým očekáváním.</w:t>
            </w:r>
          </w:p>
        </w:tc>
        <w:tc>
          <w:tcPr>
            <w:tcW w:w="217" w:type="dxa"/>
            <w:shd w:val="clear" w:color="auto" w:fill="auto"/>
            <w:tcMar>
              <w:left w:w="0" w:type="dxa"/>
            </w:tcMar>
          </w:tcPr>
          <w:p w14:paraId="5EBB1C1F" w14:textId="77777777" w:rsidR="001C3855" w:rsidRDefault="001C3855" w:rsidP="00C8019E">
            <w:pPr>
              <w:pStyle w:val="Textpoznpodarou"/>
              <w:jc w:val="both"/>
              <w:rPr>
                <w:spacing w:val="-4"/>
              </w:rPr>
            </w:pPr>
          </w:p>
        </w:tc>
        <w:tc>
          <w:tcPr>
            <w:tcW w:w="7679" w:type="dxa"/>
            <w:shd w:val="clear" w:color="auto" w:fill="auto"/>
            <w:tcMar>
              <w:left w:w="0" w:type="dxa"/>
            </w:tcMar>
          </w:tcPr>
          <w:p w14:paraId="4B32A927" w14:textId="77777777" w:rsidR="001C3855" w:rsidRDefault="001C3855" w:rsidP="00C8019E">
            <w:pPr>
              <w:spacing w:after="220"/>
              <w:rPr>
                <w:spacing w:val="-4"/>
              </w:rPr>
            </w:pPr>
            <w:r>
              <w:rPr>
                <w:spacing w:val="-4"/>
              </w:rPr>
              <w:t xml:space="preserve">Za celý rok 2022 skončilo hospodaření státního rozpočtu </w:t>
            </w:r>
            <w:r w:rsidRPr="00A92514">
              <w:rPr>
                <w:spacing w:val="-4"/>
              </w:rPr>
              <w:t>(SR)</w:t>
            </w:r>
            <w:r w:rsidRPr="00A92514">
              <w:rPr>
                <w:rStyle w:val="Znakapoznpodarou"/>
                <w:spacing w:val="-4"/>
              </w:rPr>
              <w:footnoteReference w:id="90"/>
            </w:r>
            <w:r>
              <w:rPr>
                <w:spacing w:val="-4"/>
              </w:rPr>
              <w:t xml:space="preserve"> deficitem ve výši </w:t>
            </w:r>
            <w:r>
              <w:rPr>
                <w:spacing w:val="-4"/>
              </w:rPr>
              <w:br/>
              <w:t>360,4 mld. korun, jenž se významně neodchýlil od rozpočtového očekávání</w:t>
            </w:r>
            <w:r>
              <w:rPr>
                <w:rStyle w:val="Znakapoznpodarou"/>
                <w:spacing w:val="-4"/>
              </w:rPr>
              <w:footnoteReference w:id="91"/>
            </w:r>
            <w:r>
              <w:rPr>
                <w:spacing w:val="-4"/>
              </w:rPr>
              <w:t>. Hluboký schodek byl zaznamenán již třetím rokem v řadě, loňský výsledek byl však v tomto ohledu relativně nejpříznivější</w:t>
            </w:r>
            <w:r>
              <w:rPr>
                <w:rStyle w:val="Znakapoznpodarou"/>
                <w:spacing w:val="-4"/>
              </w:rPr>
              <w:footnoteReference w:id="92"/>
            </w:r>
            <w:r>
              <w:rPr>
                <w:spacing w:val="-4"/>
              </w:rPr>
              <w:t>. Za meziročním snížením celkového schodku stálo loni převážně příznivější hospodaření SR v 1. čtvrtletí, kdy deficit nepřesáhl 60 mld. korun. Tehdy již na rozdíl od počátku roku 2021 nebyla vlivem protipandemických restrikcí omezena ekonomická aktivita a citelně také poklesla potřeba pomoci postiženým podnikům i domácnostem. V další části roku 2022 došlo vlivem války na Ukrajině k razantní akceleraci růstu cen energií i paliv. Nárůst cen postupně prostoupil celou tuzemskou ekonomikou a nasměroval ji na sestupnou fázi hospodářského cyklu. Tyto vlivy se zpočátku negativně projevily spíše na výdajové straně rozpočtu – vyššími sociálními transfery (vč. těch spojených</w:t>
            </w:r>
            <w:r w:rsidRPr="00A92514">
              <w:rPr>
                <w:spacing w:val="-4"/>
              </w:rPr>
              <w:t xml:space="preserve"> s uprchlickou vlnou z</w:t>
            </w:r>
            <w:r>
              <w:rPr>
                <w:spacing w:val="-4"/>
              </w:rPr>
              <w:t> </w:t>
            </w:r>
            <w:r w:rsidRPr="00A92514">
              <w:rPr>
                <w:spacing w:val="-4"/>
              </w:rPr>
              <w:t>Ukrajiny</w:t>
            </w:r>
            <w:r>
              <w:rPr>
                <w:spacing w:val="-4"/>
              </w:rPr>
              <w:t xml:space="preserve">), úhradami části nákladů na energie domácnostem, nákladnějším běžným </w:t>
            </w:r>
            <w:r w:rsidRPr="002149CA">
              <w:rPr>
                <w:spacing w:val="-5"/>
              </w:rPr>
              <w:t>provozem státu i prodražováním plánovaných investic. V závěru roku byl ale stále více patrný</w:t>
            </w:r>
            <w:r>
              <w:rPr>
                <w:spacing w:val="-4"/>
              </w:rPr>
              <w:t xml:space="preserve"> i jejich negativní dopad na rozpočtové příjmy – především v oblasti nepřímých daní. Jak celoroční celkové příjmy, tak výdaje zůstaly za rozpočtovým očekáváním (shodně o 3,7 %).</w:t>
            </w:r>
          </w:p>
        </w:tc>
      </w:tr>
      <w:tr w:rsidR="001C3855" w:rsidRPr="003C07E6" w14:paraId="2A7B1266" w14:textId="77777777" w:rsidTr="00C8019E">
        <w:trPr>
          <w:trHeight w:val="145"/>
        </w:trPr>
        <w:tc>
          <w:tcPr>
            <w:tcW w:w="1773" w:type="dxa"/>
            <w:shd w:val="clear" w:color="auto" w:fill="auto"/>
            <w:tcMar>
              <w:left w:w="0" w:type="dxa"/>
            </w:tcMar>
          </w:tcPr>
          <w:p w14:paraId="402E5522" w14:textId="77777777" w:rsidR="001C3855" w:rsidRPr="00980316" w:rsidRDefault="001C3855" w:rsidP="00C8019E">
            <w:pPr>
              <w:pStyle w:val="Marginlie"/>
              <w:rPr>
                <w:spacing w:val="-5"/>
              </w:rPr>
            </w:pPr>
            <w:r>
              <w:rPr>
                <w:spacing w:val="-5"/>
              </w:rPr>
              <w:t>K růstu celkových příjmů nejvíce přispělo vyšší inkaso DPH a pojistné na sociální zabezpečení.</w:t>
            </w:r>
          </w:p>
        </w:tc>
        <w:tc>
          <w:tcPr>
            <w:tcW w:w="217" w:type="dxa"/>
            <w:shd w:val="clear" w:color="auto" w:fill="auto"/>
            <w:tcMar>
              <w:left w:w="0" w:type="dxa"/>
            </w:tcMar>
          </w:tcPr>
          <w:p w14:paraId="4C84BDE9" w14:textId="77777777" w:rsidR="001C3855" w:rsidRDefault="001C3855" w:rsidP="00C8019E">
            <w:pPr>
              <w:pStyle w:val="Textpoznpodarou"/>
              <w:jc w:val="both"/>
              <w:rPr>
                <w:spacing w:val="-4"/>
              </w:rPr>
            </w:pPr>
          </w:p>
        </w:tc>
        <w:tc>
          <w:tcPr>
            <w:tcW w:w="7679" w:type="dxa"/>
            <w:shd w:val="clear" w:color="auto" w:fill="auto"/>
            <w:tcMar>
              <w:left w:w="0" w:type="dxa"/>
            </w:tcMar>
          </w:tcPr>
          <w:p w14:paraId="1B767534" w14:textId="77777777" w:rsidR="001C3855" w:rsidRDefault="001C3855" w:rsidP="00C8019E">
            <w:pPr>
              <w:spacing w:after="220"/>
              <w:rPr>
                <w:spacing w:val="-4"/>
              </w:rPr>
            </w:pPr>
            <w:r w:rsidRPr="00670091">
              <w:rPr>
                <w:color w:val="0D0D0D" w:themeColor="text1" w:themeTint="F2"/>
                <w:spacing w:val="-4"/>
                <w:szCs w:val="16"/>
              </w:rPr>
              <w:t xml:space="preserve">Celkové příjmy SR se </w:t>
            </w:r>
            <w:r>
              <w:rPr>
                <w:spacing w:val="-4"/>
                <w:szCs w:val="16"/>
              </w:rPr>
              <w:t>v roce 2022 meziročně zvýšily o 9,2 % (+137,2</w:t>
            </w:r>
            <w:r w:rsidRPr="004B3C23">
              <w:rPr>
                <w:spacing w:val="-4"/>
                <w:szCs w:val="16"/>
              </w:rPr>
              <w:t xml:space="preserve"> mld. korun).</w:t>
            </w:r>
            <w:r>
              <w:rPr>
                <w:spacing w:val="-4"/>
                <w:szCs w:val="16"/>
              </w:rPr>
              <w:t xml:space="preserve"> Stály za tím hlavně vyšší daňové příjmy, zejména z DPH (+46,7 mld. korun), i růst výběru povinného pojistného na sociální zabezpečení (+35,9 mld.). Mírně pozitivně působily v úhrnu nedaňové a kapitálové příjmy a transfery (+5,5 mld. korun), a to primárně vlivem plánovaného převodu </w:t>
            </w:r>
            <w:r w:rsidRPr="00E57C46">
              <w:rPr>
                <w:spacing w:val="-4"/>
                <w:szCs w:val="16"/>
              </w:rPr>
              <w:t xml:space="preserve">prostředků </w:t>
            </w:r>
            <w:r w:rsidRPr="00E712F5">
              <w:rPr>
                <w:color w:val="0D0D0D" w:themeColor="text1" w:themeTint="F2"/>
                <w:spacing w:val="-4"/>
                <w:szCs w:val="16"/>
              </w:rPr>
              <w:t>z privatizačního účtu do příjmů SR uskutečněné</w:t>
            </w:r>
            <w:r>
              <w:rPr>
                <w:color w:val="0D0D0D" w:themeColor="text1" w:themeTint="F2"/>
                <w:spacing w:val="-4"/>
                <w:szCs w:val="16"/>
              </w:rPr>
              <w:t>ho</w:t>
            </w:r>
            <w:r w:rsidRPr="00E712F5">
              <w:rPr>
                <w:color w:val="0D0D0D" w:themeColor="text1" w:themeTint="F2"/>
                <w:spacing w:val="-4"/>
                <w:szCs w:val="16"/>
              </w:rPr>
              <w:t xml:space="preserve"> v prosinci 2022. Vzrostly také výnosy z dividend (o 14 mld. korun). Díky tomu došlo ke kompenzaci neočekávaného výpadku příjmů z rozpočtu EU (jejich objem byl </w:t>
            </w:r>
            <w:r>
              <w:rPr>
                <w:color w:val="0D0D0D" w:themeColor="text1" w:themeTint="F2"/>
                <w:spacing w:val="-4"/>
                <w:szCs w:val="16"/>
              </w:rPr>
              <w:t>meziročně nižší o 6,6</w:t>
            </w:r>
            <w:r w:rsidRPr="00E712F5">
              <w:rPr>
                <w:color w:val="0D0D0D" w:themeColor="text1" w:themeTint="F2"/>
                <w:spacing w:val="-4"/>
                <w:szCs w:val="16"/>
              </w:rPr>
              <w:t xml:space="preserve"> % a </w:t>
            </w:r>
            <w:r>
              <w:rPr>
                <w:color w:val="0D0D0D" w:themeColor="text1" w:themeTint="F2"/>
                <w:spacing w:val="-4"/>
                <w:szCs w:val="16"/>
              </w:rPr>
              <w:t>nedosáhl ani</w:t>
            </w:r>
            <w:r w:rsidRPr="00E712F5">
              <w:rPr>
                <w:color w:val="0D0D0D" w:themeColor="text1" w:themeTint="F2"/>
                <w:spacing w:val="-4"/>
                <w:szCs w:val="16"/>
              </w:rPr>
              <w:t xml:space="preserve"> tří pětin celoroční rozpočtově očekávané výše)</w:t>
            </w:r>
            <w:r w:rsidRPr="00E712F5">
              <w:rPr>
                <w:rStyle w:val="Znakapoznpodarou"/>
                <w:color w:val="0D0D0D" w:themeColor="text1" w:themeTint="F2"/>
                <w:spacing w:val="-4"/>
                <w:szCs w:val="16"/>
              </w:rPr>
              <w:footnoteReference w:id="93"/>
            </w:r>
            <w:r w:rsidRPr="00E712F5">
              <w:rPr>
                <w:color w:val="0D0D0D" w:themeColor="text1" w:themeTint="F2"/>
                <w:spacing w:val="-4"/>
                <w:szCs w:val="16"/>
              </w:rPr>
              <w:t xml:space="preserve">. </w:t>
            </w:r>
            <w:r w:rsidRPr="00E712F5">
              <w:rPr>
                <w:color w:val="0D0D0D" w:themeColor="text1" w:themeTint="F2"/>
                <w:spacing w:val="-4"/>
              </w:rPr>
              <w:t>Celostátní daňové inkaso (bez pojistného) vzrostlo loni meziročně o 13,2 %, ve druhém pololetí byl však patrný dopad slábnoucího výkonu ekonomiky. Zatímco ve 2. čtvrtletí posílilo toto inkaso o 22,5 %, v posledním kvartálu již jen o 7,2 %. Zpomalení odráželo vývoj inkasa nepřímých daní, u přímých daní se zatím tento</w:t>
            </w:r>
            <w:r>
              <w:rPr>
                <w:color w:val="0D0D0D" w:themeColor="text1" w:themeTint="F2"/>
                <w:spacing w:val="-4"/>
              </w:rPr>
              <w:t xml:space="preserve"> trend</w:t>
            </w:r>
            <w:r w:rsidRPr="00E712F5">
              <w:rPr>
                <w:color w:val="0D0D0D" w:themeColor="text1" w:themeTint="F2"/>
                <w:spacing w:val="-4"/>
              </w:rPr>
              <w:t xml:space="preserve"> neprojevoval. </w:t>
            </w:r>
          </w:p>
        </w:tc>
      </w:tr>
      <w:tr w:rsidR="001C3855" w:rsidRPr="003C07E6" w14:paraId="49D34C2A" w14:textId="77777777" w:rsidTr="00C8019E">
        <w:trPr>
          <w:trHeight w:val="145"/>
        </w:trPr>
        <w:tc>
          <w:tcPr>
            <w:tcW w:w="1773" w:type="dxa"/>
            <w:shd w:val="clear" w:color="auto" w:fill="auto"/>
            <w:tcMar>
              <w:left w:w="0" w:type="dxa"/>
            </w:tcMar>
          </w:tcPr>
          <w:p w14:paraId="4E7DA9F9" w14:textId="77777777" w:rsidR="001C3855" w:rsidRPr="00980316" w:rsidRDefault="001C3855" w:rsidP="00C8019E">
            <w:pPr>
              <w:pStyle w:val="Marginlie"/>
              <w:rPr>
                <w:spacing w:val="-5"/>
              </w:rPr>
            </w:pPr>
            <w:r>
              <w:rPr>
                <w:spacing w:val="-5"/>
              </w:rPr>
              <w:t>Svižný růst výběru DPH byl výrazně ovlivněn rostoucí cenovou hladinou, ve 2. pololetí se začal projevovat i vliv slábnoucí spotřeby domácností.</w:t>
            </w:r>
          </w:p>
        </w:tc>
        <w:tc>
          <w:tcPr>
            <w:tcW w:w="217" w:type="dxa"/>
            <w:shd w:val="clear" w:color="auto" w:fill="auto"/>
            <w:tcMar>
              <w:left w:w="0" w:type="dxa"/>
            </w:tcMar>
          </w:tcPr>
          <w:p w14:paraId="45EE83E8" w14:textId="77777777" w:rsidR="001C3855" w:rsidRDefault="001C3855" w:rsidP="00C8019E">
            <w:pPr>
              <w:pStyle w:val="Textpoznpodarou"/>
              <w:jc w:val="both"/>
              <w:rPr>
                <w:spacing w:val="-4"/>
              </w:rPr>
            </w:pPr>
          </w:p>
        </w:tc>
        <w:tc>
          <w:tcPr>
            <w:tcW w:w="7679" w:type="dxa"/>
            <w:shd w:val="clear" w:color="auto" w:fill="auto"/>
            <w:tcMar>
              <w:left w:w="0" w:type="dxa"/>
            </w:tcMar>
          </w:tcPr>
          <w:p w14:paraId="6A473BF0" w14:textId="77777777" w:rsidR="001C3855" w:rsidRDefault="001C3855" w:rsidP="00C8019E">
            <w:pPr>
              <w:spacing w:after="220"/>
              <w:rPr>
                <w:spacing w:val="-4"/>
              </w:rPr>
            </w:pPr>
            <w:r>
              <w:rPr>
                <w:spacing w:val="-4"/>
              </w:rPr>
              <w:t xml:space="preserve">Z váhově dominantní daně </w:t>
            </w:r>
            <w:r w:rsidRPr="00DB5C82">
              <w:rPr>
                <w:spacing w:val="-4"/>
              </w:rPr>
              <w:t>– DPH</w:t>
            </w:r>
            <w:r>
              <w:rPr>
                <w:spacing w:val="-4"/>
              </w:rPr>
              <w:t xml:space="preserve"> – získal SR vloni meziročně o 15,6 % více. Šlo o nejvyšší růst v současném miléniu, za kterým stála především cenová akcelerace</w:t>
            </w:r>
            <w:r w:rsidRPr="00A62FEE">
              <w:rPr>
                <w:spacing w:val="-4"/>
              </w:rPr>
              <w:t xml:space="preserve"> váhově významných položek spotřebního koše</w:t>
            </w:r>
            <w:r>
              <w:rPr>
                <w:spacing w:val="-4"/>
              </w:rPr>
              <w:t>. Tempo růstu inkasa v průběhu loňského roku klesalo – ve 3. čtvrtletí činilo 10,9 %, ve 4. čtvrtletí 9,0 %. Negativní efekt poklesu spotřeby domácností stále více tlumil vliv sílících cen (např. potravin). Rovněž n</w:t>
            </w:r>
            <w:r w:rsidRPr="00A62FEE">
              <w:rPr>
                <w:spacing w:val="-4"/>
              </w:rPr>
              <w:t>egativně, av</w:t>
            </w:r>
            <w:r>
              <w:rPr>
                <w:spacing w:val="-4"/>
              </w:rPr>
              <w:t xml:space="preserve">šak řádově méně, působilo </w:t>
            </w:r>
            <w:r w:rsidRPr="00A62FEE">
              <w:rPr>
                <w:spacing w:val="-4"/>
              </w:rPr>
              <w:t>na inkaso i prominutí DPH na vybrané komodity (např. vakcíny, respirátory).</w:t>
            </w:r>
            <w:r>
              <w:rPr>
                <w:spacing w:val="-4"/>
              </w:rPr>
              <w:t xml:space="preserve"> </w:t>
            </w:r>
            <w:r w:rsidRPr="005E6492">
              <w:rPr>
                <w:spacing w:val="-4"/>
              </w:rPr>
              <w:t>Celostátní výběr DPH (na úrovni všec</w:t>
            </w:r>
            <w:r>
              <w:rPr>
                <w:spacing w:val="-4"/>
              </w:rPr>
              <w:t xml:space="preserve">h veřejných rozpočtů) převýšil </w:t>
            </w:r>
            <w:r w:rsidRPr="005E6492">
              <w:rPr>
                <w:spacing w:val="-4"/>
              </w:rPr>
              <w:t>loni inkaso z předkrizového roku 2019 o 24,2 %, téměř sh</w:t>
            </w:r>
            <w:r>
              <w:rPr>
                <w:spacing w:val="-4"/>
              </w:rPr>
              <w:t>odně vzrostly v Česku za stejné období také</w:t>
            </w:r>
            <w:r w:rsidRPr="005E6492">
              <w:rPr>
                <w:spacing w:val="-4"/>
              </w:rPr>
              <w:t xml:space="preserve"> spotřebitelské ceny (23,4 %)</w:t>
            </w:r>
          </w:p>
        </w:tc>
      </w:tr>
      <w:tr w:rsidR="001C3855" w:rsidRPr="003C07E6" w14:paraId="42B6AF57" w14:textId="77777777" w:rsidTr="00C8019E">
        <w:trPr>
          <w:trHeight w:val="145"/>
        </w:trPr>
        <w:tc>
          <w:tcPr>
            <w:tcW w:w="1773" w:type="dxa"/>
            <w:shd w:val="clear" w:color="auto" w:fill="auto"/>
            <w:tcMar>
              <w:left w:w="0" w:type="dxa"/>
            </w:tcMar>
          </w:tcPr>
          <w:p w14:paraId="4A1DC944" w14:textId="77777777" w:rsidR="001C3855" w:rsidRPr="005E6492" w:rsidRDefault="001C3855" w:rsidP="00C8019E">
            <w:pPr>
              <w:pStyle w:val="Marginlie"/>
              <w:rPr>
                <w:color w:val="0D0D0D" w:themeColor="text1" w:themeTint="F2"/>
                <w:spacing w:val="-5"/>
              </w:rPr>
            </w:pPr>
            <w:r w:rsidRPr="002A2B53">
              <w:rPr>
                <w:spacing w:val="-4"/>
              </w:rPr>
              <w:t xml:space="preserve">Výběr spotřebních daní </w:t>
            </w:r>
            <w:r>
              <w:rPr>
                <w:spacing w:val="-4"/>
              </w:rPr>
              <w:t>vzrostl jen mírně</w:t>
            </w:r>
            <w:r w:rsidRPr="002A2B53">
              <w:rPr>
                <w:spacing w:val="-4"/>
              </w:rPr>
              <w:t xml:space="preserve"> </w:t>
            </w:r>
            <w:r>
              <w:rPr>
                <w:spacing w:val="-4"/>
              </w:rPr>
              <w:br/>
            </w:r>
            <w:r w:rsidRPr="002A2B53">
              <w:rPr>
                <w:spacing w:val="-4"/>
              </w:rPr>
              <w:t xml:space="preserve">a </w:t>
            </w:r>
            <w:r>
              <w:rPr>
                <w:spacing w:val="-4"/>
              </w:rPr>
              <w:t xml:space="preserve">u všech významných položek zaostal </w:t>
            </w:r>
            <w:r w:rsidRPr="002A2B53">
              <w:rPr>
                <w:spacing w:val="-4"/>
              </w:rPr>
              <w:t>za rozpočtovým očekáváním</w:t>
            </w:r>
            <w:r>
              <w:rPr>
                <w:spacing w:val="-4"/>
              </w:rPr>
              <w:t>.</w:t>
            </w:r>
          </w:p>
        </w:tc>
        <w:tc>
          <w:tcPr>
            <w:tcW w:w="217" w:type="dxa"/>
            <w:shd w:val="clear" w:color="auto" w:fill="auto"/>
            <w:tcMar>
              <w:left w:w="0" w:type="dxa"/>
            </w:tcMar>
          </w:tcPr>
          <w:p w14:paraId="73BEFFA8" w14:textId="77777777" w:rsidR="001C3855" w:rsidRPr="005E6492"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0162B497" w14:textId="77777777" w:rsidR="001C3855" w:rsidRPr="00E51C90" w:rsidRDefault="001C3855" w:rsidP="00C8019E">
            <w:pPr>
              <w:spacing w:after="220"/>
              <w:rPr>
                <w:spacing w:val="-4"/>
              </w:rPr>
            </w:pPr>
            <w:r>
              <w:rPr>
                <w:color w:val="0D0D0D" w:themeColor="text1" w:themeTint="F2"/>
                <w:spacing w:val="-4"/>
              </w:rPr>
              <w:t>Přestože z</w:t>
            </w:r>
            <w:r w:rsidRPr="00974139">
              <w:rPr>
                <w:color w:val="0D0D0D" w:themeColor="text1" w:themeTint="F2"/>
                <w:spacing w:val="-4"/>
              </w:rPr>
              <w:t xml:space="preserve">e spotřebních daní </w:t>
            </w:r>
            <w:r w:rsidRPr="000A56DA">
              <w:rPr>
                <w:spacing w:val="-4"/>
              </w:rPr>
              <w:t xml:space="preserve">(vč. energetických) </w:t>
            </w:r>
            <w:r>
              <w:rPr>
                <w:spacing w:val="-4"/>
              </w:rPr>
              <w:t xml:space="preserve">plynulo vloni do SR meziročně o 2,2 % více, výše inkasa (obdobně jako u DPH) za rozpočtovým očekáváním zaostala. Výběr váhově nejvýznamnější spotřební daně – z minerálních olejů – oproti roku 2021 poklesl </w:t>
            </w:r>
            <w:r>
              <w:rPr>
                <w:spacing w:val="-4"/>
              </w:rPr>
              <w:br/>
              <w:t>o 4,1 %, (resp. o 3,1 mld. korun) výhradně vlivem nepříznivého vývoje ve 2. pololetí 2022</w:t>
            </w:r>
            <w:r>
              <w:rPr>
                <w:rStyle w:val="Znakapoznpodarou"/>
                <w:spacing w:val="-4"/>
              </w:rPr>
              <w:footnoteReference w:id="94"/>
            </w:r>
            <w:r>
              <w:rPr>
                <w:spacing w:val="-4"/>
              </w:rPr>
              <w:t>. Projevila se zde</w:t>
            </w:r>
            <w:r w:rsidRPr="000A56DA">
              <w:rPr>
                <w:spacing w:val="-4"/>
              </w:rPr>
              <w:t xml:space="preserve"> jak nižší</w:t>
            </w:r>
            <w:r>
              <w:rPr>
                <w:spacing w:val="-4"/>
              </w:rPr>
              <w:t xml:space="preserve"> letní i podzimní spotřeba nafty i benzínu (zejména </w:t>
            </w:r>
            <w:r w:rsidRPr="000A56DA">
              <w:rPr>
                <w:spacing w:val="-4"/>
              </w:rPr>
              <w:t xml:space="preserve">vlivem rekordně </w:t>
            </w:r>
            <w:r w:rsidRPr="000A56DA">
              <w:rPr>
                <w:spacing w:val="-4"/>
              </w:rPr>
              <w:lastRenderedPageBreak/>
              <w:t>vysokých cen), tak dopady snížené sazby daně</w:t>
            </w:r>
            <w:r w:rsidRPr="000A56DA">
              <w:rPr>
                <w:rStyle w:val="Znakapoznpodarou"/>
                <w:spacing w:val="-4"/>
              </w:rPr>
              <w:footnoteReference w:id="95"/>
            </w:r>
            <w:r w:rsidRPr="000A56DA">
              <w:rPr>
                <w:spacing w:val="-4"/>
              </w:rPr>
              <w:t>.</w:t>
            </w:r>
            <w:r>
              <w:rPr>
                <w:spacing w:val="-4"/>
              </w:rPr>
              <w:t xml:space="preserve"> Výběr </w:t>
            </w:r>
            <w:r w:rsidRPr="000A56DA">
              <w:rPr>
                <w:spacing w:val="-4"/>
              </w:rPr>
              <w:t>daně z tabákových výrobků</w:t>
            </w:r>
            <w:r>
              <w:rPr>
                <w:spacing w:val="-4"/>
              </w:rPr>
              <w:t xml:space="preserve"> vloni vzrostl o 5,6 % a kompenzoval SR nižší inkaso daně z minerálních olejů (v samotném 4. čtvrtletí však i zde došlo k poklesu). Vyšší celoroční inkaso odráželo především vliv pokračujícího navýšení</w:t>
            </w:r>
            <w:r w:rsidRPr="000A56DA">
              <w:rPr>
                <w:spacing w:val="-4"/>
              </w:rPr>
              <w:t xml:space="preserve"> daňové sazby</w:t>
            </w:r>
            <w:r>
              <w:rPr>
                <w:spacing w:val="-4"/>
              </w:rPr>
              <w:t xml:space="preserve"> u tabákových výrobků. Celkový v</w:t>
            </w:r>
            <w:r w:rsidRPr="000A56DA">
              <w:rPr>
                <w:spacing w:val="-4"/>
              </w:rPr>
              <w:t>ýběr spotřebních daní rostl i díky vyšším sazbám odvodů z</w:t>
            </w:r>
            <w:r>
              <w:rPr>
                <w:spacing w:val="-4"/>
              </w:rPr>
              <w:t>e starších solárních elektráren, celoroční plánované inkaso ale ani zde nebylo zcela naplněno. To platilo rovněž pro inkaso daně z lihu (s meziročním růstem o 1,7 %) či piva (+6,7 %). Lépe na tom byl výběr váhově okrajové daně z vína (+14,4 %), který znatelně překonal i předkrizovou úroveň.</w:t>
            </w:r>
          </w:p>
        </w:tc>
      </w:tr>
      <w:tr w:rsidR="001C3855" w:rsidRPr="003C07E6" w14:paraId="158113D4" w14:textId="77777777" w:rsidTr="00C8019E">
        <w:trPr>
          <w:trHeight w:val="145"/>
        </w:trPr>
        <w:tc>
          <w:tcPr>
            <w:tcW w:w="1773" w:type="dxa"/>
            <w:shd w:val="clear" w:color="auto" w:fill="auto"/>
            <w:tcMar>
              <w:left w:w="0" w:type="dxa"/>
            </w:tcMar>
          </w:tcPr>
          <w:p w14:paraId="75717611" w14:textId="77777777" w:rsidR="001C3855" w:rsidRPr="005E6492" w:rsidRDefault="001C3855" w:rsidP="00C8019E">
            <w:pPr>
              <w:pStyle w:val="Marginlie"/>
              <w:rPr>
                <w:color w:val="0D0D0D" w:themeColor="text1" w:themeTint="F2"/>
              </w:rPr>
            </w:pPr>
            <w:r>
              <w:rPr>
                <w:color w:val="0D0D0D" w:themeColor="text1" w:themeTint="F2"/>
              </w:rPr>
              <w:lastRenderedPageBreak/>
              <w:t xml:space="preserve">Výběr daně </w:t>
            </w:r>
            <w:r>
              <w:t>z příjmů právnických osob rostl svižně po celý loňský rok. Pozitivně se na něm podepsaly velké podniky v některých odvětvích.</w:t>
            </w:r>
          </w:p>
        </w:tc>
        <w:tc>
          <w:tcPr>
            <w:tcW w:w="217" w:type="dxa"/>
            <w:shd w:val="clear" w:color="auto" w:fill="auto"/>
            <w:tcMar>
              <w:left w:w="0" w:type="dxa"/>
            </w:tcMar>
          </w:tcPr>
          <w:p w14:paraId="1CCB7133" w14:textId="77777777" w:rsidR="001C3855" w:rsidRPr="005E6492"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43C2714B" w14:textId="77777777" w:rsidR="001C3855" w:rsidRPr="003B064D" w:rsidRDefault="001C3855" w:rsidP="00C8019E">
            <w:pPr>
              <w:spacing w:after="220"/>
              <w:rPr>
                <w:spacing w:val="-4"/>
              </w:rPr>
            </w:pPr>
            <w:r w:rsidRPr="00A92514">
              <w:rPr>
                <w:spacing w:val="-4"/>
              </w:rPr>
              <w:t xml:space="preserve">Příjem SR z </w:t>
            </w:r>
            <w:r w:rsidRPr="003B064D">
              <w:rPr>
                <w:color w:val="0D0D0D" w:themeColor="text1" w:themeTint="F2"/>
                <w:spacing w:val="-4"/>
              </w:rPr>
              <w:t xml:space="preserve">korporátní daně </w:t>
            </w:r>
            <w:r>
              <w:rPr>
                <w:color w:val="0D0D0D" w:themeColor="text1" w:themeTint="F2"/>
                <w:spacing w:val="-4"/>
              </w:rPr>
              <w:t xml:space="preserve">vystoupal </w:t>
            </w:r>
            <w:r w:rsidRPr="003B064D">
              <w:rPr>
                <w:color w:val="0D0D0D" w:themeColor="text1" w:themeTint="F2"/>
                <w:spacing w:val="-4"/>
              </w:rPr>
              <w:t xml:space="preserve">loni </w:t>
            </w:r>
            <w:r>
              <w:rPr>
                <w:color w:val="0D0D0D" w:themeColor="text1" w:themeTint="F2"/>
                <w:spacing w:val="-4"/>
              </w:rPr>
              <w:t xml:space="preserve">na rekordní výši (151,5 mld. korun). </w:t>
            </w:r>
            <w:r>
              <w:rPr>
                <w:spacing w:val="-4"/>
              </w:rPr>
              <w:t>Meziročně posílil o šestinu a významně předčil i rozpočtové očekávání (o 15 %, resp. 20 mld. korun). Pozitivně se projevilo vysoké červnové inkaso</w:t>
            </w:r>
            <w:r w:rsidRPr="00A92514">
              <w:rPr>
                <w:spacing w:val="-4"/>
              </w:rPr>
              <w:t xml:space="preserve"> (zahrnující čtvrtletní i pololetní zálohy na dani a část úhrady daně za rok 2021</w:t>
            </w:r>
            <w:r>
              <w:rPr>
                <w:spacing w:val="-4"/>
              </w:rPr>
              <w:t>), vysokou dynamiku si však inkaso udrželo i na konci roku (díky čtvrtletní záloze na dani). Výběr daně odrážel příznivé</w:t>
            </w:r>
            <w:r w:rsidRPr="00A92514">
              <w:rPr>
                <w:spacing w:val="-4"/>
              </w:rPr>
              <w:t xml:space="preserve"> hospodářské výsledky </w:t>
            </w:r>
            <w:r>
              <w:rPr>
                <w:spacing w:val="-4"/>
              </w:rPr>
              <w:t>některých</w:t>
            </w:r>
            <w:r w:rsidRPr="00A92514">
              <w:rPr>
                <w:spacing w:val="-4"/>
              </w:rPr>
              <w:t xml:space="preserve"> velkých podniků</w:t>
            </w:r>
            <w:r>
              <w:rPr>
                <w:spacing w:val="-4"/>
              </w:rPr>
              <w:t xml:space="preserve"> (např. v oblasti energetiky, obchodu či peněžnictví)</w:t>
            </w:r>
            <w:r w:rsidRPr="00A92514">
              <w:rPr>
                <w:spacing w:val="-4"/>
              </w:rPr>
              <w:t xml:space="preserve">. </w:t>
            </w:r>
            <w:r>
              <w:rPr>
                <w:spacing w:val="-4"/>
              </w:rPr>
              <w:t xml:space="preserve">Na výši inkasa měly ovšem vliv i dílčí </w:t>
            </w:r>
            <w:r w:rsidRPr="00A92514">
              <w:rPr>
                <w:spacing w:val="-4"/>
              </w:rPr>
              <w:t>legislativní úpravy</w:t>
            </w:r>
            <w:r w:rsidRPr="00A92514">
              <w:rPr>
                <w:rStyle w:val="Znakapoznpodarou"/>
                <w:spacing w:val="-4"/>
              </w:rPr>
              <w:footnoteReference w:id="96"/>
            </w:r>
            <w:r w:rsidRPr="00A92514">
              <w:rPr>
                <w:spacing w:val="-4"/>
              </w:rPr>
              <w:t>.</w:t>
            </w:r>
          </w:p>
        </w:tc>
      </w:tr>
      <w:tr w:rsidR="001C3855" w:rsidRPr="00F704D2" w14:paraId="23B10FAA" w14:textId="77777777" w:rsidTr="00C8019E">
        <w:trPr>
          <w:trHeight w:val="170"/>
        </w:trPr>
        <w:tc>
          <w:tcPr>
            <w:tcW w:w="1773" w:type="dxa"/>
            <w:vMerge w:val="restart"/>
            <w:shd w:val="clear" w:color="auto" w:fill="auto"/>
            <w:tcMar>
              <w:left w:w="0" w:type="dxa"/>
            </w:tcMar>
          </w:tcPr>
          <w:p w14:paraId="13E26DBB" w14:textId="77777777" w:rsidR="001C3855" w:rsidRDefault="001C3855" w:rsidP="00C8019E">
            <w:pPr>
              <w:pStyle w:val="Marginlie"/>
            </w:pPr>
          </w:p>
        </w:tc>
        <w:tc>
          <w:tcPr>
            <w:tcW w:w="217" w:type="dxa"/>
            <w:vMerge w:val="restart"/>
            <w:shd w:val="clear" w:color="auto" w:fill="auto"/>
            <w:tcMar>
              <w:left w:w="0" w:type="dxa"/>
            </w:tcMar>
          </w:tcPr>
          <w:p w14:paraId="70985DDF" w14:textId="77777777" w:rsidR="001C3855" w:rsidRDefault="001C3855" w:rsidP="00C8019E">
            <w:pPr>
              <w:pStyle w:val="Textpoznpodarou"/>
              <w:jc w:val="both"/>
              <w:rPr>
                <w:spacing w:val="-4"/>
              </w:rPr>
            </w:pPr>
          </w:p>
        </w:tc>
        <w:tc>
          <w:tcPr>
            <w:tcW w:w="7679" w:type="dxa"/>
            <w:shd w:val="clear" w:color="auto" w:fill="auto"/>
            <w:tcMar>
              <w:left w:w="0" w:type="dxa"/>
            </w:tcMar>
          </w:tcPr>
          <w:p w14:paraId="20562408" w14:textId="0E358F69" w:rsidR="001C3855" w:rsidRPr="00CC3017" w:rsidRDefault="008F525A" w:rsidP="00C8019E">
            <w:pPr>
              <w:spacing w:after="20"/>
              <w:rPr>
                <w:rFonts w:cs="Arial"/>
                <w:b/>
                <w:bCs/>
                <w:color w:val="000000"/>
                <w:spacing w:val="-4"/>
                <w:szCs w:val="20"/>
              </w:rPr>
            </w:pPr>
            <w:r>
              <w:rPr>
                <w:rFonts w:cs="Arial"/>
                <w:b/>
                <w:bCs/>
                <w:color w:val="000000"/>
                <w:spacing w:val="-4"/>
                <w:szCs w:val="20"/>
              </w:rPr>
              <w:t>Graf č. 18</w:t>
            </w:r>
            <w:r w:rsidR="001C3855" w:rsidRPr="00A66749">
              <w:rPr>
                <w:rFonts w:cs="Arial"/>
                <w:b/>
                <w:bCs/>
                <w:color w:val="000000"/>
                <w:spacing w:val="-4"/>
                <w:szCs w:val="20"/>
              </w:rPr>
              <w:t xml:space="preserve"> </w:t>
            </w:r>
            <w:r w:rsidR="001C3855" w:rsidRPr="00CC3017">
              <w:rPr>
                <w:rFonts w:cs="Arial"/>
                <w:b/>
                <w:bCs/>
                <w:color w:val="000000"/>
                <w:spacing w:val="-4"/>
                <w:szCs w:val="20"/>
              </w:rPr>
              <w:t xml:space="preserve">Celostátní inkasa daňových příjmů </w:t>
            </w:r>
            <w:r w:rsidR="001C3855" w:rsidRPr="00CC3017">
              <w:rPr>
                <w:rFonts w:cs="Arial"/>
                <w:bCs/>
                <w:color w:val="000000"/>
                <w:spacing w:val="-4"/>
                <w:szCs w:val="20"/>
              </w:rPr>
              <w:t>(</w:t>
            </w:r>
            <w:r w:rsidR="001C3855" w:rsidRPr="00CC3017">
              <w:rPr>
                <w:spacing w:val="-4"/>
              </w:rPr>
              <w:t>meziročně,</w:t>
            </w:r>
            <w:r w:rsidR="001C3855" w:rsidRPr="00CC3017">
              <w:rPr>
                <w:rFonts w:cs="Arial"/>
                <w:bCs/>
                <w:color w:val="000000"/>
                <w:spacing w:val="-4"/>
                <w:szCs w:val="20"/>
              </w:rPr>
              <w:t xml:space="preserve"> v %)</w:t>
            </w:r>
            <w:r w:rsidR="001C3855" w:rsidRPr="00CC3017">
              <w:rPr>
                <w:rFonts w:cs="Arial"/>
                <w:b/>
                <w:bCs/>
                <w:color w:val="000000"/>
                <w:spacing w:val="-4"/>
                <w:szCs w:val="20"/>
              </w:rPr>
              <w:t xml:space="preserve"> a saldo státního rozpočtu </w:t>
            </w:r>
            <w:r w:rsidR="001C3855" w:rsidRPr="00CC3017">
              <w:rPr>
                <w:rFonts w:cs="Arial"/>
                <w:bCs/>
                <w:color w:val="000000"/>
                <w:spacing w:val="-4"/>
                <w:szCs w:val="20"/>
              </w:rPr>
              <w:t>(</w:t>
            </w:r>
            <w:r w:rsidR="001C3855">
              <w:rPr>
                <w:rFonts w:cs="Arial"/>
                <w:bCs/>
                <w:spacing w:val="-3"/>
              </w:rPr>
              <w:t>roční úhrn,</w:t>
            </w:r>
            <w:r w:rsidR="001C3855" w:rsidRPr="00CC3017">
              <w:rPr>
                <w:rFonts w:cs="Arial"/>
                <w:bCs/>
                <w:color w:val="000000"/>
                <w:spacing w:val="-4"/>
                <w:szCs w:val="20"/>
              </w:rPr>
              <w:t xml:space="preserve"> </w:t>
            </w:r>
            <w:r w:rsidR="001C3855">
              <w:rPr>
                <w:rFonts w:cs="Arial"/>
                <w:bCs/>
                <w:color w:val="000000"/>
                <w:spacing w:val="-4"/>
                <w:szCs w:val="20"/>
              </w:rPr>
              <w:t>v mld. korun)</w:t>
            </w:r>
          </w:p>
        </w:tc>
      </w:tr>
      <w:tr w:rsidR="001C3855" w14:paraId="003D1381" w14:textId="77777777" w:rsidTr="00C8019E">
        <w:tblPrEx>
          <w:tblCellMar>
            <w:left w:w="70" w:type="dxa"/>
            <w:right w:w="70" w:type="dxa"/>
          </w:tblCellMar>
        </w:tblPrEx>
        <w:trPr>
          <w:trHeight w:val="170"/>
        </w:trPr>
        <w:tc>
          <w:tcPr>
            <w:tcW w:w="1773" w:type="dxa"/>
            <w:vMerge/>
            <w:shd w:val="clear" w:color="auto" w:fill="auto"/>
          </w:tcPr>
          <w:p w14:paraId="5AB2AE8B" w14:textId="77777777" w:rsidR="001C3855" w:rsidRDefault="001C3855" w:rsidP="00C8019E">
            <w:pPr>
              <w:pStyle w:val="Marginlie"/>
            </w:pPr>
          </w:p>
        </w:tc>
        <w:tc>
          <w:tcPr>
            <w:tcW w:w="217" w:type="dxa"/>
            <w:vMerge/>
            <w:shd w:val="clear" w:color="auto" w:fill="auto"/>
          </w:tcPr>
          <w:p w14:paraId="13DEF6C5" w14:textId="77777777" w:rsidR="001C3855" w:rsidRDefault="001C3855" w:rsidP="00C8019E">
            <w:pPr>
              <w:pStyle w:val="Textpoznpodarou"/>
              <w:jc w:val="both"/>
              <w:rPr>
                <w:spacing w:val="-4"/>
              </w:rPr>
            </w:pPr>
          </w:p>
        </w:tc>
        <w:tc>
          <w:tcPr>
            <w:tcW w:w="7679" w:type="dxa"/>
            <w:shd w:val="clear" w:color="auto" w:fill="auto"/>
          </w:tcPr>
          <w:p w14:paraId="6BADA919" w14:textId="77777777" w:rsidR="001C3855" w:rsidRPr="0067514E" w:rsidRDefault="001C3855" w:rsidP="00C8019E">
            <w:pPr>
              <w:spacing w:after="0"/>
              <w:rPr>
                <w:spacing w:val="-6"/>
              </w:rPr>
            </w:pPr>
            <w:r>
              <w:rPr>
                <w:noProof/>
              </w:rPr>
              <w:drawing>
                <wp:inline distT="0" distB="0" distL="0" distR="0" wp14:anchorId="69C20D3F" wp14:editId="548307B2">
                  <wp:extent cx="4787265" cy="3366075"/>
                  <wp:effectExtent l="0" t="0" r="0" b="635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C3855" w:rsidRPr="007B3A78" w14:paraId="2A301204" w14:textId="77777777" w:rsidTr="00C8019E">
        <w:trPr>
          <w:trHeight w:val="170"/>
        </w:trPr>
        <w:tc>
          <w:tcPr>
            <w:tcW w:w="1773" w:type="dxa"/>
            <w:vMerge/>
            <w:shd w:val="clear" w:color="auto" w:fill="auto"/>
            <w:tcMar>
              <w:left w:w="0" w:type="dxa"/>
            </w:tcMar>
          </w:tcPr>
          <w:p w14:paraId="4221F33C" w14:textId="77777777" w:rsidR="001C3855" w:rsidRDefault="001C3855" w:rsidP="00C8019E">
            <w:pPr>
              <w:pStyle w:val="Marginlie"/>
            </w:pPr>
          </w:p>
        </w:tc>
        <w:tc>
          <w:tcPr>
            <w:tcW w:w="217" w:type="dxa"/>
            <w:vMerge/>
            <w:shd w:val="clear" w:color="auto" w:fill="auto"/>
            <w:tcMar>
              <w:left w:w="0" w:type="dxa"/>
            </w:tcMar>
          </w:tcPr>
          <w:p w14:paraId="2B7D278E" w14:textId="77777777" w:rsidR="001C3855" w:rsidRDefault="001C3855" w:rsidP="00C8019E">
            <w:pPr>
              <w:pStyle w:val="Textpoznpodarou"/>
              <w:jc w:val="both"/>
              <w:rPr>
                <w:spacing w:val="-4"/>
              </w:rPr>
            </w:pPr>
          </w:p>
        </w:tc>
        <w:tc>
          <w:tcPr>
            <w:tcW w:w="7679" w:type="dxa"/>
            <w:shd w:val="clear" w:color="auto" w:fill="auto"/>
            <w:tcMar>
              <w:left w:w="0" w:type="dxa"/>
            </w:tcMar>
          </w:tcPr>
          <w:p w14:paraId="7B6343E1" w14:textId="77777777" w:rsidR="001C3855" w:rsidRPr="00E52D45" w:rsidRDefault="001C3855" w:rsidP="00C8019E">
            <w:pPr>
              <w:tabs>
                <w:tab w:val="right" w:pos="7683"/>
              </w:tabs>
              <w:spacing w:after="0" w:line="240" w:lineRule="auto"/>
              <w:jc w:val="left"/>
              <w:rPr>
                <w:spacing w:val="-2"/>
                <w:sz w:val="14"/>
                <w:szCs w:val="14"/>
              </w:rPr>
            </w:pPr>
            <w:r>
              <w:rPr>
                <w:spacing w:val="-2"/>
                <w:sz w:val="14"/>
                <w:szCs w:val="14"/>
              </w:rPr>
              <w:t>Poznámka: Údaje očištěné o vliv prostředků z EU a Finančních mechanismů jsou k dispozici od roku 2013.</w:t>
            </w:r>
            <w:r>
              <w:rPr>
                <w:spacing w:val="-2"/>
                <w:sz w:val="14"/>
                <w:szCs w:val="14"/>
              </w:rPr>
              <w:tab/>
            </w:r>
            <w:r w:rsidRPr="00A66749">
              <w:rPr>
                <w:spacing w:val="-2"/>
                <w:sz w:val="14"/>
                <w:szCs w:val="14"/>
              </w:rPr>
              <w:t>Zdroj: MF ČR</w:t>
            </w:r>
          </w:p>
        </w:tc>
      </w:tr>
      <w:tr w:rsidR="001C3855" w:rsidRPr="007B3A78" w14:paraId="65F5F6A7" w14:textId="77777777" w:rsidTr="00C8019E">
        <w:trPr>
          <w:trHeight w:val="170"/>
        </w:trPr>
        <w:tc>
          <w:tcPr>
            <w:tcW w:w="1773" w:type="dxa"/>
            <w:shd w:val="clear" w:color="auto" w:fill="auto"/>
            <w:tcMar>
              <w:left w:w="0" w:type="dxa"/>
            </w:tcMar>
          </w:tcPr>
          <w:p w14:paraId="112FDFEC" w14:textId="77777777" w:rsidR="001C3855" w:rsidRDefault="001C3855" w:rsidP="00C8019E">
            <w:pPr>
              <w:pStyle w:val="Marginlie"/>
            </w:pPr>
          </w:p>
        </w:tc>
        <w:tc>
          <w:tcPr>
            <w:tcW w:w="217" w:type="dxa"/>
            <w:shd w:val="clear" w:color="auto" w:fill="auto"/>
            <w:tcMar>
              <w:left w:w="0" w:type="dxa"/>
            </w:tcMar>
          </w:tcPr>
          <w:p w14:paraId="74AE2A9C" w14:textId="77777777" w:rsidR="001C3855" w:rsidRDefault="001C3855" w:rsidP="00C8019E">
            <w:pPr>
              <w:pStyle w:val="Textpoznpodarou"/>
              <w:jc w:val="both"/>
              <w:rPr>
                <w:spacing w:val="-4"/>
              </w:rPr>
            </w:pPr>
          </w:p>
        </w:tc>
        <w:tc>
          <w:tcPr>
            <w:tcW w:w="7679" w:type="dxa"/>
            <w:shd w:val="clear" w:color="auto" w:fill="auto"/>
            <w:tcMar>
              <w:left w:w="0" w:type="dxa"/>
            </w:tcMar>
          </w:tcPr>
          <w:p w14:paraId="58A5A69F" w14:textId="77777777" w:rsidR="001C3855" w:rsidRDefault="001C3855" w:rsidP="00C8019E">
            <w:pPr>
              <w:tabs>
                <w:tab w:val="right" w:pos="7683"/>
              </w:tabs>
              <w:spacing w:after="0" w:line="240" w:lineRule="auto"/>
              <w:jc w:val="left"/>
              <w:rPr>
                <w:spacing w:val="-2"/>
                <w:sz w:val="14"/>
                <w:szCs w:val="14"/>
              </w:rPr>
            </w:pPr>
          </w:p>
        </w:tc>
      </w:tr>
      <w:tr w:rsidR="001C3855" w:rsidRPr="007B3A78" w14:paraId="79EF87AA" w14:textId="77777777" w:rsidTr="00C8019E">
        <w:trPr>
          <w:trHeight w:val="170"/>
        </w:trPr>
        <w:tc>
          <w:tcPr>
            <w:tcW w:w="1773" w:type="dxa"/>
            <w:shd w:val="clear" w:color="auto" w:fill="auto"/>
            <w:tcMar>
              <w:left w:w="0" w:type="dxa"/>
            </w:tcMar>
          </w:tcPr>
          <w:p w14:paraId="28045D28" w14:textId="77777777" w:rsidR="001C3855" w:rsidRDefault="001C3855" w:rsidP="00C8019E">
            <w:pPr>
              <w:pStyle w:val="Marginlie"/>
              <w:rPr>
                <w:spacing w:val="-4"/>
              </w:rPr>
            </w:pPr>
            <w:r>
              <w:rPr>
                <w:spacing w:val="-4"/>
              </w:rPr>
              <w:t>Růst inkasa DPFO placené plátci vzrostl díky příznivému vývoji na trhu práce. Opačný vliv měly legislativní úpravy.</w:t>
            </w:r>
          </w:p>
          <w:p w14:paraId="4A767E01" w14:textId="77777777" w:rsidR="001C3855" w:rsidRDefault="001C3855" w:rsidP="00C8019E">
            <w:pPr>
              <w:pStyle w:val="Marginlie"/>
              <w:rPr>
                <w:spacing w:val="-4"/>
              </w:rPr>
            </w:pPr>
          </w:p>
          <w:p w14:paraId="3ECCC83A" w14:textId="77777777" w:rsidR="001C3855" w:rsidRDefault="001C3855" w:rsidP="00C8019E">
            <w:pPr>
              <w:pStyle w:val="Marginlie"/>
              <w:rPr>
                <w:spacing w:val="-4"/>
              </w:rPr>
            </w:pPr>
          </w:p>
          <w:p w14:paraId="512A2712" w14:textId="77777777" w:rsidR="001C3855" w:rsidRDefault="001C3855" w:rsidP="00C8019E">
            <w:pPr>
              <w:pStyle w:val="Marginlie"/>
              <w:rPr>
                <w:spacing w:val="-4"/>
              </w:rPr>
            </w:pPr>
          </w:p>
          <w:p w14:paraId="5929BAC0" w14:textId="77777777" w:rsidR="001C3855" w:rsidRDefault="001C3855" w:rsidP="00C8019E">
            <w:pPr>
              <w:pStyle w:val="Marginlie"/>
              <w:rPr>
                <w:spacing w:val="-4"/>
              </w:rPr>
            </w:pPr>
          </w:p>
          <w:p w14:paraId="30EE3017" w14:textId="77777777" w:rsidR="001C3855" w:rsidRDefault="001C3855" w:rsidP="00C8019E">
            <w:pPr>
              <w:pStyle w:val="Marginlie"/>
              <w:rPr>
                <w:spacing w:val="-4"/>
              </w:rPr>
            </w:pPr>
          </w:p>
          <w:p w14:paraId="3CB7C21D" w14:textId="77777777" w:rsidR="001C3855" w:rsidRDefault="001C3855" w:rsidP="00C8019E">
            <w:pPr>
              <w:pStyle w:val="Marginlie"/>
              <w:rPr>
                <w:spacing w:val="-4"/>
              </w:rPr>
            </w:pPr>
            <w:r>
              <w:rPr>
                <w:spacing w:val="-4"/>
              </w:rPr>
              <w:lastRenderedPageBreak/>
              <w:t>Vysoký růst zaznamenalo inkaso DPFO vybírané srážkou.</w:t>
            </w:r>
          </w:p>
          <w:p w14:paraId="709EB19E" w14:textId="77777777" w:rsidR="001C3855" w:rsidRDefault="001C3855" w:rsidP="00C8019E">
            <w:pPr>
              <w:pStyle w:val="Marginlie"/>
            </w:pPr>
          </w:p>
        </w:tc>
        <w:tc>
          <w:tcPr>
            <w:tcW w:w="217" w:type="dxa"/>
            <w:shd w:val="clear" w:color="auto" w:fill="auto"/>
            <w:tcMar>
              <w:left w:w="0" w:type="dxa"/>
            </w:tcMar>
          </w:tcPr>
          <w:p w14:paraId="1310E77F" w14:textId="77777777" w:rsidR="001C3855" w:rsidRDefault="001C3855" w:rsidP="00C8019E">
            <w:pPr>
              <w:pStyle w:val="Textpoznpodarou"/>
              <w:jc w:val="both"/>
              <w:rPr>
                <w:spacing w:val="-4"/>
              </w:rPr>
            </w:pPr>
          </w:p>
        </w:tc>
        <w:tc>
          <w:tcPr>
            <w:tcW w:w="7679" w:type="dxa"/>
            <w:shd w:val="clear" w:color="auto" w:fill="auto"/>
            <w:tcMar>
              <w:left w:w="0" w:type="dxa"/>
            </w:tcMar>
          </w:tcPr>
          <w:p w14:paraId="0A8DB899" w14:textId="77777777" w:rsidR="001C3855" w:rsidRPr="00A92514" w:rsidRDefault="001C3855" w:rsidP="00C8019E">
            <w:pPr>
              <w:spacing w:after="220"/>
              <w:rPr>
                <w:spacing w:val="-4"/>
              </w:rPr>
            </w:pPr>
            <w:r>
              <w:rPr>
                <w:spacing w:val="-4"/>
              </w:rPr>
              <w:t xml:space="preserve">Z inkasa </w:t>
            </w:r>
            <w:r w:rsidRPr="00FF192C">
              <w:rPr>
                <w:spacing w:val="-4"/>
              </w:rPr>
              <w:t>daně z</w:t>
            </w:r>
            <w:r w:rsidRPr="005C1CC6">
              <w:rPr>
                <w:color w:val="0D0D0D" w:themeColor="text1" w:themeTint="F2"/>
                <w:spacing w:val="-4"/>
              </w:rPr>
              <w:t> příjmů od fyzických osob (DPFO</w:t>
            </w:r>
            <w:r>
              <w:rPr>
                <w:spacing w:val="-4"/>
              </w:rPr>
              <w:t xml:space="preserve">) plynulo do SR </w:t>
            </w:r>
            <w:r w:rsidRPr="00FF192C">
              <w:rPr>
                <w:spacing w:val="-4"/>
              </w:rPr>
              <w:t>meziročně</w:t>
            </w:r>
            <w:r>
              <w:rPr>
                <w:spacing w:val="-4"/>
              </w:rPr>
              <w:t xml:space="preserve"> o 13,4 % více, na což měla vliv vyšší zaměstnanost i svižný</w:t>
            </w:r>
            <w:r w:rsidRPr="00FF192C">
              <w:rPr>
                <w:spacing w:val="-4"/>
              </w:rPr>
              <w:t xml:space="preserve"> nominální</w:t>
            </w:r>
            <w:r>
              <w:rPr>
                <w:spacing w:val="-4"/>
              </w:rPr>
              <w:t xml:space="preserve"> růst</w:t>
            </w:r>
            <w:r w:rsidRPr="00FF192C">
              <w:rPr>
                <w:spacing w:val="-4"/>
              </w:rPr>
              <w:t xml:space="preserve"> průměrných </w:t>
            </w:r>
            <w:r w:rsidRPr="00E341B7">
              <w:rPr>
                <w:spacing w:val="-6"/>
              </w:rPr>
              <w:t>mezd v soukromé sféře</w:t>
            </w:r>
            <w:r>
              <w:rPr>
                <w:spacing w:val="-6"/>
              </w:rPr>
              <w:t>.</w:t>
            </w:r>
            <w:r>
              <w:rPr>
                <w:spacing w:val="-4"/>
              </w:rPr>
              <w:t xml:space="preserve"> S ústupem pandemie souvisela i slábnoucí role dříve vyplacených kompenzačních bonusů (</w:t>
            </w:r>
            <w:r w:rsidRPr="0057761C">
              <w:rPr>
                <w:spacing w:val="-4"/>
              </w:rPr>
              <w:t xml:space="preserve">na pomoc drobným podnikatelům), která ještě v roce 2021 významně snižovala inkaso DPFO. </w:t>
            </w:r>
            <w:r>
              <w:rPr>
                <w:spacing w:val="-4"/>
              </w:rPr>
              <w:t xml:space="preserve">Opačně působily </w:t>
            </w:r>
            <w:r w:rsidRPr="00FF192C">
              <w:rPr>
                <w:spacing w:val="-4"/>
              </w:rPr>
              <w:t>legislativní úpravy (pokračující zvyšování</w:t>
            </w:r>
            <w:r>
              <w:rPr>
                <w:spacing w:val="-4"/>
              </w:rPr>
              <w:t xml:space="preserve"> daňové slevy na poplatníka, v</w:t>
            </w:r>
            <w:r w:rsidRPr="00FF192C">
              <w:rPr>
                <w:spacing w:val="-4"/>
              </w:rPr>
              <w:t>yšší daňové zvýhodnění na děti</w:t>
            </w:r>
            <w:r>
              <w:rPr>
                <w:spacing w:val="-4"/>
              </w:rPr>
              <w:t xml:space="preserve"> či zrušení stropu na uplatnění daňového bonusu</w:t>
            </w:r>
            <w:r w:rsidRPr="00FF192C">
              <w:rPr>
                <w:spacing w:val="-4"/>
              </w:rPr>
              <w:t>)</w:t>
            </w:r>
            <w:r>
              <w:rPr>
                <w:spacing w:val="-4"/>
              </w:rPr>
              <w:t>. K růstu inkasa DPFO přispěla nejvíce objemově klíčová daň placená</w:t>
            </w:r>
            <w:r w:rsidRPr="00ED755B">
              <w:rPr>
                <w:spacing w:val="-4"/>
              </w:rPr>
              <w:t xml:space="preserve"> plátci (za </w:t>
            </w:r>
            <w:r w:rsidRPr="00ED755B">
              <w:rPr>
                <w:spacing w:val="-4"/>
              </w:rPr>
              <w:lastRenderedPageBreak/>
              <w:t>zaměstnance)</w:t>
            </w:r>
            <w:r>
              <w:rPr>
                <w:spacing w:val="-4"/>
              </w:rPr>
              <w:t>, jejíž výběr meziročně vzrostl o rovných 8 % (resp. 7 mld. korun)</w:t>
            </w:r>
            <w:r>
              <w:rPr>
                <w:rStyle w:val="Znakapoznpodarou"/>
                <w:spacing w:val="-4"/>
              </w:rPr>
              <w:footnoteReference w:id="97"/>
            </w:r>
            <w:r>
              <w:rPr>
                <w:spacing w:val="-4"/>
              </w:rPr>
              <w:t xml:space="preserve">. Dynamičtěji vzrostlo inkaso ostatních příjmových daní od fyzických osob – jak u DPFO za poplatníky, resp. </w:t>
            </w:r>
            <w:r w:rsidRPr="007A2948">
              <w:rPr>
                <w:spacing w:val="-4"/>
              </w:rPr>
              <w:t xml:space="preserve">za osoby podávající </w:t>
            </w:r>
            <w:r>
              <w:rPr>
                <w:spacing w:val="-4"/>
              </w:rPr>
              <w:t>přiznání (+45 %) díky předloňskému hospodářskému oživení i úpravě sazby daně pro vysoké příjmy, tak u srážkové daně (+30 %) vlivem růstu úrokových sazeb na vkladech i navýšení počtu osob pracujících formou dohod (zčásti související se zapojením ukrajinských uprchlíků na tuzemský pracovní trh).</w:t>
            </w:r>
          </w:p>
        </w:tc>
      </w:tr>
      <w:tr w:rsidR="001C3855" w:rsidRPr="007B3A78" w14:paraId="12B883BD" w14:textId="77777777" w:rsidTr="00C8019E">
        <w:trPr>
          <w:trHeight w:val="170"/>
        </w:trPr>
        <w:tc>
          <w:tcPr>
            <w:tcW w:w="1773" w:type="dxa"/>
            <w:shd w:val="clear" w:color="auto" w:fill="auto"/>
            <w:tcMar>
              <w:left w:w="0" w:type="dxa"/>
            </w:tcMar>
          </w:tcPr>
          <w:p w14:paraId="75348CE6" w14:textId="77777777" w:rsidR="001C3855" w:rsidRPr="003202BC" w:rsidRDefault="001C3855" w:rsidP="00C8019E">
            <w:pPr>
              <w:pStyle w:val="Marginlie"/>
              <w:rPr>
                <w:color w:val="0D0D0D" w:themeColor="text1" w:themeTint="F2"/>
              </w:rPr>
            </w:pPr>
            <w:r>
              <w:rPr>
                <w:color w:val="0D0D0D" w:themeColor="text1" w:themeTint="F2"/>
              </w:rPr>
              <w:lastRenderedPageBreak/>
              <w:t>N</w:t>
            </w:r>
            <w:r w:rsidRPr="003202BC">
              <w:rPr>
                <w:color w:val="0D0D0D" w:themeColor="text1" w:themeTint="F2"/>
              </w:rPr>
              <w:t xml:space="preserve">a počátku roku byly </w:t>
            </w:r>
            <w:r>
              <w:rPr>
                <w:color w:val="0D0D0D" w:themeColor="text1" w:themeTint="F2"/>
              </w:rPr>
              <w:t xml:space="preserve">běžné </w:t>
            </w:r>
            <w:r w:rsidRPr="003202BC">
              <w:rPr>
                <w:color w:val="0D0D0D" w:themeColor="text1" w:themeTint="F2"/>
              </w:rPr>
              <w:t xml:space="preserve">výdaje SR </w:t>
            </w:r>
            <w:r>
              <w:rPr>
                <w:color w:val="0D0D0D" w:themeColor="text1" w:themeTint="F2"/>
              </w:rPr>
              <w:t>tlumeny rozpočtovým provizoriem. N</w:t>
            </w:r>
            <w:r w:rsidRPr="003202BC">
              <w:rPr>
                <w:color w:val="0D0D0D" w:themeColor="text1" w:themeTint="F2"/>
              </w:rPr>
              <w:t>ásledně došlo k fiskální expanzi souvi</w:t>
            </w:r>
            <w:r>
              <w:rPr>
                <w:color w:val="0D0D0D" w:themeColor="text1" w:themeTint="F2"/>
              </w:rPr>
              <w:t xml:space="preserve">sející s dopady pádivé inflace </w:t>
            </w:r>
            <w:r w:rsidRPr="003202BC">
              <w:rPr>
                <w:color w:val="0D0D0D" w:themeColor="text1" w:themeTint="F2"/>
              </w:rPr>
              <w:t xml:space="preserve">i </w:t>
            </w:r>
            <w:r>
              <w:rPr>
                <w:color w:val="0D0D0D" w:themeColor="text1" w:themeTint="F2"/>
              </w:rPr>
              <w:t xml:space="preserve">s </w:t>
            </w:r>
            <w:r w:rsidRPr="003202BC">
              <w:rPr>
                <w:color w:val="0D0D0D" w:themeColor="text1" w:themeTint="F2"/>
              </w:rPr>
              <w:t>válkou na Ukrajině.</w:t>
            </w:r>
          </w:p>
        </w:tc>
        <w:tc>
          <w:tcPr>
            <w:tcW w:w="217" w:type="dxa"/>
            <w:shd w:val="clear" w:color="auto" w:fill="auto"/>
            <w:tcMar>
              <w:left w:w="0" w:type="dxa"/>
            </w:tcMar>
          </w:tcPr>
          <w:p w14:paraId="7C0E5567" w14:textId="77777777" w:rsidR="001C3855" w:rsidRPr="003202BC"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4CEF4861" w14:textId="77777777" w:rsidR="001C3855" w:rsidRPr="003202BC" w:rsidRDefault="001C3855" w:rsidP="00C8019E">
            <w:pPr>
              <w:spacing w:after="200"/>
              <w:rPr>
                <w:color w:val="0D0D0D" w:themeColor="text1" w:themeTint="F2"/>
                <w:spacing w:val="-4"/>
              </w:rPr>
            </w:pPr>
            <w:r w:rsidRPr="003202BC">
              <w:rPr>
                <w:color w:val="0D0D0D" w:themeColor="text1" w:themeTint="F2"/>
                <w:spacing w:val="-4"/>
              </w:rPr>
              <w:t xml:space="preserve">Celkové výdaje SR se </w:t>
            </w:r>
            <w:r>
              <w:rPr>
                <w:color w:val="0D0D0D" w:themeColor="text1" w:themeTint="F2"/>
                <w:spacing w:val="-4"/>
              </w:rPr>
              <w:t>loni meziročně mírně zvýšily (+4,1</w:t>
            </w:r>
            <w:r w:rsidRPr="003202BC">
              <w:rPr>
                <w:color w:val="0D0D0D" w:themeColor="text1" w:themeTint="F2"/>
                <w:spacing w:val="-4"/>
              </w:rPr>
              <w:t xml:space="preserve"> %</w:t>
            </w:r>
            <w:r>
              <w:rPr>
                <w:color w:val="0D0D0D" w:themeColor="text1" w:themeTint="F2"/>
                <w:spacing w:val="-4"/>
              </w:rPr>
              <w:t>, resp. 77,8 mld. korun</w:t>
            </w:r>
            <w:r w:rsidRPr="003202BC">
              <w:rPr>
                <w:color w:val="0D0D0D" w:themeColor="text1" w:themeTint="F2"/>
                <w:spacing w:val="-4"/>
              </w:rPr>
              <w:t xml:space="preserve">), k čemuž </w:t>
            </w:r>
            <w:r>
              <w:rPr>
                <w:color w:val="0D0D0D" w:themeColor="text1" w:themeTint="F2"/>
                <w:spacing w:val="-4"/>
              </w:rPr>
              <w:t>zásadně přispěly běžné výdaje (+68,2 mld. korun), řádově méně pak investice</w:t>
            </w:r>
            <w:r w:rsidRPr="003202BC">
              <w:rPr>
                <w:color w:val="0D0D0D" w:themeColor="text1" w:themeTint="F2"/>
                <w:spacing w:val="-4"/>
              </w:rPr>
              <w:t>. Čerp</w:t>
            </w:r>
            <w:r>
              <w:rPr>
                <w:color w:val="0D0D0D" w:themeColor="text1" w:themeTint="F2"/>
                <w:spacing w:val="-4"/>
              </w:rPr>
              <w:t>ání výdajů během</w:t>
            </w:r>
            <w:r w:rsidRPr="003202BC">
              <w:rPr>
                <w:color w:val="0D0D0D" w:themeColor="text1" w:themeTint="F2"/>
                <w:spacing w:val="-4"/>
              </w:rPr>
              <w:t xml:space="preserve"> roku </w:t>
            </w:r>
            <w:r>
              <w:rPr>
                <w:color w:val="0D0D0D" w:themeColor="text1" w:themeTint="F2"/>
                <w:spacing w:val="-4"/>
              </w:rPr>
              <w:t>2022 se vyznačovalo větší nerovnoměrností</w:t>
            </w:r>
            <w:r w:rsidRPr="003202BC">
              <w:rPr>
                <w:color w:val="0D0D0D" w:themeColor="text1" w:themeTint="F2"/>
                <w:spacing w:val="-4"/>
              </w:rPr>
              <w:t>.</w:t>
            </w:r>
            <w:r>
              <w:rPr>
                <w:color w:val="0D0D0D" w:themeColor="text1" w:themeTint="F2"/>
                <w:spacing w:val="-4"/>
              </w:rPr>
              <w:t xml:space="preserve"> V 1. čtvrtletí ho</w:t>
            </w:r>
            <w:r w:rsidRPr="003202BC">
              <w:rPr>
                <w:color w:val="0D0D0D" w:themeColor="text1" w:themeTint="F2"/>
                <w:spacing w:val="-4"/>
              </w:rPr>
              <w:t xml:space="preserve"> limitoval režim rozpočtového provizoria</w:t>
            </w:r>
            <w:r w:rsidRPr="003202BC">
              <w:rPr>
                <w:rStyle w:val="Znakapoznpodarou"/>
                <w:color w:val="0D0D0D" w:themeColor="text1" w:themeTint="F2"/>
                <w:spacing w:val="-4"/>
              </w:rPr>
              <w:footnoteReference w:id="98"/>
            </w:r>
            <w:r>
              <w:rPr>
                <w:color w:val="0D0D0D" w:themeColor="text1" w:themeTint="F2"/>
                <w:spacing w:val="-4"/>
              </w:rPr>
              <w:t>, následně</w:t>
            </w:r>
            <w:r w:rsidRPr="003202BC">
              <w:rPr>
                <w:color w:val="0D0D0D" w:themeColor="text1" w:themeTint="F2"/>
                <w:spacing w:val="-4"/>
              </w:rPr>
              <w:t xml:space="preserve"> vyvstala potřeba </w:t>
            </w:r>
            <w:r>
              <w:rPr>
                <w:color w:val="0D0D0D" w:themeColor="text1" w:themeTint="F2"/>
                <w:spacing w:val="-4"/>
              </w:rPr>
              <w:t>mimořádných výdajů v</w:t>
            </w:r>
            <w:r w:rsidRPr="003202BC">
              <w:rPr>
                <w:color w:val="0D0D0D" w:themeColor="text1" w:themeTint="F2"/>
                <w:spacing w:val="-4"/>
              </w:rPr>
              <w:t> </w:t>
            </w:r>
            <w:r>
              <w:rPr>
                <w:color w:val="0D0D0D" w:themeColor="text1" w:themeTint="F2"/>
                <w:spacing w:val="-4"/>
              </w:rPr>
              <w:t>důsledku války</w:t>
            </w:r>
            <w:r w:rsidRPr="003202BC">
              <w:rPr>
                <w:color w:val="0D0D0D" w:themeColor="text1" w:themeTint="F2"/>
                <w:spacing w:val="-4"/>
              </w:rPr>
              <w:t xml:space="preserve"> na Ukrajině (zahraniční pomoc, výdaje na integraci uprchlíků v Česku, krizový management v oblasti státních hmotných rezerv).</w:t>
            </w:r>
            <w:r>
              <w:rPr>
                <w:color w:val="0D0D0D" w:themeColor="text1" w:themeTint="F2"/>
                <w:spacing w:val="-4"/>
              </w:rPr>
              <w:t xml:space="preserve"> F</w:t>
            </w:r>
            <w:r w:rsidRPr="003202BC">
              <w:rPr>
                <w:color w:val="0D0D0D" w:themeColor="text1" w:themeTint="F2"/>
                <w:spacing w:val="-4"/>
              </w:rPr>
              <w:t xml:space="preserve">iskální expanzi </w:t>
            </w:r>
            <w:r>
              <w:rPr>
                <w:color w:val="0D0D0D" w:themeColor="text1" w:themeTint="F2"/>
                <w:spacing w:val="-4"/>
              </w:rPr>
              <w:t>navíc stále více stimulovaly dopady sílí</w:t>
            </w:r>
            <w:r w:rsidRPr="003202BC">
              <w:rPr>
                <w:color w:val="0D0D0D" w:themeColor="text1" w:themeTint="F2"/>
                <w:spacing w:val="-4"/>
              </w:rPr>
              <w:t xml:space="preserve">cí </w:t>
            </w:r>
            <w:r>
              <w:rPr>
                <w:color w:val="0D0D0D" w:themeColor="text1" w:themeTint="F2"/>
                <w:spacing w:val="-4"/>
              </w:rPr>
              <w:t>inflace v ČR umocněné nečekaným srpnovým strmým růstem</w:t>
            </w:r>
            <w:r w:rsidRPr="003202BC">
              <w:rPr>
                <w:color w:val="0D0D0D" w:themeColor="text1" w:themeTint="F2"/>
                <w:spacing w:val="-4"/>
              </w:rPr>
              <w:t xml:space="preserve"> </w:t>
            </w:r>
            <w:r>
              <w:rPr>
                <w:color w:val="0D0D0D" w:themeColor="text1" w:themeTint="F2"/>
                <w:spacing w:val="-4"/>
              </w:rPr>
              <w:t>cen energií na světových trzích. Ty vedly k potřebě</w:t>
            </w:r>
            <w:r w:rsidRPr="003202BC">
              <w:rPr>
                <w:color w:val="0D0D0D" w:themeColor="text1" w:themeTint="F2"/>
                <w:spacing w:val="-4"/>
              </w:rPr>
              <w:t xml:space="preserve"> valorizace důchodů i dalších sociálních dávek či zavedení úsporného energetické</w:t>
            </w:r>
            <w:r>
              <w:rPr>
                <w:color w:val="0D0D0D" w:themeColor="text1" w:themeTint="F2"/>
                <w:spacing w:val="-4"/>
              </w:rPr>
              <w:t>ho tarifu na pomoc domácnostem. Přestože růst celkových běžných výdajů byl vloni druhý nejnižší za posledních šest let (3,9 %), jejich výše překonala předkrizový rok 2019 o 27,3 %.</w:t>
            </w:r>
          </w:p>
        </w:tc>
      </w:tr>
      <w:tr w:rsidR="001C3855" w:rsidRPr="007B3A78" w14:paraId="6BE073DD" w14:textId="77777777" w:rsidTr="00C8019E">
        <w:trPr>
          <w:trHeight w:val="170"/>
        </w:trPr>
        <w:tc>
          <w:tcPr>
            <w:tcW w:w="1773" w:type="dxa"/>
            <w:shd w:val="clear" w:color="auto" w:fill="auto"/>
            <w:tcMar>
              <w:left w:w="0" w:type="dxa"/>
            </w:tcMar>
          </w:tcPr>
          <w:p w14:paraId="4BA29C9C" w14:textId="77777777" w:rsidR="001C3855" w:rsidRPr="003202BC" w:rsidRDefault="001C3855" w:rsidP="00C8019E">
            <w:pPr>
              <w:pStyle w:val="Marginlie"/>
              <w:rPr>
                <w:color w:val="0D0D0D" w:themeColor="text1" w:themeTint="F2"/>
              </w:rPr>
            </w:pPr>
            <w:r>
              <w:rPr>
                <w:color w:val="0D0D0D" w:themeColor="text1" w:themeTint="F2"/>
              </w:rPr>
              <w:t>Výdaje na důchody rekordně vzrostly, počet jejich příjemců se třetím rokem v řadě mírně snížil.</w:t>
            </w:r>
          </w:p>
        </w:tc>
        <w:tc>
          <w:tcPr>
            <w:tcW w:w="217" w:type="dxa"/>
            <w:shd w:val="clear" w:color="auto" w:fill="auto"/>
            <w:tcMar>
              <w:left w:w="0" w:type="dxa"/>
            </w:tcMar>
          </w:tcPr>
          <w:p w14:paraId="385EFA4B" w14:textId="77777777" w:rsidR="001C3855" w:rsidRPr="003202BC" w:rsidRDefault="001C3855" w:rsidP="00C8019E">
            <w:pPr>
              <w:pStyle w:val="Textpoznpodarou"/>
              <w:jc w:val="both"/>
              <w:rPr>
                <w:color w:val="0D0D0D" w:themeColor="text1" w:themeTint="F2"/>
                <w:spacing w:val="-4"/>
              </w:rPr>
            </w:pPr>
          </w:p>
        </w:tc>
        <w:tc>
          <w:tcPr>
            <w:tcW w:w="7679" w:type="dxa"/>
            <w:shd w:val="clear" w:color="auto" w:fill="auto"/>
            <w:tcMar>
              <w:left w:w="0" w:type="dxa"/>
            </w:tcMar>
          </w:tcPr>
          <w:p w14:paraId="2EB4DF1F" w14:textId="77777777" w:rsidR="001C3855" w:rsidRPr="003202BC" w:rsidRDefault="001C3855" w:rsidP="00C8019E">
            <w:pPr>
              <w:spacing w:after="200"/>
              <w:rPr>
                <w:color w:val="0D0D0D" w:themeColor="text1" w:themeTint="F2"/>
                <w:spacing w:val="-4"/>
              </w:rPr>
            </w:pPr>
            <w:r w:rsidRPr="00903C6B">
              <w:rPr>
                <w:color w:val="0D0D0D" w:themeColor="text1" w:themeTint="F2"/>
                <w:spacing w:val="-5"/>
              </w:rPr>
              <w:t>Na rozdíl od let 2020 i 2021 byl loni růst běžných výdajů tažen hlavně prostředky na důchody.</w:t>
            </w:r>
            <w:r>
              <w:rPr>
                <w:color w:val="0D0D0D" w:themeColor="text1" w:themeTint="F2"/>
                <w:spacing w:val="-4"/>
              </w:rPr>
              <w:t xml:space="preserve"> Ty meziročně vzrostly o nebývalých 10,9 %, neboť </w:t>
            </w:r>
            <w:r>
              <w:rPr>
                <w:spacing w:val="-4"/>
                <w:szCs w:val="20"/>
              </w:rPr>
              <w:t xml:space="preserve">se </w:t>
            </w:r>
            <w:r w:rsidRPr="00862F80">
              <w:rPr>
                <w:spacing w:val="-4"/>
                <w:szCs w:val="20"/>
              </w:rPr>
              <w:t>uskutečnila</w:t>
            </w:r>
            <w:r>
              <w:rPr>
                <w:spacing w:val="-4"/>
                <w:szCs w:val="20"/>
              </w:rPr>
              <w:t xml:space="preserve"> rekordní</w:t>
            </w:r>
            <w:r w:rsidRPr="00862F80">
              <w:rPr>
                <w:spacing w:val="-4"/>
                <w:szCs w:val="20"/>
              </w:rPr>
              <w:t xml:space="preserve"> trojí zákonná valorizace důchodů</w:t>
            </w:r>
            <w:r w:rsidRPr="00862F80">
              <w:rPr>
                <w:rStyle w:val="Znakapoznpodarou"/>
                <w:spacing w:val="-4"/>
                <w:szCs w:val="20"/>
              </w:rPr>
              <w:footnoteReference w:id="99"/>
            </w:r>
            <w:r w:rsidRPr="00862F80">
              <w:rPr>
                <w:spacing w:val="-4"/>
                <w:szCs w:val="20"/>
              </w:rPr>
              <w:t xml:space="preserve">. Počet příjemců důchodů </w:t>
            </w:r>
            <w:r>
              <w:rPr>
                <w:spacing w:val="-4"/>
                <w:szCs w:val="20"/>
              </w:rPr>
              <w:t xml:space="preserve">naopak </w:t>
            </w:r>
            <w:r w:rsidRPr="00862F80">
              <w:rPr>
                <w:spacing w:val="-4"/>
                <w:szCs w:val="20"/>
              </w:rPr>
              <w:t xml:space="preserve">třetím rokem </w:t>
            </w:r>
            <w:r>
              <w:rPr>
                <w:spacing w:val="-4"/>
                <w:szCs w:val="20"/>
              </w:rPr>
              <w:t>v řadě klesal, v úhrnu byl oproti prosinci</w:t>
            </w:r>
            <w:r w:rsidRPr="00791977">
              <w:rPr>
                <w:spacing w:val="-6"/>
                <w:szCs w:val="20"/>
              </w:rPr>
              <w:t xml:space="preserve"> </w:t>
            </w:r>
            <w:r>
              <w:rPr>
                <w:spacing w:val="-6"/>
                <w:szCs w:val="20"/>
              </w:rPr>
              <w:t>2019 nižší o 1,8</w:t>
            </w:r>
            <w:r w:rsidRPr="00791977">
              <w:rPr>
                <w:spacing w:val="-6"/>
                <w:szCs w:val="20"/>
              </w:rPr>
              <w:t xml:space="preserve"> %, hlavně vlivem zvýšené úmrtnosti.</w:t>
            </w:r>
            <w:r>
              <w:rPr>
                <w:spacing w:val="-6"/>
                <w:szCs w:val="20"/>
              </w:rPr>
              <w:t xml:space="preserve"> Současně přetrvával dlouhodobý trend růstu počtu osob s předčasným důchodem</w:t>
            </w:r>
            <w:r>
              <w:rPr>
                <w:rStyle w:val="Znakapoznpodarou"/>
                <w:spacing w:val="-6"/>
                <w:szCs w:val="20"/>
              </w:rPr>
              <w:footnoteReference w:id="100"/>
            </w:r>
            <w:r>
              <w:rPr>
                <w:spacing w:val="-6"/>
                <w:szCs w:val="20"/>
              </w:rPr>
              <w:t xml:space="preserve">. </w:t>
            </w:r>
            <w:r w:rsidRPr="00791977">
              <w:rPr>
                <w:spacing w:val="-6"/>
              </w:rPr>
              <w:t>Dobr</w:t>
            </w:r>
            <w:r>
              <w:rPr>
                <w:spacing w:val="-6"/>
              </w:rPr>
              <w:t>á kondice trhu práce podporovala</w:t>
            </w:r>
            <w:r>
              <w:rPr>
                <w:spacing w:val="-4"/>
              </w:rPr>
              <w:t xml:space="preserve"> pokračující růst</w:t>
            </w:r>
            <w:r w:rsidRPr="00862F80">
              <w:rPr>
                <w:spacing w:val="-4"/>
              </w:rPr>
              <w:t xml:space="preserve"> příjmů </w:t>
            </w:r>
            <w:r>
              <w:rPr>
                <w:rFonts w:cs="Arial"/>
                <w:color w:val="0D0D0D" w:themeColor="text1" w:themeTint="F2"/>
                <w:spacing w:val="-4"/>
              </w:rPr>
              <w:t>důchodového pojištění (+6,7 %). Saldo</w:t>
            </w:r>
            <w:r w:rsidRPr="00862F80">
              <w:rPr>
                <w:rFonts w:cs="Arial"/>
                <w:color w:val="0D0D0D" w:themeColor="text1" w:themeTint="F2"/>
                <w:spacing w:val="-4"/>
              </w:rPr>
              <w:t xml:space="preserve"> důchodového účtu</w:t>
            </w:r>
            <w:r w:rsidRPr="00862F80">
              <w:rPr>
                <w:rStyle w:val="Znakapoznpodarou"/>
                <w:color w:val="0D0D0D" w:themeColor="text1" w:themeTint="F2"/>
                <w:spacing w:val="-4"/>
              </w:rPr>
              <w:footnoteReference w:id="101"/>
            </w:r>
            <w:r>
              <w:rPr>
                <w:rFonts w:cs="Arial"/>
                <w:color w:val="0D0D0D" w:themeColor="text1" w:themeTint="F2"/>
                <w:spacing w:val="-4"/>
              </w:rPr>
              <w:t xml:space="preserve"> se po mírném přebytku v roce 2021 loni opět propadlo do deficitu (17,4 mld. korun).</w:t>
            </w:r>
          </w:p>
        </w:tc>
      </w:tr>
      <w:tr w:rsidR="001C3855" w:rsidRPr="007B3A78" w14:paraId="748E2634" w14:textId="77777777" w:rsidTr="00C8019E">
        <w:trPr>
          <w:trHeight w:val="170"/>
        </w:trPr>
        <w:tc>
          <w:tcPr>
            <w:tcW w:w="1773" w:type="dxa"/>
            <w:shd w:val="clear" w:color="auto" w:fill="auto"/>
            <w:tcMar>
              <w:left w:w="0" w:type="dxa"/>
            </w:tcMar>
          </w:tcPr>
          <w:p w14:paraId="1CC9C9B1" w14:textId="77777777" w:rsidR="001C3855" w:rsidRDefault="001C3855" w:rsidP="00C8019E">
            <w:pPr>
              <w:pStyle w:val="Marginlie"/>
            </w:pPr>
            <w:r>
              <w:t xml:space="preserve">Nedůchodové sociální dávky svižně rostly především vlivem dávek hmotné nouze a státní sociální podpory. </w:t>
            </w:r>
          </w:p>
          <w:p w14:paraId="044B4E11" w14:textId="77777777" w:rsidR="001C3855" w:rsidRDefault="001C3855" w:rsidP="00C8019E">
            <w:pPr>
              <w:pStyle w:val="Marginlie"/>
            </w:pPr>
          </w:p>
          <w:p w14:paraId="57FE8F95" w14:textId="77777777" w:rsidR="001C3855" w:rsidRDefault="001C3855" w:rsidP="00C8019E">
            <w:pPr>
              <w:pStyle w:val="Marginlie"/>
            </w:pPr>
          </w:p>
          <w:p w14:paraId="5BD723D0" w14:textId="77777777" w:rsidR="001C3855" w:rsidRDefault="001C3855" w:rsidP="00C8019E">
            <w:pPr>
              <w:pStyle w:val="Marginlie"/>
            </w:pPr>
          </w:p>
          <w:p w14:paraId="6785D6D9" w14:textId="77777777" w:rsidR="001C3855" w:rsidRDefault="001C3855" w:rsidP="00C8019E">
            <w:pPr>
              <w:pStyle w:val="Marginlie"/>
            </w:pPr>
          </w:p>
          <w:p w14:paraId="14903F71" w14:textId="77777777" w:rsidR="001C3855" w:rsidRDefault="001C3855" w:rsidP="00C8019E">
            <w:pPr>
              <w:pStyle w:val="Marginlie"/>
            </w:pPr>
          </w:p>
          <w:p w14:paraId="7CDE8825" w14:textId="77777777" w:rsidR="001C3855" w:rsidRDefault="001C3855" w:rsidP="00C8019E">
            <w:pPr>
              <w:pStyle w:val="Marginlie"/>
            </w:pPr>
            <w:r>
              <w:t>Dávky nemocenského pojištění se dále snižovaly, i tak stále převyšovaly příjmy z pojistného.</w:t>
            </w:r>
          </w:p>
        </w:tc>
        <w:tc>
          <w:tcPr>
            <w:tcW w:w="217" w:type="dxa"/>
            <w:shd w:val="clear" w:color="auto" w:fill="auto"/>
            <w:tcMar>
              <w:left w:w="0" w:type="dxa"/>
            </w:tcMar>
          </w:tcPr>
          <w:p w14:paraId="0019F931" w14:textId="77777777" w:rsidR="001C3855" w:rsidRDefault="001C3855" w:rsidP="00C8019E">
            <w:pPr>
              <w:pStyle w:val="Textpoznpodarou"/>
              <w:jc w:val="both"/>
              <w:rPr>
                <w:spacing w:val="-4"/>
              </w:rPr>
            </w:pPr>
          </w:p>
        </w:tc>
        <w:tc>
          <w:tcPr>
            <w:tcW w:w="7679" w:type="dxa"/>
            <w:shd w:val="clear" w:color="auto" w:fill="auto"/>
            <w:tcMar>
              <w:left w:w="0" w:type="dxa"/>
            </w:tcMar>
          </w:tcPr>
          <w:p w14:paraId="7F79891D" w14:textId="77777777" w:rsidR="001C3855" w:rsidRPr="00954991" w:rsidRDefault="001C3855" w:rsidP="00C8019E">
            <w:pPr>
              <w:spacing w:after="200"/>
              <w:rPr>
                <w:spacing w:val="-4"/>
              </w:rPr>
            </w:pPr>
            <w:r>
              <w:rPr>
                <w:spacing w:val="-4"/>
                <w:szCs w:val="20"/>
              </w:rPr>
              <w:t xml:space="preserve">K </w:t>
            </w:r>
            <w:r w:rsidRPr="00230385">
              <w:rPr>
                <w:color w:val="0D0D0D" w:themeColor="text1" w:themeTint="F2"/>
                <w:spacing w:val="-4"/>
                <w:szCs w:val="20"/>
              </w:rPr>
              <w:t xml:space="preserve">růstu běžných výdajů SR </w:t>
            </w:r>
            <w:r w:rsidRPr="00A0009D">
              <w:rPr>
                <w:rFonts w:cs="Arial"/>
                <w:color w:val="0D0D0D" w:themeColor="text1" w:themeTint="F2"/>
                <w:spacing w:val="-5"/>
              </w:rPr>
              <w:t>loni</w:t>
            </w:r>
            <w:r>
              <w:rPr>
                <w:rFonts w:cs="Arial"/>
                <w:color w:val="0D0D0D" w:themeColor="text1" w:themeTint="F2"/>
                <w:spacing w:val="-5"/>
              </w:rPr>
              <w:t xml:space="preserve">, </w:t>
            </w:r>
            <w:r w:rsidRPr="00A0009D">
              <w:rPr>
                <w:rFonts w:cs="Arial"/>
                <w:color w:val="0D0D0D" w:themeColor="text1" w:themeTint="F2"/>
                <w:spacing w:val="-5"/>
              </w:rPr>
              <w:t>na rozdíl od roku 2021</w:t>
            </w:r>
            <w:r>
              <w:rPr>
                <w:rFonts w:cs="Arial"/>
                <w:color w:val="0D0D0D" w:themeColor="text1" w:themeTint="F2"/>
                <w:spacing w:val="-5"/>
              </w:rPr>
              <w:t>,</w:t>
            </w:r>
            <w:r w:rsidRPr="00A0009D">
              <w:rPr>
                <w:rFonts w:cs="Arial"/>
                <w:color w:val="0D0D0D" w:themeColor="text1" w:themeTint="F2"/>
                <w:spacing w:val="-5"/>
              </w:rPr>
              <w:t xml:space="preserve"> přispěly i nedůchodové sociální dávky</w:t>
            </w:r>
            <w:r>
              <w:rPr>
                <w:rFonts w:cs="Arial"/>
                <w:color w:val="0D0D0D" w:themeColor="text1" w:themeTint="F2"/>
                <w:spacing w:val="-5"/>
              </w:rPr>
              <w:t xml:space="preserve"> (meziročně vyšší o 11,2 %).</w:t>
            </w:r>
            <w:r w:rsidRPr="00A0009D">
              <w:rPr>
                <w:rFonts w:cs="Arial"/>
                <w:color w:val="0D0D0D" w:themeColor="text1" w:themeTint="F2"/>
                <w:spacing w:val="-5"/>
              </w:rPr>
              <w:t xml:space="preserve"> </w:t>
            </w:r>
            <w:r>
              <w:rPr>
                <w:rFonts w:cs="Arial"/>
                <w:color w:val="0D0D0D" w:themeColor="text1" w:themeTint="F2"/>
                <w:spacing w:val="-5"/>
              </w:rPr>
              <w:t xml:space="preserve">Zásadní roli zde sehrály vyšší </w:t>
            </w:r>
            <w:r w:rsidRPr="00A0009D">
              <w:rPr>
                <w:rFonts w:cs="Arial"/>
                <w:color w:val="0D0D0D" w:themeColor="text1" w:themeTint="F2"/>
                <w:spacing w:val="-5"/>
              </w:rPr>
              <w:t>dávky pomoci v hmotné nouzi (+9,0 mld. korun), tažené z drtivé části výplatou humanitární dávky uprchlíkům z</w:t>
            </w:r>
            <w:r>
              <w:rPr>
                <w:rFonts w:cs="Arial"/>
                <w:color w:val="0D0D0D" w:themeColor="text1" w:themeTint="F2"/>
                <w:spacing w:val="-5"/>
              </w:rPr>
              <w:t> </w:t>
            </w:r>
            <w:r w:rsidRPr="00A0009D">
              <w:rPr>
                <w:rFonts w:cs="Arial"/>
                <w:color w:val="0D0D0D" w:themeColor="text1" w:themeTint="F2"/>
                <w:spacing w:val="-5"/>
              </w:rPr>
              <w:t>Ukrajiny</w:t>
            </w:r>
            <w:r>
              <w:rPr>
                <w:rFonts w:cs="Arial"/>
                <w:color w:val="0D0D0D" w:themeColor="text1" w:themeTint="F2"/>
                <w:spacing w:val="-5"/>
              </w:rPr>
              <w:t xml:space="preserve">. </w:t>
            </w:r>
            <w:r>
              <w:rPr>
                <w:spacing w:val="-4"/>
              </w:rPr>
              <w:t>Významně se zvýšily i dávky státní sociální podpory (SSP, +7,6 mld. korun). Tyto vzrostly primárně vlivem výplaty jednorázového příspěvku na dítě</w:t>
            </w:r>
            <w:r>
              <w:rPr>
                <w:rStyle w:val="Znakapoznpodarou"/>
                <w:spacing w:val="-4"/>
              </w:rPr>
              <w:footnoteReference w:id="102"/>
            </w:r>
            <w:r>
              <w:rPr>
                <w:spacing w:val="-4"/>
              </w:rPr>
              <w:t>, přídavků na dítě (díky rozšíření počtu příjemců s nárokem na dávku) a příspěvků na bydlení (vlivem zvýšení nákladů uznatelných pro výplatu). Opačně působil mírný pokles čerpání u váhově dominantní položky SSP – rodičovských příspěvků (</w:t>
            </w:r>
            <w:r w:rsidRPr="00D94406">
              <w:rPr>
                <w:color w:val="0D0D0D" w:themeColor="text1" w:themeTint="F2"/>
                <w:spacing w:val="-5"/>
              </w:rPr>
              <w:t>−</w:t>
            </w:r>
            <w:r>
              <w:rPr>
                <w:spacing w:val="-4"/>
              </w:rPr>
              <w:t xml:space="preserve">2,4 mld. korun). </w:t>
            </w:r>
            <w:r>
              <w:rPr>
                <w:rFonts w:cs="Arial"/>
                <w:color w:val="0D0D0D" w:themeColor="text1" w:themeTint="F2"/>
                <w:spacing w:val="-5"/>
              </w:rPr>
              <w:t xml:space="preserve">Z dalších dávek </w:t>
            </w:r>
            <w:r>
              <w:rPr>
                <w:spacing w:val="-4"/>
              </w:rPr>
              <w:t>narostl objem příspěvků na péči (+3,7 mld. korun)</w:t>
            </w:r>
            <w:r>
              <w:rPr>
                <w:rStyle w:val="Znakapoznpodarou"/>
                <w:spacing w:val="-4"/>
              </w:rPr>
              <w:footnoteReference w:id="103"/>
            </w:r>
            <w:r>
              <w:rPr>
                <w:spacing w:val="-4"/>
              </w:rPr>
              <w:t xml:space="preserve">. Naopak díky zlepšení epidemické situace klesly druhým rokem v řadě </w:t>
            </w:r>
            <w:r>
              <w:t xml:space="preserve">výdaje na dávky nemocenského pojištění (loni </w:t>
            </w:r>
            <w:r>
              <w:br/>
              <w:t>o 3,7 mld. korun),</w:t>
            </w:r>
            <w:r>
              <w:rPr>
                <w:spacing w:val="-4"/>
              </w:rPr>
              <w:t xml:space="preserve"> oproti roku 2019 vydal ovšem SR na těchto dávkách o pětinu více</w:t>
            </w:r>
            <w:r>
              <w:rPr>
                <w:rStyle w:val="Znakapoznpodarou"/>
                <w:spacing w:val="-4"/>
              </w:rPr>
              <w:footnoteReference w:id="104"/>
            </w:r>
            <w:r>
              <w:rPr>
                <w:spacing w:val="-4"/>
              </w:rPr>
              <w:t xml:space="preserve">. </w:t>
            </w:r>
            <w:r>
              <w:rPr>
                <w:spacing w:val="-4"/>
              </w:rPr>
              <w:br/>
              <w:t>O řád méně „uspořil“ SR také na dávkách v nezaměstnanosti, jejich vyplacená výše mírně klesla druhým rokem v řadě. I tak dosahovala nezanedbatelných 9,9 mld. korun.</w:t>
            </w:r>
          </w:p>
        </w:tc>
      </w:tr>
      <w:tr w:rsidR="001C3855" w:rsidRPr="007B3A78" w14:paraId="2465E644" w14:textId="77777777" w:rsidTr="00C8019E">
        <w:trPr>
          <w:trHeight w:val="170"/>
        </w:trPr>
        <w:tc>
          <w:tcPr>
            <w:tcW w:w="1773" w:type="dxa"/>
            <w:shd w:val="clear" w:color="auto" w:fill="auto"/>
            <w:tcMar>
              <w:left w:w="0" w:type="dxa"/>
            </w:tcMar>
          </w:tcPr>
          <w:p w14:paraId="0C5C8C82" w14:textId="77777777" w:rsidR="001C3855" w:rsidRDefault="001C3855" w:rsidP="00C8019E">
            <w:pPr>
              <w:pStyle w:val="Marginlie"/>
            </w:pPr>
            <w:r>
              <w:lastRenderedPageBreak/>
              <w:t>Silný růst výdajů na neinvestiční nákupy souvisel hlavně s posilováním státních hmotných rezerv.</w:t>
            </w:r>
          </w:p>
          <w:p w14:paraId="55871531" w14:textId="77777777" w:rsidR="001C3855" w:rsidRDefault="001C3855" w:rsidP="00C8019E">
            <w:pPr>
              <w:pStyle w:val="Marginlie"/>
            </w:pPr>
            <w:r>
              <w:t xml:space="preserve">Růst výdajů na obsluhu státního dluhu zrychlil </w:t>
            </w:r>
            <w:r>
              <w:br/>
              <w:t xml:space="preserve">a přiblížil se dosud rekordní výši z roku 2013. </w:t>
            </w:r>
          </w:p>
          <w:p w14:paraId="3A44DAF5" w14:textId="77777777" w:rsidR="001C3855" w:rsidRDefault="001C3855" w:rsidP="00C8019E">
            <w:pPr>
              <w:pStyle w:val="Marginlie"/>
            </w:pPr>
          </w:p>
          <w:p w14:paraId="7E90C0E4" w14:textId="77777777" w:rsidR="001C3855" w:rsidRDefault="001C3855" w:rsidP="00C8019E">
            <w:pPr>
              <w:pStyle w:val="Marginlie"/>
            </w:pPr>
          </w:p>
          <w:p w14:paraId="1244ED82" w14:textId="77777777" w:rsidR="001C3855" w:rsidRDefault="001C3855" w:rsidP="00C8019E">
            <w:pPr>
              <w:pStyle w:val="Marginlie"/>
            </w:pPr>
          </w:p>
          <w:p w14:paraId="79583F4F" w14:textId="77777777" w:rsidR="001C3855" w:rsidRDefault="001C3855" w:rsidP="00C8019E">
            <w:pPr>
              <w:pStyle w:val="Marginlie"/>
            </w:pPr>
          </w:p>
          <w:p w14:paraId="4981A48C" w14:textId="77777777" w:rsidR="001C3855" w:rsidRDefault="001C3855" w:rsidP="00C8019E">
            <w:pPr>
              <w:pStyle w:val="Marginlie"/>
            </w:pPr>
          </w:p>
          <w:p w14:paraId="0D92699A" w14:textId="77777777" w:rsidR="001C3855" w:rsidRDefault="001C3855" w:rsidP="00C8019E">
            <w:pPr>
              <w:pStyle w:val="Marginlie"/>
            </w:pPr>
            <w:r>
              <w:t>Vyšší běžné transfery územním rozpočtům odrážely zejména mírné zvýšení platových tarifů ve školství.</w:t>
            </w:r>
          </w:p>
          <w:p w14:paraId="44E9EB26" w14:textId="77777777" w:rsidR="001C3855" w:rsidRDefault="001C3855" w:rsidP="00C8019E">
            <w:pPr>
              <w:pStyle w:val="Marginlie"/>
            </w:pPr>
          </w:p>
        </w:tc>
        <w:tc>
          <w:tcPr>
            <w:tcW w:w="217" w:type="dxa"/>
            <w:shd w:val="clear" w:color="auto" w:fill="auto"/>
            <w:tcMar>
              <w:left w:w="0" w:type="dxa"/>
            </w:tcMar>
          </w:tcPr>
          <w:p w14:paraId="5CEEDF1A" w14:textId="77777777" w:rsidR="001C3855" w:rsidRDefault="001C3855" w:rsidP="00C8019E">
            <w:pPr>
              <w:pStyle w:val="Textpoznpodarou"/>
              <w:jc w:val="both"/>
              <w:rPr>
                <w:spacing w:val="-4"/>
              </w:rPr>
            </w:pPr>
          </w:p>
        </w:tc>
        <w:tc>
          <w:tcPr>
            <w:tcW w:w="7679" w:type="dxa"/>
            <w:shd w:val="clear" w:color="auto" w:fill="auto"/>
            <w:tcMar>
              <w:left w:w="0" w:type="dxa"/>
            </w:tcMar>
          </w:tcPr>
          <w:p w14:paraId="52F1E187" w14:textId="77777777" w:rsidR="001C3855" w:rsidRPr="00A660DE" w:rsidRDefault="001C3855" w:rsidP="00C8019E">
            <w:pPr>
              <w:spacing w:after="200"/>
              <w:rPr>
                <w:rFonts w:cs="Arial"/>
                <w:color w:val="0D0D0D" w:themeColor="text1" w:themeTint="F2"/>
                <w:spacing w:val="-5"/>
              </w:rPr>
            </w:pPr>
            <w:r>
              <w:rPr>
                <w:rFonts w:cs="Arial"/>
                <w:color w:val="0D0D0D" w:themeColor="text1" w:themeTint="F2"/>
                <w:spacing w:val="-5"/>
              </w:rPr>
              <w:t xml:space="preserve">Veškeré sociální dávky loni posílily o 75,7 mld. korun (polovina z toho připadala na poslední čtyři měsíce roku). Tvořily 42,7 % všech běžných výdajů SR, což však bylo zhruba o 3 p. b. méně než v období hospodářské recese (2012 až 2013). </w:t>
            </w:r>
            <w:r w:rsidRPr="00791F0E">
              <w:rPr>
                <w:color w:val="0D0D0D" w:themeColor="text1" w:themeTint="F2"/>
                <w:spacing w:val="-5"/>
              </w:rPr>
              <w:t xml:space="preserve">Mimo </w:t>
            </w:r>
            <w:r>
              <w:rPr>
                <w:color w:val="0D0D0D" w:themeColor="text1" w:themeTint="F2"/>
                <w:spacing w:val="-5"/>
              </w:rPr>
              <w:t>oblast sociálních dávek přispěl</w:t>
            </w:r>
            <w:r w:rsidRPr="00791F0E">
              <w:rPr>
                <w:color w:val="0D0D0D" w:themeColor="text1" w:themeTint="F2"/>
                <w:spacing w:val="-5"/>
              </w:rPr>
              <w:t xml:space="preserve"> k růstu celkových běžných výdajů nejvíce </w:t>
            </w:r>
            <w:r>
              <w:rPr>
                <w:color w:val="0D0D0D" w:themeColor="text1" w:themeTint="F2"/>
                <w:spacing w:val="-5"/>
              </w:rPr>
              <w:t xml:space="preserve">nečekaně vysoký objem </w:t>
            </w:r>
            <w:r w:rsidRPr="00791F0E">
              <w:rPr>
                <w:color w:val="0D0D0D" w:themeColor="text1" w:themeTint="F2"/>
                <w:spacing w:val="-5"/>
              </w:rPr>
              <w:t>neinvestiční</w:t>
            </w:r>
            <w:r>
              <w:rPr>
                <w:color w:val="0D0D0D" w:themeColor="text1" w:themeTint="F2"/>
                <w:spacing w:val="-5"/>
              </w:rPr>
              <w:t>ch nákupů</w:t>
            </w:r>
            <w:r w:rsidRPr="00791F0E">
              <w:rPr>
                <w:color w:val="0D0D0D" w:themeColor="text1" w:themeTint="F2"/>
                <w:spacing w:val="-5"/>
              </w:rPr>
              <w:t xml:space="preserve"> státu (+15,8 %, resp. 12,4 mld. korun), u nichž se projevily vyšší výdaje na posilování státních hmotných rezerv (hlavně zemního plynu), úhrada starších nákladů České poště, rostoucí ceny za spotřebované energie či vyšší potřeba nákupu léků a zdravotnického materiálu</w:t>
            </w:r>
            <w:r>
              <w:rPr>
                <w:color w:val="0D0D0D" w:themeColor="text1" w:themeTint="F2"/>
                <w:spacing w:val="-5"/>
              </w:rPr>
              <w:t xml:space="preserve">. SR více zatížily i </w:t>
            </w:r>
            <w:r>
              <w:rPr>
                <w:spacing w:val="-4"/>
              </w:rPr>
              <w:t>čisté výdaje na obsluhu státního dluhu</w:t>
            </w:r>
            <w:r>
              <w:rPr>
                <w:rStyle w:val="Znakapoznpodarou"/>
                <w:spacing w:val="-4"/>
              </w:rPr>
              <w:footnoteReference w:id="105"/>
            </w:r>
            <w:r>
              <w:rPr>
                <w:spacing w:val="-4"/>
              </w:rPr>
              <w:t xml:space="preserve">. Jejich růst oproti roku 2021 zrychlil. Loni dosáhl 17,7 % a svou výší (49,7 mld. korun) se těsně přiblížil rekordním výdajům z roku 2013. To souviselo s růstem výše dluhu i úrokových sazeb na tuzemských státních dluhopisech. </w:t>
            </w:r>
            <w:r w:rsidRPr="00D94406">
              <w:rPr>
                <w:color w:val="0D0D0D" w:themeColor="text1" w:themeTint="F2"/>
                <w:spacing w:val="-5"/>
              </w:rPr>
              <w:t>Obje</w:t>
            </w:r>
            <w:r>
              <w:rPr>
                <w:color w:val="0D0D0D" w:themeColor="text1" w:themeTint="F2"/>
                <w:spacing w:val="-5"/>
              </w:rPr>
              <w:t>mově významné běžné transfery krajům a</w:t>
            </w:r>
            <w:r w:rsidRPr="00D94406">
              <w:rPr>
                <w:color w:val="0D0D0D" w:themeColor="text1" w:themeTint="F2"/>
                <w:spacing w:val="-5"/>
              </w:rPr>
              <w:t> obcím</w:t>
            </w:r>
            <w:r>
              <w:rPr>
                <w:color w:val="0D0D0D" w:themeColor="text1" w:themeTint="F2"/>
                <w:spacing w:val="-5"/>
              </w:rPr>
              <w:t xml:space="preserve"> v souladu </w:t>
            </w:r>
            <w:r w:rsidRPr="00532E9F">
              <w:rPr>
                <w:color w:val="0D0D0D" w:themeColor="text1" w:themeTint="F2"/>
                <w:spacing w:val="-6"/>
              </w:rPr>
              <w:t xml:space="preserve">s rozpočtovým očekáváním za loňský rok mírně vzrostly (+2,3 %, +5,3 mld. korun). </w:t>
            </w:r>
            <w:proofErr w:type="spellStart"/>
            <w:r w:rsidRPr="00532E9F">
              <w:rPr>
                <w:color w:val="0D0D0D" w:themeColor="text1" w:themeTint="F2"/>
                <w:spacing w:val="-6"/>
              </w:rPr>
              <w:t>Prorůstově</w:t>
            </w:r>
            <w:proofErr w:type="spellEnd"/>
            <w:r>
              <w:rPr>
                <w:color w:val="0D0D0D" w:themeColor="text1" w:themeTint="F2"/>
                <w:spacing w:val="-5"/>
              </w:rPr>
              <w:t xml:space="preserve"> zde působil</w:t>
            </w:r>
            <w:r w:rsidRPr="00D94406">
              <w:rPr>
                <w:color w:val="0D0D0D" w:themeColor="text1" w:themeTint="F2"/>
                <w:spacing w:val="-5"/>
              </w:rPr>
              <w:t xml:space="preserve"> mírný růst platových tarifů pedagogů základních a středních škol (+2 %) </w:t>
            </w:r>
            <w:r>
              <w:rPr>
                <w:color w:val="0D0D0D" w:themeColor="text1" w:themeTint="F2"/>
                <w:spacing w:val="-5"/>
              </w:rPr>
              <w:t>i k</w:t>
            </w:r>
            <w:r w:rsidRPr="00757CC6">
              <w:rPr>
                <w:color w:val="0D0D0D" w:themeColor="text1" w:themeTint="F2"/>
                <w:spacing w:val="-5"/>
              </w:rPr>
              <w:t xml:space="preserve">ompenzace územním samosprávám za ubytování uprchlíků, opačný vliv mělo </w:t>
            </w:r>
            <w:r>
              <w:rPr>
                <w:color w:val="0D0D0D" w:themeColor="text1" w:themeTint="F2"/>
                <w:spacing w:val="-5"/>
              </w:rPr>
              <w:t>snížení prostředků na sociální služ</w:t>
            </w:r>
            <w:r w:rsidRPr="00D94406">
              <w:rPr>
                <w:color w:val="0D0D0D" w:themeColor="text1" w:themeTint="F2"/>
                <w:spacing w:val="-5"/>
              </w:rPr>
              <w:t>b</w:t>
            </w:r>
            <w:r>
              <w:rPr>
                <w:color w:val="0D0D0D" w:themeColor="text1" w:themeTint="F2"/>
                <w:spacing w:val="-5"/>
              </w:rPr>
              <w:t>y či lůžkovou péči</w:t>
            </w:r>
            <w:r w:rsidRPr="00D94406">
              <w:rPr>
                <w:color w:val="0D0D0D" w:themeColor="text1" w:themeTint="F2"/>
                <w:spacing w:val="-5"/>
              </w:rPr>
              <w:t xml:space="preserve"> (související s </w:t>
            </w:r>
            <w:r>
              <w:rPr>
                <w:color w:val="0D0D0D" w:themeColor="text1" w:themeTint="F2"/>
                <w:spacing w:val="-5"/>
              </w:rPr>
              <w:t>před</w:t>
            </w:r>
            <w:r w:rsidRPr="00D94406">
              <w:rPr>
                <w:color w:val="0D0D0D" w:themeColor="text1" w:themeTint="F2"/>
                <w:spacing w:val="-5"/>
              </w:rPr>
              <w:t>loňskými mimořádnými odměnami).</w:t>
            </w:r>
            <w:r>
              <w:rPr>
                <w:color w:val="0D0D0D" w:themeColor="text1" w:themeTint="F2"/>
                <w:spacing w:val="-5"/>
              </w:rPr>
              <w:t xml:space="preserve"> Z ostatních běžných výdajů vzrostly p</w:t>
            </w:r>
            <w:r w:rsidRPr="00A660DE">
              <w:rPr>
                <w:color w:val="0D0D0D" w:themeColor="text1" w:themeTint="F2"/>
                <w:spacing w:val="-5"/>
              </w:rPr>
              <w:t>latby veřejného zdravotního pojištění za tzv. státní pojištěnce</w:t>
            </w:r>
            <w:r>
              <w:rPr>
                <w:color w:val="0D0D0D" w:themeColor="text1" w:themeTint="F2"/>
                <w:spacing w:val="-5"/>
              </w:rPr>
              <w:t xml:space="preserve"> </w:t>
            </w:r>
            <w:r w:rsidRPr="00790DFB">
              <w:rPr>
                <w:color w:val="0D0D0D" w:themeColor="text1" w:themeTint="F2"/>
                <w:spacing w:val="-6"/>
              </w:rPr>
              <w:t>(2,4 %)</w:t>
            </w:r>
            <w:r>
              <w:rPr>
                <w:color w:val="0D0D0D" w:themeColor="text1" w:themeTint="F2"/>
                <w:spacing w:val="-6"/>
              </w:rPr>
              <w:t>, jež</w:t>
            </w:r>
            <w:r w:rsidRPr="00790DFB">
              <w:rPr>
                <w:color w:val="0D0D0D" w:themeColor="text1" w:themeTint="F2"/>
                <w:spacing w:val="-6"/>
              </w:rPr>
              <w:t xml:space="preserve"> byly ovlivněny </w:t>
            </w:r>
            <w:r>
              <w:rPr>
                <w:color w:val="0D0D0D" w:themeColor="text1" w:themeTint="F2"/>
                <w:spacing w:val="-6"/>
              </w:rPr>
              <w:t xml:space="preserve">jak </w:t>
            </w:r>
            <w:r w:rsidRPr="00790DFB">
              <w:rPr>
                <w:color w:val="0D0D0D" w:themeColor="text1" w:themeTint="F2"/>
                <w:spacing w:val="-6"/>
              </w:rPr>
              <w:t>změnou valorizačního mechanismu</w:t>
            </w:r>
            <w:r w:rsidRPr="00790DFB">
              <w:rPr>
                <w:rStyle w:val="Znakapoznpodarou"/>
                <w:spacing w:val="-6"/>
              </w:rPr>
              <w:footnoteReference w:id="106"/>
            </w:r>
            <w:r>
              <w:rPr>
                <w:spacing w:val="-6"/>
              </w:rPr>
              <w:t>, tak</w:t>
            </w:r>
            <w:r w:rsidRPr="00790DFB">
              <w:rPr>
                <w:color w:val="0D0D0D" w:themeColor="text1" w:themeTint="F2"/>
                <w:spacing w:val="-6"/>
              </w:rPr>
              <w:t xml:space="preserve"> vyšším počtem pojištěnců.</w:t>
            </w:r>
          </w:p>
        </w:tc>
      </w:tr>
      <w:tr w:rsidR="001C3855" w:rsidRPr="00F704D2" w14:paraId="370E4A72" w14:textId="77777777" w:rsidTr="00C8019E">
        <w:trPr>
          <w:trHeight w:val="170"/>
        </w:trPr>
        <w:tc>
          <w:tcPr>
            <w:tcW w:w="1773" w:type="dxa"/>
            <w:vMerge w:val="restart"/>
            <w:shd w:val="clear" w:color="auto" w:fill="auto"/>
            <w:tcMar>
              <w:left w:w="0" w:type="dxa"/>
            </w:tcMar>
          </w:tcPr>
          <w:p w14:paraId="743F7998" w14:textId="77777777" w:rsidR="001C3855" w:rsidRDefault="001C3855" w:rsidP="00C8019E">
            <w:pPr>
              <w:pStyle w:val="Marginlie"/>
            </w:pPr>
          </w:p>
        </w:tc>
        <w:tc>
          <w:tcPr>
            <w:tcW w:w="217" w:type="dxa"/>
            <w:vMerge w:val="restart"/>
            <w:shd w:val="clear" w:color="auto" w:fill="auto"/>
            <w:tcMar>
              <w:left w:w="0" w:type="dxa"/>
            </w:tcMar>
          </w:tcPr>
          <w:p w14:paraId="4228B394" w14:textId="77777777" w:rsidR="001C3855" w:rsidRDefault="001C3855" w:rsidP="00C8019E">
            <w:pPr>
              <w:pStyle w:val="Textpoznpodarou"/>
              <w:jc w:val="both"/>
              <w:rPr>
                <w:spacing w:val="-4"/>
              </w:rPr>
            </w:pPr>
          </w:p>
        </w:tc>
        <w:tc>
          <w:tcPr>
            <w:tcW w:w="7679" w:type="dxa"/>
            <w:shd w:val="clear" w:color="auto" w:fill="auto"/>
            <w:tcMar>
              <w:left w:w="0" w:type="dxa"/>
            </w:tcMar>
          </w:tcPr>
          <w:p w14:paraId="2E7E1C3E" w14:textId="1224FC80" w:rsidR="001C3855" w:rsidRPr="0033093B" w:rsidRDefault="008F525A" w:rsidP="00C8019E">
            <w:pPr>
              <w:spacing w:after="20" w:line="240" w:lineRule="auto"/>
              <w:jc w:val="left"/>
              <w:rPr>
                <w:rFonts w:cs="Arial"/>
                <w:bCs/>
                <w:spacing w:val="-3"/>
              </w:rPr>
            </w:pPr>
            <w:r>
              <w:rPr>
                <w:b/>
                <w:spacing w:val="-3"/>
              </w:rPr>
              <w:t>Graf č. 19</w:t>
            </w:r>
            <w:r w:rsidR="001C3855" w:rsidRPr="0033093B">
              <w:rPr>
                <w:b/>
                <w:spacing w:val="-3"/>
              </w:rPr>
              <w:t xml:space="preserve"> </w:t>
            </w:r>
            <w:r w:rsidR="001C3855" w:rsidRPr="0033093B">
              <w:rPr>
                <w:rFonts w:cs="Arial"/>
                <w:b/>
                <w:bCs/>
                <w:spacing w:val="-3"/>
              </w:rPr>
              <w:t>Vyb</w:t>
            </w:r>
            <w:r w:rsidR="001C3855">
              <w:rPr>
                <w:rFonts w:cs="Arial"/>
                <w:b/>
                <w:bCs/>
                <w:spacing w:val="-3"/>
              </w:rPr>
              <w:t xml:space="preserve">rané výdaje státního rozpočtu </w:t>
            </w:r>
            <w:r w:rsidR="001C3855">
              <w:rPr>
                <w:rFonts w:cs="Arial"/>
                <w:bCs/>
                <w:spacing w:val="-3"/>
              </w:rPr>
              <w:t>(roční úhrn</w:t>
            </w:r>
            <w:r w:rsidR="001C3855" w:rsidRPr="008223D7">
              <w:rPr>
                <w:rFonts w:cs="Arial"/>
                <w:bCs/>
                <w:spacing w:val="-3"/>
              </w:rPr>
              <w:t>, v</w:t>
            </w:r>
            <w:r w:rsidR="001C3855" w:rsidRPr="0033093B">
              <w:rPr>
                <w:rFonts w:cs="Arial"/>
                <w:bCs/>
                <w:spacing w:val="-3"/>
              </w:rPr>
              <w:t xml:space="preserve"> mld. korun)</w:t>
            </w:r>
          </w:p>
        </w:tc>
      </w:tr>
      <w:tr w:rsidR="001C3855" w14:paraId="3BD6DF79" w14:textId="77777777" w:rsidTr="00C8019E">
        <w:tblPrEx>
          <w:tblCellMar>
            <w:left w:w="70" w:type="dxa"/>
            <w:right w:w="70" w:type="dxa"/>
          </w:tblCellMar>
        </w:tblPrEx>
        <w:trPr>
          <w:trHeight w:val="170"/>
        </w:trPr>
        <w:tc>
          <w:tcPr>
            <w:tcW w:w="1773" w:type="dxa"/>
            <w:vMerge/>
            <w:shd w:val="clear" w:color="auto" w:fill="auto"/>
          </w:tcPr>
          <w:p w14:paraId="3A4ABBAD" w14:textId="77777777" w:rsidR="001C3855" w:rsidRDefault="001C3855" w:rsidP="00C8019E">
            <w:pPr>
              <w:pStyle w:val="Marginlie"/>
            </w:pPr>
          </w:p>
        </w:tc>
        <w:tc>
          <w:tcPr>
            <w:tcW w:w="217" w:type="dxa"/>
            <w:vMerge/>
            <w:shd w:val="clear" w:color="auto" w:fill="auto"/>
          </w:tcPr>
          <w:p w14:paraId="600EA188" w14:textId="77777777" w:rsidR="001C3855" w:rsidRDefault="001C3855" w:rsidP="00C8019E">
            <w:pPr>
              <w:pStyle w:val="Textpoznpodarou"/>
              <w:jc w:val="both"/>
              <w:rPr>
                <w:spacing w:val="-4"/>
              </w:rPr>
            </w:pPr>
          </w:p>
        </w:tc>
        <w:tc>
          <w:tcPr>
            <w:tcW w:w="7679" w:type="dxa"/>
            <w:shd w:val="clear" w:color="auto" w:fill="auto"/>
          </w:tcPr>
          <w:p w14:paraId="2C57B566" w14:textId="77777777" w:rsidR="001C3855" w:rsidRPr="0067514E" w:rsidRDefault="001C3855" w:rsidP="00C8019E">
            <w:pPr>
              <w:spacing w:after="0"/>
              <w:rPr>
                <w:spacing w:val="-6"/>
              </w:rPr>
            </w:pPr>
            <w:r>
              <w:rPr>
                <w:noProof/>
              </w:rPr>
              <w:drawing>
                <wp:inline distT="0" distB="0" distL="0" distR="0" wp14:anchorId="41CB2163" wp14:editId="28CCB81F">
                  <wp:extent cx="4725035" cy="3182620"/>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1C3855" w:rsidRPr="00343AC1" w14:paraId="65C7AFE0" w14:textId="77777777" w:rsidTr="00C8019E">
        <w:trPr>
          <w:trHeight w:val="170"/>
        </w:trPr>
        <w:tc>
          <w:tcPr>
            <w:tcW w:w="1773" w:type="dxa"/>
            <w:vMerge/>
            <w:shd w:val="clear" w:color="auto" w:fill="auto"/>
            <w:tcMar>
              <w:left w:w="0" w:type="dxa"/>
            </w:tcMar>
          </w:tcPr>
          <w:p w14:paraId="3D48017E" w14:textId="77777777" w:rsidR="001C3855" w:rsidRDefault="001C3855" w:rsidP="00C8019E">
            <w:pPr>
              <w:pStyle w:val="Marginlie"/>
            </w:pPr>
          </w:p>
        </w:tc>
        <w:tc>
          <w:tcPr>
            <w:tcW w:w="217" w:type="dxa"/>
            <w:vMerge/>
            <w:shd w:val="clear" w:color="auto" w:fill="auto"/>
            <w:tcMar>
              <w:left w:w="0" w:type="dxa"/>
            </w:tcMar>
          </w:tcPr>
          <w:p w14:paraId="0E6E2521" w14:textId="77777777" w:rsidR="001C3855" w:rsidRDefault="001C3855" w:rsidP="00C8019E">
            <w:pPr>
              <w:pStyle w:val="Textpoznpodarou"/>
              <w:jc w:val="both"/>
              <w:rPr>
                <w:spacing w:val="-4"/>
              </w:rPr>
            </w:pPr>
          </w:p>
        </w:tc>
        <w:tc>
          <w:tcPr>
            <w:tcW w:w="7679" w:type="dxa"/>
            <w:shd w:val="clear" w:color="auto" w:fill="auto"/>
            <w:tcMar>
              <w:left w:w="0" w:type="dxa"/>
            </w:tcMar>
          </w:tcPr>
          <w:p w14:paraId="32931B1C" w14:textId="77777777" w:rsidR="001C3855" w:rsidRPr="008F2BE2" w:rsidRDefault="001C3855" w:rsidP="00C8019E">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5083DCE2" w14:textId="77777777" w:rsidR="001C3855" w:rsidRPr="008F2BE2" w:rsidRDefault="001C3855" w:rsidP="00C8019E">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6DBDB087" w14:textId="77777777" w:rsidR="001C3855" w:rsidRDefault="001C3855" w:rsidP="00C8019E">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212A1080" w14:textId="77777777" w:rsidR="001C3855" w:rsidRPr="00D94406" w:rsidRDefault="001C3855" w:rsidP="00C8019E">
            <w:pPr>
              <w:pStyle w:val="Textpoznpodarou"/>
              <w:spacing w:after="160"/>
              <w:rPr>
                <w:sz w:val="16"/>
                <w:szCs w:val="16"/>
              </w:rPr>
            </w:pPr>
            <w:r>
              <w:rPr>
                <w:spacing w:val="-4"/>
                <w:sz w:val="14"/>
                <w:szCs w:val="14"/>
              </w:rPr>
              <w:t xml:space="preserve">*****Vyjadřuje saldo </w:t>
            </w:r>
            <w:r w:rsidRPr="00DB31A1">
              <w:rPr>
                <w:spacing w:val="-4"/>
                <w:sz w:val="14"/>
                <w:szCs w:val="14"/>
              </w:rPr>
              <w:t>rozpočtové kapitoly Státní dluh.</w:t>
            </w:r>
            <w:r>
              <w:rPr>
                <w:spacing w:val="-4"/>
                <w:sz w:val="14"/>
                <w:szCs w:val="14"/>
              </w:rPr>
              <w:t xml:space="preserve">                                                                                                 </w:t>
            </w:r>
            <w:r w:rsidRPr="000F45E7">
              <w:rPr>
                <w:spacing w:val="-4"/>
                <w:sz w:val="14"/>
                <w:szCs w:val="14"/>
              </w:rPr>
              <w:t>Zdroj: MF ČR, MPSV</w:t>
            </w:r>
          </w:p>
        </w:tc>
      </w:tr>
    </w:tbl>
    <w:p w14:paraId="38B3191D" w14:textId="77777777" w:rsidR="001C3855" w:rsidRDefault="001C3855" w:rsidP="001C3855">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1C3855" w:rsidRPr="004B2C92" w14:paraId="44AC0012" w14:textId="77777777" w:rsidTr="00C8019E">
        <w:trPr>
          <w:trHeight w:val="145"/>
        </w:trPr>
        <w:tc>
          <w:tcPr>
            <w:tcW w:w="1780" w:type="dxa"/>
            <w:shd w:val="clear" w:color="auto" w:fill="auto"/>
            <w:tcMar>
              <w:left w:w="0" w:type="dxa"/>
            </w:tcMar>
          </w:tcPr>
          <w:p w14:paraId="49D74739" w14:textId="77777777" w:rsidR="001C3855" w:rsidRDefault="001C3855" w:rsidP="00C8019E">
            <w:pPr>
              <w:pStyle w:val="Marginlie"/>
              <w:rPr>
                <w:spacing w:val="-4"/>
              </w:rPr>
            </w:pPr>
            <w:r>
              <w:t xml:space="preserve">Rozpočtově očekávaný propad běžných transferů podnikatelům souvisel s útlumem záchranných programů za pandemie. V druhé půli roku byl ale tlumen výdaji na energetický tarif. </w:t>
            </w:r>
          </w:p>
        </w:tc>
        <w:tc>
          <w:tcPr>
            <w:tcW w:w="219" w:type="dxa"/>
            <w:shd w:val="clear" w:color="auto" w:fill="auto"/>
            <w:tcMar>
              <w:left w:w="0" w:type="dxa"/>
            </w:tcMar>
          </w:tcPr>
          <w:p w14:paraId="62D43FCE" w14:textId="77777777" w:rsidR="001C3855" w:rsidRDefault="001C3855" w:rsidP="00C8019E">
            <w:pPr>
              <w:pStyle w:val="Textpoznpodarou"/>
              <w:jc w:val="both"/>
              <w:rPr>
                <w:spacing w:val="-4"/>
              </w:rPr>
            </w:pPr>
          </w:p>
        </w:tc>
        <w:tc>
          <w:tcPr>
            <w:tcW w:w="7670" w:type="dxa"/>
            <w:shd w:val="clear" w:color="auto" w:fill="auto"/>
            <w:tcMar>
              <w:left w:w="0" w:type="dxa"/>
            </w:tcMar>
          </w:tcPr>
          <w:p w14:paraId="03A0A379" w14:textId="77777777" w:rsidR="001C3855" w:rsidRDefault="001C3855" w:rsidP="00C8019E">
            <w:pPr>
              <w:rPr>
                <w:color w:val="0D0D0D" w:themeColor="text1" w:themeTint="F2"/>
                <w:spacing w:val="-4"/>
              </w:rPr>
            </w:pPr>
            <w:r w:rsidRPr="000A2A31">
              <w:rPr>
                <w:color w:val="0D0D0D" w:themeColor="text1" w:themeTint="F2"/>
                <w:spacing w:val="-5"/>
              </w:rPr>
              <w:t xml:space="preserve">Ve směru poklesu běžných výdajů dle očekávání </w:t>
            </w:r>
            <w:r w:rsidRPr="00D94406">
              <w:rPr>
                <w:color w:val="0D0D0D" w:themeColor="text1" w:themeTint="F2"/>
                <w:spacing w:val="-5"/>
              </w:rPr>
              <w:t>výrazně působily neinvestiční transfery podnikatelům, jež</w:t>
            </w:r>
            <w:r>
              <w:rPr>
                <w:color w:val="0D0D0D" w:themeColor="text1" w:themeTint="F2"/>
                <w:spacing w:val="-5"/>
              </w:rPr>
              <w:t xml:space="preserve"> meziročně propadly o 28,8 %, resp. 36,1</w:t>
            </w:r>
            <w:r w:rsidRPr="00D94406">
              <w:rPr>
                <w:color w:val="0D0D0D" w:themeColor="text1" w:themeTint="F2"/>
                <w:spacing w:val="-5"/>
              </w:rPr>
              <w:t xml:space="preserve"> mld. korun. Projevil se zde zásadní útlum záchranných programů pro podniky zasažené </w:t>
            </w:r>
            <w:r>
              <w:rPr>
                <w:color w:val="0D0D0D" w:themeColor="text1" w:themeTint="F2"/>
                <w:spacing w:val="-5"/>
              </w:rPr>
              <w:t>dopady pandemie (o 60 mld. korun), dílčí vliv měly také nižší zálohové dotace</w:t>
            </w:r>
            <w:r w:rsidRPr="00D94406">
              <w:rPr>
                <w:color w:val="0D0D0D" w:themeColor="text1" w:themeTint="F2"/>
                <w:spacing w:val="-5"/>
              </w:rPr>
              <w:t xml:space="preserve"> na obnovitelné z</w:t>
            </w:r>
            <w:r>
              <w:rPr>
                <w:color w:val="0D0D0D" w:themeColor="text1" w:themeTint="F2"/>
                <w:spacing w:val="-5"/>
              </w:rPr>
              <w:t>droje energie</w:t>
            </w:r>
            <w:r w:rsidRPr="00D94406">
              <w:rPr>
                <w:color w:val="0D0D0D" w:themeColor="text1" w:themeTint="F2"/>
                <w:spacing w:val="-5"/>
              </w:rPr>
              <w:t xml:space="preserve">. Opačně působily </w:t>
            </w:r>
            <w:r>
              <w:rPr>
                <w:color w:val="0D0D0D" w:themeColor="text1" w:themeTint="F2"/>
                <w:spacing w:val="-5"/>
              </w:rPr>
              <w:t xml:space="preserve">zejména </w:t>
            </w:r>
            <w:r w:rsidRPr="00D94406">
              <w:rPr>
                <w:color w:val="0D0D0D" w:themeColor="text1" w:themeTint="F2"/>
                <w:spacing w:val="-5"/>
              </w:rPr>
              <w:t>nové dotace na úspory energie (tzv. energetický tarif sloužící jako pomoc domácnostem) vyplacené</w:t>
            </w:r>
            <w:r>
              <w:rPr>
                <w:color w:val="0D0D0D" w:themeColor="text1" w:themeTint="F2"/>
                <w:spacing w:val="-5"/>
              </w:rPr>
              <w:t xml:space="preserve"> letos v září (17,4 mld. korun) a v menší míře také </w:t>
            </w:r>
            <w:r w:rsidRPr="000A2A31">
              <w:rPr>
                <w:color w:val="0D0D0D" w:themeColor="text1" w:themeTint="F2"/>
                <w:spacing w:val="-5"/>
              </w:rPr>
              <w:t>odpuštění poplatku za obnovitelné zdroje energie</w:t>
            </w:r>
            <w:r>
              <w:rPr>
                <w:color w:val="0D0D0D" w:themeColor="text1" w:themeTint="F2"/>
                <w:spacing w:val="-5"/>
              </w:rPr>
              <w:t>. Snížení dotací příspěvkovým organizacím (</w:t>
            </w:r>
            <w:r w:rsidRPr="00D94406">
              <w:rPr>
                <w:color w:val="0D0D0D" w:themeColor="text1" w:themeTint="F2"/>
                <w:spacing w:val="-5"/>
              </w:rPr>
              <w:t>−</w:t>
            </w:r>
            <w:r>
              <w:rPr>
                <w:color w:val="0D0D0D" w:themeColor="text1" w:themeTint="F2"/>
                <w:spacing w:val="-5"/>
              </w:rPr>
              <w:t>4,3</w:t>
            </w:r>
            <w:r w:rsidRPr="00D94406">
              <w:rPr>
                <w:color w:val="0D0D0D" w:themeColor="text1" w:themeTint="F2"/>
                <w:spacing w:val="-5"/>
              </w:rPr>
              <w:t xml:space="preserve"> %) </w:t>
            </w:r>
            <w:r>
              <w:rPr>
                <w:color w:val="0D0D0D" w:themeColor="text1" w:themeTint="F2"/>
                <w:spacing w:val="-5"/>
              </w:rPr>
              <w:t>je úzce spojeno s</w:t>
            </w:r>
            <w:r w:rsidRPr="00D94406">
              <w:rPr>
                <w:color w:val="0D0D0D" w:themeColor="text1" w:themeTint="F2"/>
                <w:spacing w:val="-5"/>
              </w:rPr>
              <w:t xml:space="preserve"> vyšší </w:t>
            </w:r>
            <w:r>
              <w:rPr>
                <w:color w:val="0D0D0D" w:themeColor="text1" w:themeTint="F2"/>
                <w:spacing w:val="-5"/>
              </w:rPr>
              <w:t>před</w:t>
            </w:r>
            <w:r w:rsidRPr="00D94406">
              <w:rPr>
                <w:color w:val="0D0D0D" w:themeColor="text1" w:themeTint="F2"/>
                <w:spacing w:val="-5"/>
              </w:rPr>
              <w:t xml:space="preserve">loňskou základnou ovlivněnou výplatou mimořádných odměn </w:t>
            </w:r>
            <w:r w:rsidRPr="00D94406">
              <w:rPr>
                <w:color w:val="0D0D0D" w:themeColor="text1" w:themeTint="F2"/>
                <w:spacing w:val="-5"/>
              </w:rPr>
              <w:lastRenderedPageBreak/>
              <w:t>zdravotníkům. S ústupem pandemie souvisel rovněž pokles d</w:t>
            </w:r>
            <w:r>
              <w:rPr>
                <w:color w:val="0D0D0D" w:themeColor="text1" w:themeTint="F2"/>
                <w:spacing w:val="-5"/>
              </w:rPr>
              <w:t>otací neziskovým organizacím (</w:t>
            </w:r>
            <w:r w:rsidRPr="00D94406">
              <w:rPr>
                <w:color w:val="0D0D0D" w:themeColor="text1" w:themeTint="F2"/>
                <w:spacing w:val="-5"/>
              </w:rPr>
              <w:t>−</w:t>
            </w:r>
            <w:r>
              <w:rPr>
                <w:color w:val="0D0D0D" w:themeColor="text1" w:themeTint="F2"/>
                <w:spacing w:val="-5"/>
              </w:rPr>
              <w:t>11,9 %), hlavně</w:t>
            </w:r>
            <w:r w:rsidRPr="00D94406">
              <w:rPr>
                <w:color w:val="0D0D0D" w:themeColor="text1" w:themeTint="F2"/>
                <w:spacing w:val="-5"/>
              </w:rPr>
              <w:t xml:space="preserve"> v oblasti školství a sportu.</w:t>
            </w:r>
            <w:r>
              <w:rPr>
                <w:color w:val="0D0D0D" w:themeColor="text1" w:themeTint="F2"/>
                <w:spacing w:val="-5"/>
              </w:rPr>
              <w:t xml:space="preserve"> Růst dlouhodobě rostoucích </w:t>
            </w:r>
            <w:r>
              <w:rPr>
                <w:spacing w:val="-5"/>
              </w:rPr>
              <w:t>povinných odvodů ČR do rozpočtu EU se loni zastavil (</w:t>
            </w:r>
            <w:r w:rsidRPr="00D94406">
              <w:rPr>
                <w:color w:val="0D0D0D" w:themeColor="text1" w:themeTint="F2"/>
                <w:spacing w:val="-5"/>
              </w:rPr>
              <w:t>−</w:t>
            </w:r>
            <w:r>
              <w:rPr>
                <w:color w:val="0D0D0D" w:themeColor="text1" w:themeTint="F2"/>
                <w:spacing w:val="-5"/>
              </w:rPr>
              <w:t>1,8</w:t>
            </w:r>
            <w:r w:rsidRPr="00D94406">
              <w:rPr>
                <w:color w:val="0D0D0D" w:themeColor="text1" w:themeTint="F2"/>
                <w:spacing w:val="-5"/>
              </w:rPr>
              <w:t xml:space="preserve"> %)</w:t>
            </w:r>
            <w:r>
              <w:rPr>
                <w:color w:val="0D0D0D" w:themeColor="text1" w:themeTint="F2"/>
                <w:spacing w:val="-5"/>
              </w:rPr>
              <w:t>, a to poprvé od roku 2017. Váhově významné výdaje na platy v organizačních složkách státu druhým rokem v řadě fakticky stagnovaly.</w:t>
            </w:r>
          </w:p>
        </w:tc>
      </w:tr>
      <w:tr w:rsidR="001C3855" w:rsidRPr="004B2C92" w14:paraId="51804E6F" w14:textId="77777777" w:rsidTr="00C8019E">
        <w:trPr>
          <w:trHeight w:val="145"/>
        </w:trPr>
        <w:tc>
          <w:tcPr>
            <w:tcW w:w="1780" w:type="dxa"/>
            <w:shd w:val="clear" w:color="auto" w:fill="auto"/>
            <w:tcMar>
              <w:left w:w="0" w:type="dxa"/>
            </w:tcMar>
          </w:tcPr>
          <w:p w14:paraId="158B8556" w14:textId="77777777" w:rsidR="001C3855" w:rsidRDefault="001C3855" w:rsidP="00C8019E">
            <w:pPr>
              <w:pStyle w:val="Marginlie"/>
              <w:rPr>
                <w:spacing w:val="-4"/>
              </w:rPr>
            </w:pPr>
            <w:r>
              <w:rPr>
                <w:spacing w:val="-4"/>
              </w:rPr>
              <w:lastRenderedPageBreak/>
              <w:t>Mírný růst investic odrážel vyšší výdaje</w:t>
            </w:r>
            <w:r w:rsidRPr="00915669">
              <w:rPr>
                <w:spacing w:val="-4"/>
              </w:rPr>
              <w:t xml:space="preserve"> </w:t>
            </w:r>
            <w:r>
              <w:rPr>
                <w:spacing w:val="-4"/>
              </w:rPr>
              <w:t>na dopravní infrastrukturu</w:t>
            </w:r>
            <w:r w:rsidRPr="00915669">
              <w:rPr>
                <w:spacing w:val="-4"/>
              </w:rPr>
              <w:t xml:space="preserve"> </w:t>
            </w:r>
            <w:r>
              <w:rPr>
                <w:spacing w:val="-4"/>
              </w:rPr>
              <w:t>i</w:t>
            </w:r>
            <w:r w:rsidRPr="00915669">
              <w:rPr>
                <w:spacing w:val="-4"/>
              </w:rPr>
              <w:t xml:space="preserve"> životní prostředí. </w:t>
            </w:r>
            <w:r>
              <w:rPr>
                <w:spacing w:val="-4"/>
              </w:rPr>
              <w:t>Přispěly k němu investice na společné projekty</w:t>
            </w:r>
            <w:r w:rsidRPr="00915669">
              <w:rPr>
                <w:spacing w:val="-4"/>
              </w:rPr>
              <w:t xml:space="preserve"> ČR a EU.</w:t>
            </w:r>
          </w:p>
        </w:tc>
        <w:tc>
          <w:tcPr>
            <w:tcW w:w="219" w:type="dxa"/>
            <w:shd w:val="clear" w:color="auto" w:fill="auto"/>
            <w:tcMar>
              <w:left w:w="0" w:type="dxa"/>
            </w:tcMar>
          </w:tcPr>
          <w:p w14:paraId="24870312" w14:textId="77777777" w:rsidR="001C3855" w:rsidRDefault="001C3855" w:rsidP="00C8019E">
            <w:pPr>
              <w:pStyle w:val="Textpoznpodarou"/>
              <w:jc w:val="both"/>
              <w:rPr>
                <w:spacing w:val="-4"/>
              </w:rPr>
            </w:pPr>
          </w:p>
        </w:tc>
        <w:tc>
          <w:tcPr>
            <w:tcW w:w="7670" w:type="dxa"/>
            <w:shd w:val="clear" w:color="auto" w:fill="auto"/>
            <w:tcMar>
              <w:left w:w="0" w:type="dxa"/>
            </w:tcMar>
          </w:tcPr>
          <w:p w14:paraId="6A8D804F" w14:textId="77777777" w:rsidR="001C3855" w:rsidRDefault="001C3855" w:rsidP="00C8019E">
            <w:pPr>
              <w:spacing w:after="200"/>
              <w:rPr>
                <w:color w:val="0D0D0D" w:themeColor="text1" w:themeTint="F2"/>
                <w:spacing w:val="-4"/>
              </w:rPr>
            </w:pPr>
            <w:r w:rsidRPr="00A549D3">
              <w:rPr>
                <w:color w:val="0D0D0D" w:themeColor="text1" w:themeTint="F2"/>
                <w:spacing w:val="-4"/>
              </w:rPr>
              <w:t>Kapitálové výdaje SR</w:t>
            </w:r>
            <w:r>
              <w:rPr>
                <w:color w:val="0D0D0D" w:themeColor="text1" w:themeTint="F2"/>
                <w:spacing w:val="-4"/>
              </w:rPr>
              <w:t xml:space="preserve"> se díky výraznému zrychlení čerpání v samém závěru loňského roku</w:t>
            </w:r>
            <w:r>
              <w:rPr>
                <w:rStyle w:val="Znakapoznpodarou"/>
                <w:color w:val="0D0D0D" w:themeColor="text1" w:themeTint="F2"/>
                <w:spacing w:val="-4"/>
              </w:rPr>
              <w:footnoteReference w:id="107"/>
            </w:r>
            <w:r>
              <w:rPr>
                <w:color w:val="0D0D0D" w:themeColor="text1" w:themeTint="F2"/>
                <w:spacing w:val="-4"/>
              </w:rPr>
              <w:t xml:space="preserve"> meziročně navýšily o 5,5 % a dosáhly rekordních 186,9 mld. korun. I tak ale o více než desetinu zaostaly za rozpočtovým očekáváním (dále mírně sníženým novelizovaným rozpočtem). Bezmála polovina prostředků směřovala loni státním fondům, </w:t>
            </w:r>
            <w:r w:rsidRPr="001B70C7">
              <w:rPr>
                <w:color w:val="0D0D0D" w:themeColor="text1" w:themeTint="F2"/>
                <w:spacing w:val="-4"/>
              </w:rPr>
              <w:t>zejména Fon</w:t>
            </w:r>
            <w:r>
              <w:rPr>
                <w:color w:val="0D0D0D" w:themeColor="text1" w:themeTint="F2"/>
                <w:spacing w:val="-4"/>
              </w:rPr>
              <w:t xml:space="preserve">du dopravní infrastruktury </w:t>
            </w:r>
            <w:r>
              <w:rPr>
                <w:color w:val="0D0D0D" w:themeColor="text1" w:themeTint="F2"/>
                <w:spacing w:val="-4"/>
                <w:lang w:val="en-US"/>
              </w:rPr>
              <w:t>(</w:t>
            </w:r>
            <w:r w:rsidRPr="001A050C">
              <w:rPr>
                <w:color w:val="0D0D0D" w:themeColor="text1" w:themeTint="F2"/>
                <w:spacing w:val="-4"/>
              </w:rPr>
              <w:t>meziročně o 11,7 mld. korun více) a Státnímu fondu životního prostředí (+8,0 mld. Kč, především na realizaci programu Nová zelená úsporám financovaného z prostředků Národního plánu obnovy).</w:t>
            </w:r>
            <w:r>
              <w:rPr>
                <w:rFonts w:cs="Arial"/>
                <w:color w:val="000000"/>
                <w:sz w:val="18"/>
                <w:szCs w:val="18"/>
              </w:rPr>
              <w:t> </w:t>
            </w:r>
            <w:r>
              <w:rPr>
                <w:color w:val="0D0D0D" w:themeColor="text1" w:themeTint="F2"/>
                <w:spacing w:val="-4"/>
              </w:rPr>
              <w:t xml:space="preserve">Mírně </w:t>
            </w:r>
            <w:r w:rsidRPr="001B70C7">
              <w:rPr>
                <w:color w:val="0D0D0D" w:themeColor="text1" w:themeTint="F2"/>
                <w:spacing w:val="-4"/>
              </w:rPr>
              <w:t xml:space="preserve">vzrostly i </w:t>
            </w:r>
            <w:r>
              <w:rPr>
                <w:color w:val="0D0D0D" w:themeColor="text1" w:themeTint="F2"/>
                <w:spacing w:val="-4"/>
              </w:rPr>
              <w:t>i</w:t>
            </w:r>
            <w:r w:rsidRPr="0024098E">
              <w:rPr>
                <w:color w:val="0D0D0D" w:themeColor="text1" w:themeTint="F2"/>
                <w:spacing w:val="-4"/>
              </w:rPr>
              <w:t>nvestiční transfery podnikatelům</w:t>
            </w:r>
            <w:r>
              <w:rPr>
                <w:color w:val="0D0D0D" w:themeColor="text1" w:themeTint="F2"/>
                <w:spacing w:val="-4"/>
              </w:rPr>
              <w:t xml:space="preserve">. Z </w:t>
            </w:r>
            <w:r w:rsidRPr="001B70C7">
              <w:rPr>
                <w:color w:val="0D0D0D" w:themeColor="text1" w:themeTint="F2"/>
                <w:spacing w:val="-4"/>
              </w:rPr>
              <w:t>hlediska zdroje fina</w:t>
            </w:r>
            <w:r>
              <w:rPr>
                <w:color w:val="0D0D0D" w:themeColor="text1" w:themeTint="F2"/>
                <w:spacing w:val="-4"/>
              </w:rPr>
              <w:t>ncování přispěly k růstu</w:t>
            </w:r>
            <w:r w:rsidRPr="001B70C7">
              <w:rPr>
                <w:color w:val="0D0D0D" w:themeColor="text1" w:themeTint="F2"/>
                <w:spacing w:val="-4"/>
              </w:rPr>
              <w:t xml:space="preserve"> investice na společné</w:t>
            </w:r>
            <w:r>
              <w:rPr>
                <w:color w:val="0D0D0D" w:themeColor="text1" w:themeTint="F2"/>
                <w:spacing w:val="-4"/>
              </w:rPr>
              <w:t xml:space="preserve"> projekty ČR a EU (+19 mld. korun, na 9</w:t>
            </w:r>
            <w:r w:rsidRPr="001B70C7">
              <w:rPr>
                <w:color w:val="0D0D0D" w:themeColor="text1" w:themeTint="F2"/>
                <w:spacing w:val="-4"/>
              </w:rPr>
              <w:t>3 mld.)</w:t>
            </w:r>
            <w:r>
              <w:rPr>
                <w:color w:val="0D0D0D" w:themeColor="text1" w:themeTint="F2"/>
                <w:spacing w:val="-4"/>
              </w:rPr>
              <w:t xml:space="preserve">. Naproti tomu výdaje na </w:t>
            </w:r>
            <w:r w:rsidRPr="001B70C7">
              <w:rPr>
                <w:color w:val="0D0D0D" w:themeColor="text1" w:themeTint="F2"/>
                <w:spacing w:val="-4"/>
              </w:rPr>
              <w:t>projekt</w:t>
            </w:r>
            <w:r>
              <w:rPr>
                <w:color w:val="0D0D0D" w:themeColor="text1" w:themeTint="F2"/>
                <w:spacing w:val="-4"/>
              </w:rPr>
              <w:t xml:space="preserve">y z výhradně národních zdrojů meziročně skoro o desetinu poklesly. </w:t>
            </w:r>
            <w:r w:rsidRPr="001B70C7">
              <w:rPr>
                <w:color w:val="0D0D0D" w:themeColor="text1" w:themeTint="F2"/>
                <w:spacing w:val="-4"/>
              </w:rPr>
              <w:t xml:space="preserve">Celkové investice tvořily </w:t>
            </w:r>
            <w:r>
              <w:rPr>
                <w:color w:val="0D0D0D" w:themeColor="text1" w:themeTint="F2"/>
                <w:spacing w:val="-4"/>
              </w:rPr>
              <w:t>loni 9,4 % veškerých výdajů SR. To sice bylo nejvíce za posledních sedm let, ale od dlouhodobého průměru (za celé období od vstupu ČR od EU) se významně neodchylovalo.</w:t>
            </w:r>
          </w:p>
        </w:tc>
      </w:tr>
      <w:tr w:rsidR="001C3855" w:rsidRPr="00D52ED2" w14:paraId="58732197" w14:textId="77777777" w:rsidTr="00C8019E">
        <w:trPr>
          <w:trHeight w:val="145"/>
        </w:trPr>
        <w:tc>
          <w:tcPr>
            <w:tcW w:w="1780" w:type="dxa"/>
            <w:shd w:val="clear" w:color="auto" w:fill="auto"/>
            <w:tcMar>
              <w:left w:w="0" w:type="dxa"/>
            </w:tcMar>
          </w:tcPr>
          <w:p w14:paraId="424DDC34" w14:textId="77777777" w:rsidR="001C3855" w:rsidRPr="0058030F" w:rsidRDefault="001C3855" w:rsidP="00C8019E">
            <w:pPr>
              <w:pStyle w:val="Marginlie"/>
              <w:rPr>
                <w:spacing w:val="-4"/>
              </w:rPr>
            </w:pPr>
          </w:p>
        </w:tc>
        <w:tc>
          <w:tcPr>
            <w:tcW w:w="219" w:type="dxa"/>
            <w:shd w:val="clear" w:color="auto" w:fill="auto"/>
            <w:tcMar>
              <w:left w:w="0" w:type="dxa"/>
            </w:tcMar>
          </w:tcPr>
          <w:p w14:paraId="4005959A" w14:textId="77777777" w:rsidR="001C3855" w:rsidRDefault="001C3855" w:rsidP="00C8019E">
            <w:pPr>
              <w:pStyle w:val="Textpoznpodarou"/>
              <w:jc w:val="both"/>
              <w:rPr>
                <w:spacing w:val="-4"/>
              </w:rPr>
            </w:pPr>
          </w:p>
        </w:tc>
        <w:tc>
          <w:tcPr>
            <w:tcW w:w="7670" w:type="dxa"/>
            <w:shd w:val="clear" w:color="auto" w:fill="auto"/>
            <w:tcMar>
              <w:left w:w="0" w:type="dxa"/>
            </w:tcMar>
          </w:tcPr>
          <w:p w14:paraId="3148FF33" w14:textId="362F43EC" w:rsidR="001C3855" w:rsidRDefault="008F525A" w:rsidP="00C8019E">
            <w:pPr>
              <w:spacing w:after="0"/>
              <w:rPr>
                <w:color w:val="0D0D0D" w:themeColor="text1" w:themeTint="F2"/>
                <w:spacing w:val="-4"/>
              </w:rPr>
            </w:pPr>
            <w:r>
              <w:rPr>
                <w:b/>
                <w:spacing w:val="-3"/>
              </w:rPr>
              <w:t>Graf č. 20</w:t>
            </w:r>
            <w:r w:rsidR="001C3855" w:rsidRPr="0033093B">
              <w:rPr>
                <w:b/>
                <w:spacing w:val="-3"/>
              </w:rPr>
              <w:t xml:space="preserve"> </w:t>
            </w:r>
            <w:r w:rsidR="001C3855">
              <w:rPr>
                <w:rFonts w:cs="Arial"/>
                <w:b/>
                <w:bCs/>
                <w:spacing w:val="-3"/>
              </w:rPr>
              <w:t>Saldo hospodaření sektoru vládních ins</w:t>
            </w:r>
            <w:r>
              <w:rPr>
                <w:rFonts w:cs="Arial"/>
                <w:b/>
                <w:bCs/>
                <w:spacing w:val="-3"/>
              </w:rPr>
              <w:t xml:space="preserve">titucí ve vybraných státech EU </w:t>
            </w:r>
            <w:r w:rsidR="001C3855">
              <w:rPr>
                <w:rFonts w:cs="Arial"/>
                <w:bCs/>
                <w:spacing w:val="-3"/>
              </w:rPr>
              <w:t>(jednotlivá čtvrtletí, sezónně očištěno, v % HDP</w:t>
            </w:r>
            <w:r w:rsidR="001C3855" w:rsidRPr="0033093B">
              <w:rPr>
                <w:rFonts w:cs="Arial"/>
                <w:bCs/>
                <w:spacing w:val="-3"/>
              </w:rPr>
              <w:t>)</w:t>
            </w:r>
          </w:p>
        </w:tc>
      </w:tr>
      <w:tr w:rsidR="001C3855" w:rsidRPr="00D52ED2" w14:paraId="6761E48C" w14:textId="77777777" w:rsidTr="00C8019E">
        <w:tblPrEx>
          <w:tblCellMar>
            <w:left w:w="70" w:type="dxa"/>
            <w:right w:w="70" w:type="dxa"/>
          </w:tblCellMar>
        </w:tblPrEx>
        <w:trPr>
          <w:trHeight w:val="145"/>
        </w:trPr>
        <w:tc>
          <w:tcPr>
            <w:tcW w:w="1780" w:type="dxa"/>
            <w:shd w:val="clear" w:color="auto" w:fill="auto"/>
          </w:tcPr>
          <w:p w14:paraId="53DC846E" w14:textId="77777777" w:rsidR="001C3855" w:rsidRPr="0058030F" w:rsidRDefault="001C3855" w:rsidP="00C8019E">
            <w:pPr>
              <w:pStyle w:val="Marginlie"/>
              <w:rPr>
                <w:spacing w:val="-4"/>
              </w:rPr>
            </w:pPr>
          </w:p>
        </w:tc>
        <w:tc>
          <w:tcPr>
            <w:tcW w:w="219" w:type="dxa"/>
            <w:shd w:val="clear" w:color="auto" w:fill="auto"/>
          </w:tcPr>
          <w:p w14:paraId="4DD1635A" w14:textId="77777777" w:rsidR="001C3855" w:rsidRDefault="001C3855" w:rsidP="00C8019E">
            <w:pPr>
              <w:pStyle w:val="Textpoznpodarou"/>
              <w:jc w:val="both"/>
              <w:rPr>
                <w:spacing w:val="-4"/>
              </w:rPr>
            </w:pPr>
          </w:p>
        </w:tc>
        <w:tc>
          <w:tcPr>
            <w:tcW w:w="7670" w:type="dxa"/>
            <w:shd w:val="clear" w:color="auto" w:fill="auto"/>
          </w:tcPr>
          <w:p w14:paraId="74DD430B" w14:textId="77777777" w:rsidR="001C3855" w:rsidRDefault="001C3855" w:rsidP="00C8019E">
            <w:pPr>
              <w:spacing w:after="0"/>
              <w:rPr>
                <w:color w:val="0D0D0D" w:themeColor="text1" w:themeTint="F2"/>
                <w:spacing w:val="-4"/>
              </w:rPr>
            </w:pPr>
            <w:r>
              <w:rPr>
                <w:noProof/>
              </w:rPr>
              <w:drawing>
                <wp:inline distT="0" distB="0" distL="0" distR="0" wp14:anchorId="50C038FB" wp14:editId="7956C61A">
                  <wp:extent cx="4716000" cy="3224828"/>
                  <wp:effectExtent l="0" t="0" r="8890" b="139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C3855" w:rsidRPr="00D52ED2" w14:paraId="7DF76256" w14:textId="77777777" w:rsidTr="00C8019E">
        <w:trPr>
          <w:trHeight w:val="145"/>
        </w:trPr>
        <w:tc>
          <w:tcPr>
            <w:tcW w:w="1780" w:type="dxa"/>
            <w:shd w:val="clear" w:color="auto" w:fill="auto"/>
            <w:tcMar>
              <w:left w:w="0" w:type="dxa"/>
            </w:tcMar>
          </w:tcPr>
          <w:p w14:paraId="3189A9E6" w14:textId="77777777" w:rsidR="001C3855" w:rsidRPr="0058030F" w:rsidRDefault="001C3855" w:rsidP="00C8019E">
            <w:pPr>
              <w:pStyle w:val="Marginlie"/>
              <w:rPr>
                <w:spacing w:val="-4"/>
              </w:rPr>
            </w:pPr>
          </w:p>
        </w:tc>
        <w:tc>
          <w:tcPr>
            <w:tcW w:w="219" w:type="dxa"/>
            <w:shd w:val="clear" w:color="auto" w:fill="auto"/>
            <w:tcMar>
              <w:left w:w="0" w:type="dxa"/>
            </w:tcMar>
          </w:tcPr>
          <w:p w14:paraId="0947AAA2" w14:textId="77777777" w:rsidR="001C3855" w:rsidRDefault="001C3855" w:rsidP="00C8019E">
            <w:pPr>
              <w:pStyle w:val="Textpoznpodarou"/>
              <w:jc w:val="both"/>
              <w:rPr>
                <w:spacing w:val="-4"/>
              </w:rPr>
            </w:pPr>
          </w:p>
        </w:tc>
        <w:tc>
          <w:tcPr>
            <w:tcW w:w="7670" w:type="dxa"/>
            <w:shd w:val="clear" w:color="auto" w:fill="auto"/>
            <w:tcMar>
              <w:left w:w="0" w:type="dxa"/>
            </w:tcMar>
          </w:tcPr>
          <w:p w14:paraId="1D69C6AB" w14:textId="77777777" w:rsidR="001C3855" w:rsidRDefault="001C3855" w:rsidP="00C8019E">
            <w:pPr>
              <w:spacing w:after="220"/>
              <w:rPr>
                <w:color w:val="0D0D0D" w:themeColor="text1" w:themeTint="F2"/>
                <w:spacing w:val="-4"/>
              </w:rPr>
            </w:pPr>
            <w:r>
              <w:rPr>
                <w:spacing w:val="-4"/>
                <w:sz w:val="14"/>
                <w:szCs w:val="14"/>
              </w:rPr>
              <w:t xml:space="preserve">Zdroj: </w:t>
            </w:r>
            <w:proofErr w:type="spellStart"/>
            <w:r>
              <w:rPr>
                <w:spacing w:val="-4"/>
                <w:sz w:val="14"/>
                <w:szCs w:val="14"/>
              </w:rPr>
              <w:t>Eurostat</w:t>
            </w:r>
            <w:proofErr w:type="spellEnd"/>
          </w:p>
        </w:tc>
      </w:tr>
      <w:tr w:rsidR="001C3855" w14:paraId="185051B6" w14:textId="77777777" w:rsidTr="00C8019E">
        <w:trPr>
          <w:trHeight w:val="145"/>
        </w:trPr>
        <w:tc>
          <w:tcPr>
            <w:tcW w:w="1780" w:type="dxa"/>
            <w:shd w:val="clear" w:color="auto" w:fill="auto"/>
            <w:tcMar>
              <w:left w:w="0" w:type="dxa"/>
            </w:tcMar>
          </w:tcPr>
          <w:p w14:paraId="168483BE" w14:textId="77777777" w:rsidR="001C3855" w:rsidRDefault="001C3855" w:rsidP="00C8019E">
            <w:pPr>
              <w:pStyle w:val="Marginlie"/>
              <w:rPr>
                <w:spacing w:val="-4"/>
              </w:rPr>
            </w:pPr>
            <w:r>
              <w:rPr>
                <w:spacing w:val="-4"/>
              </w:rPr>
              <w:t xml:space="preserve">Výše státního dluhu vzrostla o více než </w:t>
            </w:r>
            <w:r>
              <w:rPr>
                <w:spacing w:val="-4"/>
              </w:rPr>
              <w:br/>
              <w:t xml:space="preserve">400 mld. korun třetím rokem v řadě. Loni se navýšila hodnota vnitřního i vnějšího dluhu. </w:t>
            </w:r>
          </w:p>
        </w:tc>
        <w:tc>
          <w:tcPr>
            <w:tcW w:w="219" w:type="dxa"/>
            <w:shd w:val="clear" w:color="auto" w:fill="auto"/>
            <w:tcMar>
              <w:left w:w="0" w:type="dxa"/>
            </w:tcMar>
          </w:tcPr>
          <w:p w14:paraId="74BEC54B" w14:textId="77777777" w:rsidR="001C3855" w:rsidRPr="000965B2" w:rsidRDefault="001C3855" w:rsidP="00C8019E">
            <w:pPr>
              <w:pStyle w:val="Textpoznpodarou"/>
              <w:jc w:val="both"/>
              <w:rPr>
                <w:rFonts w:eastAsia="Times New Roman"/>
                <w:color w:val="0D0D0D" w:themeColor="text1" w:themeTint="F2"/>
                <w:spacing w:val="-4"/>
                <w:szCs w:val="24"/>
              </w:rPr>
            </w:pPr>
          </w:p>
        </w:tc>
        <w:tc>
          <w:tcPr>
            <w:tcW w:w="7670" w:type="dxa"/>
            <w:shd w:val="clear" w:color="auto" w:fill="auto"/>
            <w:tcMar>
              <w:left w:w="0" w:type="dxa"/>
            </w:tcMar>
          </w:tcPr>
          <w:p w14:paraId="55A3D411" w14:textId="1865B8BC" w:rsidR="001C3855" w:rsidRDefault="001C3855" w:rsidP="00C8019E">
            <w:pPr>
              <w:spacing w:after="0"/>
              <w:rPr>
                <w:spacing w:val="-2"/>
              </w:rPr>
            </w:pPr>
            <w:r w:rsidRPr="00BE22C9">
              <w:rPr>
                <w:color w:val="0D0D0D" w:themeColor="text1" w:themeTint="F2"/>
                <w:spacing w:val="-2"/>
              </w:rPr>
              <w:t>Hluboký rozpočtový schodek se promítl do vysoké výpůjční potřeby státu</w:t>
            </w:r>
            <w:r w:rsidRPr="00BE22C9">
              <w:rPr>
                <w:spacing w:val="-2"/>
              </w:rPr>
              <w:t>. Státní dluh vystoupal na konci loňského prosince na 2 895 mld. korun, když za celý rok 2022 vzrostl o</w:t>
            </w:r>
            <w:r w:rsidRPr="00BE22C9">
              <w:rPr>
                <w:color w:val="0D0D0D" w:themeColor="text1" w:themeTint="F2"/>
                <w:spacing w:val="-2"/>
              </w:rPr>
              <w:t> rekordních 429 mld. (+</w:t>
            </w:r>
            <w:r w:rsidRPr="00BE22C9">
              <w:rPr>
                <w:spacing w:val="-2"/>
              </w:rPr>
              <w:t>17,4</w:t>
            </w:r>
            <w:r w:rsidRPr="00BE22C9">
              <w:rPr>
                <w:color w:val="0D0D0D" w:themeColor="text1" w:themeTint="F2"/>
                <w:spacing w:val="-2"/>
              </w:rPr>
              <w:t> </w:t>
            </w:r>
            <w:r w:rsidRPr="00BE22C9">
              <w:rPr>
                <w:spacing w:val="-2"/>
              </w:rPr>
              <w:t>%)</w:t>
            </w:r>
            <w:r w:rsidRPr="00BE22C9">
              <w:rPr>
                <w:rStyle w:val="Znakapoznpodarou"/>
                <w:spacing w:val="-2"/>
              </w:rPr>
              <w:footnoteReference w:id="108"/>
            </w:r>
            <w:r w:rsidRPr="00BE22C9">
              <w:rPr>
                <w:spacing w:val="-2"/>
              </w:rPr>
              <w:t xml:space="preserve">. Zásadně se na tom podílely emise středně </w:t>
            </w:r>
            <w:r>
              <w:rPr>
                <w:spacing w:val="-2"/>
              </w:rPr>
              <w:br/>
            </w:r>
            <w:r w:rsidRPr="00BE22C9">
              <w:rPr>
                <w:spacing w:val="-2"/>
              </w:rPr>
              <w:t>i dlouhodobých korunových dluhopisů (se splatností nad 1 rok) na domácím trhu, a to přesto, že nedosáhly intenzity z let 2020 ani 2021</w:t>
            </w:r>
            <w:r w:rsidRPr="00BE22C9">
              <w:rPr>
                <w:rStyle w:val="Znakapoznpodarou"/>
                <w:spacing w:val="-2"/>
              </w:rPr>
              <w:footnoteReference w:id="109"/>
            </w:r>
            <w:r w:rsidRPr="00BE22C9">
              <w:rPr>
                <w:spacing w:val="-2"/>
              </w:rPr>
              <w:t>. Stát si loni naopak vypůjčil podstatně více od domácností (emise dluhopisů na počátku roku dosáhla 43 mld. korun)</w:t>
            </w:r>
            <w:r w:rsidR="00741F2A">
              <w:rPr>
                <w:spacing w:val="-2"/>
              </w:rPr>
              <w:t xml:space="preserve"> </w:t>
            </w:r>
            <w:r w:rsidRPr="00BE22C9">
              <w:rPr>
                <w:spacing w:val="-2"/>
              </w:rPr>
              <w:lastRenderedPageBreak/>
              <w:t>a</w:t>
            </w:r>
            <w:r>
              <w:rPr>
                <w:spacing w:val="-2"/>
              </w:rPr>
              <w:t> </w:t>
            </w:r>
            <w:r w:rsidRPr="00BE22C9">
              <w:rPr>
                <w:spacing w:val="-2"/>
              </w:rPr>
              <w:t>intenzivněji rovněž využíval krátkodobých dluhových nástrojů (pokladničních poukázek i zápůjček na eurovém peněžním trhu). Proto také vzrostla druhým rokem v řadě i vnější zadluženost ČR (o více než 110</w:t>
            </w:r>
            <w:r w:rsidRPr="00BE22C9">
              <w:rPr>
                <w:color w:val="0D0D0D" w:themeColor="text1" w:themeTint="F2"/>
                <w:spacing w:val="-2"/>
              </w:rPr>
              <w:t> </w:t>
            </w:r>
            <w:r w:rsidRPr="00BE22C9">
              <w:rPr>
                <w:spacing w:val="-2"/>
              </w:rPr>
              <w:t xml:space="preserve">mld. korun) – na celkové výši státního dluhu se ovšem stále podílela méně než desetinou. </w:t>
            </w:r>
          </w:p>
          <w:p w14:paraId="090B79E7" w14:textId="77777777" w:rsidR="001C3855" w:rsidRPr="00BE22C9" w:rsidRDefault="001C3855" w:rsidP="00C8019E">
            <w:pPr>
              <w:spacing w:after="0"/>
              <w:rPr>
                <w:spacing w:val="-2"/>
              </w:rPr>
            </w:pPr>
          </w:p>
        </w:tc>
      </w:tr>
      <w:tr w:rsidR="001C3855" w14:paraId="3E69B797" w14:textId="77777777" w:rsidTr="00C8019E">
        <w:trPr>
          <w:trHeight w:val="145"/>
        </w:trPr>
        <w:tc>
          <w:tcPr>
            <w:tcW w:w="1780" w:type="dxa"/>
            <w:shd w:val="clear" w:color="auto" w:fill="auto"/>
            <w:tcMar>
              <w:left w:w="0" w:type="dxa"/>
            </w:tcMar>
          </w:tcPr>
          <w:p w14:paraId="5C5B6ED5" w14:textId="77777777" w:rsidR="001C3855" w:rsidRDefault="001C3855" w:rsidP="00C8019E">
            <w:pPr>
              <w:pStyle w:val="Marginlie"/>
              <w:rPr>
                <w:spacing w:val="-4"/>
              </w:rPr>
            </w:pPr>
            <w:r>
              <w:rPr>
                <w:spacing w:val="-4"/>
              </w:rPr>
              <w:lastRenderedPageBreak/>
              <w:t>S</w:t>
            </w:r>
            <w:r w:rsidRPr="0058030F">
              <w:rPr>
                <w:spacing w:val="-4"/>
              </w:rPr>
              <w:t>chodek hospodaření sektoru vládních institucí</w:t>
            </w:r>
            <w:r>
              <w:rPr>
                <w:spacing w:val="-4"/>
              </w:rPr>
              <w:t xml:space="preserve"> v ČR se za tři čtvrtletí meziročně snížil o třetinu.</w:t>
            </w:r>
          </w:p>
          <w:p w14:paraId="3AB7D8AA" w14:textId="77777777" w:rsidR="001C3855" w:rsidRDefault="001C3855" w:rsidP="00C8019E">
            <w:pPr>
              <w:pStyle w:val="Marginlie"/>
              <w:rPr>
                <w:spacing w:val="-4"/>
              </w:rPr>
            </w:pPr>
          </w:p>
          <w:p w14:paraId="39FFD231" w14:textId="77777777" w:rsidR="001C3855" w:rsidRPr="0058030F" w:rsidRDefault="001C3855" w:rsidP="00C8019E">
            <w:pPr>
              <w:pStyle w:val="Marginlie"/>
              <w:rPr>
                <w:spacing w:val="-4"/>
              </w:rPr>
            </w:pPr>
          </w:p>
          <w:p w14:paraId="262F72E0" w14:textId="77777777" w:rsidR="001C3855" w:rsidRPr="0058030F" w:rsidRDefault="001C3855" w:rsidP="00C8019E">
            <w:pPr>
              <w:pStyle w:val="Marginlie"/>
              <w:rPr>
                <w:spacing w:val="-4"/>
              </w:rPr>
            </w:pPr>
          </w:p>
          <w:p w14:paraId="0556C363" w14:textId="77777777" w:rsidR="001C3855" w:rsidRPr="0058030F" w:rsidRDefault="001C3855" w:rsidP="00C8019E">
            <w:pPr>
              <w:pStyle w:val="Marginlie"/>
              <w:rPr>
                <w:spacing w:val="-4"/>
              </w:rPr>
            </w:pPr>
          </w:p>
          <w:p w14:paraId="6C924F6E" w14:textId="77777777" w:rsidR="001C3855" w:rsidRDefault="001C3855" w:rsidP="00C8019E">
            <w:pPr>
              <w:pStyle w:val="Marginlie"/>
              <w:rPr>
                <w:spacing w:val="-4"/>
              </w:rPr>
            </w:pPr>
            <w:r>
              <w:rPr>
                <w:spacing w:val="-4"/>
              </w:rPr>
              <w:t xml:space="preserve">Jedním z dopadů nebývale vysokého růstu cen v ekonomice bylo </w:t>
            </w:r>
            <w:r>
              <w:rPr>
                <w:spacing w:val="-4"/>
              </w:rPr>
              <w:br/>
              <w:t xml:space="preserve">i zrychlení dynamiky výdajů sektoru VI ve </w:t>
            </w:r>
            <w:r>
              <w:rPr>
                <w:spacing w:val="-4"/>
              </w:rPr>
              <w:br/>
              <w:t>3. čtvrtletí.</w:t>
            </w:r>
          </w:p>
          <w:p w14:paraId="43FE1E14" w14:textId="77777777" w:rsidR="001C3855" w:rsidRDefault="001C3855" w:rsidP="00C8019E">
            <w:pPr>
              <w:pStyle w:val="Marginlie"/>
              <w:rPr>
                <w:spacing w:val="-4"/>
              </w:rPr>
            </w:pPr>
          </w:p>
          <w:p w14:paraId="06D4CD7F" w14:textId="77777777" w:rsidR="001C3855" w:rsidRDefault="001C3855" w:rsidP="00C8019E">
            <w:pPr>
              <w:pStyle w:val="Marginlie"/>
              <w:rPr>
                <w:spacing w:val="-4"/>
              </w:rPr>
            </w:pPr>
          </w:p>
          <w:p w14:paraId="2CDC27A7" w14:textId="77777777" w:rsidR="001C3855" w:rsidRPr="0058030F" w:rsidRDefault="001C3855" w:rsidP="00C8019E">
            <w:pPr>
              <w:pStyle w:val="Marginlie"/>
              <w:rPr>
                <w:spacing w:val="-4"/>
              </w:rPr>
            </w:pPr>
          </w:p>
        </w:tc>
        <w:tc>
          <w:tcPr>
            <w:tcW w:w="219" w:type="dxa"/>
            <w:shd w:val="clear" w:color="auto" w:fill="auto"/>
            <w:tcMar>
              <w:left w:w="0" w:type="dxa"/>
            </w:tcMar>
          </w:tcPr>
          <w:p w14:paraId="14E9F315" w14:textId="77777777" w:rsidR="001C3855" w:rsidRDefault="001C3855" w:rsidP="00C8019E">
            <w:pPr>
              <w:pStyle w:val="Textpoznpodarou"/>
              <w:jc w:val="both"/>
              <w:rPr>
                <w:spacing w:val="-4"/>
              </w:rPr>
            </w:pPr>
          </w:p>
        </w:tc>
        <w:tc>
          <w:tcPr>
            <w:tcW w:w="7670" w:type="dxa"/>
            <w:shd w:val="clear" w:color="auto" w:fill="auto"/>
            <w:tcMar>
              <w:left w:w="0" w:type="dxa"/>
            </w:tcMar>
          </w:tcPr>
          <w:p w14:paraId="6E1F360E" w14:textId="77777777" w:rsidR="001C3855" w:rsidRPr="002D4E1A" w:rsidRDefault="001C3855" w:rsidP="00C8019E">
            <w:pPr>
              <w:spacing w:after="220"/>
              <w:rPr>
                <w:color w:val="0D0D0D" w:themeColor="text1" w:themeTint="F2"/>
                <w:spacing w:val="-3"/>
              </w:rPr>
            </w:pPr>
            <w:r>
              <w:rPr>
                <w:color w:val="0D0D0D" w:themeColor="text1" w:themeTint="F2"/>
                <w:spacing w:val="-3"/>
              </w:rPr>
              <w:t>Celý s</w:t>
            </w:r>
            <w:r w:rsidRPr="00006754">
              <w:rPr>
                <w:color w:val="0D0D0D" w:themeColor="text1" w:themeTint="F2"/>
                <w:spacing w:val="-3"/>
              </w:rPr>
              <w:t>ektor vládních institucí (V</w:t>
            </w:r>
            <w:r>
              <w:rPr>
                <w:color w:val="0D0D0D" w:themeColor="text1" w:themeTint="F2"/>
                <w:spacing w:val="-3"/>
              </w:rPr>
              <w:t>I) v ČR vykázal za 1. až 3. čtvrtletí</w:t>
            </w:r>
            <w:r w:rsidRPr="00006754">
              <w:rPr>
                <w:color w:val="0D0D0D" w:themeColor="text1" w:themeTint="F2"/>
                <w:spacing w:val="-3"/>
              </w:rPr>
              <w:t xml:space="preserve"> 2022</w:t>
            </w:r>
            <w:r w:rsidRPr="00006754">
              <w:rPr>
                <w:rStyle w:val="Znakapoznpodarou"/>
                <w:color w:val="0D0D0D" w:themeColor="text1" w:themeTint="F2"/>
                <w:spacing w:val="-3"/>
              </w:rPr>
              <w:footnoteReference w:id="110"/>
            </w:r>
            <w:r w:rsidRPr="00006754">
              <w:rPr>
                <w:color w:val="0D0D0D" w:themeColor="text1" w:themeTint="F2"/>
                <w:spacing w:val="-3"/>
                <w:vertAlign w:val="superscript"/>
              </w:rPr>
              <w:t xml:space="preserve"> </w:t>
            </w:r>
            <w:r>
              <w:rPr>
                <w:color w:val="0D0D0D" w:themeColor="text1" w:themeTint="F2"/>
                <w:spacing w:val="-3"/>
              </w:rPr>
              <w:t xml:space="preserve">schodek </w:t>
            </w:r>
            <w:r>
              <w:rPr>
                <w:color w:val="0D0D0D" w:themeColor="text1" w:themeTint="F2"/>
                <w:spacing w:val="-3"/>
              </w:rPr>
              <w:br/>
              <w:t>145</w:t>
            </w:r>
            <w:r w:rsidRPr="00006754">
              <w:rPr>
                <w:color w:val="0D0D0D" w:themeColor="text1" w:themeTint="F2"/>
                <w:spacing w:val="-3"/>
              </w:rPr>
              <w:t xml:space="preserve"> mld. korun</w:t>
            </w:r>
            <w:r w:rsidRPr="00006754">
              <w:rPr>
                <w:rStyle w:val="Znakapoznpodarou"/>
                <w:color w:val="0D0D0D" w:themeColor="text1" w:themeTint="F2"/>
                <w:spacing w:val="-3"/>
              </w:rPr>
              <w:footnoteReference w:id="111"/>
            </w:r>
            <w:r>
              <w:rPr>
                <w:color w:val="0D0D0D" w:themeColor="text1" w:themeTint="F2"/>
                <w:spacing w:val="-3"/>
              </w:rPr>
              <w:t xml:space="preserve">, což byl oproti rekordnímu deficitu ze shodného loňského období skoro o třetinu příznivější výsledek. Za tímto zlepšením stál výhradně vývoj v první polovině roku, ve kterém se ještě výrazněji projevoval dopad postpandemického oživení ekonomiky. Naopak ve </w:t>
            </w:r>
            <w:r w:rsidRPr="00006754">
              <w:rPr>
                <w:color w:val="0D0D0D" w:themeColor="text1" w:themeTint="F2"/>
                <w:spacing w:val="-3"/>
              </w:rPr>
              <w:t xml:space="preserve">3. čtvrtletí </w:t>
            </w:r>
            <w:r>
              <w:rPr>
                <w:color w:val="0D0D0D" w:themeColor="text1" w:themeTint="F2"/>
                <w:spacing w:val="-3"/>
              </w:rPr>
              <w:t>se schodek prohloubil na 60 mld. korun (horší výsledek byl v tomto období zaznamenán pouze v krizovém roce 2009). Projevil se zde sílící meziroční růst výdajů sektoru VI (z 5,5 % ve 2. čtvrtletí na 12,2 % ve 3. čtvrtletí), za nímž stály vyšší sociální dávky (vč. mimořádné valorizace důchodů) i o</w:t>
            </w:r>
            <w:r w:rsidRPr="00EB1E6A">
              <w:rPr>
                <w:color w:val="0D0D0D" w:themeColor="text1" w:themeTint="F2"/>
                <w:spacing w:val="-3"/>
              </w:rPr>
              <w:t>statní běžné transfery</w:t>
            </w:r>
            <w:r>
              <w:rPr>
                <w:color w:val="0D0D0D" w:themeColor="text1" w:themeTint="F2"/>
                <w:spacing w:val="-3"/>
              </w:rPr>
              <w:t xml:space="preserve"> (vliv zavedení Úsporného energetického tarifu), růst vyplacených vlastnických důchodů (vlivem vyšších úroků) a vyšší objem </w:t>
            </w:r>
            <w:proofErr w:type="spellStart"/>
            <w:r>
              <w:rPr>
                <w:color w:val="0D0D0D" w:themeColor="text1" w:themeTint="F2"/>
                <w:spacing w:val="-3"/>
              </w:rPr>
              <w:t>mezispotřeby</w:t>
            </w:r>
            <w:proofErr w:type="spellEnd"/>
            <w:r>
              <w:rPr>
                <w:color w:val="0D0D0D" w:themeColor="text1" w:themeTint="F2"/>
                <w:spacing w:val="-3"/>
              </w:rPr>
              <w:t xml:space="preserve"> a investic (i v důsledku růstu cen v ekonomice). Naopak výrazně klesl objem vyplacených dotací, zůstal však nad úrovní roku 2019. Celkové příjmy sektoru VI, na rozdíl od výdajů, rostly během loňského roku stabilním tempem (v úhrnu za tři čtvrtletí o 10,7 %). Pozitivně se projevoval zejména výběr d</w:t>
            </w:r>
            <w:r w:rsidRPr="00361A02">
              <w:rPr>
                <w:color w:val="0D0D0D" w:themeColor="text1" w:themeTint="F2"/>
                <w:spacing w:val="-3"/>
              </w:rPr>
              <w:t>aně z výroby a z</w:t>
            </w:r>
            <w:r>
              <w:rPr>
                <w:color w:val="0D0D0D" w:themeColor="text1" w:themeTint="F2"/>
                <w:spacing w:val="-3"/>
              </w:rPr>
              <w:t> </w:t>
            </w:r>
            <w:r w:rsidRPr="00361A02">
              <w:rPr>
                <w:color w:val="0D0D0D" w:themeColor="text1" w:themeTint="F2"/>
                <w:spacing w:val="-3"/>
              </w:rPr>
              <w:t>dovozu</w:t>
            </w:r>
            <w:r>
              <w:rPr>
                <w:color w:val="0D0D0D" w:themeColor="text1" w:themeTint="F2"/>
                <w:spacing w:val="-3"/>
              </w:rPr>
              <w:t>, jeho růstové tempo se ale vlivem slábnoucí spotřeby domácností snižovalo (ze 13,1 % ve 2. čtvrtletí na 8,7 % ve 3. čtvrtletí). Stabilně naproti tomu díky dobré kondici trhu práce rostlo inkaso běžných daní</w:t>
            </w:r>
            <w:r w:rsidRPr="00361A02">
              <w:rPr>
                <w:color w:val="0D0D0D" w:themeColor="text1" w:themeTint="F2"/>
                <w:spacing w:val="-3"/>
              </w:rPr>
              <w:t xml:space="preserve"> z</w:t>
            </w:r>
            <w:r>
              <w:rPr>
                <w:color w:val="0D0D0D" w:themeColor="text1" w:themeTint="F2"/>
                <w:spacing w:val="-3"/>
              </w:rPr>
              <w:t> </w:t>
            </w:r>
            <w:r w:rsidRPr="00361A02">
              <w:rPr>
                <w:color w:val="0D0D0D" w:themeColor="text1" w:themeTint="F2"/>
                <w:spacing w:val="-3"/>
              </w:rPr>
              <w:t>důchodů</w:t>
            </w:r>
            <w:r>
              <w:rPr>
                <w:color w:val="0D0D0D" w:themeColor="text1" w:themeTint="F2"/>
                <w:spacing w:val="-3"/>
              </w:rPr>
              <w:t xml:space="preserve"> či výběr sociálních příspěvků.</w:t>
            </w:r>
          </w:p>
        </w:tc>
      </w:tr>
      <w:tr w:rsidR="001C3855" w14:paraId="2AE7B34A" w14:textId="77777777" w:rsidTr="00C8019E">
        <w:trPr>
          <w:trHeight w:val="145"/>
        </w:trPr>
        <w:tc>
          <w:tcPr>
            <w:tcW w:w="1780" w:type="dxa"/>
            <w:shd w:val="clear" w:color="auto" w:fill="auto"/>
            <w:tcMar>
              <w:left w:w="0" w:type="dxa"/>
            </w:tcMar>
          </w:tcPr>
          <w:p w14:paraId="78B4E31C" w14:textId="77777777" w:rsidR="001C3855" w:rsidRDefault="001C3855" w:rsidP="00C8019E">
            <w:pPr>
              <w:pStyle w:val="Marginlie"/>
              <w:rPr>
                <w:spacing w:val="-4"/>
              </w:rPr>
            </w:pPr>
            <w:r>
              <w:rPr>
                <w:spacing w:val="-4"/>
              </w:rPr>
              <w:t>Trend poklesu relativního deficitu hospodaření sektoru VI se ve 3. čtvrtletí v EU i v eurozóně zastavil.</w:t>
            </w:r>
          </w:p>
          <w:p w14:paraId="4E799F68" w14:textId="77777777" w:rsidR="001C3855" w:rsidRPr="0058030F" w:rsidRDefault="001C3855" w:rsidP="00C8019E">
            <w:pPr>
              <w:pStyle w:val="Marginlie"/>
              <w:rPr>
                <w:spacing w:val="-4"/>
              </w:rPr>
            </w:pPr>
          </w:p>
        </w:tc>
        <w:tc>
          <w:tcPr>
            <w:tcW w:w="219" w:type="dxa"/>
            <w:shd w:val="clear" w:color="auto" w:fill="auto"/>
            <w:tcMar>
              <w:left w:w="0" w:type="dxa"/>
            </w:tcMar>
          </w:tcPr>
          <w:p w14:paraId="2AE54AE6" w14:textId="77777777" w:rsidR="001C3855" w:rsidRDefault="001C3855" w:rsidP="00C8019E">
            <w:pPr>
              <w:pStyle w:val="Textpoznpodarou"/>
              <w:jc w:val="both"/>
              <w:rPr>
                <w:spacing w:val="-4"/>
              </w:rPr>
            </w:pPr>
          </w:p>
        </w:tc>
        <w:tc>
          <w:tcPr>
            <w:tcW w:w="7670" w:type="dxa"/>
            <w:shd w:val="clear" w:color="auto" w:fill="auto"/>
            <w:tcMar>
              <w:left w:w="0" w:type="dxa"/>
            </w:tcMar>
          </w:tcPr>
          <w:p w14:paraId="39772588" w14:textId="77777777" w:rsidR="001C3855" w:rsidRPr="0058030F" w:rsidRDefault="001C3855" w:rsidP="00C8019E">
            <w:pPr>
              <w:spacing w:after="220"/>
              <w:rPr>
                <w:color w:val="0D0D0D" w:themeColor="text1" w:themeTint="F2"/>
                <w:spacing w:val="-4"/>
              </w:rPr>
            </w:pPr>
            <w:r>
              <w:rPr>
                <w:color w:val="0D0D0D" w:themeColor="text1" w:themeTint="F2"/>
                <w:spacing w:val="-4"/>
              </w:rPr>
              <w:t xml:space="preserve">Zlepšování kondice veřejných financí v </w:t>
            </w:r>
            <w:r w:rsidRPr="0058030F">
              <w:rPr>
                <w:color w:val="0D0D0D" w:themeColor="text1" w:themeTint="F2"/>
                <w:spacing w:val="-4"/>
              </w:rPr>
              <w:t>EU</w:t>
            </w:r>
            <w:r>
              <w:rPr>
                <w:color w:val="0D0D0D" w:themeColor="text1" w:themeTint="F2"/>
                <w:spacing w:val="-4"/>
              </w:rPr>
              <w:t xml:space="preserve"> i státech eurozóny (související i </w:t>
            </w:r>
            <w:r w:rsidRPr="0058030F">
              <w:rPr>
                <w:color w:val="0D0D0D" w:themeColor="text1" w:themeTint="F2"/>
                <w:spacing w:val="-4"/>
              </w:rPr>
              <w:t>s výrazným útlumem mimořádných veřejných výdajů spojených s</w:t>
            </w:r>
            <w:r>
              <w:rPr>
                <w:color w:val="0D0D0D" w:themeColor="text1" w:themeTint="F2"/>
                <w:spacing w:val="-4"/>
              </w:rPr>
              <w:t> </w:t>
            </w:r>
            <w:r w:rsidRPr="0058030F">
              <w:rPr>
                <w:color w:val="0D0D0D" w:themeColor="text1" w:themeTint="F2"/>
                <w:spacing w:val="-4"/>
              </w:rPr>
              <w:t>pandemií</w:t>
            </w:r>
            <w:r>
              <w:rPr>
                <w:color w:val="0D0D0D" w:themeColor="text1" w:themeTint="F2"/>
                <w:spacing w:val="-4"/>
              </w:rPr>
              <w:t xml:space="preserve">), patrné od počátku roku 2021, se zastavilo. Ve 3. čtvrtletí 2022 se deficit hospodaření sektoru VI v Unii prohloubil na 3,2 % HDP (v předchozím kvartálu totiž činil 1,8 % HDP – </w:t>
            </w:r>
            <w:r w:rsidRPr="0058030F">
              <w:rPr>
                <w:color w:val="0D0D0D" w:themeColor="text1" w:themeTint="F2"/>
                <w:spacing w:val="-4"/>
              </w:rPr>
              <w:t>nejméně od konce roku 2019)</w:t>
            </w:r>
            <w:r w:rsidRPr="00006754">
              <w:rPr>
                <w:rStyle w:val="Znakapoznpodarou"/>
                <w:color w:val="0D0D0D" w:themeColor="text1" w:themeTint="F2"/>
                <w:spacing w:val="-4"/>
              </w:rPr>
              <w:footnoteReference w:id="112"/>
            </w:r>
            <w:r w:rsidRPr="0058030F">
              <w:rPr>
                <w:color w:val="0D0D0D" w:themeColor="text1" w:themeTint="F2"/>
                <w:spacing w:val="-4"/>
              </w:rPr>
              <w:t xml:space="preserve">. </w:t>
            </w:r>
            <w:r>
              <w:rPr>
                <w:color w:val="0D0D0D" w:themeColor="text1" w:themeTint="F2"/>
                <w:spacing w:val="-4"/>
              </w:rPr>
              <w:t>Rovněž v Česku se schodek ve 3. čtvrtletí prohloubil (na 4,4 % HDP). To již tak pátý kvartál v řadě vykazovalo horší výsledek než EU i eurozóna. Přes zhoršující se makroekonomickou situaci si stále zhruba třetina (zpravidla středních a menších) států Unie vloni na podzim uchovala mírně přebytky hospodaření. Naopak hluboký, více než 5% deficit sužoval sektor VI v Belgii, Maďarsku a Rumunsku.</w:t>
            </w:r>
          </w:p>
        </w:tc>
      </w:tr>
      <w:tr w:rsidR="001C3855" w14:paraId="67BD71C2" w14:textId="77777777" w:rsidTr="00C8019E">
        <w:trPr>
          <w:trHeight w:val="145"/>
        </w:trPr>
        <w:tc>
          <w:tcPr>
            <w:tcW w:w="1780" w:type="dxa"/>
            <w:shd w:val="clear" w:color="auto" w:fill="auto"/>
            <w:tcMar>
              <w:left w:w="0" w:type="dxa"/>
            </w:tcMar>
          </w:tcPr>
          <w:p w14:paraId="15D5F268" w14:textId="77777777" w:rsidR="001C3855" w:rsidRPr="006234B2" w:rsidRDefault="001C3855" w:rsidP="00C8019E">
            <w:pPr>
              <w:pStyle w:val="Marginlie"/>
              <w:rPr>
                <w:color w:val="0D0D0D" w:themeColor="text1" w:themeTint="F2"/>
                <w:spacing w:val="-4"/>
              </w:rPr>
            </w:pPr>
            <w:r w:rsidRPr="006234B2">
              <w:rPr>
                <w:color w:val="0D0D0D" w:themeColor="text1" w:themeTint="F2"/>
                <w:spacing w:val="-4"/>
              </w:rPr>
              <w:t xml:space="preserve">Míra zadlužení v EU se druhý rok v řadě mírně snižovala. V Česku jako </w:t>
            </w:r>
            <w:r>
              <w:rPr>
                <w:color w:val="0D0D0D" w:themeColor="text1" w:themeTint="F2"/>
                <w:spacing w:val="-4"/>
              </w:rPr>
              <w:br/>
              <w:t xml:space="preserve">v </w:t>
            </w:r>
            <w:r w:rsidRPr="006234B2">
              <w:rPr>
                <w:color w:val="0D0D0D" w:themeColor="text1" w:themeTint="F2"/>
                <w:spacing w:val="-4"/>
              </w:rPr>
              <w:t>jediné členské zemi ale během loňského roku vzrostla.</w:t>
            </w:r>
          </w:p>
          <w:p w14:paraId="4BC12F10" w14:textId="77777777" w:rsidR="001C3855" w:rsidRPr="004121FC" w:rsidRDefault="001C3855" w:rsidP="00C8019E">
            <w:pPr>
              <w:pStyle w:val="Marginlie"/>
              <w:rPr>
                <w:color w:val="0D0D0D" w:themeColor="text1" w:themeTint="F2"/>
                <w:spacing w:val="-4"/>
              </w:rPr>
            </w:pPr>
          </w:p>
          <w:p w14:paraId="4D3743E4" w14:textId="77777777" w:rsidR="001C3855" w:rsidRPr="004121FC" w:rsidRDefault="001C3855" w:rsidP="00C8019E">
            <w:pPr>
              <w:pStyle w:val="Marginlie"/>
              <w:rPr>
                <w:color w:val="0D0D0D" w:themeColor="text1" w:themeTint="F2"/>
                <w:spacing w:val="-4"/>
              </w:rPr>
            </w:pPr>
          </w:p>
          <w:p w14:paraId="5C345BD1" w14:textId="77777777" w:rsidR="001C3855" w:rsidRPr="004121FC" w:rsidRDefault="001C3855" w:rsidP="00C8019E">
            <w:pPr>
              <w:pStyle w:val="Marginlie"/>
              <w:rPr>
                <w:color w:val="0D0D0D" w:themeColor="text1" w:themeTint="F2"/>
                <w:spacing w:val="-4"/>
              </w:rPr>
            </w:pPr>
          </w:p>
          <w:p w14:paraId="5FB34088" w14:textId="77777777" w:rsidR="001C3855" w:rsidRPr="004121FC" w:rsidRDefault="001C3855" w:rsidP="00C8019E">
            <w:pPr>
              <w:pStyle w:val="Marginlie"/>
              <w:rPr>
                <w:color w:val="0D0D0D" w:themeColor="text1" w:themeTint="F2"/>
                <w:spacing w:val="-4"/>
              </w:rPr>
            </w:pPr>
          </w:p>
          <w:p w14:paraId="7ABF98EA" w14:textId="77777777" w:rsidR="001C3855" w:rsidRPr="004121FC" w:rsidRDefault="001C3855" w:rsidP="00C8019E">
            <w:pPr>
              <w:pStyle w:val="Marginlie"/>
              <w:rPr>
                <w:color w:val="0D0D0D" w:themeColor="text1" w:themeTint="F2"/>
                <w:spacing w:val="-4"/>
              </w:rPr>
            </w:pPr>
          </w:p>
          <w:p w14:paraId="235A3E59" w14:textId="77777777" w:rsidR="001C3855" w:rsidRPr="006234B2" w:rsidRDefault="001C3855" w:rsidP="00C8019E">
            <w:pPr>
              <w:pStyle w:val="Marginlie"/>
              <w:rPr>
                <w:color w:val="0D0D0D" w:themeColor="text1" w:themeTint="F2"/>
                <w:spacing w:val="-4"/>
              </w:rPr>
            </w:pPr>
            <w:r w:rsidRPr="004121FC">
              <w:rPr>
                <w:color w:val="0D0D0D" w:themeColor="text1" w:themeTint="F2"/>
                <w:spacing w:val="-4"/>
              </w:rPr>
              <w:t xml:space="preserve">Poměr </w:t>
            </w:r>
            <w:r w:rsidRPr="006234B2">
              <w:rPr>
                <w:color w:val="0D0D0D" w:themeColor="text1" w:themeTint="F2"/>
                <w:spacing w:val="-4"/>
              </w:rPr>
              <w:t>příjmů sektoru VI k HDP zůstával v Česku pod úrovní roku 2019.</w:t>
            </w:r>
          </w:p>
          <w:p w14:paraId="5816A131" w14:textId="77777777" w:rsidR="001C3855" w:rsidRPr="0058030F" w:rsidRDefault="001C3855" w:rsidP="00C8019E">
            <w:pPr>
              <w:pStyle w:val="Marginlie"/>
              <w:rPr>
                <w:spacing w:val="-4"/>
              </w:rPr>
            </w:pPr>
          </w:p>
        </w:tc>
        <w:tc>
          <w:tcPr>
            <w:tcW w:w="219" w:type="dxa"/>
            <w:shd w:val="clear" w:color="auto" w:fill="auto"/>
            <w:tcMar>
              <w:left w:w="0" w:type="dxa"/>
            </w:tcMar>
          </w:tcPr>
          <w:p w14:paraId="7732ABDD" w14:textId="77777777" w:rsidR="001C3855" w:rsidRDefault="001C3855" w:rsidP="00C8019E">
            <w:pPr>
              <w:pStyle w:val="Textpoznpodarou"/>
              <w:jc w:val="both"/>
              <w:rPr>
                <w:spacing w:val="-4"/>
              </w:rPr>
            </w:pPr>
          </w:p>
        </w:tc>
        <w:tc>
          <w:tcPr>
            <w:tcW w:w="7670" w:type="dxa"/>
            <w:shd w:val="clear" w:color="auto" w:fill="auto"/>
            <w:tcMar>
              <w:left w:w="0" w:type="dxa"/>
            </w:tcMar>
          </w:tcPr>
          <w:p w14:paraId="6DF84008" w14:textId="77777777" w:rsidR="001C3855" w:rsidRPr="0058030F" w:rsidRDefault="001C3855" w:rsidP="00C8019E">
            <w:pPr>
              <w:spacing w:after="0"/>
              <w:rPr>
                <w:color w:val="0D0D0D" w:themeColor="text1" w:themeTint="F2"/>
                <w:spacing w:val="-4"/>
              </w:rPr>
            </w:pPr>
            <w:r>
              <w:rPr>
                <w:color w:val="0D0D0D" w:themeColor="text1" w:themeTint="F2"/>
                <w:spacing w:val="-4"/>
              </w:rPr>
              <w:t xml:space="preserve">Míra zadlužení sektoru VI v EU po dosažení absolutního maxima na </w:t>
            </w:r>
            <w:r w:rsidRPr="0058030F">
              <w:rPr>
                <w:color w:val="0D0D0D" w:themeColor="text1" w:themeTint="F2"/>
                <w:spacing w:val="-4"/>
              </w:rPr>
              <w:t xml:space="preserve">počátku roku </w:t>
            </w:r>
            <w:r>
              <w:rPr>
                <w:color w:val="0D0D0D" w:themeColor="text1" w:themeTint="F2"/>
                <w:spacing w:val="-4"/>
              </w:rPr>
              <w:t>2021 (92 % HDP) setrvale mírně klesala. Loni na konci 3</w:t>
            </w:r>
            <w:r w:rsidRPr="0058030F">
              <w:rPr>
                <w:color w:val="0D0D0D" w:themeColor="text1" w:themeTint="F2"/>
                <w:spacing w:val="-4"/>
              </w:rPr>
              <w:t xml:space="preserve">. čtvrtletí </w:t>
            </w:r>
            <w:r>
              <w:rPr>
                <w:color w:val="0D0D0D" w:themeColor="text1" w:themeTint="F2"/>
                <w:spacing w:val="-4"/>
              </w:rPr>
              <w:t xml:space="preserve">činila 85,1 % HDP </w:t>
            </w:r>
            <w:r>
              <w:rPr>
                <w:color w:val="0D0D0D" w:themeColor="text1" w:themeTint="F2"/>
                <w:spacing w:val="-4"/>
              </w:rPr>
              <w:br/>
              <w:t>a meziročně klesla o</w:t>
            </w:r>
            <w:r w:rsidRPr="0058030F">
              <w:rPr>
                <w:color w:val="0D0D0D" w:themeColor="text1" w:themeTint="F2"/>
                <w:spacing w:val="-4"/>
              </w:rPr>
              <w:t> </w:t>
            </w:r>
            <w:r>
              <w:rPr>
                <w:color w:val="0D0D0D" w:themeColor="text1" w:themeTint="F2"/>
                <w:spacing w:val="-4"/>
              </w:rPr>
              <w:t>4,</w:t>
            </w:r>
            <w:proofErr w:type="gramStart"/>
            <w:r>
              <w:rPr>
                <w:color w:val="0D0D0D" w:themeColor="text1" w:themeTint="F2"/>
                <w:spacing w:val="-4"/>
              </w:rPr>
              <w:t>6  p.</w:t>
            </w:r>
            <w:proofErr w:type="gramEnd"/>
            <w:r>
              <w:rPr>
                <w:color w:val="0D0D0D" w:themeColor="text1" w:themeTint="F2"/>
                <w:spacing w:val="-4"/>
              </w:rPr>
              <w:t xml:space="preserve"> b. K redukci zadlužení v Unii i eurozóně došlo výhradně vlivem nominálního růstu výkonu ekonomiky, neboť absolutní výše dluhu nadále rostla (byť na rozdíl např. od situace v ČR jen mírně). Největšího zlepšení dosáhly některé dlouhodobě vysoce zadlužené státy – Řecko (o 25 p. b.) a Kypr (o 15 p. b.), významné bylo ale i mezi tradičně fiskálně stabilizovanými zeměmi (Irsko, Dánsko, Litva). Česko představovalo jediný členský stát Unie, v němž zadluženost meziročně vzrostla (ze 40,4 % HDP na rekordních 45,3 %). Míra zadlužení Česka byla ve 3. čtvrtletí v rámci členských států osmá nejnižší (šlo o nejhorší postavení po roce 2014), nedosahovala však stále ani poloviny úrovně eurozóny. Poměr celkových příjmů sektoru VI k HDP se v loňském 1. až 3. čtvrtletí v Česku, na rozdíl od EU, stále nacházel pod úrovní roku 2019. Naopak relativní objem výdajů rostl v tuzemsku za stejné období svižněji než v Unii. </w:t>
            </w:r>
            <w:r w:rsidRPr="0058030F">
              <w:rPr>
                <w:color w:val="0D0D0D" w:themeColor="text1" w:themeTint="F2"/>
                <w:spacing w:val="-4"/>
              </w:rPr>
              <w:t>Oproti nejnižší úrovni zadlužení z éry předpan</w:t>
            </w:r>
            <w:r>
              <w:rPr>
                <w:color w:val="0D0D0D" w:themeColor="text1" w:themeTint="F2"/>
                <w:spacing w:val="-4"/>
              </w:rPr>
              <w:t>demické konjunktury (období 2015</w:t>
            </w:r>
            <w:r w:rsidRPr="0058030F">
              <w:rPr>
                <w:color w:val="0D0D0D" w:themeColor="text1" w:themeTint="F2"/>
                <w:spacing w:val="-4"/>
              </w:rPr>
              <w:t xml:space="preserve"> až 2019</w:t>
            </w:r>
            <w:r>
              <w:rPr>
                <w:color w:val="0D0D0D" w:themeColor="text1" w:themeTint="F2"/>
                <w:spacing w:val="-4"/>
              </w:rPr>
              <w:t>) byl loni ve 3. čtvrtletí dluh sektoru VI zemích EU vyšší o 7,</w:t>
            </w:r>
            <w:proofErr w:type="gramStart"/>
            <w:r>
              <w:rPr>
                <w:color w:val="0D0D0D" w:themeColor="text1" w:themeTint="F2"/>
                <w:spacing w:val="-4"/>
              </w:rPr>
              <w:t>6</w:t>
            </w:r>
            <w:r w:rsidRPr="0058030F">
              <w:rPr>
                <w:color w:val="0D0D0D" w:themeColor="text1" w:themeTint="F2"/>
                <w:spacing w:val="-4"/>
              </w:rPr>
              <w:t xml:space="preserve">  p.</w:t>
            </w:r>
            <w:proofErr w:type="gramEnd"/>
            <w:r>
              <w:rPr>
                <w:color w:val="0D0D0D" w:themeColor="text1" w:themeTint="F2"/>
                <w:spacing w:val="-4"/>
              </w:rPr>
              <w:t> b. –</w:t>
            </w:r>
            <w:r w:rsidRPr="0058030F">
              <w:rPr>
                <w:color w:val="0D0D0D" w:themeColor="text1" w:themeTint="F2"/>
                <w:spacing w:val="-4"/>
              </w:rPr>
              <w:t xml:space="preserve"> v </w:t>
            </w:r>
            <w:r>
              <w:rPr>
                <w:color w:val="0D0D0D" w:themeColor="text1" w:themeTint="F2"/>
                <w:spacing w:val="-4"/>
              </w:rPr>
              <w:t xml:space="preserve">nejpostiženějších státech (Španělsko, Francie) až v rozmezí 17 až 18 p. b., v Česku o 15 p. b. Naopak </w:t>
            </w:r>
            <w:r w:rsidRPr="0058030F">
              <w:rPr>
                <w:color w:val="0D0D0D" w:themeColor="text1" w:themeTint="F2"/>
                <w:spacing w:val="-4"/>
              </w:rPr>
              <w:t>lé</w:t>
            </w:r>
            <w:r>
              <w:rPr>
                <w:color w:val="0D0D0D" w:themeColor="text1" w:themeTint="F2"/>
                <w:spacing w:val="-4"/>
              </w:rPr>
              <w:t xml:space="preserve">pe než před pandemií na tom byly jen Irsko (o 8 p. b.), s větším odstupem pak Dánsko, Švédsko a Chorvatsko. </w:t>
            </w:r>
          </w:p>
        </w:tc>
      </w:tr>
    </w:tbl>
    <w:p w14:paraId="6D687C14" w14:textId="31BFB2FA" w:rsidR="001C3855" w:rsidRPr="001C3855" w:rsidRDefault="001C3855" w:rsidP="00C15537">
      <w:pPr>
        <w:pStyle w:val="Nadpis11"/>
        <w:rPr>
          <w:sz w:val="2"/>
          <w:szCs w:val="2"/>
        </w:rPr>
      </w:pPr>
    </w:p>
    <w:sectPr w:rsidR="001C3855" w:rsidRPr="001C3855" w:rsidSect="00A03B10">
      <w:headerReference w:type="even" r:id="rId33"/>
      <w:headerReference w:type="default" r:id="rId34"/>
      <w:footerReference w:type="even" r:id="rId35"/>
      <w:footerReference w:type="default" r:id="rId36"/>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FBA8" w14:textId="77777777" w:rsidR="00C8019E" w:rsidRDefault="00C8019E" w:rsidP="00E71A58">
      <w:r>
        <w:separator/>
      </w:r>
    </w:p>
  </w:endnote>
  <w:endnote w:type="continuationSeparator" w:id="0">
    <w:p w14:paraId="3BF26E2A" w14:textId="77777777" w:rsidR="00C8019E" w:rsidRDefault="00C8019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60535B1F" w:rsidR="00C8019E" w:rsidRPr="00932443" w:rsidRDefault="00C8019E"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E3627">
      <w:rPr>
        <w:szCs w:val="16"/>
      </w:rPr>
      <w:t>26</w:t>
    </w:r>
    <w:r w:rsidRPr="00932443">
      <w:rPr>
        <w:szCs w:val="16"/>
      </w:rPr>
      <w:fldChar w:fldCharType="end"/>
    </w:r>
    <w:r w:rsidRPr="00932443">
      <w:rPr>
        <w:szCs w:val="16"/>
      </w:rPr>
      <w:tab/>
    </w:r>
    <w:r>
      <w:rPr>
        <w:szCs w:val="16"/>
      </w:rPr>
      <w:t>rok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2720A469" w:rsidR="00C8019E" w:rsidRPr="00932443" w:rsidRDefault="00C8019E" w:rsidP="00FA6CB6">
    <w:pPr>
      <w:pStyle w:val="Zpat"/>
      <w:rPr>
        <w:szCs w:val="16"/>
      </w:rPr>
    </w:pPr>
    <w:r w:rsidRPr="00FA6CB6">
      <w:rPr>
        <w:szCs w:val="16"/>
      </w:rPr>
      <w:tab/>
    </w:r>
    <w:r>
      <w:rPr>
        <w:szCs w:val="16"/>
      </w:rPr>
      <w:t>rok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E3627">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19C3" w14:textId="77777777" w:rsidR="00C8019E" w:rsidRDefault="00C8019E" w:rsidP="00A21B4D">
      <w:pPr>
        <w:spacing w:after="0"/>
      </w:pPr>
      <w:r>
        <w:separator/>
      </w:r>
    </w:p>
  </w:footnote>
  <w:footnote w:type="continuationSeparator" w:id="0">
    <w:p w14:paraId="4094B28B" w14:textId="77777777" w:rsidR="00C8019E" w:rsidRDefault="00C8019E" w:rsidP="00E71A58">
      <w:r>
        <w:continuationSeparator/>
      </w:r>
    </w:p>
  </w:footnote>
  <w:footnote w:id="1">
    <w:p w14:paraId="25A2F9F0" w14:textId="77777777" w:rsidR="00C8019E" w:rsidRDefault="00C8019E" w:rsidP="007C64F7">
      <w:pPr>
        <w:pStyle w:val="Textpoznpodarou"/>
        <w:rPr>
          <w:spacing w:val="-2"/>
          <w:sz w:val="16"/>
          <w:szCs w:val="16"/>
        </w:rPr>
      </w:pPr>
      <w:r>
        <w:rPr>
          <w:rStyle w:val="Znakapoznpodarou"/>
          <w:spacing w:val="-2"/>
          <w:sz w:val="16"/>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785B41FA" w14:textId="77777777" w:rsidR="00C8019E" w:rsidRDefault="00C8019E" w:rsidP="007C64F7">
      <w:pPr>
        <w:pStyle w:val="Textpoznpodarou"/>
        <w:rPr>
          <w:sz w:val="16"/>
          <w:szCs w:val="16"/>
        </w:rPr>
      </w:pPr>
      <w:r>
        <w:rPr>
          <w:rStyle w:val="Znakapoznpodarou"/>
          <w:sz w:val="16"/>
          <w:szCs w:val="16"/>
        </w:rPr>
        <w:footnoteRef/>
      </w:r>
      <w:r>
        <w:rPr>
          <w:sz w:val="16"/>
          <w:szCs w:val="16"/>
        </w:rPr>
        <w:t xml:space="preserve"> Podle metodiky čtvrtletních národních účtů (vývoz a dovoz v ocenění FOB/FOB).</w:t>
      </w:r>
    </w:p>
  </w:footnote>
  <w:footnote w:id="3">
    <w:p w14:paraId="5FFF1332" w14:textId="77777777" w:rsidR="00C8019E" w:rsidRDefault="00C8019E" w:rsidP="007C64F7">
      <w:pPr>
        <w:pStyle w:val="Textpoznpodarou"/>
        <w:jc w:val="both"/>
        <w:rPr>
          <w:sz w:val="16"/>
          <w:szCs w:val="16"/>
        </w:rPr>
      </w:pPr>
      <w:r>
        <w:rPr>
          <w:rStyle w:val="Znakapoznpodarou"/>
          <w:spacing w:val="-2"/>
          <w:sz w:val="16"/>
          <w:szCs w:val="16"/>
        </w:rPr>
        <w:footnoteRef/>
      </w:r>
      <w:r>
        <w:rPr>
          <w:spacing w:val="-2"/>
          <w:sz w:val="16"/>
          <w:szCs w:val="16"/>
        </w:rPr>
        <w:t xml:space="preserve"> Údaje o zaměstnanosti jsou uvedeny v pojetí národních účtů a očištěny o sezónní vlivy.</w:t>
      </w:r>
    </w:p>
  </w:footnote>
  <w:footnote w:id="4">
    <w:p w14:paraId="59991990" w14:textId="77777777" w:rsidR="00C8019E" w:rsidRPr="000348AF" w:rsidRDefault="00C8019E" w:rsidP="008C3A32">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3</w:t>
      </w:r>
      <w:r w:rsidRPr="000348AF">
        <w:rPr>
          <w:sz w:val="16"/>
          <w:szCs w:val="16"/>
        </w:rPr>
        <w:t>. </w:t>
      </w:r>
      <w:r>
        <w:rPr>
          <w:sz w:val="16"/>
          <w:szCs w:val="16"/>
        </w:rPr>
        <w:t>3</w:t>
      </w:r>
      <w:r w:rsidRPr="000348AF">
        <w:rPr>
          <w:sz w:val="16"/>
          <w:szCs w:val="16"/>
        </w:rPr>
        <w:t>. 202</w:t>
      </w:r>
      <w:r>
        <w:rPr>
          <w:sz w:val="16"/>
          <w:szCs w:val="16"/>
        </w:rPr>
        <w:t>3</w:t>
      </w:r>
      <w:r w:rsidRPr="000348AF">
        <w:rPr>
          <w:sz w:val="16"/>
          <w:szCs w:val="16"/>
        </w:rPr>
        <w:t>.</w:t>
      </w:r>
    </w:p>
  </w:footnote>
  <w:footnote w:id="5">
    <w:p w14:paraId="6176816D" w14:textId="77777777" w:rsidR="00C8019E" w:rsidRPr="001E74E3" w:rsidRDefault="00C8019E" w:rsidP="008C3A32">
      <w:pPr>
        <w:pStyle w:val="Textpoznpodarou"/>
        <w:rPr>
          <w:sz w:val="16"/>
          <w:szCs w:val="16"/>
        </w:rPr>
      </w:pPr>
      <w:r w:rsidRPr="001E74E3">
        <w:rPr>
          <w:rStyle w:val="Znakapoznpodarou"/>
          <w:sz w:val="16"/>
          <w:szCs w:val="16"/>
        </w:rPr>
        <w:footnoteRef/>
      </w:r>
      <w:r w:rsidRPr="001E74E3">
        <w:rPr>
          <w:sz w:val="16"/>
          <w:szCs w:val="16"/>
        </w:rPr>
        <w:t xml:space="preserve"> Data za </w:t>
      </w:r>
      <w:r>
        <w:rPr>
          <w:sz w:val="16"/>
          <w:szCs w:val="16"/>
        </w:rPr>
        <w:t xml:space="preserve">Lucembursko </w:t>
      </w:r>
      <w:r w:rsidRPr="001E74E3">
        <w:rPr>
          <w:sz w:val="16"/>
          <w:szCs w:val="16"/>
        </w:rPr>
        <w:t>nebyla dostupná.</w:t>
      </w:r>
    </w:p>
  </w:footnote>
  <w:footnote w:id="6">
    <w:p w14:paraId="1A5023D1" w14:textId="77777777" w:rsidR="00C8019E" w:rsidRDefault="00C8019E" w:rsidP="008C3A32">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7">
    <w:p w14:paraId="0F7ACE03" w14:textId="77777777" w:rsidR="00C8019E" w:rsidRPr="005F75B1" w:rsidRDefault="00C8019E" w:rsidP="008C3A32">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8">
    <w:p w14:paraId="753E0EB2" w14:textId="77777777" w:rsidR="00C8019E" w:rsidRPr="0053191D" w:rsidRDefault="00C8019E" w:rsidP="008C3A32">
      <w:pPr>
        <w:pStyle w:val="Textpoznpodarou"/>
        <w:rPr>
          <w:sz w:val="16"/>
          <w:szCs w:val="16"/>
        </w:rPr>
      </w:pPr>
      <w:r w:rsidRPr="0053191D">
        <w:rPr>
          <w:rStyle w:val="Znakapoznpodarou"/>
          <w:sz w:val="16"/>
          <w:szCs w:val="16"/>
        </w:rPr>
        <w:footnoteRef/>
      </w:r>
      <w:r w:rsidRPr="0053191D">
        <w:rPr>
          <w:sz w:val="16"/>
          <w:szCs w:val="16"/>
        </w:rPr>
        <w:t xml:space="preserve"> Tato sekce zahrnuje činnosti organizací sdružujících osoby za účelem prosazování společných zájmů, opravy počítačů a výrobků pro osobní potřebu a převážně pro domácnost a řadu jiných osobních služeb</w:t>
      </w:r>
      <w:r>
        <w:rPr>
          <w:sz w:val="16"/>
          <w:szCs w:val="16"/>
        </w:rPr>
        <w:t xml:space="preserve"> (kosmetické, </w:t>
      </w:r>
      <w:proofErr w:type="gramStart"/>
      <w:r>
        <w:rPr>
          <w:sz w:val="16"/>
          <w:szCs w:val="16"/>
        </w:rPr>
        <w:t>kadeřnické,</w:t>
      </w:r>
      <w:proofErr w:type="gramEnd"/>
      <w:r>
        <w:rPr>
          <w:sz w:val="16"/>
          <w:szCs w:val="16"/>
        </w:rPr>
        <w:t xml:space="preserve"> apod.).</w:t>
      </w:r>
    </w:p>
  </w:footnote>
  <w:footnote w:id="9">
    <w:p w14:paraId="68C6B90C" w14:textId="77777777" w:rsidR="00C8019E" w:rsidRPr="00771972" w:rsidRDefault="00C8019E" w:rsidP="008C3A32">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10">
    <w:p w14:paraId="2AB60143" w14:textId="77777777" w:rsidR="00C8019E" w:rsidRPr="009C6EA8" w:rsidRDefault="00C8019E" w:rsidP="008C3A32">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1">
    <w:p w14:paraId="235B4381" w14:textId="77777777" w:rsidR="00C8019E" w:rsidRPr="00954992" w:rsidRDefault="00C8019E" w:rsidP="008C3A32">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2">
    <w:p w14:paraId="7F396F5F" w14:textId="77777777" w:rsidR="00C8019E" w:rsidRPr="004831F6" w:rsidRDefault="00C8019E" w:rsidP="008C3A32">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očištěná)</w:t>
      </w:r>
      <w:r w:rsidRPr="004831F6">
        <w:rPr>
          <w:sz w:val="16"/>
          <w:szCs w:val="16"/>
        </w:rPr>
        <w:t xml:space="preserve"> dosáhla</w:t>
      </w:r>
      <w:r>
        <w:rPr>
          <w:sz w:val="16"/>
          <w:szCs w:val="16"/>
        </w:rPr>
        <w:t xml:space="preserve"> loni 392,4 mld. korun a v samotném 4. čtvrtletí 104,9 mld. Ve stálých cenách ukazatel loni díky vývoji v 1. pololetí celkově rostl. Ve 4. čtvrtletí 2022 byla změna zásob reálně meziročně mírně nižší.</w:t>
      </w:r>
    </w:p>
  </w:footnote>
  <w:footnote w:id="13">
    <w:p w14:paraId="5972829A" w14:textId="77777777" w:rsidR="00C8019E" w:rsidRPr="00167B30" w:rsidRDefault="00C8019E" w:rsidP="008C3A32">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xml:space="preserve">. Bilance zahraničního obchodu v běžných cenách </w:t>
      </w:r>
      <w:r>
        <w:rPr>
          <w:sz w:val="16"/>
          <w:szCs w:val="16"/>
        </w:rPr>
        <w:br/>
        <w:t>a po sezónním očištění.</w:t>
      </w:r>
    </w:p>
  </w:footnote>
  <w:footnote w:id="14">
    <w:p w14:paraId="157A1ECA" w14:textId="77777777" w:rsidR="00C8019E" w:rsidRPr="007163BD" w:rsidRDefault="00C8019E" w:rsidP="00E87D5B">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15">
    <w:p w14:paraId="08FBDC77" w14:textId="77777777" w:rsidR="00C8019E" w:rsidRPr="008C6019" w:rsidRDefault="00C8019E" w:rsidP="00E87D5B">
      <w:pPr>
        <w:pStyle w:val="Textpoznpodarou"/>
        <w:rPr>
          <w:sz w:val="16"/>
          <w:szCs w:val="16"/>
        </w:rPr>
      </w:pPr>
      <w:r w:rsidRPr="008C6019">
        <w:rPr>
          <w:rStyle w:val="Znakapoznpodarou"/>
          <w:sz w:val="16"/>
          <w:szCs w:val="16"/>
        </w:rPr>
        <w:footnoteRef/>
      </w:r>
      <w:r w:rsidRPr="008C6019">
        <w:rPr>
          <w:sz w:val="16"/>
          <w:szCs w:val="16"/>
        </w:rPr>
        <w:t xml:space="preserve"> Pro zjednodušení </w:t>
      </w:r>
      <w:r>
        <w:rPr>
          <w:sz w:val="16"/>
          <w:szCs w:val="16"/>
        </w:rPr>
        <w:t>jsou zde zahrnuta</w:t>
      </w:r>
      <w:r w:rsidRPr="008C6019">
        <w:rPr>
          <w:sz w:val="16"/>
          <w:szCs w:val="16"/>
        </w:rPr>
        <w:t xml:space="preserve"> odvětví veřejná správa a obrana, vzdělávání, zdravotní a sociální péče.</w:t>
      </w:r>
    </w:p>
  </w:footnote>
  <w:footnote w:id="16">
    <w:p w14:paraId="414573BB" w14:textId="77777777" w:rsidR="00C8019E" w:rsidRPr="00AC0C8F" w:rsidRDefault="00C8019E" w:rsidP="00E87D5B">
      <w:pPr>
        <w:pStyle w:val="Textpoznpodarou"/>
        <w:rPr>
          <w:sz w:val="16"/>
          <w:szCs w:val="16"/>
        </w:rPr>
      </w:pPr>
      <w:r w:rsidRPr="00AC0C8F">
        <w:rPr>
          <w:rStyle w:val="Znakapoznpodarou"/>
          <w:sz w:val="16"/>
          <w:szCs w:val="16"/>
        </w:rPr>
        <w:footnoteRef/>
      </w:r>
      <w:r w:rsidRPr="00AC0C8F">
        <w:rPr>
          <w:sz w:val="16"/>
          <w:szCs w:val="16"/>
        </w:rPr>
        <w:t xml:space="preserve"> V rámci členských zemí EU to platilo pouze pro Španělsko, z dalších evropských zemí např. pro Velkou Británii.</w:t>
      </w:r>
    </w:p>
  </w:footnote>
  <w:footnote w:id="17">
    <w:p w14:paraId="2075B71C" w14:textId="77777777" w:rsidR="00C8019E" w:rsidRDefault="00C8019E" w:rsidP="00E87D5B">
      <w:pPr>
        <w:pStyle w:val="Textpoznpodarou"/>
      </w:pPr>
      <w:r w:rsidRPr="007163BD">
        <w:rPr>
          <w:rStyle w:val="Znakapoznpodarou"/>
          <w:sz w:val="16"/>
          <w:szCs w:val="16"/>
        </w:rPr>
        <w:footnoteRef/>
      </w:r>
      <w:r w:rsidRPr="007163BD">
        <w:rPr>
          <w:sz w:val="16"/>
          <w:szCs w:val="16"/>
        </w:rPr>
        <w:t xml:space="preserve"> Zahrnuje kulturní</w:t>
      </w:r>
      <w:r w:rsidRPr="003B5B59">
        <w:rPr>
          <w:sz w:val="16"/>
          <w:szCs w:val="16"/>
        </w:rPr>
        <w:t xml:space="preserve">, zábavní a rekreační činnosti a 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 domácnost).</w:t>
      </w:r>
    </w:p>
  </w:footnote>
  <w:footnote w:id="18">
    <w:p w14:paraId="5EFE6F68" w14:textId="77777777" w:rsidR="00C8019E" w:rsidRPr="00241B79" w:rsidRDefault="00C8019E" w:rsidP="00E87D5B">
      <w:pPr>
        <w:pStyle w:val="Textpoznpodarou"/>
        <w:rPr>
          <w:spacing w:val="-4"/>
          <w:sz w:val="16"/>
          <w:szCs w:val="16"/>
        </w:rPr>
      </w:pPr>
      <w:r w:rsidRPr="00241B79">
        <w:rPr>
          <w:rStyle w:val="Znakapoznpodarou"/>
          <w:spacing w:val="-4"/>
          <w:sz w:val="16"/>
          <w:szCs w:val="16"/>
        </w:rPr>
        <w:footnoteRef/>
      </w:r>
      <w:r>
        <w:rPr>
          <w:spacing w:val="-4"/>
          <w:sz w:val="16"/>
          <w:szCs w:val="16"/>
        </w:rPr>
        <w:t xml:space="preserve"> Ta dle definitivních údajů za rok</w:t>
      </w:r>
      <w:r w:rsidRPr="00241B79">
        <w:rPr>
          <w:spacing w:val="-4"/>
          <w:sz w:val="16"/>
          <w:szCs w:val="16"/>
        </w:rPr>
        <w:t xml:space="preserve"> 2022 celkově (vč. kuk</w:t>
      </w:r>
      <w:r>
        <w:rPr>
          <w:spacing w:val="-4"/>
          <w:sz w:val="16"/>
          <w:szCs w:val="16"/>
        </w:rPr>
        <w:t>uřice na zrno) dosáhla 8,22</w:t>
      </w:r>
      <w:r w:rsidRPr="00241B79">
        <w:rPr>
          <w:spacing w:val="-4"/>
          <w:sz w:val="16"/>
          <w:szCs w:val="16"/>
        </w:rPr>
        <w:t xml:space="preserve"> mil. tun. Průměr sklizní z předchozích pěti let překonal</w:t>
      </w:r>
      <w:r>
        <w:rPr>
          <w:spacing w:val="-4"/>
          <w:sz w:val="16"/>
          <w:szCs w:val="16"/>
        </w:rPr>
        <w:t>a o</w:t>
      </w:r>
      <w:r w:rsidRPr="007163BD">
        <w:rPr>
          <w:rFonts w:cs="Arial"/>
          <w:color w:val="0D0D0D" w:themeColor="text1" w:themeTint="F2"/>
          <w:spacing w:val="-2"/>
          <w:sz w:val="16"/>
          <w:szCs w:val="16"/>
        </w:rPr>
        <w:t> </w:t>
      </w:r>
      <w:r>
        <w:rPr>
          <w:spacing w:val="-4"/>
          <w:sz w:val="16"/>
          <w:szCs w:val="16"/>
        </w:rPr>
        <w:t>6,9 %, desetiletý průměr o 5,2</w:t>
      </w:r>
      <w:r w:rsidRPr="00241B79">
        <w:rPr>
          <w:spacing w:val="-4"/>
          <w:sz w:val="16"/>
          <w:szCs w:val="16"/>
        </w:rPr>
        <w:t xml:space="preserve"> %.</w:t>
      </w:r>
    </w:p>
  </w:footnote>
  <w:footnote w:id="19">
    <w:p w14:paraId="6204D87F" w14:textId="77777777" w:rsidR="00C8019E" w:rsidRPr="002F02F1" w:rsidRDefault="00C8019E" w:rsidP="00E87D5B">
      <w:pPr>
        <w:pStyle w:val="Textpoznpodarou"/>
        <w:rPr>
          <w:sz w:val="16"/>
          <w:szCs w:val="16"/>
        </w:rPr>
      </w:pPr>
      <w:r w:rsidRPr="002F02F1">
        <w:rPr>
          <w:rStyle w:val="Znakapoznpodarou"/>
          <w:sz w:val="16"/>
          <w:szCs w:val="16"/>
        </w:rPr>
        <w:footnoteRef/>
      </w:r>
      <w:r w:rsidRPr="002F02F1">
        <w:rPr>
          <w:sz w:val="16"/>
          <w:szCs w:val="16"/>
        </w:rPr>
        <w:t xml:space="preserve"> Jeho sklizeň </w:t>
      </w:r>
      <w:r>
        <w:rPr>
          <w:sz w:val="16"/>
          <w:szCs w:val="16"/>
        </w:rPr>
        <w:t>meziročně propadla o 46 %. Předloňská úroda</w:t>
      </w:r>
      <w:r w:rsidRPr="002F02F1">
        <w:rPr>
          <w:sz w:val="16"/>
          <w:szCs w:val="16"/>
        </w:rPr>
        <w:t xml:space="preserve"> (</w:t>
      </w:r>
      <w:r>
        <w:rPr>
          <w:sz w:val="16"/>
          <w:szCs w:val="16"/>
        </w:rPr>
        <w:t>8,3 tis. tun) byla v Česku ovšem nejvyšší po roce 1996.</w:t>
      </w:r>
    </w:p>
  </w:footnote>
  <w:footnote w:id="20">
    <w:p w14:paraId="6EF279AB" w14:textId="77777777" w:rsidR="00C8019E" w:rsidRPr="00E04667" w:rsidRDefault="00C8019E" w:rsidP="00E87D5B">
      <w:pPr>
        <w:spacing w:after="0" w:line="240" w:lineRule="auto"/>
        <w:rPr>
          <w:rFonts w:cs="Arial"/>
          <w:color w:val="0D0D0D" w:themeColor="text1" w:themeTint="F2"/>
          <w:spacing w:val="-2"/>
          <w:sz w:val="16"/>
          <w:szCs w:val="16"/>
        </w:rPr>
      </w:pPr>
      <w:r w:rsidRPr="00E04667">
        <w:rPr>
          <w:rStyle w:val="Znakapoznpodarou"/>
          <w:spacing w:val="-2"/>
          <w:sz w:val="16"/>
          <w:szCs w:val="16"/>
        </w:rPr>
        <w:footnoteRef/>
      </w:r>
      <w:r w:rsidRPr="00E04667">
        <w:rPr>
          <w:spacing w:val="-2"/>
          <w:sz w:val="16"/>
          <w:szCs w:val="16"/>
        </w:rPr>
        <w:t xml:space="preserve"> </w:t>
      </w:r>
      <w:r w:rsidRPr="00E04667">
        <w:rPr>
          <w:rFonts w:cs="Arial"/>
          <w:color w:val="0D0D0D" w:themeColor="text1" w:themeTint="F2"/>
          <w:spacing w:val="-2"/>
          <w:sz w:val="16"/>
          <w:szCs w:val="16"/>
        </w:rPr>
        <w:t>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tempa pak také o vliv sezónnosti.</w:t>
      </w:r>
    </w:p>
  </w:footnote>
  <w:footnote w:id="21">
    <w:p w14:paraId="673286C9" w14:textId="77777777" w:rsidR="00C8019E" w:rsidRPr="00E4073A" w:rsidRDefault="00C8019E" w:rsidP="00E87D5B">
      <w:pPr>
        <w:spacing w:after="0" w:line="240" w:lineRule="auto"/>
        <w:rPr>
          <w:spacing w:val="-4"/>
          <w:sz w:val="16"/>
          <w:szCs w:val="16"/>
        </w:rPr>
      </w:pPr>
      <w:r w:rsidRPr="00E4073A">
        <w:rPr>
          <w:rStyle w:val="Znakapoznpodarou"/>
          <w:spacing w:val="-4"/>
          <w:sz w:val="16"/>
          <w:szCs w:val="16"/>
        </w:rPr>
        <w:footnoteRef/>
      </w:r>
      <w:r>
        <w:rPr>
          <w:spacing w:val="-4"/>
          <w:sz w:val="16"/>
          <w:szCs w:val="16"/>
        </w:rPr>
        <w:t xml:space="preserve"> Ve 4</w:t>
      </w:r>
      <w:r w:rsidRPr="00E4073A">
        <w:rPr>
          <w:spacing w:val="-4"/>
          <w:sz w:val="16"/>
          <w:szCs w:val="16"/>
        </w:rPr>
        <w:t>. čtvrtletí 2022 se prů</w:t>
      </w:r>
      <w:r>
        <w:rPr>
          <w:spacing w:val="-4"/>
          <w:sz w:val="16"/>
          <w:szCs w:val="16"/>
        </w:rPr>
        <w:t>myslová produkce nacházela těsně (o 0,1</w:t>
      </w:r>
      <w:r w:rsidRPr="00E4073A">
        <w:rPr>
          <w:spacing w:val="-4"/>
          <w:sz w:val="16"/>
          <w:szCs w:val="16"/>
        </w:rPr>
        <w:t xml:space="preserve"> %</w:t>
      </w:r>
      <w:r>
        <w:rPr>
          <w:spacing w:val="-4"/>
          <w:sz w:val="16"/>
          <w:szCs w:val="16"/>
        </w:rPr>
        <w:t>)</w:t>
      </w:r>
      <w:r w:rsidRPr="00E4073A">
        <w:rPr>
          <w:spacing w:val="-4"/>
          <w:sz w:val="16"/>
          <w:szCs w:val="16"/>
        </w:rPr>
        <w:t xml:space="preserve"> nad úrovní dříve rekordního období z 2. čtvrtletí 2019. Za svým vrcholem z éry předpandemické konjunktury (roky 2014</w:t>
      </w:r>
      <w:r>
        <w:rPr>
          <w:spacing w:val="-4"/>
          <w:sz w:val="16"/>
          <w:szCs w:val="16"/>
        </w:rPr>
        <w:t xml:space="preserve"> až 2019) ovšem tři pětiny</w:t>
      </w:r>
      <w:r w:rsidRPr="00E4073A">
        <w:rPr>
          <w:spacing w:val="-4"/>
          <w:sz w:val="16"/>
          <w:szCs w:val="16"/>
        </w:rPr>
        <w:t xml:space="preserve"> (z téměř třiceti) hlavních průmyslových oborů zaostaly. Šlo přede</w:t>
      </w:r>
      <w:r>
        <w:rPr>
          <w:spacing w:val="-4"/>
          <w:sz w:val="16"/>
          <w:szCs w:val="16"/>
        </w:rPr>
        <w:t>vším o</w:t>
      </w:r>
      <w:r w:rsidRPr="00E4073A">
        <w:rPr>
          <w:spacing w:val="-4"/>
          <w:sz w:val="16"/>
          <w:szCs w:val="16"/>
        </w:rPr>
        <w:t> </w:t>
      </w:r>
      <w:r>
        <w:rPr>
          <w:spacing w:val="-4"/>
          <w:sz w:val="16"/>
          <w:szCs w:val="16"/>
        </w:rPr>
        <w:t>těžbu a úpravu uhlí (o 39</w:t>
      </w:r>
      <w:r w:rsidRPr="00E4073A">
        <w:rPr>
          <w:spacing w:val="-4"/>
          <w:sz w:val="16"/>
          <w:szCs w:val="16"/>
        </w:rPr>
        <w:t xml:space="preserve"> %), kožedělný </w:t>
      </w:r>
      <w:r>
        <w:rPr>
          <w:spacing w:val="-4"/>
          <w:sz w:val="16"/>
          <w:szCs w:val="16"/>
        </w:rPr>
        <w:t>a obuvnický průmysl (28 %), hutnictví (22</w:t>
      </w:r>
      <w:r w:rsidRPr="00E4073A">
        <w:rPr>
          <w:spacing w:val="-4"/>
          <w:sz w:val="16"/>
          <w:szCs w:val="16"/>
        </w:rPr>
        <w:t xml:space="preserve"> %) dřevozpracující prům</w:t>
      </w:r>
      <w:r>
        <w:rPr>
          <w:spacing w:val="-4"/>
          <w:sz w:val="16"/>
          <w:szCs w:val="16"/>
        </w:rPr>
        <w:t>ysl (20 %), textilní průmysl (15 %) a</w:t>
      </w:r>
      <w:r w:rsidRPr="00E4073A">
        <w:rPr>
          <w:spacing w:val="-4"/>
          <w:sz w:val="16"/>
          <w:szCs w:val="16"/>
        </w:rPr>
        <w:t> z významnějších oborů dále např. o</w:t>
      </w:r>
      <w:r>
        <w:rPr>
          <w:spacing w:val="-4"/>
          <w:sz w:val="16"/>
          <w:szCs w:val="16"/>
        </w:rPr>
        <w:t xml:space="preserve"> energetiku (14 %),</w:t>
      </w:r>
      <w:r w:rsidRPr="00E4073A">
        <w:rPr>
          <w:spacing w:val="-4"/>
          <w:sz w:val="16"/>
          <w:szCs w:val="16"/>
        </w:rPr>
        <w:t xml:space="preserve"> chemický průmysl </w:t>
      </w:r>
      <w:r>
        <w:rPr>
          <w:spacing w:val="-4"/>
          <w:sz w:val="16"/>
          <w:szCs w:val="16"/>
        </w:rPr>
        <w:t xml:space="preserve">(10 %), </w:t>
      </w:r>
      <w:r w:rsidRPr="00E4073A">
        <w:rPr>
          <w:spacing w:val="-4"/>
          <w:sz w:val="16"/>
          <w:szCs w:val="16"/>
        </w:rPr>
        <w:t xml:space="preserve">či výrobu počítačů, elektronických </w:t>
      </w:r>
      <w:r>
        <w:rPr>
          <w:spacing w:val="-4"/>
          <w:sz w:val="16"/>
          <w:szCs w:val="16"/>
        </w:rPr>
        <w:br/>
        <w:t>a optických přístrojů (7</w:t>
      </w:r>
      <w:r w:rsidRPr="00E4073A">
        <w:rPr>
          <w:spacing w:val="-4"/>
          <w:sz w:val="16"/>
          <w:szCs w:val="16"/>
        </w:rPr>
        <w:t xml:space="preserve"> %</w:t>
      </w:r>
      <w:r>
        <w:rPr>
          <w:spacing w:val="-4"/>
          <w:sz w:val="16"/>
          <w:szCs w:val="16"/>
        </w:rPr>
        <w:t xml:space="preserve">), kovodělný průmysl a také gumárenství a </w:t>
      </w:r>
      <w:proofErr w:type="spellStart"/>
      <w:r>
        <w:rPr>
          <w:spacing w:val="-4"/>
          <w:sz w:val="16"/>
          <w:szCs w:val="16"/>
        </w:rPr>
        <w:t>plastikářství</w:t>
      </w:r>
      <w:proofErr w:type="spellEnd"/>
      <w:r>
        <w:rPr>
          <w:spacing w:val="-4"/>
          <w:sz w:val="16"/>
          <w:szCs w:val="16"/>
        </w:rPr>
        <w:t xml:space="preserve"> (shodně 5 %)</w:t>
      </w:r>
      <w:r w:rsidRPr="00E4073A">
        <w:rPr>
          <w:spacing w:val="-4"/>
          <w:sz w:val="16"/>
          <w:szCs w:val="16"/>
        </w:rPr>
        <w:t xml:space="preserve">. Předkrizovou úroveň </w:t>
      </w:r>
      <w:r>
        <w:rPr>
          <w:spacing w:val="-4"/>
          <w:sz w:val="16"/>
          <w:szCs w:val="16"/>
        </w:rPr>
        <w:t xml:space="preserve">naopak </w:t>
      </w:r>
      <w:r w:rsidRPr="00E4073A">
        <w:rPr>
          <w:spacing w:val="-4"/>
          <w:sz w:val="16"/>
          <w:szCs w:val="16"/>
        </w:rPr>
        <w:t>překonali</w:t>
      </w:r>
      <w:r>
        <w:rPr>
          <w:spacing w:val="-4"/>
          <w:sz w:val="16"/>
          <w:szCs w:val="16"/>
        </w:rPr>
        <w:t xml:space="preserve"> zejména výrobci elektrických zařízení (o 12 %) a výrobci motorových vozidel (o 7 %), z</w:t>
      </w:r>
      <w:r w:rsidRPr="00E4073A">
        <w:rPr>
          <w:spacing w:val="-4"/>
          <w:sz w:val="16"/>
          <w:szCs w:val="16"/>
        </w:rPr>
        <w:t xml:space="preserve"> menších oborů </w:t>
      </w:r>
      <w:r>
        <w:rPr>
          <w:spacing w:val="-4"/>
          <w:sz w:val="16"/>
          <w:szCs w:val="16"/>
        </w:rPr>
        <w:t>pak např. farmaceutický, papírenský a oděvní průmysl</w:t>
      </w:r>
      <w:r w:rsidRPr="00E4073A">
        <w:rPr>
          <w:spacing w:val="-4"/>
          <w:sz w:val="16"/>
          <w:szCs w:val="16"/>
        </w:rPr>
        <w:t>.</w:t>
      </w:r>
    </w:p>
  </w:footnote>
  <w:footnote w:id="22">
    <w:p w14:paraId="1869BBFE" w14:textId="77777777" w:rsidR="00C8019E" w:rsidRPr="00E04667" w:rsidRDefault="00C8019E" w:rsidP="00E87D5B">
      <w:pPr>
        <w:pStyle w:val="Textpoznpodarou"/>
        <w:jc w:val="both"/>
        <w:rPr>
          <w:spacing w:val="-3"/>
          <w:sz w:val="16"/>
          <w:szCs w:val="16"/>
        </w:rPr>
      </w:pPr>
      <w:r w:rsidRPr="00E04667">
        <w:rPr>
          <w:rStyle w:val="Znakapoznpodarou"/>
          <w:spacing w:val="-3"/>
          <w:sz w:val="16"/>
          <w:szCs w:val="16"/>
        </w:rPr>
        <w:footnoteRef/>
      </w:r>
      <w:r>
        <w:rPr>
          <w:spacing w:val="-3"/>
          <w:sz w:val="16"/>
          <w:szCs w:val="16"/>
        </w:rPr>
        <w:t xml:space="preserve"> Dle údajů</w:t>
      </w:r>
      <w:r w:rsidRPr="00E04667">
        <w:rPr>
          <w:spacing w:val="-3"/>
          <w:sz w:val="16"/>
          <w:szCs w:val="16"/>
        </w:rPr>
        <w:t xml:space="preserve"> Sdružení automobilového průmyslu</w:t>
      </w:r>
      <w:r>
        <w:rPr>
          <w:spacing w:val="-3"/>
          <w:sz w:val="16"/>
          <w:szCs w:val="16"/>
        </w:rPr>
        <w:t xml:space="preserve"> přesahovala zpravidla loni</w:t>
      </w:r>
      <w:r w:rsidRPr="00E04667">
        <w:rPr>
          <w:spacing w:val="-3"/>
          <w:sz w:val="16"/>
          <w:szCs w:val="16"/>
        </w:rPr>
        <w:t xml:space="preserve"> </w:t>
      </w:r>
      <w:r>
        <w:rPr>
          <w:spacing w:val="-3"/>
          <w:sz w:val="16"/>
          <w:szCs w:val="16"/>
        </w:rPr>
        <w:t>od května do září</w:t>
      </w:r>
      <w:r w:rsidRPr="00E04667">
        <w:rPr>
          <w:spacing w:val="-3"/>
          <w:sz w:val="16"/>
          <w:szCs w:val="16"/>
        </w:rPr>
        <w:t xml:space="preserve"> </w:t>
      </w:r>
      <w:r>
        <w:rPr>
          <w:spacing w:val="-3"/>
          <w:sz w:val="16"/>
          <w:szCs w:val="16"/>
        </w:rPr>
        <w:t xml:space="preserve">měsíční </w:t>
      </w:r>
      <w:r w:rsidRPr="00E04667">
        <w:rPr>
          <w:spacing w:val="-3"/>
          <w:sz w:val="16"/>
          <w:szCs w:val="16"/>
        </w:rPr>
        <w:t>výroba hran</w:t>
      </w:r>
      <w:r>
        <w:rPr>
          <w:spacing w:val="-3"/>
          <w:sz w:val="16"/>
          <w:szCs w:val="16"/>
        </w:rPr>
        <w:t>ici 100 tis. osobních vozů.</w:t>
      </w:r>
      <w:r w:rsidRPr="00E04667">
        <w:rPr>
          <w:spacing w:val="-3"/>
          <w:sz w:val="16"/>
          <w:szCs w:val="16"/>
        </w:rPr>
        <w:t xml:space="preserve"> </w:t>
      </w:r>
      <w:r>
        <w:rPr>
          <w:spacing w:val="-3"/>
          <w:sz w:val="16"/>
          <w:szCs w:val="16"/>
        </w:rPr>
        <w:t xml:space="preserve">Tím </w:t>
      </w:r>
      <w:r w:rsidRPr="00E04667">
        <w:rPr>
          <w:spacing w:val="-3"/>
          <w:sz w:val="16"/>
          <w:szCs w:val="16"/>
        </w:rPr>
        <w:t>se tyto měsíce přiblížily úrovni stejného období let 2017 až 2019, kdy byla výroba automobilů v tu</w:t>
      </w:r>
      <w:r>
        <w:rPr>
          <w:spacing w:val="-3"/>
          <w:sz w:val="16"/>
          <w:szCs w:val="16"/>
        </w:rPr>
        <w:t>zemsku na vrcholu. V úhrnu za rok</w:t>
      </w:r>
      <w:r w:rsidRPr="00E04667">
        <w:rPr>
          <w:spacing w:val="-3"/>
          <w:sz w:val="16"/>
          <w:szCs w:val="16"/>
        </w:rPr>
        <w:t xml:space="preserve"> 2022 </w:t>
      </w:r>
      <w:r>
        <w:rPr>
          <w:spacing w:val="-3"/>
          <w:sz w:val="16"/>
          <w:szCs w:val="16"/>
        </w:rPr>
        <w:t>dosáhla výroba osobních vozů 1,218 mil</w:t>
      </w:r>
      <w:r w:rsidRPr="00E04667">
        <w:rPr>
          <w:spacing w:val="-3"/>
          <w:sz w:val="16"/>
          <w:szCs w:val="16"/>
        </w:rPr>
        <w:t>. (mezir</w:t>
      </w:r>
      <w:r>
        <w:rPr>
          <w:spacing w:val="-3"/>
          <w:sz w:val="16"/>
          <w:szCs w:val="16"/>
        </w:rPr>
        <w:t>očně o 10 % více, ale proti rokům</w:t>
      </w:r>
      <w:r w:rsidRPr="00E04667">
        <w:rPr>
          <w:spacing w:val="-3"/>
          <w:sz w:val="16"/>
          <w:szCs w:val="16"/>
        </w:rPr>
        <w:t xml:space="preserve"> 2018</w:t>
      </w:r>
      <w:r>
        <w:rPr>
          <w:spacing w:val="-3"/>
          <w:sz w:val="16"/>
          <w:szCs w:val="16"/>
        </w:rPr>
        <w:t xml:space="preserve"> i 2019 o 15</w:t>
      </w:r>
      <w:r w:rsidRPr="00E04667">
        <w:rPr>
          <w:spacing w:val="-3"/>
          <w:sz w:val="16"/>
          <w:szCs w:val="16"/>
        </w:rPr>
        <w:t xml:space="preserve"> % méně). </w:t>
      </w:r>
      <w:r>
        <w:rPr>
          <w:spacing w:val="-3"/>
          <w:sz w:val="16"/>
          <w:szCs w:val="16"/>
        </w:rPr>
        <w:t>Již v</w:t>
      </w:r>
      <w:r w:rsidRPr="00E04667">
        <w:rPr>
          <w:spacing w:val="-3"/>
          <w:sz w:val="16"/>
          <w:szCs w:val="16"/>
        </w:rPr>
        <w:t>íce než d</w:t>
      </w:r>
      <w:r>
        <w:rPr>
          <w:spacing w:val="-3"/>
          <w:sz w:val="16"/>
          <w:szCs w:val="16"/>
        </w:rPr>
        <w:t>esetina vyrobených osobních automobilů</w:t>
      </w:r>
      <w:r w:rsidRPr="00E04667">
        <w:rPr>
          <w:spacing w:val="-3"/>
          <w:sz w:val="16"/>
          <w:szCs w:val="16"/>
        </w:rPr>
        <w:t xml:space="preserve"> </w:t>
      </w:r>
      <w:r>
        <w:rPr>
          <w:spacing w:val="-3"/>
          <w:sz w:val="16"/>
          <w:szCs w:val="16"/>
        </w:rPr>
        <w:t>připadala na elektrická vozidla (vč. vozů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 Nárůst výroby oproti roku 2021 zaznamenali i producenti</w:t>
      </w:r>
      <w:r w:rsidRPr="00E04667">
        <w:rPr>
          <w:spacing w:val="-3"/>
          <w:sz w:val="16"/>
          <w:szCs w:val="16"/>
        </w:rPr>
        <w:t xml:space="preserve"> ostat</w:t>
      </w:r>
      <w:r>
        <w:rPr>
          <w:spacing w:val="-3"/>
          <w:sz w:val="16"/>
          <w:szCs w:val="16"/>
        </w:rPr>
        <w:t>ních motorových vozidel,</w:t>
      </w:r>
      <w:r w:rsidRPr="00E04667">
        <w:rPr>
          <w:spacing w:val="-3"/>
          <w:sz w:val="16"/>
          <w:szCs w:val="16"/>
        </w:rPr>
        <w:t xml:space="preserve"> produkce u nich </w:t>
      </w:r>
      <w:r>
        <w:rPr>
          <w:spacing w:val="-3"/>
          <w:sz w:val="16"/>
          <w:szCs w:val="16"/>
        </w:rPr>
        <w:t xml:space="preserve">zároveň </w:t>
      </w:r>
      <w:r w:rsidRPr="00E04667">
        <w:rPr>
          <w:spacing w:val="-3"/>
          <w:sz w:val="16"/>
          <w:szCs w:val="16"/>
        </w:rPr>
        <w:t>převyšovala předkrizovou úroveň.</w:t>
      </w:r>
    </w:p>
  </w:footnote>
  <w:footnote w:id="23">
    <w:p w14:paraId="2B5DB320" w14:textId="77777777" w:rsidR="00C8019E" w:rsidRPr="000B5DC8" w:rsidRDefault="00C8019E" w:rsidP="00E87D5B">
      <w:pPr>
        <w:pStyle w:val="Textpoznpodarou"/>
        <w:jc w:val="both"/>
        <w:rPr>
          <w:sz w:val="16"/>
          <w:szCs w:val="16"/>
        </w:rPr>
      </w:pPr>
      <w:r w:rsidRPr="00E04667">
        <w:rPr>
          <w:rStyle w:val="Znakapoznpodarou"/>
          <w:spacing w:val="-2"/>
          <w:sz w:val="16"/>
          <w:szCs w:val="16"/>
        </w:rPr>
        <w:footnoteRef/>
      </w:r>
      <w:r w:rsidRPr="00E04667">
        <w:rPr>
          <w:spacing w:val="-2"/>
          <w:sz w:val="16"/>
          <w:szCs w:val="16"/>
        </w:rPr>
        <w:t xml:space="preserve"> </w:t>
      </w:r>
      <w:r w:rsidRPr="00E04667">
        <w:rPr>
          <w:rFonts w:cs="Arial"/>
          <w:spacing w:val="-2"/>
          <w:sz w:val="16"/>
          <w:szCs w:val="16"/>
        </w:rPr>
        <w:t>Podniky mohly uvést více hlavních růstových bariér současně.</w:t>
      </w:r>
    </w:p>
  </w:footnote>
  <w:footnote w:id="24">
    <w:p w14:paraId="44ADA0C6" w14:textId="77777777" w:rsidR="00C8019E" w:rsidRPr="00D7515C" w:rsidRDefault="00C8019E" w:rsidP="00E87D5B">
      <w:pPr>
        <w:pStyle w:val="Textpoznpodarou"/>
        <w:rPr>
          <w:sz w:val="16"/>
          <w:szCs w:val="16"/>
        </w:rPr>
      </w:pPr>
      <w:r w:rsidRPr="00D7515C">
        <w:rPr>
          <w:rStyle w:val="Znakapoznpodarou"/>
          <w:sz w:val="16"/>
          <w:szCs w:val="16"/>
        </w:rPr>
        <w:footnoteRef/>
      </w:r>
      <w:r w:rsidRPr="00D7515C">
        <w:rPr>
          <w:sz w:val="16"/>
          <w:szCs w:val="16"/>
        </w:rPr>
        <w:t xml:space="preserve"> </w:t>
      </w:r>
      <w:r w:rsidRPr="00D7515C">
        <w:rPr>
          <w:color w:val="0D0D0D" w:themeColor="text1" w:themeTint="F2"/>
          <w:spacing w:val="-4"/>
          <w:sz w:val="16"/>
          <w:szCs w:val="16"/>
        </w:rPr>
        <w:t>Ve směru poklesu celého průmyslu ale působila jen okrajově (-0,2 p. b.).</w:t>
      </w:r>
    </w:p>
  </w:footnote>
  <w:footnote w:id="25">
    <w:p w14:paraId="53FDB714" w14:textId="77777777" w:rsidR="00C8019E" w:rsidRPr="00F33536" w:rsidRDefault="00C8019E" w:rsidP="00E87D5B">
      <w:pPr>
        <w:pStyle w:val="Textpoznpodarou"/>
        <w:rPr>
          <w:spacing w:val="-2"/>
          <w:sz w:val="16"/>
          <w:szCs w:val="16"/>
        </w:rPr>
      </w:pPr>
      <w:r w:rsidRPr="00F33536">
        <w:rPr>
          <w:rStyle w:val="Znakapoznpodarou"/>
          <w:spacing w:val="-2"/>
          <w:sz w:val="16"/>
          <w:szCs w:val="16"/>
        </w:rPr>
        <w:footnoteRef/>
      </w:r>
      <w:r w:rsidRPr="00F33536">
        <w:rPr>
          <w:spacing w:val="-2"/>
          <w:sz w:val="16"/>
          <w:szCs w:val="16"/>
        </w:rPr>
        <w:t xml:space="preserve"> Dle údajů Energetického regulačního úřadu (ERÚ) loni klesla celková spotřeba </w:t>
      </w:r>
      <w:r>
        <w:rPr>
          <w:spacing w:val="-2"/>
          <w:sz w:val="16"/>
          <w:szCs w:val="16"/>
        </w:rPr>
        <w:t xml:space="preserve">zemního </w:t>
      </w:r>
      <w:r w:rsidRPr="00F33536">
        <w:rPr>
          <w:spacing w:val="-2"/>
          <w:sz w:val="16"/>
          <w:szCs w:val="16"/>
        </w:rPr>
        <w:t>plynu po přepočtu na dl</w:t>
      </w:r>
      <w:r>
        <w:rPr>
          <w:spacing w:val="-2"/>
          <w:sz w:val="16"/>
          <w:szCs w:val="16"/>
        </w:rPr>
        <w:t>ouhodobý teplotní normál o</w:t>
      </w:r>
      <w:r w:rsidRPr="00F33536">
        <w:rPr>
          <w:spacing w:val="-2"/>
          <w:sz w:val="16"/>
          <w:szCs w:val="16"/>
        </w:rPr>
        <w:t> </w:t>
      </w:r>
      <w:r>
        <w:rPr>
          <w:spacing w:val="-2"/>
          <w:sz w:val="16"/>
          <w:szCs w:val="16"/>
        </w:rPr>
        <w:t>16,5</w:t>
      </w:r>
      <w:r w:rsidRPr="00F33536">
        <w:rPr>
          <w:spacing w:val="-2"/>
          <w:sz w:val="16"/>
          <w:szCs w:val="16"/>
        </w:rPr>
        <w:t xml:space="preserve"> %. </w:t>
      </w:r>
      <w:r>
        <w:rPr>
          <w:spacing w:val="-2"/>
          <w:sz w:val="16"/>
          <w:szCs w:val="16"/>
        </w:rPr>
        <w:t>Absolutní v</w:t>
      </w:r>
      <w:r w:rsidRPr="00F33536">
        <w:rPr>
          <w:spacing w:val="-2"/>
          <w:sz w:val="16"/>
          <w:szCs w:val="16"/>
        </w:rPr>
        <w:t>ýše takto vyjádřené spotřeby dosáhla minima ve srovnatelné řadě od roku 2001. Nepřepočtená spotřeba se snižovala</w:t>
      </w:r>
      <w:r>
        <w:rPr>
          <w:spacing w:val="-2"/>
          <w:sz w:val="16"/>
          <w:szCs w:val="16"/>
        </w:rPr>
        <w:t xml:space="preserve"> ve všech měsících roku (především</w:t>
      </w:r>
      <w:r w:rsidRPr="00F33536">
        <w:rPr>
          <w:spacing w:val="-2"/>
          <w:sz w:val="16"/>
          <w:szCs w:val="16"/>
        </w:rPr>
        <w:t xml:space="preserve"> v květnu o 33 %). Nejvíce za celý </w:t>
      </w:r>
      <w:r>
        <w:rPr>
          <w:spacing w:val="-2"/>
          <w:sz w:val="16"/>
          <w:szCs w:val="16"/>
        </w:rPr>
        <w:t xml:space="preserve">rok </w:t>
      </w:r>
      <w:r w:rsidRPr="00F33536">
        <w:rPr>
          <w:spacing w:val="-2"/>
          <w:sz w:val="16"/>
          <w:szCs w:val="16"/>
        </w:rPr>
        <w:t xml:space="preserve">klesla </w:t>
      </w:r>
      <w:r>
        <w:rPr>
          <w:spacing w:val="-2"/>
          <w:sz w:val="16"/>
          <w:szCs w:val="16"/>
        </w:rPr>
        <w:t xml:space="preserve">spotřeba </w:t>
      </w:r>
      <w:r w:rsidRPr="00F33536">
        <w:rPr>
          <w:spacing w:val="-2"/>
          <w:sz w:val="16"/>
          <w:szCs w:val="16"/>
        </w:rPr>
        <w:t>u velkoodběratelů z řad podniků (o 22 %)</w:t>
      </w:r>
      <w:r>
        <w:rPr>
          <w:spacing w:val="-2"/>
          <w:sz w:val="16"/>
          <w:szCs w:val="16"/>
        </w:rPr>
        <w:t xml:space="preserve"> </w:t>
      </w:r>
      <w:r>
        <w:rPr>
          <w:spacing w:val="-2"/>
          <w:sz w:val="16"/>
          <w:szCs w:val="16"/>
        </w:rPr>
        <w:br/>
        <w:t>a domácností (21</w:t>
      </w:r>
      <w:r w:rsidRPr="00F33536">
        <w:rPr>
          <w:spacing w:val="-2"/>
          <w:sz w:val="16"/>
          <w:szCs w:val="16"/>
        </w:rPr>
        <w:t> </w:t>
      </w:r>
      <w:r>
        <w:rPr>
          <w:spacing w:val="-2"/>
          <w:sz w:val="16"/>
          <w:szCs w:val="16"/>
        </w:rPr>
        <w:t>%), nejméně u</w:t>
      </w:r>
      <w:r w:rsidRPr="00F33536">
        <w:rPr>
          <w:spacing w:val="-2"/>
          <w:sz w:val="16"/>
          <w:szCs w:val="16"/>
        </w:rPr>
        <w:t> </w:t>
      </w:r>
      <w:r>
        <w:rPr>
          <w:spacing w:val="-2"/>
          <w:sz w:val="16"/>
          <w:szCs w:val="16"/>
        </w:rPr>
        <w:t>podniků v kategorii</w:t>
      </w:r>
      <w:r w:rsidRPr="00F33536">
        <w:rPr>
          <w:spacing w:val="-2"/>
          <w:sz w:val="16"/>
          <w:szCs w:val="16"/>
        </w:rPr>
        <w:t xml:space="preserve"> maloodběratelů (14 %). </w:t>
      </w:r>
    </w:p>
  </w:footnote>
  <w:footnote w:id="26">
    <w:p w14:paraId="47654A5D" w14:textId="77777777" w:rsidR="00C8019E" w:rsidRPr="00F33536" w:rsidRDefault="00C8019E" w:rsidP="00E87D5B">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Dle aktuálních údajů ERÚ klesla za 1. a 3. čtvrtletí 2022 celková hrubá výroba tepla o 6,6 %, především zásluhou nižšího využití zemního plynu a černého uhlí (rostla naopak váha hnědého uhlí a topných olejů). Svižněji ubylo </w:t>
      </w:r>
      <w:r>
        <w:rPr>
          <w:spacing w:val="-2"/>
          <w:sz w:val="16"/>
          <w:szCs w:val="16"/>
        </w:rPr>
        <w:t xml:space="preserve">množství spotřebovaného tepla (o </w:t>
      </w:r>
      <w:r w:rsidRPr="00F33536">
        <w:rPr>
          <w:spacing w:val="-2"/>
          <w:sz w:val="16"/>
          <w:szCs w:val="16"/>
        </w:rPr>
        <w:t>10,3 %), z toho v domácn</w:t>
      </w:r>
      <w:r>
        <w:rPr>
          <w:spacing w:val="-2"/>
          <w:sz w:val="16"/>
          <w:szCs w:val="16"/>
        </w:rPr>
        <w:t>ostech o 12 %, pokles nastal i napříč podnikovou sférou</w:t>
      </w:r>
      <w:r w:rsidRPr="00F33536">
        <w:rPr>
          <w:spacing w:val="-2"/>
          <w:sz w:val="16"/>
          <w:szCs w:val="16"/>
        </w:rPr>
        <w:t xml:space="preserve"> (</w:t>
      </w:r>
      <w:r>
        <w:rPr>
          <w:spacing w:val="-2"/>
          <w:sz w:val="16"/>
          <w:szCs w:val="16"/>
        </w:rPr>
        <w:t xml:space="preserve">v </w:t>
      </w:r>
      <w:r w:rsidRPr="00F33536">
        <w:rPr>
          <w:spacing w:val="-2"/>
          <w:sz w:val="16"/>
          <w:szCs w:val="16"/>
        </w:rPr>
        <w:t>průmyslu činil 4 %, v energetice 24 %).</w:t>
      </w:r>
    </w:p>
  </w:footnote>
  <w:footnote w:id="27">
    <w:p w14:paraId="13E2B24C" w14:textId="1D193819" w:rsidR="00C8019E" w:rsidRPr="00F33536" w:rsidRDefault="00C8019E" w:rsidP="00E87D5B">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V roce 2022 přispěly dle údajů ERÚ k poklesu celkové </w:t>
      </w:r>
      <w:r w:rsidR="0048399F">
        <w:rPr>
          <w:spacing w:val="-2"/>
          <w:sz w:val="16"/>
          <w:szCs w:val="16"/>
        </w:rPr>
        <w:t xml:space="preserve">hrubé </w:t>
      </w:r>
      <w:r w:rsidRPr="00F33536">
        <w:rPr>
          <w:spacing w:val="-2"/>
          <w:sz w:val="16"/>
          <w:szCs w:val="16"/>
        </w:rPr>
        <w:t xml:space="preserve">výroby elektřiny paroplynové elektrárny (jejich produkce propadla meziročně o polovinu), méně byly využity i vodní zdroje. Pozitivně </w:t>
      </w:r>
      <w:r>
        <w:rPr>
          <w:spacing w:val="-2"/>
          <w:sz w:val="16"/>
          <w:szCs w:val="16"/>
        </w:rPr>
        <w:t>naopak působily</w:t>
      </w:r>
      <w:r w:rsidRPr="00F33536">
        <w:rPr>
          <w:spacing w:val="-2"/>
          <w:sz w:val="16"/>
          <w:szCs w:val="16"/>
        </w:rPr>
        <w:t xml:space="preserve"> tepelné (parní) elektrárny (růst výroby o 6,3 %), a to především díky vyššímu využití uhlí. Mírně posílila i výroba v jaderných elektrárnách (+0,9 %), její výše dosáhla rekordních 31 </w:t>
      </w:r>
      <w:proofErr w:type="spellStart"/>
      <w:r w:rsidRPr="00F33536">
        <w:rPr>
          <w:spacing w:val="-2"/>
          <w:sz w:val="16"/>
          <w:szCs w:val="16"/>
        </w:rPr>
        <w:t>TWh</w:t>
      </w:r>
      <w:proofErr w:type="spellEnd"/>
      <w:r w:rsidRPr="00F33536">
        <w:rPr>
          <w:spacing w:val="-2"/>
          <w:sz w:val="16"/>
          <w:szCs w:val="16"/>
        </w:rPr>
        <w:t xml:space="preserve"> (37 % veškeré výroby elektřiny v ČR). Celková hrubá tuzemská spotřeba elektři</w:t>
      </w:r>
      <w:r>
        <w:rPr>
          <w:spacing w:val="-2"/>
          <w:sz w:val="16"/>
          <w:szCs w:val="16"/>
        </w:rPr>
        <w:t>ny meziročně mírně klesala po cel</w:t>
      </w:r>
      <w:r w:rsidRPr="00F33536">
        <w:rPr>
          <w:spacing w:val="-2"/>
          <w:sz w:val="16"/>
          <w:szCs w:val="16"/>
        </w:rPr>
        <w:t>ý loňský rok, nejvíce však ve 4. čtvrtletí (-6,6 %). Na celoročních úsporách s</w:t>
      </w:r>
      <w:r>
        <w:rPr>
          <w:spacing w:val="-2"/>
          <w:sz w:val="16"/>
          <w:szCs w:val="16"/>
        </w:rPr>
        <w:t>e podílely hlavně</w:t>
      </w:r>
      <w:r w:rsidRPr="00F33536">
        <w:rPr>
          <w:spacing w:val="-2"/>
          <w:sz w:val="16"/>
          <w:szCs w:val="16"/>
        </w:rPr>
        <w:t xml:space="preserve"> domácnosti (ty snížily spotřebu o 9 %</w:t>
      </w:r>
      <w:r>
        <w:rPr>
          <w:spacing w:val="-2"/>
          <w:sz w:val="16"/>
          <w:szCs w:val="16"/>
        </w:rPr>
        <w:t>, nejvíce za posledních 20</w:t>
      </w:r>
      <w:r w:rsidRPr="00F33536">
        <w:rPr>
          <w:spacing w:val="-2"/>
          <w:sz w:val="16"/>
          <w:szCs w:val="16"/>
        </w:rPr>
        <w:t xml:space="preserve"> let). Úspory v podnikové sféře byly řádově nižší – u velkoodběratelů (-2,5 %), u maloodběratelů (-0,1 %). Proti roku 2019 byla loni spotřeba elektřiny vyšší jen </w:t>
      </w:r>
      <w:r>
        <w:rPr>
          <w:spacing w:val="-2"/>
          <w:sz w:val="16"/>
          <w:szCs w:val="16"/>
        </w:rPr>
        <w:br/>
      </w:r>
      <w:r w:rsidR="0048399F">
        <w:rPr>
          <w:spacing w:val="-2"/>
          <w:sz w:val="16"/>
          <w:szCs w:val="16"/>
        </w:rPr>
        <w:t>u domácností (+2,9</w:t>
      </w:r>
      <w:r w:rsidRPr="00F33536">
        <w:rPr>
          <w:spacing w:val="-2"/>
          <w:sz w:val="16"/>
          <w:szCs w:val="16"/>
        </w:rPr>
        <w:t xml:space="preserve"> %), v podnikové sféře za předkrizovou úrovní zaostávala (u nejv</w:t>
      </w:r>
      <w:r w:rsidR="0048399F">
        <w:rPr>
          <w:spacing w:val="-2"/>
          <w:sz w:val="16"/>
          <w:szCs w:val="16"/>
        </w:rPr>
        <w:t>ýznamnějších velkoodběratelů o 5,6</w:t>
      </w:r>
      <w:r w:rsidRPr="00F33536">
        <w:rPr>
          <w:spacing w:val="-2"/>
          <w:sz w:val="16"/>
          <w:szCs w:val="16"/>
        </w:rPr>
        <w:t xml:space="preserve"> %, u maloodběratelů o 3,5 %). </w:t>
      </w:r>
    </w:p>
  </w:footnote>
  <w:footnote w:id="28">
    <w:p w14:paraId="7ADEBF49" w14:textId="77777777" w:rsidR="00C8019E" w:rsidRPr="00F33536" w:rsidRDefault="00C8019E" w:rsidP="00E87D5B">
      <w:pPr>
        <w:pStyle w:val="Textpoznpodarou"/>
        <w:rPr>
          <w:spacing w:val="-2"/>
        </w:rPr>
      </w:pPr>
      <w:r w:rsidRPr="00F33536">
        <w:rPr>
          <w:spacing w:val="-2"/>
          <w:sz w:val="16"/>
          <w:szCs w:val="16"/>
          <w:vertAlign w:val="superscript"/>
        </w:rPr>
        <w:footnoteRef/>
      </w:r>
      <w:r w:rsidRPr="00F33536">
        <w:rPr>
          <w:spacing w:val="-2"/>
          <w:sz w:val="16"/>
          <w:szCs w:val="16"/>
        </w:rPr>
        <w:t xml:space="preserve"> Dle údajů ERÚ se v roce 2022 hodnota rozdílu mezi exportem a importem zvýšila o 22</w:t>
      </w:r>
      <w:r>
        <w:rPr>
          <w:spacing w:val="-2"/>
          <w:sz w:val="16"/>
          <w:szCs w:val="16"/>
        </w:rPr>
        <w:t xml:space="preserve"> </w:t>
      </w:r>
      <w:r w:rsidRPr="00F33536">
        <w:rPr>
          <w:spacing w:val="-2"/>
          <w:sz w:val="16"/>
          <w:szCs w:val="16"/>
        </w:rPr>
        <w:t>%, na celkových 13,5 </w:t>
      </w:r>
      <w:proofErr w:type="spellStart"/>
      <w:r w:rsidRPr="00F33536">
        <w:rPr>
          <w:spacing w:val="-2"/>
          <w:sz w:val="16"/>
          <w:szCs w:val="16"/>
        </w:rPr>
        <w:t>TWh</w:t>
      </w:r>
      <w:proofErr w:type="spellEnd"/>
      <w:r w:rsidRPr="00F33536">
        <w:rPr>
          <w:spacing w:val="-2"/>
          <w:sz w:val="16"/>
          <w:szCs w:val="16"/>
        </w:rPr>
        <w:t>.</w:t>
      </w:r>
    </w:p>
  </w:footnote>
  <w:footnote w:id="29">
    <w:p w14:paraId="4E5D3DC4" w14:textId="77777777" w:rsidR="00C8019E" w:rsidRPr="00F33536" w:rsidRDefault="00C8019E" w:rsidP="00E87D5B">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w:t>
      </w:r>
      <w:r>
        <w:rPr>
          <w:spacing w:val="-2"/>
          <w:sz w:val="16"/>
          <w:szCs w:val="16"/>
        </w:rPr>
        <w:t xml:space="preserve">Jde o tržby z průmyslové činnosti. </w:t>
      </w:r>
      <w:r w:rsidRPr="00F33536">
        <w:rPr>
          <w:rFonts w:cs="Arial"/>
          <w:color w:val="0D0D0D" w:themeColor="text1" w:themeTint="F2"/>
          <w:spacing w:val="-2"/>
          <w:sz w:val="16"/>
          <w:szCs w:val="16"/>
        </w:rPr>
        <w:t>Meziroční tempa tržeb jsou očištěna o kalendářní vlivy.</w:t>
      </w:r>
    </w:p>
  </w:footnote>
  <w:footnote w:id="30">
    <w:p w14:paraId="6A1777EB" w14:textId="77777777" w:rsidR="00C8019E" w:rsidRPr="00FB58F4" w:rsidRDefault="00C8019E" w:rsidP="00E87D5B">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 xml:space="preserve">sou očištěna o kalendářní vlivy, </w:t>
      </w:r>
      <w:proofErr w:type="spellStart"/>
      <w:r>
        <w:rPr>
          <w:rFonts w:cs="Arial"/>
          <w:color w:val="0D0D0D" w:themeColor="text1" w:themeTint="F2"/>
          <w:spacing w:val="-2"/>
          <w:sz w:val="16"/>
          <w:szCs w:val="16"/>
        </w:rPr>
        <w:t>mezikvartální</w:t>
      </w:r>
      <w:proofErr w:type="spellEnd"/>
      <w:r>
        <w:rPr>
          <w:rFonts w:cs="Arial"/>
          <w:color w:val="0D0D0D" w:themeColor="text1" w:themeTint="F2"/>
          <w:spacing w:val="-2"/>
          <w:sz w:val="16"/>
          <w:szCs w:val="16"/>
        </w:rPr>
        <w:t xml:space="preserve"> tempa také o vliv sezónnosti.</w:t>
      </w:r>
    </w:p>
  </w:footnote>
  <w:footnote w:id="31">
    <w:p w14:paraId="21606BE8" w14:textId="77777777" w:rsidR="00C8019E" w:rsidRPr="00B41B31" w:rsidRDefault="00C8019E" w:rsidP="00E87D5B">
      <w:pPr>
        <w:pStyle w:val="Textpoznpodarou"/>
        <w:rPr>
          <w:spacing w:val="-2"/>
          <w:sz w:val="16"/>
          <w:szCs w:val="16"/>
        </w:rPr>
      </w:pPr>
      <w:r w:rsidRPr="00B41B31">
        <w:rPr>
          <w:rStyle w:val="Znakapoznpodarou"/>
          <w:spacing w:val="-2"/>
          <w:sz w:val="16"/>
          <w:szCs w:val="16"/>
        </w:rPr>
        <w:footnoteRef/>
      </w:r>
      <w:r w:rsidRPr="00B41B31">
        <w:rPr>
          <w:spacing w:val="-2"/>
          <w:sz w:val="16"/>
          <w:szCs w:val="16"/>
        </w:rPr>
        <w:t xml:space="preserve"> Ty byly nejnižší za poslední dva a půl roku. </w:t>
      </w:r>
      <w:r>
        <w:rPr>
          <w:spacing w:val="-2"/>
          <w:sz w:val="16"/>
          <w:szCs w:val="16"/>
        </w:rPr>
        <w:t>Lze je také srovnat</w:t>
      </w:r>
      <w:r w:rsidRPr="00B41B31">
        <w:rPr>
          <w:spacing w:val="-2"/>
          <w:sz w:val="16"/>
          <w:szCs w:val="16"/>
        </w:rPr>
        <w:t xml:space="preserve"> s rokem 2013, kdy tuzemskou ekonomiku i průmysl svírala mělká recese.</w:t>
      </w:r>
      <w:r>
        <w:rPr>
          <w:spacing w:val="-2"/>
          <w:sz w:val="16"/>
          <w:szCs w:val="16"/>
        </w:rPr>
        <w:t xml:space="preserve"> </w:t>
      </w:r>
      <w:r w:rsidRPr="006000FE">
        <w:rPr>
          <w:color w:val="0D0D0D" w:themeColor="text1" w:themeTint="F2"/>
          <w:spacing w:val="-4"/>
          <w:sz w:val="16"/>
          <w:szCs w:val="16"/>
        </w:rPr>
        <w:t>Evidenční počet zaměstnanců ve 4. čtvrtletí klesl meziročně o 0,4 %.</w:t>
      </w:r>
    </w:p>
  </w:footnote>
  <w:footnote w:id="32">
    <w:p w14:paraId="0B186E96" w14:textId="77777777" w:rsidR="00C8019E" w:rsidRPr="0030796A" w:rsidRDefault="00C8019E" w:rsidP="00E87D5B">
      <w:pPr>
        <w:pStyle w:val="Textpoznpodarou"/>
        <w:rPr>
          <w:sz w:val="16"/>
          <w:szCs w:val="16"/>
        </w:rPr>
      </w:pPr>
      <w:r w:rsidRPr="0030796A">
        <w:rPr>
          <w:rStyle w:val="Znakapoznpodarou"/>
          <w:sz w:val="16"/>
          <w:szCs w:val="16"/>
        </w:rPr>
        <w:footnoteRef/>
      </w:r>
      <w:r w:rsidRPr="0030796A">
        <w:rPr>
          <w:sz w:val="16"/>
          <w:szCs w:val="16"/>
        </w:rPr>
        <w:t xml:space="preserve"> V horizontu od března do května 2023 očekávalo zhoršení vlastní ekonomické situace 10 % podniků (zlepšení 8 %), na období </w:t>
      </w:r>
      <w:r>
        <w:rPr>
          <w:sz w:val="16"/>
          <w:szCs w:val="16"/>
        </w:rPr>
        <w:br/>
      </w:r>
      <w:r w:rsidRPr="0030796A">
        <w:rPr>
          <w:sz w:val="16"/>
          <w:szCs w:val="16"/>
        </w:rPr>
        <w:t>3</w:t>
      </w:r>
      <w:r>
        <w:rPr>
          <w:sz w:val="16"/>
          <w:szCs w:val="16"/>
        </w:rPr>
        <w:t>.</w:t>
      </w:r>
      <w:r w:rsidRPr="0030796A">
        <w:rPr>
          <w:sz w:val="16"/>
          <w:szCs w:val="16"/>
        </w:rPr>
        <w:t xml:space="preserve"> čtvrtletí předpokládalo zhoršení 9 %, zlepšení ale již 29 % firem.</w:t>
      </w:r>
    </w:p>
  </w:footnote>
  <w:footnote w:id="33">
    <w:p w14:paraId="43573906" w14:textId="77777777" w:rsidR="00C8019E" w:rsidRPr="00AF44D9" w:rsidRDefault="00C8019E" w:rsidP="00E87D5B">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w:t>
      </w:r>
    </w:p>
  </w:footnote>
  <w:footnote w:id="34">
    <w:p w14:paraId="04336E6E" w14:textId="77777777" w:rsidR="00C8019E" w:rsidRPr="002D2942" w:rsidRDefault="00C8019E" w:rsidP="00E87D5B">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35">
    <w:p w14:paraId="44201DDE" w14:textId="77777777" w:rsidR="00C8019E" w:rsidRDefault="00C8019E" w:rsidP="00E87D5B">
      <w:pPr>
        <w:pStyle w:val="Textpoznpodarou"/>
      </w:pPr>
      <w:r w:rsidRPr="002D2942">
        <w:rPr>
          <w:rStyle w:val="Znakapoznpodarou"/>
          <w:sz w:val="16"/>
          <w:szCs w:val="16"/>
        </w:rPr>
        <w:footnoteRef/>
      </w:r>
      <w:r w:rsidRPr="002D2942">
        <w:rPr>
          <w:sz w:val="16"/>
          <w:szCs w:val="16"/>
        </w:rPr>
        <w:t xml:space="preserve"> Dosud nejvíce bytů bylo dokončeno v</w:t>
      </w:r>
      <w:r>
        <w:rPr>
          <w:sz w:val="16"/>
          <w:szCs w:val="16"/>
        </w:rPr>
        <w:t> konjunkturním roce</w:t>
      </w:r>
      <w:r w:rsidRPr="002D2942">
        <w:rPr>
          <w:sz w:val="16"/>
          <w:szCs w:val="16"/>
        </w:rPr>
        <w:t xml:space="preserve"> 2007 (41,6 tis.).</w:t>
      </w:r>
    </w:p>
  </w:footnote>
  <w:footnote w:id="36">
    <w:p w14:paraId="1F26B86C" w14:textId="77777777" w:rsidR="00C8019E" w:rsidRPr="00466B2E" w:rsidRDefault="00C8019E" w:rsidP="00E87D5B">
      <w:pPr>
        <w:pStyle w:val="Textpoznpodarou"/>
        <w:rPr>
          <w:spacing w:val="-2"/>
          <w:sz w:val="16"/>
          <w:szCs w:val="16"/>
        </w:rPr>
      </w:pPr>
      <w:r w:rsidRPr="00466B2E">
        <w:rPr>
          <w:rStyle w:val="Znakapoznpodarou"/>
          <w:spacing w:val="-2"/>
          <w:sz w:val="16"/>
          <w:szCs w:val="16"/>
        </w:rPr>
        <w:footnoteRef/>
      </w:r>
      <w:r w:rsidRPr="00466B2E">
        <w:rPr>
          <w:spacing w:val="-2"/>
          <w:sz w:val="16"/>
          <w:szCs w:val="16"/>
        </w:rPr>
        <w:t xml:space="preserve"> V Praze činil loni meziroční pokles </w:t>
      </w:r>
      <w:r>
        <w:rPr>
          <w:spacing w:val="-2"/>
          <w:sz w:val="16"/>
          <w:szCs w:val="16"/>
        </w:rPr>
        <w:t>počtu všech zahájených bytů více než 3</w:t>
      </w:r>
      <w:r w:rsidRPr="00466B2E">
        <w:rPr>
          <w:spacing w:val="-2"/>
          <w:sz w:val="16"/>
          <w:szCs w:val="16"/>
        </w:rPr>
        <w:t>0 %, i tak vš</w:t>
      </w:r>
      <w:r>
        <w:rPr>
          <w:spacing w:val="-2"/>
          <w:sz w:val="16"/>
          <w:szCs w:val="16"/>
        </w:rPr>
        <w:t xml:space="preserve">ak byla započata výstavba </w:t>
      </w:r>
      <w:r w:rsidRPr="00466B2E">
        <w:rPr>
          <w:spacing w:val="-2"/>
          <w:sz w:val="16"/>
          <w:szCs w:val="16"/>
        </w:rPr>
        <w:t>6</w:t>
      </w:r>
      <w:r>
        <w:rPr>
          <w:spacing w:val="-2"/>
          <w:sz w:val="16"/>
          <w:szCs w:val="16"/>
        </w:rPr>
        <w:t>,5 tis. bytů (druhý</w:t>
      </w:r>
      <w:r w:rsidRPr="00466B2E">
        <w:rPr>
          <w:spacing w:val="-2"/>
          <w:sz w:val="16"/>
          <w:szCs w:val="16"/>
        </w:rPr>
        <w:t xml:space="preserve"> nejvyšší počet po roce 2008). V segmentu rodinných domů (RD) došlo naopak k víceméně plošnému pokl</w:t>
      </w:r>
      <w:r>
        <w:rPr>
          <w:spacing w:val="-2"/>
          <w:sz w:val="16"/>
          <w:szCs w:val="16"/>
        </w:rPr>
        <w:t xml:space="preserve">esu napříč kraji ČR. Ve </w:t>
      </w:r>
      <w:r w:rsidRPr="00466B2E">
        <w:rPr>
          <w:spacing w:val="-2"/>
          <w:sz w:val="16"/>
          <w:szCs w:val="16"/>
        </w:rPr>
        <w:t>2.</w:t>
      </w:r>
      <w:r w:rsidRPr="00466B2E">
        <w:rPr>
          <w:rFonts w:cs="Arial"/>
          <w:color w:val="0D0D0D" w:themeColor="text1" w:themeTint="F2"/>
          <w:spacing w:val="-2"/>
          <w:sz w:val="16"/>
          <w:szCs w:val="16"/>
        </w:rPr>
        <w:t> </w:t>
      </w:r>
      <w:r w:rsidRPr="00466B2E">
        <w:rPr>
          <w:spacing w:val="-2"/>
          <w:sz w:val="16"/>
          <w:szCs w:val="16"/>
        </w:rPr>
        <w:t>pololetí 2022 dosáhl celorepublikový po</w:t>
      </w:r>
      <w:r>
        <w:rPr>
          <w:spacing w:val="-2"/>
          <w:sz w:val="16"/>
          <w:szCs w:val="16"/>
        </w:rPr>
        <w:t>čet zahájených bytů v nových RD jen 8,6</w:t>
      </w:r>
      <w:r w:rsidRPr="00466B2E">
        <w:rPr>
          <w:spacing w:val="-2"/>
          <w:sz w:val="16"/>
          <w:szCs w:val="16"/>
        </w:rPr>
        <w:t xml:space="preserve"> tis. (v rámci shodného období roku šlo </w:t>
      </w:r>
      <w:r>
        <w:rPr>
          <w:spacing w:val="-2"/>
          <w:sz w:val="16"/>
          <w:szCs w:val="16"/>
        </w:rPr>
        <w:t xml:space="preserve">o </w:t>
      </w:r>
      <w:r w:rsidRPr="00466B2E">
        <w:rPr>
          <w:spacing w:val="-2"/>
          <w:sz w:val="16"/>
          <w:szCs w:val="16"/>
        </w:rPr>
        <w:t>šestileté minimum).</w:t>
      </w:r>
    </w:p>
  </w:footnote>
  <w:footnote w:id="37">
    <w:p w14:paraId="2B7DDADB" w14:textId="77777777" w:rsidR="00C8019E" w:rsidRPr="00E02F4D" w:rsidRDefault="00C8019E" w:rsidP="00E87D5B">
      <w:pPr>
        <w:pStyle w:val="Textpoznpodarou"/>
        <w:rPr>
          <w:sz w:val="16"/>
          <w:szCs w:val="16"/>
        </w:rPr>
      </w:pPr>
      <w:r w:rsidRPr="00E02F4D">
        <w:rPr>
          <w:rStyle w:val="Znakapoznpodarou"/>
          <w:sz w:val="16"/>
          <w:szCs w:val="16"/>
        </w:rPr>
        <w:footnoteRef/>
      </w:r>
      <w:r w:rsidRPr="00E02F4D">
        <w:rPr>
          <w:sz w:val="16"/>
          <w:szCs w:val="16"/>
        </w:rPr>
        <w:t xml:space="preserve"> </w:t>
      </w:r>
      <w:r>
        <w:rPr>
          <w:sz w:val="16"/>
          <w:szCs w:val="16"/>
        </w:rPr>
        <w:t>Ze státního rozpočtu ČR bylo vloni na investicích</w:t>
      </w:r>
      <w:r w:rsidRPr="00E02F4D">
        <w:rPr>
          <w:sz w:val="16"/>
          <w:szCs w:val="16"/>
        </w:rPr>
        <w:t xml:space="preserve"> do Státního fondu dopravní infrastruktury </w:t>
      </w:r>
      <w:r>
        <w:rPr>
          <w:sz w:val="16"/>
          <w:szCs w:val="16"/>
        </w:rPr>
        <w:t>vyplaceno 78</w:t>
      </w:r>
      <w:r w:rsidRPr="00E02F4D">
        <w:rPr>
          <w:sz w:val="16"/>
          <w:szCs w:val="16"/>
        </w:rPr>
        <w:t xml:space="preserve"> </w:t>
      </w:r>
      <w:r>
        <w:rPr>
          <w:sz w:val="16"/>
          <w:szCs w:val="16"/>
        </w:rPr>
        <w:t>mld. korun, meziročně o</w:t>
      </w:r>
      <w:r w:rsidRPr="00466B2E">
        <w:rPr>
          <w:spacing w:val="-2"/>
          <w:sz w:val="16"/>
          <w:szCs w:val="16"/>
        </w:rPr>
        <w:t> </w:t>
      </w:r>
      <w:r>
        <w:rPr>
          <w:sz w:val="16"/>
          <w:szCs w:val="16"/>
        </w:rPr>
        <w:t>šestinu</w:t>
      </w:r>
      <w:r w:rsidRPr="00E02F4D">
        <w:rPr>
          <w:sz w:val="16"/>
          <w:szCs w:val="16"/>
        </w:rPr>
        <w:t xml:space="preserve"> více. </w:t>
      </w:r>
      <w:r>
        <w:rPr>
          <w:sz w:val="16"/>
          <w:szCs w:val="16"/>
        </w:rPr>
        <w:t>Celoroční výše investičních dotací se blížila rozpočtovému očekávání.</w:t>
      </w:r>
    </w:p>
  </w:footnote>
  <w:footnote w:id="38">
    <w:p w14:paraId="1641D250" w14:textId="77777777" w:rsidR="00C8019E" w:rsidRPr="009D2F5D" w:rsidRDefault="00C8019E" w:rsidP="00E87D5B">
      <w:pPr>
        <w:pStyle w:val="Textpoznpodarou"/>
        <w:rPr>
          <w:sz w:val="16"/>
          <w:szCs w:val="16"/>
        </w:rPr>
      </w:pPr>
      <w:r w:rsidRPr="009D2F5D">
        <w:rPr>
          <w:rStyle w:val="Znakapoznpodarou"/>
          <w:sz w:val="16"/>
          <w:szCs w:val="16"/>
        </w:rPr>
        <w:footnoteRef/>
      </w:r>
      <w:r>
        <w:rPr>
          <w:sz w:val="16"/>
          <w:szCs w:val="16"/>
        </w:rPr>
        <w:t xml:space="preserve"> Ten ve 4</w:t>
      </w:r>
      <w:r w:rsidRPr="009D2F5D">
        <w:rPr>
          <w:sz w:val="16"/>
          <w:szCs w:val="16"/>
        </w:rPr>
        <w:t xml:space="preserve">. čtvrtletí 2022 dosáhl </w:t>
      </w:r>
      <w:r>
        <w:rPr>
          <w:sz w:val="16"/>
          <w:szCs w:val="16"/>
        </w:rPr>
        <w:t>meziročně 12,0</w:t>
      </w:r>
      <w:r w:rsidRPr="009F3921">
        <w:rPr>
          <w:sz w:val="16"/>
          <w:szCs w:val="16"/>
        </w:rPr>
        <w:t xml:space="preserve"> %, v úhrnu od počátku roku 12,3 %. </w:t>
      </w:r>
      <w:r w:rsidRPr="009F3921">
        <w:rPr>
          <w:rFonts w:cs="Arial"/>
          <w:color w:val="0D0D0D" w:themeColor="text1" w:themeTint="F2"/>
          <w:spacing w:val="-6"/>
          <w:sz w:val="16"/>
          <w:szCs w:val="16"/>
        </w:rPr>
        <w:t>Cenové vlivy se významně promítly i do průměrn</w:t>
      </w:r>
      <w:r>
        <w:rPr>
          <w:rFonts w:cs="Arial"/>
          <w:color w:val="0D0D0D" w:themeColor="text1" w:themeTint="F2"/>
          <w:spacing w:val="-6"/>
          <w:sz w:val="16"/>
          <w:szCs w:val="16"/>
        </w:rPr>
        <w:t>é hodnoty nově uzavřených stavebních zakázek</w:t>
      </w:r>
      <w:r w:rsidRPr="009F3921">
        <w:rPr>
          <w:rFonts w:cs="Arial"/>
          <w:color w:val="0D0D0D" w:themeColor="text1" w:themeTint="F2"/>
          <w:spacing w:val="-6"/>
          <w:sz w:val="16"/>
          <w:szCs w:val="16"/>
        </w:rPr>
        <w:t xml:space="preserve"> </w:t>
      </w:r>
      <w:r>
        <w:rPr>
          <w:rFonts w:cs="Arial"/>
          <w:color w:val="0D0D0D" w:themeColor="text1" w:themeTint="F2"/>
          <w:spacing w:val="-6"/>
          <w:sz w:val="16"/>
          <w:szCs w:val="16"/>
        </w:rPr>
        <w:t>– ta činila za celý loňský rok 4,2</w:t>
      </w:r>
      <w:r w:rsidRPr="009F3921">
        <w:rPr>
          <w:rFonts w:cs="Arial"/>
          <w:color w:val="0D0D0D" w:themeColor="text1" w:themeTint="F2"/>
          <w:spacing w:val="-6"/>
          <w:sz w:val="16"/>
          <w:szCs w:val="16"/>
        </w:rPr>
        <w:t xml:space="preserve"> mil. korun a</w:t>
      </w:r>
      <w:r w:rsidRPr="009F3921">
        <w:rPr>
          <w:color w:val="0D0D0D" w:themeColor="text1" w:themeTint="F2"/>
          <w:spacing w:val="-5"/>
          <w:sz w:val="16"/>
          <w:szCs w:val="16"/>
        </w:rPr>
        <w:t> </w:t>
      </w:r>
      <w:r>
        <w:rPr>
          <w:rFonts w:cs="Arial"/>
          <w:color w:val="0D0D0D" w:themeColor="text1" w:themeTint="F2"/>
          <w:spacing w:val="-6"/>
          <w:sz w:val="16"/>
          <w:szCs w:val="16"/>
        </w:rPr>
        <w:t>meziročně vzrostla o 0,5 mil. korun.</w:t>
      </w:r>
    </w:p>
  </w:footnote>
  <w:footnote w:id="39">
    <w:p w14:paraId="762DF6DD" w14:textId="77777777" w:rsidR="00C8019E" w:rsidRPr="005D6094" w:rsidRDefault="00C8019E" w:rsidP="00E87D5B">
      <w:pPr>
        <w:pStyle w:val="Textpoznpodarou"/>
        <w:rPr>
          <w:sz w:val="16"/>
          <w:szCs w:val="16"/>
        </w:rPr>
      </w:pPr>
      <w:r w:rsidRPr="005D6094">
        <w:rPr>
          <w:rStyle w:val="Znakapoznpodarou"/>
          <w:sz w:val="16"/>
          <w:szCs w:val="16"/>
        </w:rPr>
        <w:footnoteRef/>
      </w:r>
      <w:r w:rsidRPr="005D6094">
        <w:rPr>
          <w:sz w:val="16"/>
          <w:szCs w:val="16"/>
        </w:rPr>
        <w:t xml:space="preserve"> Rovněž </w:t>
      </w:r>
      <w:r w:rsidRPr="005D6094">
        <w:rPr>
          <w:rFonts w:cs="Arial"/>
          <w:color w:val="0D0D0D" w:themeColor="text1" w:themeTint="F2"/>
          <w:spacing w:val="-4"/>
          <w:sz w:val="16"/>
          <w:szCs w:val="16"/>
        </w:rPr>
        <w:t>za celý rok 2022 hodn</w:t>
      </w:r>
      <w:r>
        <w:rPr>
          <w:rFonts w:cs="Arial"/>
          <w:color w:val="0D0D0D" w:themeColor="text1" w:themeTint="F2"/>
          <w:spacing w:val="-4"/>
          <w:sz w:val="16"/>
          <w:szCs w:val="16"/>
        </w:rPr>
        <w:t>ota povolení mírně klesla (o 1,2</w:t>
      </w:r>
      <w:r w:rsidRPr="005D6094">
        <w:rPr>
          <w:rFonts w:cs="Arial"/>
          <w:color w:val="0D0D0D" w:themeColor="text1" w:themeTint="F2"/>
          <w:spacing w:val="-4"/>
          <w:sz w:val="16"/>
          <w:szCs w:val="16"/>
        </w:rPr>
        <w:t xml:space="preserve"> %). Zde sehrálo významnou roli povolení výstavby nové trasy pražského metra,</w:t>
      </w:r>
      <w:r>
        <w:rPr>
          <w:rFonts w:cs="Arial"/>
          <w:color w:val="0D0D0D" w:themeColor="text1" w:themeTint="F2"/>
          <w:spacing w:val="-4"/>
          <w:sz w:val="16"/>
          <w:szCs w:val="16"/>
        </w:rPr>
        <w:t xml:space="preserve"> k němuž došlo v červenci 2021 (v oblasti nové výstavby bytových i nebytových budov hodnota povolení rostla – o 6 %, resp. 12,2 %). </w:t>
      </w:r>
      <w:r w:rsidRPr="005D6094">
        <w:rPr>
          <w:rFonts w:cs="Arial"/>
          <w:color w:val="0D0D0D" w:themeColor="text1" w:themeTint="F2"/>
          <w:spacing w:val="-4"/>
          <w:sz w:val="16"/>
          <w:szCs w:val="16"/>
        </w:rPr>
        <w:t>Po odečtení všech ostatních velkých staveb (s orientační hodnotou nad 1 mld. k</w:t>
      </w:r>
      <w:r>
        <w:rPr>
          <w:rFonts w:cs="Arial"/>
          <w:color w:val="0D0D0D" w:themeColor="text1" w:themeTint="F2"/>
          <w:spacing w:val="-4"/>
          <w:sz w:val="16"/>
          <w:szCs w:val="16"/>
        </w:rPr>
        <w:t xml:space="preserve">orun) by za loňský rok hodnota </w:t>
      </w:r>
      <w:r w:rsidRPr="005D6094">
        <w:rPr>
          <w:rFonts w:cs="Arial"/>
          <w:color w:val="0D0D0D" w:themeColor="text1" w:themeTint="F2"/>
          <w:spacing w:val="-4"/>
          <w:sz w:val="16"/>
          <w:szCs w:val="16"/>
        </w:rPr>
        <w:t>p</w:t>
      </w:r>
      <w:r>
        <w:rPr>
          <w:rFonts w:cs="Arial"/>
          <w:color w:val="0D0D0D" w:themeColor="text1" w:themeTint="F2"/>
          <w:spacing w:val="-4"/>
          <w:sz w:val="16"/>
          <w:szCs w:val="16"/>
        </w:rPr>
        <w:t>ovolení meziročně vzrostla o více než 9</w:t>
      </w:r>
      <w:r w:rsidRPr="005D6094">
        <w:rPr>
          <w:rFonts w:cs="Arial"/>
          <w:color w:val="0D0D0D" w:themeColor="text1" w:themeTint="F2"/>
          <w:spacing w:val="-4"/>
          <w:sz w:val="16"/>
          <w:szCs w:val="16"/>
        </w:rPr>
        <w:t xml:space="preserve"> % (tedy stále méně</w:t>
      </w:r>
      <w:r>
        <w:rPr>
          <w:rFonts w:cs="Arial"/>
          <w:color w:val="0D0D0D" w:themeColor="text1" w:themeTint="F2"/>
          <w:spacing w:val="-4"/>
          <w:sz w:val="16"/>
          <w:szCs w:val="16"/>
        </w:rPr>
        <w:t>,</w:t>
      </w:r>
      <w:r w:rsidRPr="005D6094">
        <w:rPr>
          <w:rFonts w:cs="Arial"/>
          <w:color w:val="0D0D0D" w:themeColor="text1" w:themeTint="F2"/>
          <w:spacing w:val="-4"/>
          <w:sz w:val="16"/>
          <w:szCs w:val="16"/>
        </w:rPr>
        <w:t xml:space="preserve"> než činil za stejné období růst cen stavebních prací). </w:t>
      </w:r>
      <w:r w:rsidRPr="009B56B9">
        <w:rPr>
          <w:rFonts w:cs="Arial"/>
          <w:color w:val="0D0D0D" w:themeColor="text1" w:themeTint="F2"/>
          <w:spacing w:val="-2"/>
          <w:sz w:val="16"/>
          <w:szCs w:val="16"/>
        </w:rPr>
        <w:t xml:space="preserve">V prostředí sílících nákladových cen (materiálových, energetických, mzdových) nelze vyloučit, že fakturované ceny </w:t>
      </w:r>
      <w:r>
        <w:rPr>
          <w:rFonts w:cs="Arial"/>
          <w:color w:val="0D0D0D" w:themeColor="text1" w:themeTint="F2"/>
          <w:spacing w:val="-2"/>
          <w:sz w:val="16"/>
          <w:szCs w:val="16"/>
        </w:rPr>
        <w:t xml:space="preserve">se mohou </w:t>
      </w:r>
      <w:r w:rsidRPr="009B56B9">
        <w:rPr>
          <w:rFonts w:cs="Arial"/>
          <w:color w:val="0D0D0D" w:themeColor="text1" w:themeTint="F2"/>
          <w:spacing w:val="-2"/>
          <w:sz w:val="16"/>
          <w:szCs w:val="16"/>
        </w:rPr>
        <w:t xml:space="preserve">po dokončení staveb </w:t>
      </w:r>
      <w:r>
        <w:rPr>
          <w:rFonts w:cs="Arial"/>
          <w:color w:val="0D0D0D" w:themeColor="text1" w:themeTint="F2"/>
          <w:spacing w:val="-2"/>
          <w:sz w:val="16"/>
          <w:szCs w:val="16"/>
        </w:rPr>
        <w:t xml:space="preserve">významněji odchýlit </w:t>
      </w:r>
      <w:r w:rsidRPr="009B56B9">
        <w:rPr>
          <w:rFonts w:cs="Arial"/>
          <w:color w:val="0D0D0D" w:themeColor="text1" w:themeTint="F2"/>
          <w:spacing w:val="-2"/>
          <w:sz w:val="16"/>
          <w:szCs w:val="16"/>
        </w:rPr>
        <w:t>od cen předpokládaných při povolování staveb</w:t>
      </w:r>
      <w:r>
        <w:rPr>
          <w:rFonts w:cs="Arial"/>
          <w:color w:val="0D0D0D" w:themeColor="text1" w:themeTint="F2"/>
          <w:spacing w:val="-2"/>
          <w:sz w:val="16"/>
          <w:szCs w:val="16"/>
        </w:rPr>
        <w:t>.</w:t>
      </w:r>
    </w:p>
  </w:footnote>
  <w:footnote w:id="40">
    <w:p w14:paraId="5C647824" w14:textId="77777777" w:rsidR="00C8019E" w:rsidRDefault="00C8019E" w:rsidP="00E87D5B">
      <w:pPr>
        <w:pStyle w:val="Textpoznpodarou"/>
      </w:pPr>
      <w:r w:rsidRPr="00EE4827">
        <w:rPr>
          <w:rStyle w:val="Znakapoznpodarou"/>
          <w:sz w:val="16"/>
          <w:szCs w:val="16"/>
        </w:rPr>
        <w:footnoteRef/>
      </w:r>
      <w:r w:rsidRPr="00EE4827">
        <w:rPr>
          <w:sz w:val="16"/>
          <w:szCs w:val="16"/>
        </w:rPr>
        <w:t xml:space="preserve"> Podniky</w:t>
      </w:r>
      <w:r w:rsidRPr="00AF44D9">
        <w:rPr>
          <w:sz w:val="16"/>
          <w:szCs w:val="16"/>
        </w:rPr>
        <w:t xml:space="preserve"> mohly uvést více bariér současně.</w:t>
      </w:r>
      <w:r>
        <w:rPr>
          <w:sz w:val="16"/>
          <w:szCs w:val="16"/>
        </w:rPr>
        <w:t xml:space="preserve"> Bariéry jsou očištěny o vliv sezónnosti.</w:t>
      </w:r>
    </w:p>
  </w:footnote>
  <w:footnote w:id="41">
    <w:p w14:paraId="1561E0A9" w14:textId="77777777" w:rsidR="00C8019E" w:rsidRPr="00DE38E6" w:rsidRDefault="00C8019E" w:rsidP="00E87D5B">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w:t>
      </w:r>
      <w:r>
        <w:rPr>
          <w:color w:val="0D0D0D" w:themeColor="text1" w:themeTint="F2"/>
          <w:sz w:val="16"/>
          <w:szCs w:val="16"/>
        </w:rPr>
        <w:t>tržby ve službách</w:t>
      </w:r>
      <w:r w:rsidRPr="004A26AF">
        <w:rPr>
          <w:color w:val="0D0D0D" w:themeColor="text1" w:themeTint="F2"/>
          <w:sz w:val="16"/>
          <w:szCs w:val="16"/>
        </w:rPr>
        <w:t xml:space="preserve"> jsou </w:t>
      </w:r>
      <w:r>
        <w:rPr>
          <w:color w:val="0D0D0D" w:themeColor="text1" w:themeTint="F2"/>
          <w:sz w:val="16"/>
          <w:szCs w:val="16"/>
        </w:rPr>
        <w:t>ve stálých cenách, meziroční data jsou očištěna</w:t>
      </w:r>
      <w:r w:rsidRPr="004A26AF">
        <w:rPr>
          <w:color w:val="0D0D0D" w:themeColor="text1" w:themeTint="F2"/>
          <w:sz w:val="16"/>
          <w:szCs w:val="16"/>
        </w:rPr>
        <w:t xml:space="preserve">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očištěna o sezónní vlivy (včetně vlivu počtu pracovních dnů)</w:t>
      </w:r>
      <w:r w:rsidRPr="004A26AF">
        <w:rPr>
          <w:color w:val="0D0D0D" w:themeColor="text1" w:themeTint="F2"/>
          <w:sz w:val="16"/>
          <w:szCs w:val="16"/>
        </w:rPr>
        <w:t>.</w:t>
      </w:r>
    </w:p>
  </w:footnote>
  <w:footnote w:id="42">
    <w:p w14:paraId="66F4763B" w14:textId="77777777" w:rsidR="00C8019E" w:rsidRPr="00C06A81" w:rsidRDefault="00C8019E" w:rsidP="00E87D5B">
      <w:pPr>
        <w:pStyle w:val="Textpoznpodarou"/>
        <w:rPr>
          <w:sz w:val="16"/>
          <w:szCs w:val="16"/>
        </w:rPr>
      </w:pPr>
      <w:r w:rsidRPr="00C06A81">
        <w:rPr>
          <w:rStyle w:val="Znakapoznpodarou"/>
          <w:sz w:val="16"/>
          <w:szCs w:val="16"/>
        </w:rPr>
        <w:footnoteRef/>
      </w:r>
      <w:r w:rsidRPr="00C06A81">
        <w:rPr>
          <w:sz w:val="16"/>
          <w:szCs w:val="16"/>
        </w:rPr>
        <w:t xml:space="preserve"> </w:t>
      </w:r>
      <w:r>
        <w:rPr>
          <w:sz w:val="16"/>
          <w:szCs w:val="16"/>
        </w:rPr>
        <w:t>Ten činil mezikvartálně1,5 % (v</w:t>
      </w:r>
      <w:r w:rsidRPr="00C06A81">
        <w:rPr>
          <w:sz w:val="16"/>
          <w:szCs w:val="16"/>
        </w:rPr>
        <w:t>e vyjádření v běžných cenách a po sezónním očištění</w:t>
      </w:r>
      <w:r>
        <w:rPr>
          <w:sz w:val="16"/>
          <w:szCs w:val="16"/>
        </w:rPr>
        <w:t>)</w:t>
      </w:r>
      <w:r w:rsidRPr="00C06A81">
        <w:rPr>
          <w:sz w:val="16"/>
          <w:szCs w:val="16"/>
        </w:rPr>
        <w:t>.</w:t>
      </w:r>
    </w:p>
  </w:footnote>
  <w:footnote w:id="43">
    <w:p w14:paraId="4B68902C" w14:textId="77777777" w:rsidR="00C8019E" w:rsidRDefault="00C8019E" w:rsidP="00E87D5B">
      <w:pPr>
        <w:pStyle w:val="Textpoznpodarou"/>
      </w:pPr>
      <w:r w:rsidRPr="00D77E6C">
        <w:rPr>
          <w:rStyle w:val="Znakapoznpodarou"/>
          <w:sz w:val="16"/>
          <w:szCs w:val="16"/>
        </w:rPr>
        <w:footnoteRef/>
      </w:r>
      <w:r>
        <w:t xml:space="preserve"> </w:t>
      </w:r>
      <w:r>
        <w:rPr>
          <w:rFonts w:cs="Arial"/>
          <w:color w:val="0D0D0D" w:themeColor="text1" w:themeTint="F2"/>
          <w:spacing w:val="-3"/>
          <w:sz w:val="16"/>
          <w:szCs w:val="16"/>
        </w:rPr>
        <w:t>D</w:t>
      </w:r>
      <w:r w:rsidRPr="00EB7D87">
        <w:rPr>
          <w:rFonts w:cs="Arial"/>
          <w:color w:val="0D0D0D" w:themeColor="text1" w:themeTint="F2"/>
          <w:spacing w:val="-3"/>
          <w:sz w:val="16"/>
          <w:szCs w:val="16"/>
        </w:rPr>
        <w:t xml:space="preserve">le údajů </w:t>
      </w:r>
      <w:r w:rsidRPr="00EB7D87">
        <w:rPr>
          <w:spacing w:val="-3"/>
          <w:sz w:val="16"/>
          <w:szCs w:val="16"/>
        </w:rPr>
        <w:t xml:space="preserve">Unie filmových distributorů </w:t>
      </w:r>
      <w:r>
        <w:rPr>
          <w:spacing w:val="-3"/>
          <w:sz w:val="16"/>
          <w:szCs w:val="16"/>
        </w:rPr>
        <w:t xml:space="preserve">vzrostly v loňském 4. čtvrtletí tržby provozovatelů tuzemských kin meziročně o 10,7 %. V úhrnu od počátku roku se tržby i návštěvnost meziročně téměř zdvojnásobily (od ledna do května 2021 ovšem kina prakticky nehrála), ve srovnání </w:t>
      </w:r>
      <w:r>
        <w:rPr>
          <w:spacing w:val="-3"/>
          <w:sz w:val="16"/>
          <w:szCs w:val="16"/>
        </w:rPr>
        <w:br/>
        <w:t>s rokem 2019 tak tržby o 19 % zaostávaly (návštěvnost dokonce o 26 %, avšak počet odehraných představení byl nižší jen o 4 %).</w:t>
      </w:r>
    </w:p>
  </w:footnote>
  <w:footnote w:id="44">
    <w:p w14:paraId="056FC08E" w14:textId="77777777" w:rsidR="00C8019E" w:rsidRPr="00EB7D87" w:rsidRDefault="00C8019E" w:rsidP="00E87D5B">
      <w:pPr>
        <w:spacing w:after="0" w:line="240" w:lineRule="auto"/>
        <w:rPr>
          <w:spacing w:val="-2"/>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Všechna meziroční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45">
    <w:p w14:paraId="056C7A68" w14:textId="59B5EF91" w:rsidR="00C8019E" w:rsidRPr="008B1850" w:rsidRDefault="00C8019E" w:rsidP="00E87D5B">
      <w:pPr>
        <w:pStyle w:val="Textpoznpodarou"/>
        <w:rPr>
          <w:spacing w:val="-2"/>
          <w:sz w:val="16"/>
          <w:szCs w:val="16"/>
        </w:rPr>
      </w:pPr>
      <w:r w:rsidRPr="00C97888">
        <w:rPr>
          <w:rStyle w:val="Znakapoznpodarou"/>
          <w:spacing w:val="-2"/>
          <w:sz w:val="16"/>
          <w:szCs w:val="16"/>
        </w:rPr>
        <w:footnoteRef/>
      </w:r>
      <w:r w:rsidRPr="00C97888">
        <w:rPr>
          <w:spacing w:val="-2"/>
          <w:sz w:val="16"/>
          <w:szCs w:val="16"/>
        </w:rPr>
        <w:t xml:space="preserve"> Důvěra podnikatelů v obchodu se naopak snižovala jen </w:t>
      </w:r>
      <w:proofErr w:type="gramStart"/>
      <w:r w:rsidRPr="00C97888">
        <w:rPr>
          <w:spacing w:val="-2"/>
          <w:sz w:val="16"/>
          <w:szCs w:val="16"/>
        </w:rPr>
        <w:t>pozvolna</w:t>
      </w:r>
      <w:proofErr w:type="gramEnd"/>
      <w:r w:rsidRPr="00C97888">
        <w:rPr>
          <w:spacing w:val="-2"/>
          <w:sz w:val="16"/>
          <w:szCs w:val="16"/>
        </w:rPr>
        <w:t xml:space="preserve"> a i na konci loňského roku nebyla výrazně slabší než v předkrizovém roce 2019. I přes zhoršení během léta vnímaly podniky svou současnou ekonomickou situaci stále pozitivně a mírně příznivé byly i výhledy na nejbližší pololetí. To stvrzuje i fakt, že obchodníci stále plánovali nábor nových zaměstnanců častěji než jejich propouštění.</w:t>
      </w:r>
    </w:p>
  </w:footnote>
  <w:footnote w:id="46">
    <w:p w14:paraId="2DA08947" w14:textId="77777777" w:rsidR="00C8019E" w:rsidRPr="00FD2785" w:rsidRDefault="00C8019E" w:rsidP="00E87D5B">
      <w:pPr>
        <w:pStyle w:val="Textpoznpodarou"/>
        <w:rPr>
          <w:sz w:val="16"/>
          <w:szCs w:val="16"/>
        </w:rPr>
      </w:pPr>
      <w:r w:rsidRPr="00FD2785">
        <w:rPr>
          <w:rStyle w:val="Znakapoznpodarou"/>
          <w:sz w:val="16"/>
          <w:szCs w:val="16"/>
        </w:rPr>
        <w:footnoteRef/>
      </w:r>
      <w:r w:rsidRPr="00FD2785">
        <w:rPr>
          <w:sz w:val="16"/>
          <w:szCs w:val="16"/>
        </w:rPr>
        <w:t xml:space="preserve"> Tyto formy prodeje představovaly jediný segment maloobchodu, v němž loni tržby poklesly i v běžných cenách (o 1,4 %). V celém maloobchodu se přitom nominální tržby zvýšily o 10,8 %.</w:t>
      </w:r>
    </w:p>
  </w:footnote>
  <w:footnote w:id="47">
    <w:p w14:paraId="02BF23B1" w14:textId="488D3F15" w:rsidR="00C8019E" w:rsidRPr="00E95B69" w:rsidRDefault="00C8019E" w:rsidP="00E87D5B">
      <w:pPr>
        <w:pStyle w:val="Textpoznpodarou"/>
        <w:rPr>
          <w:spacing w:val="-5"/>
          <w:sz w:val="16"/>
          <w:szCs w:val="16"/>
        </w:rPr>
      </w:pPr>
      <w:r w:rsidRPr="00E95B69">
        <w:rPr>
          <w:rStyle w:val="Znakapoznpodarou"/>
          <w:spacing w:val="-5"/>
          <w:sz w:val="16"/>
          <w:szCs w:val="16"/>
        </w:rPr>
        <w:footnoteRef/>
      </w:r>
      <w:r w:rsidRPr="00E95B69">
        <w:rPr>
          <w:spacing w:val="-5"/>
          <w:sz w:val="16"/>
          <w:szCs w:val="16"/>
        </w:rPr>
        <w:t xml:space="preserve"> N</w:t>
      </w:r>
      <w:r>
        <w:rPr>
          <w:spacing w:val="-5"/>
          <w:sz w:val="16"/>
          <w:szCs w:val="16"/>
        </w:rPr>
        <w:t>ižší spotřeba PHM souvisela s ce</w:t>
      </w:r>
      <w:r w:rsidRPr="00E95B69">
        <w:rPr>
          <w:spacing w:val="-5"/>
          <w:sz w:val="16"/>
          <w:szCs w:val="16"/>
        </w:rPr>
        <w:t xml:space="preserve">novou eskalací </w:t>
      </w:r>
      <w:r>
        <w:rPr>
          <w:spacing w:val="-5"/>
          <w:sz w:val="16"/>
          <w:szCs w:val="16"/>
        </w:rPr>
        <w:t>podpořenou</w:t>
      </w:r>
      <w:r w:rsidRPr="00E95B69">
        <w:rPr>
          <w:spacing w:val="-5"/>
          <w:sz w:val="16"/>
          <w:szCs w:val="16"/>
        </w:rPr>
        <w:t xml:space="preserve"> válkou na Ukrajině. </w:t>
      </w:r>
      <w:r w:rsidRPr="00E95B69">
        <w:rPr>
          <w:spacing w:val="-6"/>
          <w:sz w:val="16"/>
          <w:szCs w:val="16"/>
        </w:rPr>
        <w:t>Tržby za PHM v běžnýc</w:t>
      </w:r>
      <w:r>
        <w:rPr>
          <w:spacing w:val="-6"/>
          <w:sz w:val="16"/>
          <w:szCs w:val="16"/>
        </w:rPr>
        <w:t>h cenách vzrostly meziročně ve 2.</w:t>
      </w:r>
      <w:r>
        <w:rPr>
          <w:sz w:val="16"/>
          <w:szCs w:val="16"/>
        </w:rPr>
        <w:t> </w:t>
      </w:r>
      <w:r>
        <w:rPr>
          <w:spacing w:val="-6"/>
          <w:sz w:val="16"/>
          <w:szCs w:val="16"/>
        </w:rPr>
        <w:t xml:space="preserve">čtvrtletí o 36,6 %, ve 3. čtvrtletí o 19,5 %. Ve 4. čtvrtletí byl však vývoj cen PHM pro motoristy příznivější, což se promítlo v oživení poptávky (tržby tak mezikvartálně vzrostly o 4,7 %). </w:t>
      </w:r>
    </w:p>
  </w:footnote>
  <w:footnote w:id="48">
    <w:p w14:paraId="69D4B37B" w14:textId="77777777" w:rsidR="00C8019E" w:rsidRPr="00441515" w:rsidRDefault="00C8019E" w:rsidP="00F53917">
      <w:pPr>
        <w:pStyle w:val="Textpoznpodarou"/>
        <w:rPr>
          <w:rFonts w:cs="Arial"/>
          <w:i/>
          <w:iCs/>
          <w:sz w:val="16"/>
          <w:szCs w:val="16"/>
        </w:rPr>
      </w:pPr>
      <w:r w:rsidRPr="00441515">
        <w:rPr>
          <w:rStyle w:val="Znakapoznpodarou"/>
          <w:rFonts w:cs="Arial"/>
          <w:sz w:val="16"/>
          <w:szCs w:val="16"/>
        </w:rPr>
        <w:footnoteRef/>
      </w:r>
      <w:r w:rsidRPr="00441515">
        <w:rPr>
          <w:rFonts w:cs="Arial"/>
          <w:i/>
          <w:iCs/>
          <w:sz w:val="16"/>
          <w:szCs w:val="16"/>
        </w:rPr>
        <w:t xml:space="preserve"> </w:t>
      </w:r>
      <w:r w:rsidRPr="00441515">
        <w:rPr>
          <w:rStyle w:val="Zdraznn"/>
          <w:rFonts w:cs="Arial"/>
          <w:i w:val="0"/>
          <w:iCs w:val="0"/>
          <w:color w:val="333333"/>
          <w:sz w:val="16"/>
          <w:szCs w:val="16"/>
          <w:bdr w:val="none" w:sz="0" w:space="0" w:color="auto" w:frame="1"/>
          <w:shd w:val="clear" w:color="auto" w:fill="FFFFFF"/>
        </w:rPr>
        <w:t>Údaje za zahraniční obchod se zbožím od roku 2020 jsou přepočítávány aktualizovanou metodou založenou na vyšší míře detailu, viz </w:t>
      </w:r>
      <w:hyperlink r:id="rId1" w:history="1">
        <w:r w:rsidRPr="00C80FF3">
          <w:rPr>
            <w:rStyle w:val="Hypertextovodkaz"/>
            <w:rFonts w:cs="Arial"/>
            <w:sz w:val="16"/>
            <w:szCs w:val="16"/>
            <w:bdr w:val="none" w:sz="0" w:space="0" w:color="auto" w:frame="1"/>
            <w:shd w:val="clear" w:color="auto" w:fill="FFFFFF"/>
          </w:rPr>
          <w:t>https://www.czso.cz/csu/czso/aktualizace-metody-propoctu-zahranicni-obchod-se-zbozim</w:t>
        </w:r>
      </w:hyperlink>
    </w:p>
  </w:footnote>
  <w:footnote w:id="49">
    <w:p w14:paraId="1FF65D89" w14:textId="77777777" w:rsidR="00C8019E" w:rsidRPr="004E0CF8" w:rsidRDefault="00C8019E" w:rsidP="00F53917">
      <w:pPr>
        <w:pStyle w:val="Textpoznpodarou"/>
        <w:rPr>
          <w:sz w:val="16"/>
          <w:szCs w:val="16"/>
        </w:rPr>
      </w:pPr>
      <w:r w:rsidRPr="004E0CF8">
        <w:rPr>
          <w:rStyle w:val="Znakapoznpodarou"/>
          <w:sz w:val="16"/>
          <w:szCs w:val="16"/>
        </w:rPr>
        <w:footnoteRef/>
      </w:r>
      <w:r w:rsidRPr="004E0CF8">
        <w:rPr>
          <w:sz w:val="16"/>
          <w:szCs w:val="16"/>
        </w:rPr>
        <w:t xml:space="preserve"> Není-li uvedeno jinak, jsou všechny údaje sezónně neočištěné a v běžných cenách.</w:t>
      </w:r>
    </w:p>
  </w:footnote>
  <w:footnote w:id="50">
    <w:p w14:paraId="496F212B" w14:textId="77777777" w:rsidR="00C8019E" w:rsidRPr="00FC5C85" w:rsidRDefault="00C8019E" w:rsidP="00F53917">
      <w:pPr>
        <w:pStyle w:val="Textpoznpodarou"/>
        <w:rPr>
          <w:sz w:val="16"/>
          <w:szCs w:val="16"/>
        </w:rPr>
      </w:pPr>
      <w:r w:rsidRPr="00FC5C85">
        <w:rPr>
          <w:rStyle w:val="Znakapoznpodarou"/>
          <w:sz w:val="16"/>
          <w:szCs w:val="16"/>
        </w:rPr>
        <w:footnoteRef/>
      </w:r>
      <w:r w:rsidRPr="00FC5C85">
        <w:rPr>
          <w:sz w:val="16"/>
          <w:szCs w:val="16"/>
        </w:rPr>
        <w:t xml:space="preserve"> Ceny vývozu zboží se</w:t>
      </w:r>
      <w:r>
        <w:rPr>
          <w:sz w:val="16"/>
          <w:szCs w:val="16"/>
        </w:rPr>
        <w:t xml:space="preserve"> za celý rok zvýšily o 12,7 % a</w:t>
      </w:r>
      <w:r w:rsidRPr="00FC5C85">
        <w:rPr>
          <w:sz w:val="16"/>
          <w:szCs w:val="16"/>
        </w:rPr>
        <w:t xml:space="preserve"> v jednotlivých čtvrtletí</w:t>
      </w:r>
      <w:r>
        <w:rPr>
          <w:sz w:val="16"/>
          <w:szCs w:val="16"/>
        </w:rPr>
        <w:t xml:space="preserve">ch </w:t>
      </w:r>
      <w:r w:rsidRPr="00FC5C85">
        <w:rPr>
          <w:sz w:val="16"/>
          <w:szCs w:val="16"/>
        </w:rPr>
        <w:t xml:space="preserve">meziročně </w:t>
      </w:r>
      <w:r>
        <w:rPr>
          <w:sz w:val="16"/>
          <w:szCs w:val="16"/>
        </w:rPr>
        <w:t>rostly</w:t>
      </w:r>
      <w:r w:rsidRPr="00FC5C85">
        <w:rPr>
          <w:sz w:val="16"/>
          <w:szCs w:val="16"/>
        </w:rPr>
        <w:t xml:space="preserve"> o</w:t>
      </w:r>
      <w:r>
        <w:rPr>
          <w:sz w:val="16"/>
          <w:szCs w:val="16"/>
        </w:rPr>
        <w:t xml:space="preserve"> 11,2 %, 15,1 %, 14,9 % a 9,8 %.</w:t>
      </w:r>
      <w:r w:rsidRPr="00FC5C85">
        <w:rPr>
          <w:sz w:val="16"/>
          <w:szCs w:val="16"/>
        </w:rPr>
        <w:t xml:space="preserve"> </w:t>
      </w:r>
    </w:p>
  </w:footnote>
  <w:footnote w:id="51">
    <w:p w14:paraId="475844A3" w14:textId="77777777" w:rsidR="00C8019E" w:rsidRPr="00DE472F" w:rsidRDefault="00C8019E" w:rsidP="00F53917">
      <w:pPr>
        <w:pStyle w:val="Textpoznpodarou"/>
        <w:rPr>
          <w:sz w:val="16"/>
          <w:szCs w:val="16"/>
        </w:rPr>
      </w:pPr>
      <w:r w:rsidRPr="00DE472F">
        <w:rPr>
          <w:rStyle w:val="Znakapoznpodarou"/>
          <w:sz w:val="16"/>
          <w:szCs w:val="16"/>
        </w:rPr>
        <w:footnoteRef/>
      </w:r>
      <w:r w:rsidRPr="00DE472F">
        <w:rPr>
          <w:sz w:val="16"/>
          <w:szCs w:val="16"/>
        </w:rPr>
        <w:t xml:space="preserve"> </w:t>
      </w:r>
      <w:r>
        <w:rPr>
          <w:sz w:val="16"/>
          <w:szCs w:val="16"/>
        </w:rPr>
        <w:t xml:space="preserve">U všech našich sousedů bylo zaznamenáno posílení exportu </w:t>
      </w:r>
      <w:r w:rsidRPr="00DE472F">
        <w:rPr>
          <w:sz w:val="16"/>
          <w:szCs w:val="16"/>
        </w:rPr>
        <w:t>elektřiny, plynu, páry a klimatizovaného vzduchu</w:t>
      </w:r>
      <w:r>
        <w:rPr>
          <w:sz w:val="16"/>
          <w:szCs w:val="16"/>
        </w:rPr>
        <w:t>. Přírůstek vývozu do Německa dosáhl 38,7</w:t>
      </w:r>
      <w:r w:rsidRPr="00DE472F">
        <w:rPr>
          <w:sz w:val="16"/>
          <w:szCs w:val="16"/>
        </w:rPr>
        <w:t xml:space="preserve"> mld. korun a </w:t>
      </w:r>
      <w:r>
        <w:rPr>
          <w:sz w:val="16"/>
          <w:szCs w:val="16"/>
        </w:rPr>
        <w:t>na Slovensko 15,6</w:t>
      </w:r>
      <w:r w:rsidRPr="00DE472F">
        <w:rPr>
          <w:sz w:val="16"/>
          <w:szCs w:val="16"/>
        </w:rPr>
        <w:t xml:space="preserve"> mld.</w:t>
      </w:r>
      <w:r>
        <w:rPr>
          <w:sz w:val="16"/>
          <w:szCs w:val="16"/>
        </w:rPr>
        <w:t xml:space="preserve"> Kromě toho byl výrazný i nárůst v případě Rakouska (+8,9 mld. korun) a do jisté míry i Polska (+3,4 mld.).</w:t>
      </w:r>
      <w:r w:rsidRPr="00DE472F">
        <w:rPr>
          <w:sz w:val="16"/>
          <w:szCs w:val="16"/>
        </w:rPr>
        <w:t xml:space="preserve">    </w:t>
      </w:r>
    </w:p>
  </w:footnote>
  <w:footnote w:id="52">
    <w:p w14:paraId="204E0F23" w14:textId="77777777" w:rsidR="00C8019E" w:rsidRPr="0008472D" w:rsidRDefault="00C8019E" w:rsidP="00F53917">
      <w:pPr>
        <w:pStyle w:val="Textpoznpodarou"/>
        <w:rPr>
          <w:sz w:val="16"/>
          <w:szCs w:val="16"/>
        </w:rPr>
      </w:pPr>
      <w:r w:rsidRPr="0008472D">
        <w:rPr>
          <w:rStyle w:val="Znakapoznpodarou"/>
          <w:sz w:val="16"/>
          <w:szCs w:val="16"/>
        </w:rPr>
        <w:footnoteRef/>
      </w:r>
      <w:r w:rsidRPr="0008472D">
        <w:rPr>
          <w:sz w:val="16"/>
          <w:szCs w:val="16"/>
        </w:rPr>
        <w:t xml:space="preserve"> Export </w:t>
      </w:r>
      <w:r>
        <w:rPr>
          <w:sz w:val="16"/>
          <w:szCs w:val="16"/>
        </w:rPr>
        <w:t xml:space="preserve">do Ruska </w:t>
      </w:r>
      <w:r w:rsidRPr="0008472D">
        <w:rPr>
          <w:sz w:val="16"/>
          <w:szCs w:val="16"/>
        </w:rPr>
        <w:t>se propadl zejména u motorových vozidel (</w:t>
      </w:r>
      <w:r>
        <w:rPr>
          <w:sz w:val="16"/>
          <w:szCs w:val="16"/>
        </w:rPr>
        <w:t>−</w:t>
      </w:r>
      <w:r w:rsidRPr="0008472D">
        <w:rPr>
          <w:sz w:val="16"/>
          <w:szCs w:val="16"/>
        </w:rPr>
        <w:t>1</w:t>
      </w:r>
      <w:r>
        <w:rPr>
          <w:sz w:val="16"/>
          <w:szCs w:val="16"/>
        </w:rPr>
        <w:t>6,4</w:t>
      </w:r>
      <w:r w:rsidRPr="0008472D">
        <w:rPr>
          <w:sz w:val="16"/>
          <w:szCs w:val="16"/>
        </w:rPr>
        <w:t xml:space="preserve"> mld. korun), počítačů, elektronických a optických přístrojů a zařízení (</w:t>
      </w:r>
      <w:r>
        <w:rPr>
          <w:sz w:val="16"/>
          <w:szCs w:val="16"/>
        </w:rPr>
        <w:t>−9,5</w:t>
      </w:r>
      <w:r w:rsidRPr="0008472D">
        <w:rPr>
          <w:sz w:val="16"/>
          <w:szCs w:val="16"/>
        </w:rPr>
        <w:t xml:space="preserve"> mld.), elektrických zařízení (</w:t>
      </w:r>
      <w:r>
        <w:rPr>
          <w:sz w:val="16"/>
          <w:szCs w:val="16"/>
        </w:rPr>
        <w:t>−</w:t>
      </w:r>
      <w:r w:rsidRPr="0008472D">
        <w:rPr>
          <w:sz w:val="16"/>
          <w:szCs w:val="16"/>
        </w:rPr>
        <w:t>5,4 mld.) a strojů a zařízení (</w:t>
      </w:r>
      <w:r>
        <w:rPr>
          <w:sz w:val="16"/>
          <w:szCs w:val="16"/>
        </w:rPr>
        <w:t>−</w:t>
      </w:r>
      <w:r w:rsidRPr="0008472D">
        <w:rPr>
          <w:sz w:val="16"/>
          <w:szCs w:val="16"/>
        </w:rPr>
        <w:t>5,1 mld.).</w:t>
      </w:r>
      <w:r>
        <w:rPr>
          <w:sz w:val="16"/>
          <w:szCs w:val="16"/>
        </w:rPr>
        <w:t xml:space="preserve"> Zároveň je patrné posílení vývozu do některých bývalých sovětských republik, nejvíce do Kazachstánu (+7,4 mld. korun, naprostá většina z tohoto nárůstu se udála ve druhé polovině roku). Vyšší zde byl hlavně export počítačů a elektronických a optických přístrojů a motorových vozidel (včetně dílů).  </w:t>
      </w:r>
      <w:r w:rsidRPr="0008472D">
        <w:rPr>
          <w:sz w:val="16"/>
          <w:szCs w:val="16"/>
        </w:rPr>
        <w:t xml:space="preserve">  </w:t>
      </w:r>
    </w:p>
  </w:footnote>
  <w:footnote w:id="53">
    <w:p w14:paraId="6DA77719" w14:textId="77777777" w:rsidR="00C8019E" w:rsidRPr="00063A81" w:rsidRDefault="00C8019E" w:rsidP="00F53917">
      <w:pPr>
        <w:pStyle w:val="Textpoznpodarou"/>
        <w:rPr>
          <w:sz w:val="16"/>
          <w:szCs w:val="16"/>
        </w:rPr>
      </w:pPr>
      <w:r w:rsidRPr="00063A81">
        <w:rPr>
          <w:rStyle w:val="Znakapoznpodarou"/>
          <w:sz w:val="16"/>
          <w:szCs w:val="16"/>
        </w:rPr>
        <w:footnoteRef/>
      </w:r>
      <w:r w:rsidRPr="00063A81">
        <w:rPr>
          <w:sz w:val="16"/>
          <w:szCs w:val="16"/>
        </w:rPr>
        <w:t xml:space="preserve"> Ceny dovozu zboží loni vzrostly o 17,2 %.</w:t>
      </w:r>
    </w:p>
  </w:footnote>
  <w:footnote w:id="54">
    <w:p w14:paraId="4C90DB90" w14:textId="77777777" w:rsidR="00C8019E" w:rsidRPr="00FA373B" w:rsidRDefault="00C8019E" w:rsidP="00F53917">
      <w:pPr>
        <w:pStyle w:val="Textpoznpodarou"/>
        <w:rPr>
          <w:sz w:val="16"/>
          <w:szCs w:val="16"/>
        </w:rPr>
      </w:pPr>
      <w:r w:rsidRPr="00FA373B">
        <w:rPr>
          <w:rStyle w:val="Znakapoznpodarou"/>
          <w:sz w:val="16"/>
          <w:szCs w:val="16"/>
        </w:rPr>
        <w:footnoteRef/>
      </w:r>
      <w:r w:rsidRPr="00FA373B">
        <w:rPr>
          <w:sz w:val="16"/>
          <w:szCs w:val="16"/>
        </w:rPr>
        <w:t xml:space="preserve"> Podle rozkladu dovozu ropy a zemního plynu na jednotlivé importéry v loňském roce</w:t>
      </w:r>
      <w:r>
        <w:rPr>
          <w:sz w:val="16"/>
          <w:szCs w:val="16"/>
        </w:rPr>
        <w:t xml:space="preserve"> přibylo mezi „nové zdroje“ zejména Norsko (z 1,2 mld. korun v roce 2021 na 38,3 mld. loni). Dovoz této komodity ze Spojených států (+7,3 mld. korun, 79,2 %) výrazně narostl prostřednictvím tankerů se zkapalněným plynem a posílily se existující vazby na Ázerbájdžán (+21,2 mld., 161,7 %). Naopak se snížila hodnota dovozu ropy a zemního plynu z Kazachstánu (−3,8 mld. korun, −26,6 %). K těmto změnám docházelo hlavně ve druhé polovině roku. Rusko celkově loni odpovídalo za 68,7 % hodnoty dovozu ropy a zemního plynu (73,7 % v roce 2021). </w:t>
      </w:r>
      <w:r w:rsidRPr="00FA373B">
        <w:rPr>
          <w:sz w:val="16"/>
          <w:szCs w:val="16"/>
        </w:rPr>
        <w:t xml:space="preserve">  </w:t>
      </w:r>
    </w:p>
  </w:footnote>
  <w:footnote w:id="55">
    <w:p w14:paraId="233F8F99" w14:textId="77777777" w:rsidR="00C8019E" w:rsidRPr="00114669" w:rsidRDefault="00C8019E" w:rsidP="0087722C">
      <w:pPr>
        <w:pStyle w:val="Textpoznpodarou"/>
        <w:rPr>
          <w:sz w:val="16"/>
          <w:szCs w:val="16"/>
        </w:rPr>
      </w:pPr>
      <w:r w:rsidRPr="000A4298">
        <w:rPr>
          <w:rStyle w:val="Znakapoznpodarou"/>
          <w:sz w:val="16"/>
          <w:szCs w:val="16"/>
        </w:rPr>
        <w:footnoteRef/>
      </w:r>
      <w:r>
        <w:rPr>
          <w:sz w:val="16"/>
          <w:szCs w:val="16"/>
        </w:rPr>
        <w:t xml:space="preserve"> I</w:t>
      </w:r>
      <w:r w:rsidRPr="000A4298">
        <w:rPr>
          <w:sz w:val="16"/>
          <w:szCs w:val="16"/>
        </w:rPr>
        <w:t>mputované nájemné vyjadřuje náklady vlastnického bydlení.</w:t>
      </w:r>
      <w:r>
        <w:rPr>
          <w:sz w:val="16"/>
          <w:szCs w:val="16"/>
        </w:rPr>
        <w:t xml:space="preserve"> Kromě samotných cen bydlení zahrnuje i náklady na výstavbu a renovace a další poplatky. Více na:</w:t>
      </w:r>
      <w:r w:rsidRPr="000A4298">
        <w:rPr>
          <w:sz w:val="16"/>
          <w:szCs w:val="16"/>
        </w:rPr>
        <w:t xml:space="preserve"> </w:t>
      </w:r>
      <w:hyperlink r:id="rId2" w:history="1">
        <w:r w:rsidRPr="000A4298">
          <w:rPr>
            <w:rStyle w:val="Hypertextovodkaz"/>
            <w:sz w:val="16"/>
            <w:szCs w:val="16"/>
          </w:rPr>
          <w:t>https://www.czso.cz/csu/czso/metodicka-poznamka-k-indexu-spotrebitelskych-cen-imputovane-najemne</w:t>
        </w:r>
      </w:hyperlink>
      <w:r>
        <w:rPr>
          <w:rStyle w:val="Hypertextovodkaz"/>
          <w:sz w:val="16"/>
          <w:szCs w:val="16"/>
          <w:u w:val="none"/>
        </w:rPr>
        <w:t>.</w:t>
      </w:r>
    </w:p>
  </w:footnote>
  <w:footnote w:id="56">
    <w:p w14:paraId="5874A66A" w14:textId="77777777" w:rsidR="00C8019E" w:rsidRPr="00720921" w:rsidRDefault="00C8019E" w:rsidP="0087722C">
      <w:pPr>
        <w:pStyle w:val="Textpoznpodarou"/>
        <w:rPr>
          <w:sz w:val="16"/>
          <w:szCs w:val="16"/>
        </w:rPr>
      </w:pPr>
      <w:r w:rsidRPr="00720921">
        <w:rPr>
          <w:rStyle w:val="Znakapoznpodarou"/>
          <w:sz w:val="16"/>
          <w:szCs w:val="16"/>
        </w:rPr>
        <w:footnoteRef/>
      </w:r>
      <w:r w:rsidRPr="00720921">
        <w:rPr>
          <w:sz w:val="16"/>
          <w:szCs w:val="16"/>
        </w:rPr>
        <w:t xml:space="preserve"> Zahrnuje služby osobní péče</w:t>
      </w:r>
      <w:r>
        <w:rPr>
          <w:sz w:val="16"/>
          <w:szCs w:val="16"/>
        </w:rPr>
        <w:t xml:space="preserve"> a osobní potřeby a doplňky</w:t>
      </w:r>
      <w:r w:rsidRPr="00720921">
        <w:rPr>
          <w:sz w:val="16"/>
          <w:szCs w:val="16"/>
        </w:rPr>
        <w:t xml:space="preserve">, sociální péči, pojištění a další finanční </w:t>
      </w:r>
      <w:proofErr w:type="gramStart"/>
      <w:r w:rsidRPr="00720921">
        <w:rPr>
          <w:sz w:val="16"/>
          <w:szCs w:val="16"/>
        </w:rPr>
        <w:t>služby,</w:t>
      </w:r>
      <w:proofErr w:type="gramEnd"/>
      <w:r w:rsidRPr="00720921">
        <w:rPr>
          <w:sz w:val="16"/>
          <w:szCs w:val="16"/>
        </w:rPr>
        <w:t xml:space="preserve"> apod.</w:t>
      </w:r>
    </w:p>
  </w:footnote>
  <w:footnote w:id="57">
    <w:p w14:paraId="0E211571" w14:textId="77777777" w:rsidR="00C8019E" w:rsidRPr="00C055FA" w:rsidRDefault="00C8019E" w:rsidP="0087722C">
      <w:pPr>
        <w:pStyle w:val="Textpoznpodarou"/>
        <w:rPr>
          <w:sz w:val="16"/>
          <w:szCs w:val="16"/>
        </w:rPr>
      </w:pPr>
      <w:r w:rsidRPr="00C055FA">
        <w:rPr>
          <w:rStyle w:val="Znakapoznpodarou"/>
          <w:sz w:val="16"/>
          <w:szCs w:val="16"/>
        </w:rPr>
        <w:footnoteRef/>
      </w:r>
      <w:r w:rsidRPr="00C055FA">
        <w:rPr>
          <w:sz w:val="16"/>
          <w:szCs w:val="16"/>
        </w:rPr>
        <w:t xml:space="preserve"> </w:t>
      </w:r>
      <w:r>
        <w:rPr>
          <w:sz w:val="16"/>
          <w:szCs w:val="16"/>
        </w:rPr>
        <w:t xml:space="preserve">Oproti indexu spotřebitelských cen, který ČSÚ pro českou ekonomiku sestavuje, </w:t>
      </w:r>
      <w:r w:rsidRPr="00C055FA">
        <w:rPr>
          <w:sz w:val="16"/>
          <w:szCs w:val="16"/>
        </w:rPr>
        <w:t>HICP neobsahuje imputované nájemné</w:t>
      </w:r>
      <w:r>
        <w:rPr>
          <w:sz w:val="16"/>
          <w:szCs w:val="16"/>
        </w:rPr>
        <w:t>, což bývá zdrojem rozdílů mezi HICP a Indexem spotřebitelských cen</w:t>
      </w:r>
      <w:r w:rsidRPr="00C055FA">
        <w:rPr>
          <w:sz w:val="16"/>
          <w:szCs w:val="16"/>
        </w:rPr>
        <w:t>.</w:t>
      </w:r>
    </w:p>
  </w:footnote>
  <w:footnote w:id="58">
    <w:p w14:paraId="264036DE" w14:textId="77777777" w:rsidR="00C8019E" w:rsidRPr="005F66A4" w:rsidRDefault="00C8019E" w:rsidP="0087722C">
      <w:pPr>
        <w:pStyle w:val="Textpoznpodarou"/>
        <w:rPr>
          <w:sz w:val="16"/>
          <w:szCs w:val="16"/>
        </w:rPr>
      </w:pPr>
      <w:r w:rsidRPr="005F66A4">
        <w:rPr>
          <w:rStyle w:val="Znakapoznpodarou"/>
          <w:sz w:val="16"/>
          <w:szCs w:val="16"/>
        </w:rPr>
        <w:footnoteRef/>
      </w:r>
      <w:r w:rsidRPr="005F66A4">
        <w:rPr>
          <w:sz w:val="16"/>
          <w:szCs w:val="16"/>
        </w:rPr>
        <w:t xml:space="preserve"> </w:t>
      </w:r>
      <w:r>
        <w:rPr>
          <w:sz w:val="16"/>
          <w:szCs w:val="16"/>
        </w:rPr>
        <w:t>Přesné hodnoty ukazatele nejsou uvedeny kvůli ochraně i</w:t>
      </w:r>
      <w:r w:rsidRPr="005F66A4">
        <w:rPr>
          <w:sz w:val="16"/>
          <w:szCs w:val="16"/>
        </w:rPr>
        <w:t>ndividuální</w:t>
      </w:r>
      <w:r>
        <w:rPr>
          <w:sz w:val="16"/>
          <w:szCs w:val="16"/>
        </w:rPr>
        <w:t>ch</w:t>
      </w:r>
      <w:r w:rsidRPr="005F66A4">
        <w:rPr>
          <w:sz w:val="16"/>
          <w:szCs w:val="16"/>
        </w:rPr>
        <w:t xml:space="preserve"> dat.</w:t>
      </w:r>
    </w:p>
  </w:footnote>
  <w:footnote w:id="59">
    <w:p w14:paraId="08859993" w14:textId="77777777" w:rsidR="00C8019E" w:rsidRPr="000C5F73" w:rsidRDefault="00C8019E" w:rsidP="0087722C">
      <w:pPr>
        <w:pStyle w:val="Textpoznpodarou"/>
        <w:rPr>
          <w:sz w:val="16"/>
          <w:szCs w:val="16"/>
        </w:rPr>
      </w:pPr>
      <w:r w:rsidRPr="000C5F73">
        <w:rPr>
          <w:rStyle w:val="Znakapoznpodarou"/>
          <w:sz w:val="16"/>
          <w:szCs w:val="16"/>
        </w:rPr>
        <w:footnoteRef/>
      </w:r>
      <w:r w:rsidRPr="000C5F73">
        <w:rPr>
          <w:sz w:val="16"/>
          <w:szCs w:val="16"/>
        </w:rPr>
        <w:t xml:space="preserve"> Bez cen zásobování vodou a</w:t>
      </w:r>
      <w:r>
        <w:rPr>
          <w:sz w:val="16"/>
          <w:szCs w:val="16"/>
        </w:rPr>
        <w:t> </w:t>
      </w:r>
      <w:r w:rsidRPr="000C5F73">
        <w:rPr>
          <w:sz w:val="16"/>
          <w:szCs w:val="16"/>
        </w:rPr>
        <w:t>služeb souvisejících s odpadními vodami.</w:t>
      </w:r>
    </w:p>
  </w:footnote>
  <w:footnote w:id="60">
    <w:p w14:paraId="0861555A" w14:textId="77777777" w:rsidR="00C8019E" w:rsidRPr="00C11C5A" w:rsidRDefault="00C8019E" w:rsidP="0087722C">
      <w:pPr>
        <w:pStyle w:val="Textpoznpodarou"/>
        <w:rPr>
          <w:sz w:val="16"/>
          <w:szCs w:val="16"/>
        </w:rPr>
      </w:pPr>
      <w:r w:rsidRPr="00C11C5A">
        <w:rPr>
          <w:rStyle w:val="Znakapoznpodarou"/>
          <w:sz w:val="16"/>
          <w:szCs w:val="16"/>
        </w:rPr>
        <w:footnoteRef/>
      </w:r>
      <w:r>
        <w:rPr>
          <w:sz w:val="16"/>
          <w:szCs w:val="16"/>
        </w:rPr>
        <w:t xml:space="preserve"> Podle údajů ČNB byl ve 4. čtvrtletí 2022 </w:t>
      </w:r>
      <w:r w:rsidRPr="00C11C5A">
        <w:rPr>
          <w:sz w:val="16"/>
          <w:szCs w:val="16"/>
        </w:rPr>
        <w:t xml:space="preserve">průměrný kurz koruny vůči euru </w:t>
      </w:r>
      <w:r>
        <w:rPr>
          <w:sz w:val="16"/>
          <w:szCs w:val="16"/>
        </w:rPr>
        <w:t>24,387 </w:t>
      </w:r>
      <w:r w:rsidRPr="00C11C5A">
        <w:rPr>
          <w:sz w:val="16"/>
          <w:szCs w:val="16"/>
        </w:rPr>
        <w:t xml:space="preserve">CZK/EUR. </w:t>
      </w:r>
      <w:r>
        <w:rPr>
          <w:sz w:val="16"/>
          <w:szCs w:val="16"/>
        </w:rPr>
        <w:t>V roce 2021</w:t>
      </w:r>
      <w:r w:rsidRPr="00C11C5A">
        <w:rPr>
          <w:sz w:val="16"/>
          <w:szCs w:val="16"/>
        </w:rPr>
        <w:t xml:space="preserve"> to bylo </w:t>
      </w:r>
      <w:r>
        <w:rPr>
          <w:sz w:val="16"/>
          <w:szCs w:val="16"/>
        </w:rPr>
        <w:t>25,377 </w:t>
      </w:r>
      <w:r w:rsidRPr="00C11C5A">
        <w:rPr>
          <w:sz w:val="16"/>
          <w:szCs w:val="16"/>
        </w:rPr>
        <w:t xml:space="preserve">CZK/EUR. </w:t>
      </w:r>
      <w:r>
        <w:rPr>
          <w:sz w:val="16"/>
          <w:szCs w:val="16"/>
        </w:rPr>
        <w:t>Za celý rok 2022 průměr činil 24,565 CZK/EUR (25,645 CZK/EUR v předchozím roce). Kurz dolaru meziročně oslaboval</w:t>
      </w:r>
      <w:r w:rsidRPr="00C11C5A">
        <w:rPr>
          <w:sz w:val="16"/>
          <w:szCs w:val="16"/>
        </w:rPr>
        <w:t xml:space="preserve">. </w:t>
      </w:r>
      <w:r>
        <w:rPr>
          <w:sz w:val="16"/>
          <w:szCs w:val="16"/>
        </w:rPr>
        <w:t xml:space="preserve">Ve 4. čtvrtletí 2021 </w:t>
      </w:r>
      <w:r w:rsidRPr="00C11C5A">
        <w:rPr>
          <w:sz w:val="16"/>
          <w:szCs w:val="16"/>
        </w:rPr>
        <w:t xml:space="preserve">činil </w:t>
      </w:r>
      <w:r>
        <w:rPr>
          <w:sz w:val="16"/>
          <w:szCs w:val="16"/>
        </w:rPr>
        <w:t>průměr 22,192 </w:t>
      </w:r>
      <w:r w:rsidRPr="00C11C5A">
        <w:rPr>
          <w:sz w:val="16"/>
          <w:szCs w:val="16"/>
        </w:rPr>
        <w:t>CZK/USD</w:t>
      </w:r>
      <w:r>
        <w:rPr>
          <w:sz w:val="16"/>
          <w:szCs w:val="16"/>
        </w:rPr>
        <w:t xml:space="preserve"> a letos</w:t>
      </w:r>
      <w:r w:rsidRPr="00C11C5A">
        <w:rPr>
          <w:sz w:val="16"/>
          <w:szCs w:val="16"/>
        </w:rPr>
        <w:t xml:space="preserve"> 2</w:t>
      </w:r>
      <w:r>
        <w:rPr>
          <w:sz w:val="16"/>
          <w:szCs w:val="16"/>
        </w:rPr>
        <w:t>3,923 </w:t>
      </w:r>
      <w:r w:rsidRPr="00C11C5A">
        <w:rPr>
          <w:sz w:val="16"/>
          <w:szCs w:val="16"/>
        </w:rPr>
        <w:t>CZK/U</w:t>
      </w:r>
      <w:r>
        <w:rPr>
          <w:sz w:val="16"/>
          <w:szCs w:val="16"/>
        </w:rPr>
        <w:t>SD</w:t>
      </w:r>
      <w:r w:rsidRPr="00C11C5A">
        <w:rPr>
          <w:sz w:val="16"/>
          <w:szCs w:val="16"/>
        </w:rPr>
        <w:t>.</w:t>
      </w:r>
      <w:r>
        <w:rPr>
          <w:sz w:val="16"/>
          <w:szCs w:val="16"/>
        </w:rPr>
        <w:t xml:space="preserve"> Loňský celkový průměr dosáhl 23,360 CZK/USD a v roce 2021 to bylo 21,682 CZK/USD.</w:t>
      </w:r>
    </w:p>
  </w:footnote>
  <w:footnote w:id="61">
    <w:p w14:paraId="191412F9" w14:textId="77777777" w:rsidR="00C8019E" w:rsidRPr="00940B11" w:rsidRDefault="00C8019E" w:rsidP="0087722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r>
        <w:rPr>
          <w:sz w:val="16"/>
          <w:szCs w:val="16"/>
        </w:rPr>
        <w:t>.</w:t>
      </w:r>
    </w:p>
  </w:footnote>
  <w:footnote w:id="62">
    <w:p w14:paraId="3228938E" w14:textId="77777777" w:rsidR="00C8019E" w:rsidRPr="00940B11" w:rsidRDefault="00C8019E" w:rsidP="0087722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r>
        <w:rPr>
          <w:sz w:val="16"/>
          <w:szCs w:val="16"/>
        </w:rPr>
        <w:t>.</w:t>
      </w:r>
    </w:p>
  </w:footnote>
  <w:footnote w:id="63">
    <w:p w14:paraId="4D6296D8" w14:textId="77777777" w:rsidR="00C8019E" w:rsidRPr="00F72E52" w:rsidRDefault="00C8019E" w:rsidP="001C3855">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w:t>
      </w:r>
      <w:r>
        <w:rPr>
          <w:color w:val="0D0D0D" w:themeColor="text1" w:themeTint="F2"/>
          <w:spacing w:val="-2"/>
          <w:sz w:val="16"/>
          <w:szCs w:val="16"/>
        </w:rPr>
        <w:t xml:space="preserve">o zaměstnanosti </w:t>
      </w:r>
      <w:r w:rsidRPr="00F72E52">
        <w:rPr>
          <w:color w:val="0D0D0D" w:themeColor="text1" w:themeTint="F2"/>
          <w:spacing w:val="-2"/>
          <w:sz w:val="16"/>
          <w:szCs w:val="16"/>
        </w:rPr>
        <w:t>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p>
  </w:footnote>
  <w:footnote w:id="64">
    <w:p w14:paraId="5A41B721" w14:textId="77777777" w:rsidR="00C8019E" w:rsidRPr="00946AFA" w:rsidRDefault="00C8019E" w:rsidP="001C3855">
      <w:pPr>
        <w:pStyle w:val="Textpoznpodarou"/>
        <w:rPr>
          <w:sz w:val="16"/>
          <w:szCs w:val="16"/>
        </w:rPr>
      </w:pPr>
      <w:r w:rsidRPr="00946AFA">
        <w:rPr>
          <w:rStyle w:val="Znakapoznpodarou"/>
          <w:sz w:val="16"/>
          <w:szCs w:val="16"/>
        </w:rPr>
        <w:footnoteRef/>
      </w:r>
      <w:r w:rsidRPr="00946AFA">
        <w:rPr>
          <w:sz w:val="16"/>
          <w:szCs w:val="16"/>
        </w:rPr>
        <w:t xml:space="preserve"> Z detailnějších </w:t>
      </w:r>
      <w:r>
        <w:rPr>
          <w:sz w:val="16"/>
          <w:szCs w:val="16"/>
        </w:rPr>
        <w:t xml:space="preserve">údajů z </w:t>
      </w:r>
      <w:r w:rsidRPr="00946AFA">
        <w:rPr>
          <w:sz w:val="16"/>
          <w:szCs w:val="16"/>
        </w:rPr>
        <w:t xml:space="preserve">výběrového šetření pracovních sil </w:t>
      </w:r>
      <w:r>
        <w:rPr>
          <w:sz w:val="16"/>
          <w:szCs w:val="16"/>
        </w:rPr>
        <w:t xml:space="preserve">(VŠPS) </w:t>
      </w:r>
      <w:r w:rsidRPr="00946AFA">
        <w:rPr>
          <w:sz w:val="16"/>
          <w:szCs w:val="16"/>
        </w:rPr>
        <w:t>plyne, že počet zaměstnavatel</w:t>
      </w:r>
      <w:r>
        <w:rPr>
          <w:sz w:val="16"/>
          <w:szCs w:val="16"/>
        </w:rPr>
        <w:t>ů (podnikatelů se zaměstnanci) se nadále snižoval (čtvrtým rokem v řadě). Tato skupina podnikatelů je v metodice národních účtů řazena do kategorie zaměstnanců.</w:t>
      </w:r>
    </w:p>
  </w:footnote>
  <w:footnote w:id="65">
    <w:p w14:paraId="261B64F3" w14:textId="77777777" w:rsidR="00C8019E" w:rsidRPr="00F72E52" w:rsidRDefault="00C8019E" w:rsidP="001C3855">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Odvětví s </w:t>
      </w:r>
      <w:r w:rsidRPr="009910EC">
        <w:rPr>
          <w:color w:val="0D0D0D" w:themeColor="text1" w:themeTint="F2"/>
          <w:sz w:val="16"/>
          <w:szCs w:val="16"/>
        </w:rPr>
        <w:t xml:space="preserve">převahou veřejných služeb, zahrnující veřejnou správu, obranu a sociální zabezpečení a také </w:t>
      </w:r>
      <w:r w:rsidRPr="009910EC">
        <w:rPr>
          <w:spacing w:val="-4"/>
          <w:sz w:val="16"/>
          <w:szCs w:val="16"/>
        </w:rPr>
        <w:t xml:space="preserve">vzdělávání i zdravotní a sociální péči, </w:t>
      </w:r>
      <w:r w:rsidRPr="009910EC">
        <w:rPr>
          <w:color w:val="0D0D0D" w:themeColor="text1" w:themeTint="F2"/>
          <w:sz w:val="16"/>
          <w:szCs w:val="16"/>
        </w:rPr>
        <w:t>působila</w:t>
      </w:r>
      <w:r w:rsidRPr="00F72E52">
        <w:rPr>
          <w:color w:val="0D0D0D" w:themeColor="text1" w:themeTint="F2"/>
          <w:sz w:val="16"/>
          <w:szCs w:val="16"/>
        </w:rPr>
        <w:t xml:space="preserve"> na celkovou zaměstnanost </w:t>
      </w:r>
      <w:proofErr w:type="spellStart"/>
      <w:r w:rsidRPr="00F72E52">
        <w:rPr>
          <w:color w:val="0D0D0D" w:themeColor="text1" w:themeTint="F2"/>
          <w:sz w:val="16"/>
          <w:szCs w:val="16"/>
        </w:rPr>
        <w:t>prorůstově</w:t>
      </w:r>
      <w:proofErr w:type="spellEnd"/>
      <w:r w:rsidRPr="00F72E52">
        <w:rPr>
          <w:color w:val="0D0D0D" w:themeColor="text1" w:themeTint="F2"/>
          <w:sz w:val="16"/>
          <w:szCs w:val="16"/>
        </w:rPr>
        <w:t xml:space="preserve"> nejvíce ze všech </w:t>
      </w:r>
      <w:r>
        <w:rPr>
          <w:color w:val="0D0D0D" w:themeColor="text1" w:themeTint="F2"/>
          <w:sz w:val="16"/>
          <w:szCs w:val="16"/>
        </w:rPr>
        <w:t xml:space="preserve">hlavních </w:t>
      </w:r>
      <w:r w:rsidRPr="00F72E52">
        <w:rPr>
          <w:color w:val="0D0D0D" w:themeColor="text1" w:themeTint="F2"/>
          <w:sz w:val="16"/>
          <w:szCs w:val="16"/>
        </w:rPr>
        <w:t xml:space="preserve">odvětví </w:t>
      </w:r>
      <w:r>
        <w:rPr>
          <w:color w:val="0D0D0D" w:themeColor="text1" w:themeTint="F2"/>
          <w:sz w:val="16"/>
          <w:szCs w:val="16"/>
        </w:rPr>
        <w:t xml:space="preserve">i v letech </w:t>
      </w:r>
      <w:r w:rsidRPr="00F72E52">
        <w:rPr>
          <w:color w:val="0D0D0D" w:themeColor="text1" w:themeTint="F2"/>
          <w:sz w:val="16"/>
          <w:szCs w:val="16"/>
        </w:rPr>
        <w:t>2020 a</w:t>
      </w:r>
      <w:r>
        <w:rPr>
          <w:color w:val="0D0D0D" w:themeColor="text1" w:themeTint="F2"/>
          <w:sz w:val="16"/>
          <w:szCs w:val="16"/>
        </w:rPr>
        <w:t> </w:t>
      </w:r>
      <w:r w:rsidRPr="00F72E52">
        <w:rPr>
          <w:color w:val="0D0D0D" w:themeColor="text1" w:themeTint="F2"/>
          <w:sz w:val="16"/>
          <w:szCs w:val="16"/>
        </w:rPr>
        <w:t>2021.</w:t>
      </w:r>
    </w:p>
  </w:footnote>
  <w:footnote w:id="66">
    <w:p w14:paraId="03FC90B4" w14:textId="77777777" w:rsidR="00C8019E" w:rsidRPr="005C3B55" w:rsidRDefault="00C8019E" w:rsidP="001C3855">
      <w:pPr>
        <w:pStyle w:val="Textpoznpodarou"/>
        <w:rPr>
          <w:sz w:val="16"/>
          <w:szCs w:val="16"/>
        </w:rPr>
      </w:pPr>
      <w:r w:rsidRPr="005C3B55">
        <w:rPr>
          <w:rStyle w:val="Znakapoznpodarou"/>
          <w:sz w:val="16"/>
          <w:szCs w:val="16"/>
        </w:rPr>
        <w:footnoteRef/>
      </w:r>
      <w:r w:rsidRPr="005C3B55">
        <w:rPr>
          <w:sz w:val="16"/>
          <w:szCs w:val="16"/>
        </w:rPr>
        <w:t xml:space="preserve"> Ty </w:t>
      </w:r>
      <w:r>
        <w:rPr>
          <w:sz w:val="16"/>
          <w:szCs w:val="16"/>
        </w:rPr>
        <w:t>z</w:t>
      </w:r>
      <w:r w:rsidRPr="005C3B55">
        <w:rPr>
          <w:sz w:val="16"/>
          <w:szCs w:val="16"/>
        </w:rPr>
        <w:t xml:space="preserve">ahrnují kulturní, zábavní a rekreační činnosti a dále zejména poskytování osobních služeb (např. kadeřnictví, kosmetické služby, </w:t>
      </w:r>
      <w:r w:rsidRPr="005C3B55">
        <w:rPr>
          <w:rFonts w:cs="Arial"/>
          <w:color w:val="0D0D0D" w:themeColor="text1" w:themeTint="F2"/>
          <w:spacing w:val="-2"/>
          <w:sz w:val="16"/>
          <w:szCs w:val="16"/>
        </w:rPr>
        <w:t xml:space="preserve">čisticí služby či </w:t>
      </w:r>
      <w:r w:rsidRPr="005C3B55">
        <w:rPr>
          <w:sz w:val="16"/>
          <w:szCs w:val="16"/>
        </w:rPr>
        <w:t>opravy výrobků pro osobní potřebu a převážně pro domácnost).</w:t>
      </w:r>
    </w:p>
  </w:footnote>
  <w:footnote w:id="67">
    <w:p w14:paraId="0B47F561" w14:textId="77777777" w:rsidR="00C8019E" w:rsidRPr="00990A47" w:rsidRDefault="00C8019E" w:rsidP="001C3855">
      <w:pPr>
        <w:pStyle w:val="Textpoznpodarou"/>
        <w:rPr>
          <w:spacing w:val="-4"/>
          <w:sz w:val="16"/>
          <w:szCs w:val="16"/>
        </w:rPr>
      </w:pPr>
      <w:r w:rsidRPr="00990A47">
        <w:rPr>
          <w:rStyle w:val="Znakapoznpodarou"/>
          <w:spacing w:val="-4"/>
          <w:sz w:val="16"/>
          <w:szCs w:val="16"/>
        </w:rPr>
        <w:footnoteRef/>
      </w:r>
      <w:r w:rsidRPr="00990A47">
        <w:rPr>
          <w:spacing w:val="-4"/>
          <w:sz w:val="16"/>
          <w:szCs w:val="16"/>
        </w:rPr>
        <w:t xml:space="preserve"> To dokl</w:t>
      </w:r>
      <w:r>
        <w:rPr>
          <w:spacing w:val="-4"/>
          <w:sz w:val="16"/>
          <w:szCs w:val="16"/>
        </w:rPr>
        <w:t>ádá i dlouhodobý pokles</w:t>
      </w:r>
      <w:r w:rsidRPr="00990A47">
        <w:rPr>
          <w:spacing w:val="-4"/>
          <w:sz w:val="16"/>
          <w:szCs w:val="16"/>
        </w:rPr>
        <w:t xml:space="preserve"> počtu ekonomicky neaktivních osob uvádějících zájem pracovat (zčásti ovlivněný i změnou věkového složení populace, např</w:t>
      </w:r>
      <w:r>
        <w:rPr>
          <w:spacing w:val="-4"/>
          <w:sz w:val="16"/>
          <w:szCs w:val="16"/>
        </w:rPr>
        <w:t>. úbytkem mladých ve věku 15 až</w:t>
      </w:r>
      <w:r w:rsidRPr="00990A47">
        <w:rPr>
          <w:spacing w:val="-4"/>
          <w:sz w:val="16"/>
          <w:szCs w:val="16"/>
        </w:rPr>
        <w:t xml:space="preserve"> 24 let). Těchto neaktivních bylo ve 4. čtvrtletí jen 50 tis. Spolu s </w:t>
      </w:r>
      <w:proofErr w:type="spellStart"/>
      <w:r w:rsidRPr="00990A47">
        <w:rPr>
          <w:spacing w:val="-4"/>
          <w:sz w:val="16"/>
          <w:szCs w:val="16"/>
        </w:rPr>
        <w:t>podzaměstnanými</w:t>
      </w:r>
      <w:proofErr w:type="spellEnd"/>
      <w:r w:rsidRPr="00990A47">
        <w:rPr>
          <w:spacing w:val="-4"/>
          <w:sz w:val="16"/>
          <w:szCs w:val="16"/>
        </w:rPr>
        <w:t xml:space="preserve"> a všemi nezaměstnanými šlo </w:t>
      </w:r>
      <w:r>
        <w:rPr>
          <w:spacing w:val="-4"/>
          <w:sz w:val="16"/>
          <w:szCs w:val="16"/>
        </w:rPr>
        <w:t xml:space="preserve">o </w:t>
      </w:r>
      <w:r w:rsidRPr="00990A47">
        <w:rPr>
          <w:spacing w:val="-4"/>
          <w:sz w:val="16"/>
          <w:szCs w:val="16"/>
        </w:rPr>
        <w:t xml:space="preserve">necelých 200 tis. osob. V poměru k celkovému počtu zaměstnaných se jednalo </w:t>
      </w:r>
      <w:r>
        <w:rPr>
          <w:spacing w:val="-4"/>
          <w:sz w:val="16"/>
          <w:szCs w:val="16"/>
        </w:rPr>
        <w:t xml:space="preserve">o </w:t>
      </w:r>
      <w:r w:rsidRPr="00990A47">
        <w:rPr>
          <w:spacing w:val="-4"/>
          <w:sz w:val="16"/>
          <w:szCs w:val="16"/>
        </w:rPr>
        <w:t>méně než 4 %.</w:t>
      </w:r>
    </w:p>
  </w:footnote>
  <w:footnote w:id="68">
    <w:p w14:paraId="629D2F40" w14:textId="77777777" w:rsidR="00C8019E" w:rsidRPr="00990A47" w:rsidRDefault="00C8019E" w:rsidP="001C3855">
      <w:pPr>
        <w:pStyle w:val="Textpoznpodarou"/>
        <w:rPr>
          <w:color w:val="0D0D0D" w:themeColor="text1" w:themeTint="F2"/>
          <w:spacing w:val="-4"/>
          <w:sz w:val="16"/>
          <w:szCs w:val="16"/>
        </w:rPr>
      </w:pPr>
      <w:r w:rsidRPr="00990A47">
        <w:rPr>
          <w:rStyle w:val="Znakapoznpodarou"/>
          <w:color w:val="0D0D0D" w:themeColor="text1" w:themeTint="F2"/>
          <w:spacing w:val="-4"/>
          <w:sz w:val="16"/>
          <w:szCs w:val="16"/>
        </w:rPr>
        <w:footnoteRef/>
      </w:r>
      <w:r w:rsidRPr="00990A47">
        <w:rPr>
          <w:color w:val="0D0D0D" w:themeColor="text1" w:themeTint="F2"/>
          <w:spacing w:val="-4"/>
          <w:sz w:val="16"/>
          <w:szCs w:val="16"/>
        </w:rPr>
        <w:t xml:space="preserve"> V lednu 2023 registrovaly úřady práce (ÚP) 774 tis. cizích státních příslušníků v zaměstnaneckém postavení na území ČR (mírný pokles oproti konci loňského roku souvisí s pravidelnými sezónními pohyby). Oproti lednu 2022 se počet pracujících v zaměstnaneckých pozicích zvý</w:t>
      </w:r>
      <w:r>
        <w:rPr>
          <w:color w:val="0D0D0D" w:themeColor="text1" w:themeTint="F2"/>
          <w:spacing w:val="-4"/>
          <w:sz w:val="16"/>
          <w:szCs w:val="16"/>
        </w:rPr>
        <w:t xml:space="preserve">šil </w:t>
      </w:r>
      <w:r>
        <w:rPr>
          <w:color w:val="0D0D0D" w:themeColor="text1" w:themeTint="F2"/>
          <w:spacing w:val="-4"/>
          <w:sz w:val="16"/>
          <w:szCs w:val="16"/>
        </w:rPr>
        <w:br/>
        <w:t>o 77</w:t>
      </w:r>
      <w:r w:rsidRPr="00990A47">
        <w:rPr>
          <w:color w:val="0D0D0D" w:themeColor="text1" w:themeTint="F2"/>
          <w:spacing w:val="-4"/>
          <w:sz w:val="16"/>
          <w:szCs w:val="16"/>
        </w:rPr>
        <w:t xml:space="preserve"> tis. K tomu zásadně přispěli pracovníci z Ukrajiny, jichž počet vzrostl skoro o třetinu (+63 tis., z toho žen +51 tis.) na celkových 262 tis. Naproti tomu počet Slováků, kteří ještě v roce 2021 tvořili nejpočetnější cizineckou skupinu, narostl za shodné období jen o 2,6 tis. (na 208 tis.). </w:t>
      </w:r>
    </w:p>
  </w:footnote>
  <w:footnote w:id="69">
    <w:p w14:paraId="432AA01D" w14:textId="77777777" w:rsidR="00C8019E" w:rsidRPr="00990A47" w:rsidRDefault="00C8019E" w:rsidP="001C3855">
      <w:pPr>
        <w:pStyle w:val="Textpoznpodarou"/>
        <w:rPr>
          <w:spacing w:val="-4"/>
          <w:sz w:val="16"/>
          <w:szCs w:val="16"/>
        </w:rPr>
      </w:pPr>
      <w:r w:rsidRPr="00990A47">
        <w:rPr>
          <w:rStyle w:val="Znakapoznpodarou"/>
          <w:spacing w:val="-4"/>
          <w:sz w:val="16"/>
          <w:szCs w:val="16"/>
        </w:rPr>
        <w:footnoteRef/>
      </w:r>
      <w:r w:rsidRPr="00990A47">
        <w:rPr>
          <w:spacing w:val="-4"/>
          <w:sz w:val="16"/>
          <w:szCs w:val="16"/>
        </w:rPr>
        <w:t xml:space="preserve"> Počet všech občanů Ukrajiny s přechodným pobytem na území ČR vzrostl loni dle údajů MV ČR ze 108 tis. (z konce ledna) na 543 tis. (na konci roku 2022). Na celkovém přírůstku se z více než tří pětin podílely ženy. Jen menšina z celkového počtu osob s nově přiznaným pobytem se však mohla zapojit na pracovní trh v Česku (významnou část z nich tvoří děti, žáci a studenti, některé osoby navíc již patrně ČR opustily).  </w:t>
      </w:r>
    </w:p>
  </w:footnote>
  <w:footnote w:id="70">
    <w:p w14:paraId="554D47A9" w14:textId="77777777" w:rsidR="00C8019E" w:rsidRPr="000058A7" w:rsidRDefault="00C8019E" w:rsidP="001C3855">
      <w:pPr>
        <w:pStyle w:val="Textpoznpodarou"/>
        <w:rPr>
          <w:sz w:val="16"/>
          <w:szCs w:val="16"/>
        </w:rPr>
      </w:pPr>
      <w:r w:rsidRPr="00990A47">
        <w:rPr>
          <w:rStyle w:val="Znakapoznpodarou"/>
          <w:spacing w:val="-4"/>
          <w:sz w:val="16"/>
          <w:szCs w:val="16"/>
        </w:rPr>
        <w:footnoteRef/>
      </w:r>
      <w:r w:rsidRPr="00990A47">
        <w:rPr>
          <w:spacing w:val="-4"/>
          <w:sz w:val="16"/>
          <w:szCs w:val="16"/>
        </w:rPr>
        <w:t xml:space="preserve"> Údaje nejsou sezónně očištěny</w:t>
      </w:r>
      <w:r>
        <w:rPr>
          <w:spacing w:val="-4"/>
          <w:sz w:val="16"/>
          <w:szCs w:val="16"/>
        </w:rPr>
        <w:t>.</w:t>
      </w:r>
      <w:r>
        <w:rPr>
          <w:sz w:val="16"/>
          <w:szCs w:val="16"/>
        </w:rPr>
        <w:t xml:space="preserve"> </w:t>
      </w:r>
    </w:p>
  </w:footnote>
  <w:footnote w:id="71">
    <w:p w14:paraId="10C2F10B" w14:textId="77777777" w:rsidR="00C8019E" w:rsidRDefault="00C8019E" w:rsidP="001C3855">
      <w:pPr>
        <w:pStyle w:val="Textpoznpodarou"/>
        <w:rPr>
          <w:sz w:val="16"/>
          <w:szCs w:val="16"/>
        </w:rPr>
      </w:pPr>
      <w:r w:rsidRPr="00CC045D">
        <w:rPr>
          <w:rStyle w:val="Znakapoznpodarou"/>
          <w:sz w:val="16"/>
          <w:szCs w:val="16"/>
        </w:rPr>
        <w:footnoteRef/>
      </w:r>
      <w:r w:rsidRPr="00CC045D">
        <w:rPr>
          <w:sz w:val="16"/>
          <w:szCs w:val="16"/>
        </w:rPr>
        <w:t xml:space="preserve"> </w:t>
      </w:r>
      <w:r>
        <w:rPr>
          <w:sz w:val="16"/>
          <w:szCs w:val="16"/>
        </w:rPr>
        <w:t>Redukci počtu zaměstnanců očekávaly (dle šetření z ledna 2023) zejména průmyslové podniky v energeticky náročných oborech hutnictví, kovovýroby, výroby stavebních materiálů, chemickém průmyslu či potravinářství. Dále také v hlavních subdodavatelských odvětvích automobilového průmyslu a z menších oborů zejména v oděvnictví. Nárůst zaměstnanosti plánovali výrobci počítačů, elektronických a optických přístrojů, výrobci dopravních prostředků a z menších oborů pak farmacie a tiskárenství.</w:t>
      </w:r>
    </w:p>
    <w:p w14:paraId="21A5F3E3" w14:textId="77777777" w:rsidR="00C8019E" w:rsidRPr="00CC045D" w:rsidRDefault="00C8019E" w:rsidP="001C3855">
      <w:pPr>
        <w:pStyle w:val="Textpoznpodarou"/>
        <w:rPr>
          <w:sz w:val="16"/>
          <w:szCs w:val="16"/>
        </w:rPr>
      </w:pPr>
      <w:r>
        <w:rPr>
          <w:sz w:val="16"/>
          <w:szCs w:val="16"/>
        </w:rPr>
        <w:t>Ve službách byla negativní očekávání patrná hlavně v letecké dopravě, u cestovních kanceláří a agentur, ve vydavatelských činnostech, v peněžnictví a dále např. v oblasti reklamy. Naopak u řady jiných podnikových služeb (právní a účetnické činnosti, služby pracovních agentur) či v oblasti pojišťovnictví, programování nebo skladování podniky spíše očekávají vyšší zaměstnanost.</w:t>
      </w:r>
    </w:p>
  </w:footnote>
  <w:footnote w:id="72">
    <w:p w14:paraId="768A0A7A" w14:textId="77777777" w:rsidR="00C8019E" w:rsidRPr="004E68B1" w:rsidRDefault="00C8019E" w:rsidP="001C3855">
      <w:pPr>
        <w:pStyle w:val="Textpoznpodarou"/>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73">
    <w:p w14:paraId="28C0E14F" w14:textId="77777777" w:rsidR="00C8019E" w:rsidRDefault="00C8019E" w:rsidP="001C3855">
      <w:pPr>
        <w:pStyle w:val="Textpoznpodarou"/>
      </w:pPr>
      <w:r w:rsidRPr="00C7553E">
        <w:rPr>
          <w:rStyle w:val="Znakapoznpodarou"/>
          <w:sz w:val="16"/>
          <w:szCs w:val="16"/>
        </w:rPr>
        <w:footnoteRef/>
      </w:r>
      <w:r>
        <w:t xml:space="preserve"> </w:t>
      </w:r>
      <w:r w:rsidRPr="00C7553E">
        <w:rPr>
          <w:spacing w:val="-3"/>
          <w:sz w:val="16"/>
          <w:szCs w:val="16"/>
        </w:rPr>
        <w:t>Dle údajů MPSV činil podíl dosažitelných uchazečů o zaměstnání ve věku 15 až 64 let na obyvatelstvu stejného věku vloni v lednu 3,6 %, v červnu 3,1 % a v prosinci 3,7 %.</w:t>
      </w:r>
      <w:r>
        <w:t xml:space="preserve"> </w:t>
      </w:r>
    </w:p>
  </w:footnote>
  <w:footnote w:id="74">
    <w:p w14:paraId="0A905843" w14:textId="77777777" w:rsidR="00C8019E" w:rsidRDefault="00C8019E" w:rsidP="001C3855">
      <w:pPr>
        <w:pStyle w:val="Textpoznpodarou"/>
      </w:pPr>
      <w:r w:rsidRPr="00EB32E8">
        <w:rPr>
          <w:rStyle w:val="Znakapoznpodarou"/>
          <w:sz w:val="16"/>
          <w:szCs w:val="16"/>
        </w:rPr>
        <w:footnoteRef/>
      </w:r>
      <w:r w:rsidRPr="00EB32E8">
        <w:rPr>
          <w:sz w:val="16"/>
          <w:szCs w:val="16"/>
        </w:rPr>
        <w:t xml:space="preserve"> </w:t>
      </w:r>
      <w:r w:rsidRPr="00EB32E8">
        <w:rPr>
          <w:color w:val="0D0D0D" w:themeColor="text1" w:themeTint="F2"/>
          <w:sz w:val="16"/>
          <w:szCs w:val="16"/>
        </w:rPr>
        <w:t>Významnou</w:t>
      </w:r>
      <w:r>
        <w:rPr>
          <w:color w:val="0D0D0D" w:themeColor="text1" w:themeTint="F2"/>
          <w:sz w:val="16"/>
          <w:szCs w:val="16"/>
        </w:rPr>
        <w:t xml:space="preserve"> část míst však </w:t>
      </w:r>
      <w:r w:rsidRPr="00B222D0">
        <w:rPr>
          <w:color w:val="0D0D0D" w:themeColor="text1" w:themeTint="F2"/>
          <w:sz w:val="16"/>
          <w:szCs w:val="16"/>
        </w:rPr>
        <w:t xml:space="preserve">nelze z různých důvodů považovat za aktivní. </w:t>
      </w:r>
      <w:r w:rsidRPr="00B222D0">
        <w:rPr>
          <w:sz w:val="16"/>
          <w:szCs w:val="16"/>
        </w:rPr>
        <w:t>Jde např. o pozice nabízené firmami, jež ukončily svou činnost, dále o místa, kter</w:t>
      </w:r>
      <w:r>
        <w:rPr>
          <w:sz w:val="16"/>
          <w:szCs w:val="16"/>
        </w:rPr>
        <w:t>á</w:t>
      </w:r>
      <w:r w:rsidRPr="00B222D0">
        <w:rPr>
          <w:sz w:val="16"/>
          <w:szCs w:val="16"/>
        </w:rPr>
        <w:t xml:space="preserve"> již nejso</w:t>
      </w:r>
      <w:r>
        <w:rPr>
          <w:sz w:val="16"/>
          <w:szCs w:val="16"/>
        </w:rPr>
        <w:t>u aktuální, ale z nabídky nebyla stažena</w:t>
      </w:r>
      <w:r w:rsidRPr="00B222D0">
        <w:rPr>
          <w:sz w:val="16"/>
          <w:szCs w:val="16"/>
        </w:rPr>
        <w:t>, či o pozice značně neatraktivní</w:t>
      </w:r>
      <w:r>
        <w:rPr>
          <w:sz w:val="16"/>
          <w:szCs w:val="16"/>
        </w:rPr>
        <w:t>, které zůstávají dlouhodobě neobsazeny</w:t>
      </w:r>
      <w:r>
        <w:rPr>
          <w:color w:val="0D0D0D" w:themeColor="text1" w:themeTint="F2"/>
          <w:sz w:val="16"/>
          <w:szCs w:val="16"/>
        </w:rPr>
        <w:t>.</w:t>
      </w:r>
      <w:r w:rsidRPr="00B222D0">
        <w:rPr>
          <w:color w:val="0D0D0D" w:themeColor="text1" w:themeTint="F2"/>
          <w:sz w:val="16"/>
          <w:szCs w:val="16"/>
        </w:rPr>
        <w:t xml:space="preserve"> </w:t>
      </w:r>
      <w:r w:rsidRPr="00B222D0">
        <w:rPr>
          <w:sz w:val="16"/>
          <w:szCs w:val="16"/>
        </w:rPr>
        <w:t xml:space="preserve">Za skutečně aktivní lze </w:t>
      </w:r>
      <w:r>
        <w:rPr>
          <w:sz w:val="16"/>
          <w:szCs w:val="16"/>
        </w:rPr>
        <w:t>proto</w:t>
      </w:r>
      <w:r w:rsidRPr="00B222D0">
        <w:rPr>
          <w:sz w:val="16"/>
          <w:szCs w:val="16"/>
        </w:rPr>
        <w:t xml:space="preserve"> považovat pouze část veškeré nabídky</w:t>
      </w:r>
      <w:r>
        <w:rPr>
          <w:sz w:val="16"/>
          <w:szCs w:val="16"/>
        </w:rPr>
        <w:t xml:space="preserve"> míst. Počet pozic, které</w:t>
      </w:r>
      <w:r w:rsidRPr="00B222D0">
        <w:rPr>
          <w:sz w:val="16"/>
          <w:szCs w:val="16"/>
        </w:rPr>
        <w:t xml:space="preserve"> byly nabízeny méně než půl roku, činil na k</w:t>
      </w:r>
      <w:r>
        <w:rPr>
          <w:sz w:val="16"/>
          <w:szCs w:val="16"/>
        </w:rPr>
        <w:t>onci 4. čtvrtletí 2022 jen 124</w:t>
      </w:r>
      <w:r w:rsidRPr="00B222D0">
        <w:rPr>
          <w:sz w:val="16"/>
          <w:szCs w:val="16"/>
        </w:rPr>
        <w:t xml:space="preserve"> tis.</w:t>
      </w:r>
      <w:r>
        <w:rPr>
          <w:sz w:val="16"/>
          <w:szCs w:val="16"/>
        </w:rPr>
        <w:t>, což bylo meziročně o 65 tis. méně.</w:t>
      </w:r>
    </w:p>
  </w:footnote>
  <w:footnote w:id="75">
    <w:p w14:paraId="5E96BD88" w14:textId="77777777" w:rsidR="00C8019E" w:rsidRPr="00FA68D2" w:rsidRDefault="00C8019E" w:rsidP="001C3855">
      <w:pPr>
        <w:pStyle w:val="Textpoznpodarou"/>
        <w:rPr>
          <w:sz w:val="16"/>
          <w:szCs w:val="16"/>
        </w:rPr>
      </w:pPr>
      <w:r w:rsidRPr="00FA68D2">
        <w:rPr>
          <w:rStyle w:val="Znakapoznpodarou"/>
          <w:sz w:val="16"/>
          <w:szCs w:val="16"/>
        </w:rPr>
        <w:footnoteRef/>
      </w:r>
      <w:r w:rsidRPr="00FA68D2">
        <w:rPr>
          <w:sz w:val="16"/>
          <w:szCs w:val="16"/>
        </w:rPr>
        <w:t xml:space="preserve"> Hrubý disponibilní důchod (HDD) domácností se v reálném vyjádření v 3. čtvrtletí</w:t>
      </w:r>
      <w:r>
        <w:rPr>
          <w:sz w:val="16"/>
          <w:szCs w:val="16"/>
        </w:rPr>
        <w:t xml:space="preserve"> 2022 meziročně snížil o 3,1 %, </w:t>
      </w:r>
      <w:r w:rsidRPr="00FA68D2">
        <w:rPr>
          <w:sz w:val="16"/>
          <w:szCs w:val="16"/>
        </w:rPr>
        <w:t xml:space="preserve">objem mezd a platů v pojetí národních účtů se ve stejném období </w:t>
      </w:r>
      <w:r>
        <w:rPr>
          <w:sz w:val="16"/>
          <w:szCs w:val="16"/>
        </w:rPr>
        <w:t xml:space="preserve">reálně (po zohlednění cenového vývoje výdajů na konečnou spotřebu domácností) </w:t>
      </w:r>
      <w:r w:rsidRPr="00FA68D2">
        <w:rPr>
          <w:sz w:val="16"/>
          <w:szCs w:val="16"/>
        </w:rPr>
        <w:t>propadl o 9,9</w:t>
      </w:r>
      <w:r>
        <w:rPr>
          <w:sz w:val="16"/>
          <w:szCs w:val="16"/>
        </w:rPr>
        <w:t xml:space="preserve"> %. Mzdy a platy zahrnují</w:t>
      </w:r>
      <w:r w:rsidRPr="00FA68D2">
        <w:rPr>
          <w:sz w:val="16"/>
          <w:szCs w:val="16"/>
        </w:rPr>
        <w:t xml:space="preserve"> (na rozdíl od podnikové statistiky) i </w:t>
      </w:r>
      <w:r>
        <w:rPr>
          <w:sz w:val="16"/>
          <w:szCs w:val="16"/>
        </w:rPr>
        <w:t xml:space="preserve">vliv </w:t>
      </w:r>
      <w:r w:rsidRPr="00FA68D2">
        <w:rPr>
          <w:sz w:val="16"/>
          <w:szCs w:val="16"/>
        </w:rPr>
        <w:t>další</w:t>
      </w:r>
      <w:r>
        <w:rPr>
          <w:sz w:val="16"/>
          <w:szCs w:val="16"/>
        </w:rPr>
        <w:t>ch faktorů</w:t>
      </w:r>
      <w:r w:rsidRPr="00FA68D2">
        <w:rPr>
          <w:sz w:val="16"/>
          <w:szCs w:val="16"/>
        </w:rPr>
        <w:t xml:space="preserve">, </w:t>
      </w:r>
      <w:r>
        <w:rPr>
          <w:sz w:val="16"/>
          <w:szCs w:val="16"/>
        </w:rPr>
        <w:t>např. šedé ekonomiky</w:t>
      </w:r>
      <w:r w:rsidRPr="00FA68D2">
        <w:rPr>
          <w:sz w:val="16"/>
          <w:szCs w:val="16"/>
        </w:rPr>
        <w:t>, možné</w:t>
      </w:r>
      <w:r>
        <w:rPr>
          <w:sz w:val="16"/>
          <w:szCs w:val="16"/>
        </w:rPr>
        <w:t>ho</w:t>
      </w:r>
      <w:r w:rsidRPr="00FA68D2">
        <w:rPr>
          <w:sz w:val="16"/>
          <w:szCs w:val="16"/>
        </w:rPr>
        <w:t xml:space="preserve"> zvýšení ekonomické aktivity obyvatel, např. formou druhých zaměst</w:t>
      </w:r>
      <w:r>
        <w:rPr>
          <w:sz w:val="16"/>
          <w:szCs w:val="16"/>
        </w:rPr>
        <w:t xml:space="preserve">nání či </w:t>
      </w:r>
      <w:r w:rsidRPr="00FA68D2">
        <w:rPr>
          <w:sz w:val="16"/>
          <w:szCs w:val="16"/>
        </w:rPr>
        <w:t xml:space="preserve">dohod o provedení práce. HDD zahrnuje </w:t>
      </w:r>
      <w:r>
        <w:rPr>
          <w:sz w:val="16"/>
          <w:szCs w:val="16"/>
        </w:rPr>
        <w:t xml:space="preserve">vedle mezd a platů </w:t>
      </w:r>
      <w:r w:rsidRPr="00FA68D2">
        <w:rPr>
          <w:sz w:val="16"/>
          <w:szCs w:val="16"/>
        </w:rPr>
        <w:t xml:space="preserve">i příjmy plynoucí z podnikání či z vlastnictví kapitálu a také sociální transfery od státu, vč. </w:t>
      </w:r>
      <w:r>
        <w:rPr>
          <w:sz w:val="16"/>
          <w:szCs w:val="16"/>
        </w:rPr>
        <w:t>starobních důchodů (jež</w:t>
      </w:r>
      <w:r w:rsidRPr="00FA68D2">
        <w:rPr>
          <w:sz w:val="16"/>
          <w:szCs w:val="16"/>
        </w:rPr>
        <w:t xml:space="preserve"> byly loni třikrát valorizovány).</w:t>
      </w:r>
    </w:p>
  </w:footnote>
  <w:footnote w:id="76">
    <w:p w14:paraId="57F1F747" w14:textId="77777777" w:rsidR="00C8019E" w:rsidRPr="000B47BA" w:rsidRDefault="00C8019E" w:rsidP="001C3855">
      <w:pPr>
        <w:pStyle w:val="Textpoznpodarou"/>
        <w:rPr>
          <w:sz w:val="16"/>
          <w:szCs w:val="16"/>
        </w:rPr>
      </w:pPr>
      <w:r w:rsidRPr="000B47BA">
        <w:rPr>
          <w:rStyle w:val="Znakapoznpodarou"/>
          <w:sz w:val="16"/>
          <w:szCs w:val="16"/>
        </w:rPr>
        <w:footnoteRef/>
      </w:r>
      <w:r w:rsidRPr="000B47BA">
        <w:rPr>
          <w:sz w:val="16"/>
          <w:szCs w:val="16"/>
        </w:rPr>
        <w:t xml:space="preserve"> Kupní síla mezd vzrostla za toto čtyřleté období jen v 7 z 19 hlavních odvětvových sekcí (šlo např. o energetiku, činnosti v oblasti nemovitostí, vzdělávání, zdravotní a sociální péči a také o administrativní a podpůrné činnosti, v nichž hrají významnou roli agenturní pracovníci).</w:t>
      </w:r>
      <w:r>
        <w:rPr>
          <w:sz w:val="16"/>
          <w:szCs w:val="16"/>
        </w:rPr>
        <w:t xml:space="preserve"> Naopak ve váhově významných odvětvích zpracovatelského průmyslu či obchodu došlo k mírnému poklesu mzdové koupěschopnosti (o 4 %, resp. 1 %).</w:t>
      </w:r>
    </w:p>
  </w:footnote>
  <w:footnote w:id="77">
    <w:p w14:paraId="78A835B5" w14:textId="77777777" w:rsidR="00C8019E" w:rsidRPr="000B1BC1" w:rsidRDefault="00C8019E" w:rsidP="001C3855">
      <w:pPr>
        <w:pStyle w:val="Textpoznpodarou"/>
        <w:rPr>
          <w:sz w:val="16"/>
          <w:szCs w:val="16"/>
        </w:rPr>
      </w:pPr>
      <w:r w:rsidRPr="000B1BC1">
        <w:rPr>
          <w:rStyle w:val="Znakapoznpodarou"/>
          <w:sz w:val="16"/>
          <w:szCs w:val="16"/>
        </w:rPr>
        <w:footnoteRef/>
      </w:r>
      <w:r w:rsidRPr="000B1BC1">
        <w:rPr>
          <w:sz w:val="16"/>
          <w:szCs w:val="16"/>
        </w:rPr>
        <w:t xml:space="preserve"> </w:t>
      </w:r>
      <w:r w:rsidRPr="000B1BC1">
        <w:rPr>
          <w:spacing w:val="-4"/>
          <w:sz w:val="16"/>
          <w:szCs w:val="16"/>
        </w:rPr>
        <w:t>Tyto osoby se na pracovní trh za</w:t>
      </w:r>
      <w:r>
        <w:rPr>
          <w:spacing w:val="-4"/>
          <w:sz w:val="16"/>
          <w:szCs w:val="16"/>
        </w:rPr>
        <w:t>pojovaly pozvolna a často primárně</w:t>
      </w:r>
      <w:r w:rsidRPr="000B1BC1">
        <w:rPr>
          <w:spacing w:val="-4"/>
          <w:sz w:val="16"/>
          <w:szCs w:val="16"/>
        </w:rPr>
        <w:t xml:space="preserve"> prostřednictvím zkrácených úvazků či pouze formou různých dohod.</w:t>
      </w:r>
    </w:p>
  </w:footnote>
  <w:footnote w:id="78">
    <w:p w14:paraId="68215591" w14:textId="77777777" w:rsidR="00C8019E" w:rsidRPr="003E23CA" w:rsidRDefault="00C8019E" w:rsidP="001C3855">
      <w:pPr>
        <w:pStyle w:val="Textpoznpodarou"/>
        <w:rPr>
          <w:sz w:val="16"/>
          <w:szCs w:val="16"/>
        </w:rPr>
      </w:pPr>
      <w:r w:rsidRPr="003E23CA">
        <w:rPr>
          <w:rStyle w:val="Znakapoznpodarou"/>
          <w:sz w:val="16"/>
          <w:szCs w:val="16"/>
        </w:rPr>
        <w:footnoteRef/>
      </w:r>
      <w:r w:rsidRPr="003E23CA">
        <w:rPr>
          <w:sz w:val="16"/>
          <w:szCs w:val="16"/>
        </w:rPr>
        <w:t xml:space="preserve"> Od 1. září 2022 došlo k 10%</w:t>
      </w:r>
      <w:r>
        <w:rPr>
          <w:sz w:val="16"/>
          <w:szCs w:val="16"/>
        </w:rPr>
        <w:t xml:space="preserve"> </w:t>
      </w:r>
      <w:r w:rsidRPr="003E23CA">
        <w:rPr>
          <w:sz w:val="16"/>
          <w:szCs w:val="16"/>
        </w:rPr>
        <w:t>navýšení platových tarifů u zaměstnanců spadajících po</w:t>
      </w:r>
      <w:r>
        <w:rPr>
          <w:sz w:val="16"/>
          <w:szCs w:val="16"/>
        </w:rPr>
        <w:t>d</w:t>
      </w:r>
      <w:r w:rsidRPr="003E23CA">
        <w:rPr>
          <w:sz w:val="16"/>
          <w:szCs w:val="16"/>
        </w:rPr>
        <w:t xml:space="preserve"> služební zákon a dále u části pracovníků</w:t>
      </w:r>
      <w:r>
        <w:rPr>
          <w:sz w:val="16"/>
          <w:szCs w:val="16"/>
        </w:rPr>
        <w:t xml:space="preserve"> v </w:t>
      </w:r>
      <w:r w:rsidRPr="003E23CA">
        <w:rPr>
          <w:sz w:val="16"/>
          <w:szCs w:val="16"/>
        </w:rPr>
        <w:t>kultuře a dalších</w:t>
      </w:r>
      <w:r>
        <w:rPr>
          <w:sz w:val="16"/>
          <w:szCs w:val="16"/>
        </w:rPr>
        <w:t>,</w:t>
      </w:r>
      <w:r w:rsidRPr="003E23CA">
        <w:rPr>
          <w:sz w:val="16"/>
          <w:szCs w:val="16"/>
        </w:rPr>
        <w:t xml:space="preserve"> zejména manuálních pracovníků s nízkou platovou úrovní. </w:t>
      </w:r>
    </w:p>
  </w:footnote>
  <w:footnote w:id="79">
    <w:p w14:paraId="61DC7C68" w14:textId="77777777" w:rsidR="00C8019E" w:rsidRPr="00B43E19" w:rsidRDefault="00C8019E" w:rsidP="001C3855">
      <w:pPr>
        <w:pStyle w:val="Textpoznpodarou"/>
        <w:rPr>
          <w:sz w:val="16"/>
          <w:szCs w:val="16"/>
        </w:rPr>
      </w:pPr>
      <w:r w:rsidRPr="00B43E19">
        <w:rPr>
          <w:rStyle w:val="Znakapoznpodarou"/>
          <w:sz w:val="16"/>
          <w:szCs w:val="16"/>
        </w:rPr>
        <w:footnoteRef/>
      </w:r>
      <w:r w:rsidRPr="00B43E19">
        <w:rPr>
          <w:sz w:val="16"/>
          <w:szCs w:val="16"/>
        </w:rPr>
        <w:t xml:space="preserve"> Zahrnuje </w:t>
      </w:r>
      <w:r>
        <w:rPr>
          <w:sz w:val="16"/>
          <w:szCs w:val="16"/>
        </w:rPr>
        <w:t>v</w:t>
      </w:r>
      <w:r w:rsidRPr="00B43E19">
        <w:rPr>
          <w:sz w:val="16"/>
          <w:szCs w:val="16"/>
        </w:rPr>
        <w:t>ýrobu a rozvod elektřiny, plynu, tepla a klimatizovaného vzduchu.</w:t>
      </w:r>
    </w:p>
  </w:footnote>
  <w:footnote w:id="80">
    <w:p w14:paraId="629D8EBA" w14:textId="77777777" w:rsidR="00C8019E" w:rsidRPr="00A36BF3" w:rsidRDefault="00C8019E" w:rsidP="001C3855">
      <w:pPr>
        <w:pStyle w:val="Textpoznpodarou"/>
        <w:rPr>
          <w:sz w:val="16"/>
          <w:szCs w:val="16"/>
        </w:rPr>
      </w:pPr>
      <w:r w:rsidRPr="00A36BF3">
        <w:rPr>
          <w:rStyle w:val="Znakapoznpodarou"/>
          <w:sz w:val="16"/>
          <w:szCs w:val="16"/>
        </w:rPr>
        <w:footnoteRef/>
      </w:r>
      <w:r w:rsidRPr="00A36BF3">
        <w:rPr>
          <w:sz w:val="16"/>
          <w:szCs w:val="16"/>
        </w:rPr>
        <w:t xml:space="preserve"> V úhrnu za rok 2022 se ale mzdová tempa mezi hlavními zpracovatelskými obory příliš neodlišovala.</w:t>
      </w:r>
    </w:p>
  </w:footnote>
  <w:footnote w:id="81">
    <w:p w14:paraId="51795374" w14:textId="77777777" w:rsidR="00C8019E" w:rsidRPr="00D7276D" w:rsidRDefault="00C8019E" w:rsidP="001C3855">
      <w:pPr>
        <w:pStyle w:val="Textpoznpodarou"/>
        <w:rPr>
          <w:sz w:val="16"/>
          <w:szCs w:val="16"/>
        </w:rPr>
      </w:pPr>
      <w:r w:rsidRPr="00D7276D">
        <w:rPr>
          <w:rStyle w:val="Znakapoznpodarou"/>
          <w:sz w:val="16"/>
          <w:szCs w:val="16"/>
        </w:rPr>
        <w:footnoteRef/>
      </w:r>
      <w:r w:rsidRPr="00D7276D">
        <w:rPr>
          <w:sz w:val="16"/>
          <w:szCs w:val="16"/>
        </w:rPr>
        <w:t xml:space="preserve"> Pro zjednodušení zahrnuje odvětví </w:t>
      </w:r>
      <w:r w:rsidRPr="00D7276D">
        <w:rPr>
          <w:rFonts w:cs="Arial"/>
          <w:color w:val="0D0D0D" w:themeColor="text1" w:themeTint="F2"/>
          <w:spacing w:val="-4"/>
          <w:sz w:val="16"/>
          <w:szCs w:val="16"/>
        </w:rPr>
        <w:t>Veřejná správa a obrana, povinné sociální zabezpečení; Vzdělávání; Zdravotní a sociální péče; Kulturní, zábavní a rekreační činnosti.</w:t>
      </w:r>
    </w:p>
  </w:footnote>
  <w:footnote w:id="82">
    <w:p w14:paraId="368379D5" w14:textId="77777777" w:rsidR="00C8019E" w:rsidRPr="002235B2" w:rsidRDefault="00C8019E" w:rsidP="001C3855">
      <w:pPr>
        <w:pStyle w:val="Textpoznpodarou"/>
        <w:rPr>
          <w:spacing w:val="-2"/>
          <w:sz w:val="16"/>
          <w:szCs w:val="16"/>
        </w:rPr>
      </w:pPr>
      <w:r w:rsidRPr="002235B2">
        <w:rPr>
          <w:rStyle w:val="Znakapoznpodarou"/>
          <w:spacing w:val="-2"/>
          <w:sz w:val="16"/>
          <w:szCs w:val="16"/>
        </w:rPr>
        <w:footnoteRef/>
      </w:r>
      <w:r w:rsidRPr="002235B2">
        <w:rPr>
          <w:spacing w:val="-2"/>
          <w:sz w:val="16"/>
          <w:szCs w:val="16"/>
        </w:rPr>
        <w:t xml:space="preserve"> Relativně menší rozdí</w:t>
      </w:r>
      <w:r>
        <w:rPr>
          <w:spacing w:val="-2"/>
          <w:sz w:val="16"/>
          <w:szCs w:val="16"/>
        </w:rPr>
        <w:t>ly panovaly loni také v růstu</w:t>
      </w:r>
      <w:r w:rsidRPr="002235B2">
        <w:rPr>
          <w:spacing w:val="-2"/>
          <w:sz w:val="16"/>
          <w:szCs w:val="16"/>
        </w:rPr>
        <w:t xml:space="preserve"> celkových průměrných mezd mezi </w:t>
      </w:r>
      <w:r>
        <w:rPr>
          <w:spacing w:val="-2"/>
          <w:sz w:val="16"/>
          <w:szCs w:val="16"/>
        </w:rPr>
        <w:t xml:space="preserve">mimopražskými regiony (od </w:t>
      </w:r>
      <w:r w:rsidRPr="002235B2">
        <w:rPr>
          <w:spacing w:val="-2"/>
          <w:sz w:val="16"/>
          <w:szCs w:val="16"/>
        </w:rPr>
        <w:t xml:space="preserve">5,3 % v Ústeckém kraji, </w:t>
      </w:r>
      <w:r>
        <w:rPr>
          <w:spacing w:val="-2"/>
          <w:sz w:val="16"/>
          <w:szCs w:val="16"/>
        </w:rPr>
        <w:t xml:space="preserve">po </w:t>
      </w:r>
      <w:r w:rsidRPr="002235B2">
        <w:rPr>
          <w:spacing w:val="-2"/>
          <w:sz w:val="16"/>
          <w:szCs w:val="16"/>
        </w:rPr>
        <w:t>6,7 % ve Středočeském</w:t>
      </w:r>
      <w:r>
        <w:rPr>
          <w:spacing w:val="-2"/>
          <w:sz w:val="16"/>
          <w:szCs w:val="16"/>
        </w:rPr>
        <w:t>, resp. Zlínském</w:t>
      </w:r>
      <w:r w:rsidRPr="002235B2">
        <w:rPr>
          <w:spacing w:val="-2"/>
          <w:sz w:val="16"/>
          <w:szCs w:val="16"/>
        </w:rPr>
        <w:t xml:space="preserve"> kraji). </w:t>
      </w:r>
      <w:r>
        <w:rPr>
          <w:spacing w:val="-2"/>
          <w:sz w:val="16"/>
          <w:szCs w:val="16"/>
        </w:rPr>
        <w:t>V Praze mzdy vzrostly o 7,2 %, v období pandemie i předchozí konjunktury přitom mzdový růst v metropoli za celorepublikovým tempem zaostával.</w:t>
      </w:r>
    </w:p>
  </w:footnote>
  <w:footnote w:id="83">
    <w:p w14:paraId="6CE5C169" w14:textId="77777777" w:rsidR="00C8019E" w:rsidRPr="00D7276D" w:rsidRDefault="00C8019E" w:rsidP="001C3855">
      <w:pPr>
        <w:pStyle w:val="Textpoznpodarou"/>
        <w:rPr>
          <w:sz w:val="16"/>
          <w:szCs w:val="16"/>
        </w:rPr>
      </w:pPr>
      <w:r w:rsidRPr="00D7276D">
        <w:rPr>
          <w:rStyle w:val="Znakapoznpodarou"/>
          <w:sz w:val="16"/>
          <w:szCs w:val="16"/>
        </w:rPr>
        <w:footnoteRef/>
      </w:r>
      <w:r w:rsidRPr="00D7276D">
        <w:rPr>
          <w:sz w:val="16"/>
          <w:szCs w:val="16"/>
        </w:rPr>
        <w:t xml:space="preserve"> </w:t>
      </w:r>
      <w:r w:rsidRPr="00D7276D">
        <w:rPr>
          <w:rFonts w:cs="Arial"/>
          <w:color w:val="0D0D0D" w:themeColor="text1" w:themeTint="F2"/>
          <w:spacing w:val="-4"/>
          <w:sz w:val="16"/>
          <w:szCs w:val="16"/>
        </w:rPr>
        <w:t xml:space="preserve">Bez jejich </w:t>
      </w:r>
      <w:r>
        <w:rPr>
          <w:rFonts w:cs="Arial"/>
          <w:color w:val="0D0D0D" w:themeColor="text1" w:themeTint="F2"/>
          <w:spacing w:val="-4"/>
          <w:sz w:val="16"/>
          <w:szCs w:val="16"/>
        </w:rPr>
        <w:t>vlivu by hypotetický mzdový růst</w:t>
      </w:r>
      <w:r w:rsidRPr="00D7276D">
        <w:rPr>
          <w:rFonts w:cs="Arial"/>
          <w:color w:val="0D0D0D" w:themeColor="text1" w:themeTint="F2"/>
          <w:spacing w:val="-4"/>
          <w:sz w:val="16"/>
          <w:szCs w:val="16"/>
        </w:rPr>
        <w:t xml:space="preserve"> v ekonomice činil za loňský rok 8,5 %.</w:t>
      </w:r>
    </w:p>
  </w:footnote>
  <w:footnote w:id="84">
    <w:p w14:paraId="4539BB9A" w14:textId="77777777" w:rsidR="00C8019E" w:rsidRPr="00AC59F2" w:rsidRDefault="00C8019E" w:rsidP="001C3855">
      <w:pPr>
        <w:pStyle w:val="Textpoznpodarou"/>
        <w:rPr>
          <w:sz w:val="16"/>
          <w:szCs w:val="16"/>
        </w:rPr>
      </w:pPr>
      <w:r w:rsidRPr="00AC59F2">
        <w:rPr>
          <w:rStyle w:val="Znakapoznpodarou"/>
          <w:sz w:val="16"/>
          <w:szCs w:val="16"/>
        </w:rPr>
        <w:footnoteRef/>
      </w:r>
      <w:r w:rsidRPr="00AC59F2">
        <w:rPr>
          <w:sz w:val="16"/>
          <w:szCs w:val="16"/>
        </w:rPr>
        <w:t xml:space="preserve"> Jde o předběžný odhad. Detailnější údaje budou k dispozici v publikaci Struktura mezd zaměstnanců za rok 2022, jenž bude zveřejněna letos 23. května.</w:t>
      </w:r>
    </w:p>
  </w:footnote>
  <w:footnote w:id="85">
    <w:p w14:paraId="275E456A" w14:textId="77777777" w:rsidR="00C8019E" w:rsidRDefault="00C8019E" w:rsidP="007A6A6E">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86">
    <w:p w14:paraId="6699BD4F" w14:textId="77777777" w:rsidR="00C8019E" w:rsidRPr="001F5F82" w:rsidRDefault="00C8019E" w:rsidP="007A6A6E">
      <w:pPr>
        <w:pStyle w:val="Textpoznpodarou"/>
        <w:rPr>
          <w:sz w:val="16"/>
          <w:szCs w:val="16"/>
        </w:rPr>
      </w:pPr>
      <w:r w:rsidRPr="001F5F82">
        <w:rPr>
          <w:rStyle w:val="Znakapoznpodarou"/>
          <w:sz w:val="16"/>
          <w:szCs w:val="16"/>
        </w:rPr>
        <w:footnoteRef/>
      </w:r>
      <w:r w:rsidRPr="001F5F82">
        <w:rPr>
          <w:sz w:val="16"/>
          <w:szCs w:val="16"/>
        </w:rPr>
        <w:t xml:space="preserve"> Není-li uvedeno jinak, je změnou úrokových sazeb myšlen rozdíl mezi hodnotou ke dni 3</w:t>
      </w:r>
      <w:r>
        <w:rPr>
          <w:sz w:val="16"/>
          <w:szCs w:val="16"/>
        </w:rPr>
        <w:t>1. 12</w:t>
      </w:r>
      <w:r w:rsidRPr="001F5F82">
        <w:rPr>
          <w:sz w:val="16"/>
          <w:szCs w:val="16"/>
        </w:rPr>
        <w:t>.</w:t>
      </w:r>
      <w:r>
        <w:rPr>
          <w:sz w:val="16"/>
          <w:szCs w:val="16"/>
        </w:rPr>
        <w:t xml:space="preserve"> 2022</w:t>
      </w:r>
      <w:r w:rsidRPr="001F5F82">
        <w:rPr>
          <w:sz w:val="16"/>
          <w:szCs w:val="16"/>
        </w:rPr>
        <w:t xml:space="preserve"> a</w:t>
      </w:r>
      <w:r>
        <w:rPr>
          <w:sz w:val="16"/>
          <w:szCs w:val="16"/>
        </w:rPr>
        <w:t> </w:t>
      </w:r>
      <w:r w:rsidRPr="001F5F82">
        <w:rPr>
          <w:sz w:val="16"/>
          <w:szCs w:val="16"/>
        </w:rPr>
        <w:t>3</w:t>
      </w:r>
      <w:r>
        <w:rPr>
          <w:sz w:val="16"/>
          <w:szCs w:val="16"/>
        </w:rPr>
        <w:t>0. 9</w:t>
      </w:r>
      <w:r w:rsidRPr="001F5F82">
        <w:rPr>
          <w:sz w:val="16"/>
          <w:szCs w:val="16"/>
        </w:rPr>
        <w:t>.</w:t>
      </w:r>
      <w:r>
        <w:rPr>
          <w:sz w:val="16"/>
          <w:szCs w:val="16"/>
        </w:rPr>
        <w:t xml:space="preserve"> 2022.</w:t>
      </w:r>
    </w:p>
  </w:footnote>
  <w:footnote w:id="87">
    <w:p w14:paraId="33007CAE" w14:textId="77777777" w:rsidR="00C8019E" w:rsidRPr="00651A71" w:rsidRDefault="00C8019E" w:rsidP="007A6A6E">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88">
    <w:p w14:paraId="34BBF827" w14:textId="77777777" w:rsidR="00C8019E" w:rsidRPr="00284DA5" w:rsidRDefault="00C8019E" w:rsidP="007A6A6E">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w:t>
      </w:r>
      <w:r>
        <w:rPr>
          <w:sz w:val="16"/>
          <w:szCs w:val="16"/>
        </w:rPr>
        <w:t xml:space="preserve"> Refinancované úvěry zahrnují stávající smlouvy sjednané nově u jiné banky, zatímco ostatní nová ujednání jsou stávající smlouvy sjednané s novými podmínkami u stejné banky.</w:t>
      </w:r>
    </w:p>
  </w:footnote>
  <w:footnote w:id="89">
    <w:p w14:paraId="2A2BBAF3" w14:textId="77777777" w:rsidR="00C8019E" w:rsidRPr="00724B7B" w:rsidRDefault="00C8019E" w:rsidP="007A6A6E">
      <w:pPr>
        <w:pStyle w:val="Textpoznpodarou"/>
        <w:rPr>
          <w:sz w:val="16"/>
          <w:szCs w:val="16"/>
        </w:rPr>
      </w:pPr>
      <w:r w:rsidRPr="00724B7B">
        <w:rPr>
          <w:rStyle w:val="Znakapoznpodarou"/>
          <w:sz w:val="16"/>
          <w:szCs w:val="16"/>
        </w:rPr>
        <w:footnoteRef/>
      </w:r>
      <w:r w:rsidRPr="00724B7B">
        <w:rPr>
          <w:sz w:val="16"/>
          <w:szCs w:val="16"/>
        </w:rPr>
        <w:t xml:space="preserve"> Úvěry v cizí měně začaly prudce</w:t>
      </w:r>
      <w:r>
        <w:rPr>
          <w:sz w:val="16"/>
          <w:szCs w:val="16"/>
        </w:rPr>
        <w:t xml:space="preserve"> růst</w:t>
      </w:r>
      <w:r w:rsidRPr="00724B7B">
        <w:rPr>
          <w:sz w:val="16"/>
          <w:szCs w:val="16"/>
        </w:rPr>
        <w:t xml:space="preserve"> po začátku opětovného zvyšování </w:t>
      </w:r>
      <w:proofErr w:type="spellStart"/>
      <w:r w:rsidRPr="00724B7B">
        <w:rPr>
          <w:sz w:val="16"/>
          <w:szCs w:val="16"/>
        </w:rPr>
        <w:t>měnověpolitických</w:t>
      </w:r>
      <w:proofErr w:type="spellEnd"/>
      <w:r w:rsidRPr="00724B7B">
        <w:rPr>
          <w:sz w:val="16"/>
          <w:szCs w:val="16"/>
        </w:rPr>
        <w:t xml:space="preserve"> sazeb v červnu 2021. Do konce </w:t>
      </w:r>
      <w:r>
        <w:rPr>
          <w:sz w:val="16"/>
          <w:szCs w:val="16"/>
        </w:rPr>
        <w:t>prosince</w:t>
      </w:r>
      <w:r w:rsidRPr="00724B7B">
        <w:rPr>
          <w:sz w:val="16"/>
          <w:szCs w:val="16"/>
        </w:rPr>
        <w:t xml:space="preserve"> 2022 narostl jejich objem o </w:t>
      </w:r>
      <w:r>
        <w:rPr>
          <w:sz w:val="16"/>
          <w:szCs w:val="16"/>
        </w:rPr>
        <w:t>198,9</w:t>
      </w:r>
      <w:r w:rsidRPr="00724B7B">
        <w:rPr>
          <w:sz w:val="16"/>
          <w:szCs w:val="16"/>
        </w:rPr>
        <w:t xml:space="preserve"> mld. korun (5</w:t>
      </w:r>
      <w:r>
        <w:rPr>
          <w:sz w:val="16"/>
          <w:szCs w:val="16"/>
        </w:rPr>
        <w:t>4</w:t>
      </w:r>
      <w:r w:rsidRPr="00724B7B">
        <w:rPr>
          <w:sz w:val="16"/>
          <w:szCs w:val="16"/>
        </w:rPr>
        <w:t>,</w:t>
      </w:r>
      <w:r>
        <w:rPr>
          <w:sz w:val="16"/>
          <w:szCs w:val="16"/>
        </w:rPr>
        <w:t>8</w:t>
      </w:r>
      <w:r w:rsidRPr="00724B7B">
        <w:rPr>
          <w:sz w:val="16"/>
          <w:szCs w:val="16"/>
        </w:rPr>
        <w:t xml:space="preserve"> %).</w:t>
      </w:r>
    </w:p>
  </w:footnote>
  <w:footnote w:id="90">
    <w:p w14:paraId="10FADA3F" w14:textId="77777777" w:rsidR="00C8019E" w:rsidRPr="00AD0D96" w:rsidRDefault="00C8019E" w:rsidP="001C3855">
      <w:pPr>
        <w:pStyle w:val="Textpoznpodarou"/>
        <w:jc w:val="both"/>
        <w:rPr>
          <w:spacing w:val="-3"/>
          <w:sz w:val="16"/>
          <w:szCs w:val="16"/>
        </w:rPr>
      </w:pPr>
      <w:r w:rsidRPr="00AD0D96">
        <w:rPr>
          <w:rStyle w:val="Znakapoznpodarou"/>
          <w:spacing w:val="-3"/>
          <w:sz w:val="16"/>
          <w:szCs w:val="16"/>
        </w:rPr>
        <w:footnoteRef/>
      </w:r>
      <w:r w:rsidRPr="00AD0D96">
        <w:rPr>
          <w:spacing w:val="-3"/>
          <w:sz w:val="16"/>
          <w:szCs w:val="16"/>
        </w:rPr>
        <w:t xml:space="preserve"> </w:t>
      </w:r>
      <w:r w:rsidRPr="00AD0D96">
        <w:rPr>
          <w:color w:val="0D0D0D" w:themeColor="text1" w:themeTint="F2"/>
          <w:spacing w:val="-3"/>
          <w:sz w:val="16"/>
          <w:szCs w:val="16"/>
        </w:rPr>
        <w:t xml:space="preserve">Pokud není uvedeno jinak, vycházejí všechny údaje týkající se státního rozpočtu </w:t>
      </w:r>
      <w:r w:rsidRPr="00AD0D96">
        <w:rPr>
          <w:rFonts w:cs="Arial"/>
          <w:color w:val="0D0D0D" w:themeColor="text1" w:themeTint="F2"/>
          <w:spacing w:val="-3"/>
          <w:sz w:val="16"/>
          <w:szCs w:val="16"/>
        </w:rPr>
        <w:t>z dat Ministerstva financí o pokladním plnění.</w:t>
      </w:r>
    </w:p>
  </w:footnote>
  <w:footnote w:id="91">
    <w:p w14:paraId="02934DAD" w14:textId="77777777" w:rsidR="00C8019E" w:rsidRDefault="00C8019E" w:rsidP="001C3855">
      <w:pPr>
        <w:pStyle w:val="Textpoznpodarou"/>
      </w:pPr>
      <w:r w:rsidRPr="00AD0D96">
        <w:rPr>
          <w:rStyle w:val="Znakapoznpodarou"/>
          <w:sz w:val="16"/>
          <w:szCs w:val="16"/>
        </w:rPr>
        <w:footnoteRef/>
      </w:r>
      <w:r>
        <w:rPr>
          <w:spacing w:val="-4"/>
          <w:sz w:val="16"/>
          <w:szCs w:val="16"/>
        </w:rPr>
        <w:t xml:space="preserve"> Dle novely zákona (</w:t>
      </w:r>
      <w:r w:rsidRPr="00AD0D96">
        <w:rPr>
          <w:spacing w:val="-4"/>
          <w:sz w:val="16"/>
          <w:szCs w:val="16"/>
        </w:rPr>
        <w:t>č. 57/2022 Sb</w:t>
      </w:r>
      <w:r>
        <w:rPr>
          <w:spacing w:val="-4"/>
          <w:sz w:val="16"/>
          <w:szCs w:val="16"/>
        </w:rPr>
        <w:t xml:space="preserve">.) o státním rozpočtu na rok 2022 (schválené 18. října 2022), která navýšila očekávaný schodek na </w:t>
      </w:r>
      <w:r>
        <w:rPr>
          <w:spacing w:val="-4"/>
          <w:sz w:val="16"/>
          <w:szCs w:val="16"/>
        </w:rPr>
        <w:br/>
        <w:t>375 mld. korun (z 280 mld. korun uvedených v původní verzi zákona o rozpočtu z 10. března 2022).</w:t>
      </w:r>
    </w:p>
  </w:footnote>
  <w:footnote w:id="92">
    <w:p w14:paraId="68178E75" w14:textId="77777777" w:rsidR="00C8019E" w:rsidRPr="00A21B30" w:rsidRDefault="00C8019E" w:rsidP="001C3855">
      <w:pPr>
        <w:pStyle w:val="Textpoznpodarou"/>
        <w:rPr>
          <w:sz w:val="16"/>
          <w:szCs w:val="16"/>
        </w:rPr>
      </w:pPr>
      <w:r w:rsidRPr="00A21B30">
        <w:rPr>
          <w:rStyle w:val="Znakapoznpodarou"/>
          <w:sz w:val="16"/>
          <w:szCs w:val="16"/>
        </w:rPr>
        <w:footnoteRef/>
      </w:r>
      <w:r w:rsidRPr="00A21B30">
        <w:rPr>
          <w:sz w:val="16"/>
          <w:szCs w:val="16"/>
        </w:rPr>
        <w:t xml:space="preserve"> </w:t>
      </w:r>
      <w:r w:rsidRPr="00A21B30">
        <w:rPr>
          <w:spacing w:val="-4"/>
          <w:sz w:val="16"/>
          <w:szCs w:val="16"/>
        </w:rPr>
        <w:t xml:space="preserve">To podtrhuje </w:t>
      </w:r>
      <w:r>
        <w:rPr>
          <w:spacing w:val="-4"/>
          <w:sz w:val="16"/>
          <w:szCs w:val="16"/>
        </w:rPr>
        <w:t xml:space="preserve">i schodek po očištění </w:t>
      </w:r>
      <w:r w:rsidRPr="00A21B30">
        <w:rPr>
          <w:spacing w:val="-4"/>
          <w:sz w:val="16"/>
          <w:szCs w:val="16"/>
        </w:rPr>
        <w:t>o příjmy a výdaje související</w:t>
      </w:r>
      <w:r>
        <w:rPr>
          <w:spacing w:val="-4"/>
          <w:sz w:val="16"/>
          <w:szCs w:val="16"/>
        </w:rPr>
        <w:t xml:space="preserve"> se společnými projekty ČR a EU</w:t>
      </w:r>
      <w:r w:rsidRPr="00A21B30">
        <w:rPr>
          <w:spacing w:val="-4"/>
          <w:sz w:val="16"/>
          <w:szCs w:val="16"/>
        </w:rPr>
        <w:t>, který loni činil</w:t>
      </w:r>
      <w:r>
        <w:rPr>
          <w:spacing w:val="-4"/>
          <w:sz w:val="16"/>
          <w:szCs w:val="16"/>
        </w:rPr>
        <w:t xml:space="preserve"> 316,1 mld. korun (v letech 2020 a 2021 pak</w:t>
      </w:r>
      <w:r w:rsidRPr="00A21B30">
        <w:rPr>
          <w:spacing w:val="-4"/>
          <w:sz w:val="16"/>
          <w:szCs w:val="16"/>
        </w:rPr>
        <w:t xml:space="preserve"> 364,9 mld., resp. 408,6 mld.).</w:t>
      </w:r>
    </w:p>
  </w:footnote>
  <w:footnote w:id="93">
    <w:p w14:paraId="6AC10994" w14:textId="77777777" w:rsidR="00C8019E" w:rsidRPr="002149CA" w:rsidRDefault="00C8019E" w:rsidP="001C3855">
      <w:pPr>
        <w:pStyle w:val="Textpoznpodarou"/>
        <w:rPr>
          <w:sz w:val="16"/>
          <w:szCs w:val="16"/>
        </w:rPr>
      </w:pPr>
      <w:r w:rsidRPr="002149CA">
        <w:rPr>
          <w:rStyle w:val="Znakapoznpodarou"/>
          <w:sz w:val="16"/>
          <w:szCs w:val="16"/>
        </w:rPr>
        <w:footnoteRef/>
      </w:r>
      <w:r w:rsidRPr="002149CA">
        <w:rPr>
          <w:sz w:val="16"/>
          <w:szCs w:val="16"/>
        </w:rPr>
        <w:t xml:space="preserve"> Stálo za tím zpoždění plateb za </w:t>
      </w:r>
      <w:r>
        <w:rPr>
          <w:sz w:val="16"/>
          <w:szCs w:val="16"/>
        </w:rPr>
        <w:t>schválené projekty, je</w:t>
      </w:r>
      <w:r w:rsidRPr="002149CA">
        <w:rPr>
          <w:sz w:val="16"/>
          <w:szCs w:val="16"/>
        </w:rPr>
        <w:t>ž byly již dříve předfinancovány z rozpočtu ČR.</w:t>
      </w:r>
    </w:p>
  </w:footnote>
  <w:footnote w:id="94">
    <w:p w14:paraId="0A9952E7" w14:textId="77777777" w:rsidR="00C8019E" w:rsidRDefault="00C8019E" w:rsidP="001C3855">
      <w:pPr>
        <w:pStyle w:val="Textpoznpodarou"/>
      </w:pPr>
      <w:r w:rsidRPr="00B43AF0">
        <w:rPr>
          <w:rStyle w:val="Znakapoznpodarou"/>
          <w:sz w:val="16"/>
          <w:szCs w:val="16"/>
        </w:rPr>
        <w:footnoteRef/>
      </w:r>
      <w:r w:rsidRPr="00B43AF0">
        <w:rPr>
          <w:rStyle w:val="Znakapoznpodarou"/>
          <w:sz w:val="16"/>
          <w:szCs w:val="16"/>
        </w:rPr>
        <w:t xml:space="preserve"> </w:t>
      </w:r>
      <w:r w:rsidRPr="00B43AF0">
        <w:rPr>
          <w:spacing w:val="-4"/>
          <w:sz w:val="16"/>
          <w:szCs w:val="16"/>
        </w:rPr>
        <w:t>Ve 3. čtvrtletí 2022 propadlo inkaso o 13,7 %, následující kvartál dokonce o 18,1 %.</w:t>
      </w:r>
    </w:p>
  </w:footnote>
  <w:footnote w:id="95">
    <w:p w14:paraId="370E1D1E" w14:textId="77777777" w:rsidR="00C8019E" w:rsidRPr="00B43AF0" w:rsidRDefault="00C8019E" w:rsidP="001C3855">
      <w:pPr>
        <w:pStyle w:val="Textpoznpodarou"/>
        <w:rPr>
          <w:spacing w:val="-4"/>
          <w:sz w:val="16"/>
          <w:szCs w:val="16"/>
        </w:rPr>
      </w:pPr>
      <w:r w:rsidRPr="00B43AF0">
        <w:rPr>
          <w:rStyle w:val="Znakapoznpodarou"/>
          <w:spacing w:val="-4"/>
          <w:sz w:val="16"/>
          <w:szCs w:val="16"/>
        </w:rPr>
        <w:footnoteRef/>
      </w:r>
      <w:r w:rsidRPr="00B43AF0">
        <w:rPr>
          <w:spacing w:val="-4"/>
          <w:sz w:val="16"/>
          <w:szCs w:val="16"/>
        </w:rPr>
        <w:t xml:space="preserve"> Od </w:t>
      </w:r>
      <w:r w:rsidRPr="005B5C68">
        <w:rPr>
          <w:color w:val="0D0D0D" w:themeColor="text1" w:themeTint="F2"/>
          <w:spacing w:val="-4"/>
          <w:sz w:val="16"/>
          <w:szCs w:val="16"/>
        </w:rPr>
        <w:t>června do konce září 2022 byla snížena sazba spotřební daně z benzínu a motorové nafty o 1,50 Kč na litr. U nafty bylo toto opatření prodlouženo až do konce roku 2023. Dle propočtů MF ČR měly tyto daňové úpravy na celoroční inkaso negativní dopad ve výši 5,3 mld. korun</w:t>
      </w:r>
      <w:r w:rsidRPr="00B43AF0">
        <w:rPr>
          <w:spacing w:val="-4"/>
          <w:sz w:val="16"/>
          <w:szCs w:val="16"/>
        </w:rPr>
        <w:t>.</w:t>
      </w:r>
    </w:p>
  </w:footnote>
  <w:footnote w:id="96">
    <w:p w14:paraId="337FE064" w14:textId="77777777" w:rsidR="00C8019E" w:rsidRPr="00F62C95" w:rsidRDefault="00C8019E" w:rsidP="001C3855">
      <w:pPr>
        <w:autoSpaceDE w:val="0"/>
        <w:autoSpaceDN w:val="0"/>
        <w:adjustRightInd w:val="0"/>
        <w:spacing w:after="0" w:line="240" w:lineRule="auto"/>
        <w:jc w:val="left"/>
        <w:rPr>
          <w:rFonts w:ascii="Calibri" w:eastAsia="Calibri" w:hAnsi="Calibri" w:cs="Calibri"/>
          <w:sz w:val="16"/>
          <w:szCs w:val="16"/>
          <w:lang w:eastAsia="en-US"/>
        </w:rPr>
      </w:pPr>
      <w:r w:rsidRPr="00852DA9">
        <w:rPr>
          <w:rStyle w:val="Znakapoznpodarou"/>
          <w:sz w:val="16"/>
          <w:szCs w:val="16"/>
        </w:rPr>
        <w:footnoteRef/>
      </w:r>
      <w:r w:rsidRPr="00852DA9">
        <w:rPr>
          <w:sz w:val="16"/>
          <w:szCs w:val="16"/>
        </w:rPr>
        <w:t xml:space="preserve"> </w:t>
      </w:r>
      <w:r>
        <w:rPr>
          <w:sz w:val="16"/>
          <w:szCs w:val="16"/>
        </w:rPr>
        <w:t>Vysoký meziroční růst inkasa korporátní daně byl částečně ovlivněn před</w:t>
      </w:r>
      <w:r w:rsidRPr="00852DA9">
        <w:rPr>
          <w:sz w:val="16"/>
          <w:szCs w:val="16"/>
        </w:rPr>
        <w:t>loňským</w:t>
      </w:r>
      <w:r w:rsidRPr="00852DA9">
        <w:rPr>
          <w:rFonts w:ascii="Calibri" w:eastAsia="Calibri" w:hAnsi="Calibri" w:cs="Calibri"/>
          <w:sz w:val="16"/>
          <w:szCs w:val="16"/>
          <w:lang w:eastAsia="en-US"/>
        </w:rPr>
        <w:t xml:space="preserve"> </w:t>
      </w:r>
      <w:r w:rsidRPr="00852DA9">
        <w:rPr>
          <w:sz w:val="16"/>
          <w:szCs w:val="16"/>
        </w:rPr>
        <w:t xml:space="preserve">posunem lhůty pro zaplacení </w:t>
      </w:r>
      <w:r>
        <w:rPr>
          <w:sz w:val="16"/>
          <w:szCs w:val="16"/>
        </w:rPr>
        <w:t xml:space="preserve">záloh na dani </w:t>
      </w:r>
      <w:r w:rsidRPr="00852DA9">
        <w:rPr>
          <w:sz w:val="16"/>
          <w:szCs w:val="16"/>
        </w:rPr>
        <w:t>(na základě individuální</w:t>
      </w:r>
      <w:r>
        <w:rPr>
          <w:sz w:val="16"/>
          <w:szCs w:val="16"/>
        </w:rPr>
        <w:t>ch</w:t>
      </w:r>
      <w:r w:rsidRPr="00852DA9">
        <w:rPr>
          <w:sz w:val="16"/>
          <w:szCs w:val="16"/>
        </w:rPr>
        <w:t xml:space="preserve"> žádost</w:t>
      </w:r>
      <w:r>
        <w:rPr>
          <w:sz w:val="16"/>
          <w:szCs w:val="16"/>
        </w:rPr>
        <w:t>í</w:t>
      </w:r>
      <w:r w:rsidRPr="00852DA9">
        <w:rPr>
          <w:sz w:val="16"/>
          <w:szCs w:val="16"/>
        </w:rPr>
        <w:t xml:space="preserve"> firem)</w:t>
      </w:r>
      <w:r>
        <w:rPr>
          <w:sz w:val="16"/>
          <w:szCs w:val="16"/>
        </w:rPr>
        <w:t xml:space="preserve"> s negativním dopadem na příjem této daně do SR ve výši 22,1 mld. korun (za rok 2021).</w:t>
      </w:r>
      <w:r w:rsidRPr="00B17175">
        <w:rPr>
          <w:sz w:val="16"/>
          <w:szCs w:val="16"/>
        </w:rPr>
        <w:t xml:space="preserve"> </w:t>
      </w:r>
      <w:r>
        <w:rPr>
          <w:sz w:val="16"/>
          <w:szCs w:val="16"/>
        </w:rPr>
        <w:t xml:space="preserve">Dále </w:t>
      </w:r>
      <w:r w:rsidRPr="00F62C95">
        <w:rPr>
          <w:sz w:val="16"/>
          <w:szCs w:val="16"/>
        </w:rPr>
        <w:t>šlo také o změnu ve zdanění rezerv pojišťoven.</w:t>
      </w:r>
    </w:p>
  </w:footnote>
  <w:footnote w:id="97">
    <w:p w14:paraId="4BD023A9" w14:textId="77777777" w:rsidR="00C8019E" w:rsidRPr="00F62C95" w:rsidRDefault="00C8019E" w:rsidP="001C3855">
      <w:pPr>
        <w:pStyle w:val="Textpoznpodarou"/>
        <w:rPr>
          <w:sz w:val="16"/>
          <w:szCs w:val="16"/>
        </w:rPr>
      </w:pPr>
      <w:r w:rsidRPr="00F62C95">
        <w:rPr>
          <w:rStyle w:val="Znakapoznpodarou"/>
          <w:sz w:val="16"/>
          <w:szCs w:val="16"/>
        </w:rPr>
        <w:footnoteRef/>
      </w:r>
      <w:r w:rsidRPr="00F62C95">
        <w:rPr>
          <w:sz w:val="16"/>
          <w:szCs w:val="16"/>
        </w:rPr>
        <w:t xml:space="preserve"> C</w:t>
      </w:r>
      <w:r>
        <w:rPr>
          <w:sz w:val="16"/>
          <w:szCs w:val="16"/>
        </w:rPr>
        <w:t>elostátní výběr této daně (149,6</w:t>
      </w:r>
      <w:r w:rsidRPr="00F62C95">
        <w:rPr>
          <w:sz w:val="16"/>
          <w:szCs w:val="16"/>
        </w:rPr>
        <w:t xml:space="preserve"> mld. korun) </w:t>
      </w:r>
      <w:r>
        <w:rPr>
          <w:sz w:val="16"/>
          <w:szCs w:val="16"/>
        </w:rPr>
        <w:t>se loni pohyboval pouze na úrovni roku 2016</w:t>
      </w:r>
      <w:r w:rsidRPr="00F62C95">
        <w:rPr>
          <w:sz w:val="16"/>
          <w:szCs w:val="16"/>
        </w:rPr>
        <w:t xml:space="preserve">, </w:t>
      </w:r>
      <w:r>
        <w:rPr>
          <w:sz w:val="16"/>
          <w:szCs w:val="16"/>
        </w:rPr>
        <w:t xml:space="preserve">a to </w:t>
      </w:r>
      <w:r w:rsidRPr="00F62C95">
        <w:rPr>
          <w:sz w:val="16"/>
          <w:szCs w:val="16"/>
        </w:rPr>
        <w:t xml:space="preserve">zejména vlivem </w:t>
      </w:r>
      <w:r w:rsidRPr="00F62C95">
        <w:rPr>
          <w:spacing w:val="-4"/>
          <w:sz w:val="16"/>
          <w:szCs w:val="16"/>
        </w:rPr>
        <w:t>snížení</w:t>
      </w:r>
      <w:r>
        <w:rPr>
          <w:spacing w:val="-4"/>
          <w:sz w:val="16"/>
          <w:szCs w:val="16"/>
        </w:rPr>
        <w:t xml:space="preserve"> daňového zatížení práce od roku 2021 </w:t>
      </w:r>
      <w:r w:rsidRPr="00F62C95">
        <w:rPr>
          <w:spacing w:val="-4"/>
          <w:sz w:val="16"/>
          <w:szCs w:val="16"/>
        </w:rPr>
        <w:t>(v souvislosti se zrušení</w:t>
      </w:r>
      <w:r>
        <w:rPr>
          <w:spacing w:val="-4"/>
          <w:sz w:val="16"/>
          <w:szCs w:val="16"/>
        </w:rPr>
        <w:t>m</w:t>
      </w:r>
      <w:r w:rsidRPr="00F62C95">
        <w:rPr>
          <w:spacing w:val="-4"/>
          <w:sz w:val="16"/>
          <w:szCs w:val="16"/>
        </w:rPr>
        <w:t xml:space="preserve"> tzv. superhrubé mzdy).</w:t>
      </w:r>
    </w:p>
  </w:footnote>
  <w:footnote w:id="98">
    <w:p w14:paraId="0AF4E13D" w14:textId="77777777" w:rsidR="00C8019E" w:rsidRPr="00271248" w:rsidRDefault="00C8019E" w:rsidP="001C3855">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 xml:space="preserve">dle schváleného </w:t>
      </w:r>
      <w:r w:rsidRPr="00271248">
        <w:rPr>
          <w:sz w:val="16"/>
          <w:szCs w:val="16"/>
        </w:rPr>
        <w:t>zákona o SR z roku 2021.</w:t>
      </w:r>
      <w:r>
        <w:rPr>
          <w:sz w:val="16"/>
          <w:szCs w:val="16"/>
        </w:rPr>
        <w:t xml:space="preserve"> Na</w:t>
      </w:r>
      <w:r w:rsidRPr="00EE46BC">
        <w:rPr>
          <w:sz w:val="16"/>
          <w:szCs w:val="16"/>
        </w:rPr>
        <w:t xml:space="preserve"> počátku roku </w:t>
      </w:r>
      <w:r>
        <w:rPr>
          <w:spacing w:val="-4"/>
          <w:sz w:val="16"/>
          <w:szCs w:val="16"/>
        </w:rPr>
        <w:t>došlo k omezení</w:t>
      </w:r>
      <w:r w:rsidRPr="00EE46BC">
        <w:rPr>
          <w:spacing w:val="-4"/>
          <w:sz w:val="16"/>
          <w:szCs w:val="16"/>
        </w:rPr>
        <w:t xml:space="preserve"> možnosti předfinancování některých běžných transferů a </w:t>
      </w:r>
      <w:r>
        <w:rPr>
          <w:spacing w:val="-4"/>
          <w:sz w:val="16"/>
          <w:szCs w:val="16"/>
        </w:rPr>
        <w:t>zásadně limitováno bylo rovněž použití</w:t>
      </w:r>
      <w:r w:rsidRPr="00EE46BC">
        <w:rPr>
          <w:spacing w:val="-4"/>
          <w:sz w:val="16"/>
          <w:szCs w:val="16"/>
        </w:rPr>
        <w:t xml:space="preserve"> i další</w:t>
      </w:r>
      <w:r>
        <w:rPr>
          <w:spacing w:val="-4"/>
          <w:sz w:val="16"/>
          <w:szCs w:val="16"/>
        </w:rPr>
        <w:t>ch zdrojů</w:t>
      </w:r>
      <w:r w:rsidRPr="00EE46BC">
        <w:rPr>
          <w:spacing w:val="-4"/>
          <w:sz w:val="16"/>
          <w:szCs w:val="16"/>
        </w:rPr>
        <w:t xml:space="preserve"> financování (např. </w:t>
      </w:r>
      <w:r w:rsidRPr="00EE46BC">
        <w:rPr>
          <w:sz w:val="16"/>
          <w:szCs w:val="16"/>
        </w:rPr>
        <w:t>mimorozpočtové zdroje – především nároky z nespotřebovaných výdajů z minulých le</w:t>
      </w:r>
      <w:r>
        <w:rPr>
          <w:sz w:val="16"/>
          <w:szCs w:val="16"/>
        </w:rPr>
        <w:t>t).</w:t>
      </w:r>
      <w:r w:rsidRPr="00862F80">
        <w:rPr>
          <w:sz w:val="16"/>
          <w:szCs w:val="16"/>
        </w:rPr>
        <w:t xml:space="preserve"> </w:t>
      </w:r>
      <w:r>
        <w:rPr>
          <w:sz w:val="16"/>
          <w:szCs w:val="16"/>
        </w:rPr>
        <w:t>To vedlo mj. k odkladu zbytných provozních výdajů i investic.</w:t>
      </w:r>
    </w:p>
  </w:footnote>
  <w:footnote w:id="99">
    <w:p w14:paraId="6F71A8A4" w14:textId="77777777" w:rsidR="00C8019E" w:rsidRPr="00AC0B00" w:rsidRDefault="00C8019E" w:rsidP="001C3855">
      <w:pPr>
        <w:pStyle w:val="Textpoznpodarou"/>
        <w:rPr>
          <w:sz w:val="16"/>
          <w:szCs w:val="16"/>
        </w:rPr>
      </w:pPr>
      <w:r w:rsidRPr="00AC0B00">
        <w:rPr>
          <w:rStyle w:val="Znakapoznpodarou"/>
          <w:sz w:val="16"/>
          <w:szCs w:val="16"/>
        </w:rPr>
        <w:footnoteRef/>
      </w:r>
      <w:r w:rsidRPr="00AC0B00">
        <w:rPr>
          <w:sz w:val="16"/>
          <w:szCs w:val="16"/>
        </w:rPr>
        <w:t xml:space="preserve"> </w:t>
      </w:r>
      <w:r>
        <w:rPr>
          <w:sz w:val="16"/>
          <w:szCs w:val="16"/>
        </w:rPr>
        <w:t>Řádná</w:t>
      </w:r>
      <w:r w:rsidRPr="00AC0B00">
        <w:rPr>
          <w:sz w:val="16"/>
          <w:szCs w:val="16"/>
        </w:rPr>
        <w:t xml:space="preserve"> lednová valorizace znamenala navýšení průměrného starobního důchodu o 5,2 % (805 korun), mimořádná valorizace v červnu analogicky o 6,3 % a v září pak o rovná 4 %</w:t>
      </w:r>
      <w:r>
        <w:rPr>
          <w:sz w:val="16"/>
          <w:szCs w:val="16"/>
        </w:rPr>
        <w:t>. Průměrný měsíční starobní důchod (bez souběhu s ostatními důchody) tak loni v prosinci dosáhl u mužů 19 755 korun, u žen 16 484 korun.</w:t>
      </w:r>
    </w:p>
  </w:footnote>
  <w:footnote w:id="100">
    <w:p w14:paraId="765F805B" w14:textId="77777777" w:rsidR="00C8019E" w:rsidRDefault="00C8019E" w:rsidP="001C3855">
      <w:pPr>
        <w:pStyle w:val="Textpoznpodarou"/>
      </w:pPr>
      <w:r w:rsidRPr="008428F0">
        <w:rPr>
          <w:rStyle w:val="Znakapoznpodarou"/>
          <w:spacing w:val="-4"/>
          <w:sz w:val="16"/>
          <w:szCs w:val="16"/>
        </w:rPr>
        <w:footnoteRef/>
      </w:r>
      <w:r w:rsidRPr="008428F0">
        <w:rPr>
          <w:rStyle w:val="Znakapoznpodarou"/>
          <w:spacing w:val="-4"/>
          <w:sz w:val="16"/>
          <w:szCs w:val="16"/>
        </w:rPr>
        <w:t xml:space="preserve"> </w:t>
      </w:r>
      <w:r w:rsidRPr="008428F0">
        <w:rPr>
          <w:sz w:val="16"/>
          <w:szCs w:val="16"/>
        </w:rPr>
        <w:t>Ten byl v roce 2022 stimulován nezvykle vysokou valorizací, jež převýšila vliv</w:t>
      </w:r>
      <w:r>
        <w:rPr>
          <w:sz w:val="16"/>
          <w:szCs w:val="16"/>
        </w:rPr>
        <w:t xml:space="preserve"> </w:t>
      </w:r>
      <w:r w:rsidRPr="008428F0">
        <w:rPr>
          <w:sz w:val="16"/>
          <w:szCs w:val="16"/>
        </w:rPr>
        <w:t>„penalizace“ za odchod do předčasného důchodu</w:t>
      </w:r>
      <w:r>
        <w:rPr>
          <w:sz w:val="16"/>
          <w:szCs w:val="16"/>
        </w:rPr>
        <w:t>. Z celkového počtu všech příjemců starobních důchodů tvořily osoby s předčasným důchodem již 28,7 %.</w:t>
      </w:r>
    </w:p>
  </w:footnote>
  <w:footnote w:id="101">
    <w:p w14:paraId="48CC08BC" w14:textId="77777777" w:rsidR="00C8019E" w:rsidRPr="00EC2E06" w:rsidRDefault="00C8019E" w:rsidP="001C3855">
      <w:pPr>
        <w:pStyle w:val="Textpoznpodarou"/>
        <w:jc w:val="both"/>
        <w:rPr>
          <w:spacing w:val="-4"/>
        </w:rPr>
      </w:pPr>
      <w:r w:rsidRPr="00EC2E06">
        <w:rPr>
          <w:rStyle w:val="Znakapoznpodarou"/>
          <w:spacing w:val="-4"/>
          <w:sz w:val="16"/>
          <w:szCs w:val="16"/>
        </w:rPr>
        <w:footnoteRef/>
      </w:r>
      <w:r>
        <w:rPr>
          <w:spacing w:val="-4"/>
          <w:sz w:val="16"/>
          <w:szCs w:val="16"/>
        </w:rPr>
        <w:t xml:space="preserve"> R</w:t>
      </w:r>
      <w:r w:rsidRPr="00EC2E06">
        <w:rPr>
          <w:rFonts w:cs="Arial"/>
          <w:color w:val="000000" w:themeColor="text1"/>
          <w:spacing w:val="-4"/>
          <w:sz w:val="16"/>
          <w:szCs w:val="16"/>
        </w:rPr>
        <w:t xml:space="preserve">ozdíl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102">
    <w:p w14:paraId="567800DE" w14:textId="77777777" w:rsidR="00C8019E" w:rsidRPr="00AB5EA8" w:rsidRDefault="00C8019E" w:rsidP="001C3855">
      <w:pPr>
        <w:pStyle w:val="Textpoznpodarou"/>
        <w:rPr>
          <w:sz w:val="16"/>
          <w:szCs w:val="16"/>
        </w:rPr>
      </w:pPr>
      <w:r w:rsidRPr="00694DF8">
        <w:rPr>
          <w:rStyle w:val="Znakapoznpodarou"/>
          <w:sz w:val="16"/>
          <w:szCs w:val="16"/>
        </w:rPr>
        <w:footnoteRef/>
      </w:r>
      <w:r w:rsidRPr="00694DF8">
        <w:rPr>
          <w:sz w:val="16"/>
          <w:szCs w:val="16"/>
        </w:rPr>
        <w:t xml:space="preserve"> Ten je vyplácen letos od srpna (ve výši 5 tis. korun za každé dítě) rodinám se středními a nižšími příjmy s cílem částečně kompenzovat rostoucí ceny energií, potravin a dalších potřeb </w:t>
      </w:r>
      <w:r w:rsidRPr="00AB5EA8">
        <w:rPr>
          <w:sz w:val="16"/>
          <w:szCs w:val="16"/>
        </w:rPr>
        <w:t>těmto rodinám.</w:t>
      </w:r>
    </w:p>
  </w:footnote>
  <w:footnote w:id="103">
    <w:p w14:paraId="54C6260E" w14:textId="77777777" w:rsidR="00C8019E" w:rsidRPr="0095169D" w:rsidRDefault="00C8019E" w:rsidP="001C3855">
      <w:pPr>
        <w:pStyle w:val="Textpoznpodarou"/>
        <w:rPr>
          <w:sz w:val="16"/>
          <w:szCs w:val="16"/>
        </w:rPr>
      </w:pPr>
      <w:r w:rsidRPr="0095169D">
        <w:rPr>
          <w:rStyle w:val="Znakapoznpodarou"/>
          <w:sz w:val="16"/>
          <w:szCs w:val="16"/>
        </w:rPr>
        <w:footnoteRef/>
      </w:r>
      <w:r w:rsidRPr="0095169D">
        <w:rPr>
          <w:sz w:val="16"/>
          <w:szCs w:val="16"/>
        </w:rPr>
        <w:t xml:space="preserve"> K tomu došlo zejména vlivem zákonného navýšení příspěvku pro </w:t>
      </w:r>
      <w:r>
        <w:rPr>
          <w:sz w:val="16"/>
          <w:szCs w:val="16"/>
        </w:rPr>
        <w:t xml:space="preserve">postižené </w:t>
      </w:r>
      <w:r w:rsidRPr="0095169D">
        <w:rPr>
          <w:sz w:val="16"/>
          <w:szCs w:val="16"/>
        </w:rPr>
        <w:t xml:space="preserve">osoby ve dvou nejtěžších stupních závislosti. </w:t>
      </w:r>
    </w:p>
  </w:footnote>
  <w:footnote w:id="104">
    <w:p w14:paraId="50AEC605" w14:textId="77777777" w:rsidR="00C8019E" w:rsidRPr="006B6115" w:rsidRDefault="00C8019E" w:rsidP="001C3855">
      <w:pPr>
        <w:pStyle w:val="Textpoznpodarou"/>
        <w:rPr>
          <w:sz w:val="16"/>
          <w:szCs w:val="16"/>
        </w:rPr>
      </w:pPr>
      <w:r w:rsidRPr="00AB5EA8">
        <w:rPr>
          <w:rStyle w:val="Znakapoznpodarou"/>
          <w:sz w:val="16"/>
          <w:szCs w:val="16"/>
        </w:rPr>
        <w:footnoteRef/>
      </w:r>
      <w:r w:rsidRPr="00AB5EA8">
        <w:rPr>
          <w:sz w:val="16"/>
          <w:szCs w:val="16"/>
        </w:rPr>
        <w:t xml:space="preserve"> Výdaje na dávky nemoce</w:t>
      </w:r>
      <w:r>
        <w:rPr>
          <w:sz w:val="16"/>
          <w:szCs w:val="16"/>
        </w:rPr>
        <w:t>nského pojištění tak v roce 2022</w:t>
      </w:r>
      <w:r w:rsidRPr="00AB5EA8">
        <w:rPr>
          <w:sz w:val="16"/>
          <w:szCs w:val="16"/>
        </w:rPr>
        <w:t xml:space="preserve"> převýšil</w:t>
      </w:r>
      <w:r w:rsidRPr="006B6115">
        <w:rPr>
          <w:sz w:val="16"/>
          <w:szCs w:val="16"/>
        </w:rPr>
        <w:t>y příjmy plyn</w:t>
      </w:r>
      <w:r>
        <w:rPr>
          <w:sz w:val="16"/>
          <w:szCs w:val="16"/>
        </w:rPr>
        <w:t>oucí na nemocenské pojištění o 8</w:t>
      </w:r>
      <w:r w:rsidRPr="006B6115">
        <w:rPr>
          <w:sz w:val="16"/>
          <w:szCs w:val="16"/>
        </w:rPr>
        <w:t xml:space="preserve"> mld. korun. To značilo lepší výsledek než</w:t>
      </w:r>
      <w:r>
        <w:rPr>
          <w:sz w:val="16"/>
          <w:szCs w:val="16"/>
        </w:rPr>
        <w:t xml:space="preserve"> v roce 2021 (–14,4 mld.) a 2020 (–21,3</w:t>
      </w:r>
      <w:r w:rsidRPr="006B6115">
        <w:rPr>
          <w:sz w:val="16"/>
          <w:szCs w:val="16"/>
        </w:rPr>
        <w:t xml:space="preserve"> mld.). Přebytek v oblasti nemocenského pojištění byl naposl</w:t>
      </w:r>
      <w:r>
        <w:rPr>
          <w:sz w:val="16"/>
          <w:szCs w:val="16"/>
        </w:rPr>
        <w:t>edy zaznamenán v roce 2018 (+0,6</w:t>
      </w:r>
      <w:r w:rsidRPr="006B6115">
        <w:rPr>
          <w:sz w:val="16"/>
          <w:szCs w:val="16"/>
        </w:rPr>
        <w:t xml:space="preserve"> mld.). </w:t>
      </w:r>
    </w:p>
  </w:footnote>
  <w:footnote w:id="105">
    <w:p w14:paraId="5BEF8CF9" w14:textId="77777777" w:rsidR="00C8019E" w:rsidRPr="00614788" w:rsidRDefault="00C8019E" w:rsidP="001C3855">
      <w:pPr>
        <w:pStyle w:val="Textpoznpodarou"/>
        <w:rPr>
          <w:spacing w:val="-2"/>
          <w:sz w:val="16"/>
          <w:szCs w:val="16"/>
        </w:rPr>
      </w:pPr>
      <w:r w:rsidRPr="00614788">
        <w:rPr>
          <w:rStyle w:val="Znakapoznpodarou"/>
          <w:spacing w:val="-2"/>
          <w:sz w:val="16"/>
          <w:szCs w:val="16"/>
        </w:rPr>
        <w:footnoteRef/>
      </w:r>
      <w:r w:rsidRPr="00614788">
        <w:rPr>
          <w:spacing w:val="-2"/>
          <w:sz w:val="16"/>
          <w:szCs w:val="16"/>
        </w:rPr>
        <w:t xml:space="preserve"> Čisté výdaje odpovídají saldu rozpočtov</w:t>
      </w:r>
      <w:r>
        <w:rPr>
          <w:spacing w:val="-2"/>
          <w:sz w:val="16"/>
          <w:szCs w:val="16"/>
        </w:rPr>
        <w:t>é kapitoly Státní dluh (č. 396).</w:t>
      </w:r>
    </w:p>
  </w:footnote>
  <w:footnote w:id="106">
    <w:p w14:paraId="10002086" w14:textId="77777777" w:rsidR="00C8019E" w:rsidRPr="003C31FB" w:rsidRDefault="00C8019E" w:rsidP="001C3855">
      <w:pPr>
        <w:pStyle w:val="Textpoznpodarou"/>
        <w:rPr>
          <w:sz w:val="16"/>
          <w:szCs w:val="16"/>
        </w:rPr>
      </w:pPr>
      <w:r w:rsidRPr="003C31FB">
        <w:rPr>
          <w:rStyle w:val="Znakapoznpodarou"/>
          <w:sz w:val="16"/>
          <w:szCs w:val="16"/>
        </w:rPr>
        <w:footnoteRef/>
      </w:r>
      <w:r>
        <w:rPr>
          <w:sz w:val="16"/>
          <w:szCs w:val="16"/>
        </w:rPr>
        <w:t xml:space="preserve"> Měsíční platby státu se od</w:t>
      </w:r>
      <w:r w:rsidRPr="003C31FB">
        <w:rPr>
          <w:sz w:val="16"/>
          <w:szCs w:val="16"/>
        </w:rPr>
        <w:t xml:space="preserve"> ledna 2022 zvýšily z 1767 korun na 1967 korun na osobu. Podle později schválené novely zákon</w:t>
      </w:r>
      <w:r>
        <w:rPr>
          <w:sz w:val="16"/>
          <w:szCs w:val="16"/>
        </w:rPr>
        <w:t>a</w:t>
      </w:r>
      <w:r w:rsidRPr="003C31FB">
        <w:rPr>
          <w:sz w:val="16"/>
          <w:szCs w:val="16"/>
        </w:rPr>
        <w:t xml:space="preserve"> </w:t>
      </w:r>
      <w:r>
        <w:rPr>
          <w:sz w:val="16"/>
          <w:szCs w:val="16"/>
        </w:rPr>
        <w:br/>
      </w:r>
      <w:r w:rsidRPr="003C31FB">
        <w:rPr>
          <w:sz w:val="16"/>
          <w:szCs w:val="16"/>
        </w:rPr>
        <w:t>o veřejn</w:t>
      </w:r>
      <w:r>
        <w:rPr>
          <w:sz w:val="16"/>
          <w:szCs w:val="16"/>
        </w:rPr>
        <w:t>ém zdravotním pojištění však došlo</w:t>
      </w:r>
      <w:r w:rsidRPr="003C31FB">
        <w:rPr>
          <w:sz w:val="16"/>
          <w:szCs w:val="16"/>
        </w:rPr>
        <w:t xml:space="preserve"> o</w:t>
      </w:r>
      <w:r>
        <w:rPr>
          <w:sz w:val="16"/>
          <w:szCs w:val="16"/>
        </w:rPr>
        <w:t>d září</w:t>
      </w:r>
      <w:r w:rsidRPr="003C31FB">
        <w:rPr>
          <w:sz w:val="16"/>
          <w:szCs w:val="16"/>
        </w:rPr>
        <w:t xml:space="preserve"> 2022 k poklesu platby na </w:t>
      </w:r>
      <w:r>
        <w:rPr>
          <w:sz w:val="16"/>
          <w:szCs w:val="16"/>
        </w:rPr>
        <w:t>1 487 korun.</w:t>
      </w:r>
    </w:p>
  </w:footnote>
  <w:footnote w:id="107">
    <w:p w14:paraId="6FEC7604" w14:textId="77777777" w:rsidR="00C8019E" w:rsidRPr="0024098E" w:rsidRDefault="00C8019E" w:rsidP="001C3855">
      <w:pPr>
        <w:pStyle w:val="Textpoznpodarou"/>
        <w:rPr>
          <w:sz w:val="16"/>
          <w:szCs w:val="16"/>
        </w:rPr>
      </w:pPr>
      <w:r w:rsidRPr="0024098E">
        <w:rPr>
          <w:rStyle w:val="Znakapoznpodarou"/>
          <w:sz w:val="16"/>
          <w:szCs w:val="16"/>
        </w:rPr>
        <w:footnoteRef/>
      </w:r>
      <w:r w:rsidRPr="0024098E">
        <w:rPr>
          <w:sz w:val="16"/>
          <w:szCs w:val="16"/>
        </w:rPr>
        <w:t xml:space="preserve"> V prosinci bylo ze SR na investicích čerpáno 39,5 mld. korun, tedy více než za první čtyři měsíce roku (28,5 mld.), které byly z velké části poznamenány</w:t>
      </w:r>
      <w:r>
        <w:rPr>
          <w:sz w:val="16"/>
          <w:szCs w:val="16"/>
        </w:rPr>
        <w:t xml:space="preserve"> režimem</w:t>
      </w:r>
      <w:r w:rsidRPr="0024098E">
        <w:rPr>
          <w:sz w:val="16"/>
          <w:szCs w:val="16"/>
        </w:rPr>
        <w:t xml:space="preserve"> rozpočtového provizoria.</w:t>
      </w:r>
    </w:p>
  </w:footnote>
  <w:footnote w:id="108">
    <w:p w14:paraId="5D786047" w14:textId="77777777" w:rsidR="00C8019E" w:rsidRPr="00A051BE" w:rsidRDefault="00C8019E" w:rsidP="001C3855">
      <w:pPr>
        <w:pStyle w:val="Textpoznpodarou"/>
        <w:rPr>
          <w:sz w:val="16"/>
          <w:szCs w:val="16"/>
        </w:rPr>
      </w:pPr>
      <w:r w:rsidRPr="00BC701B">
        <w:rPr>
          <w:rStyle w:val="Znakapoznpodarou"/>
          <w:sz w:val="16"/>
          <w:szCs w:val="16"/>
        </w:rPr>
        <w:footnoteRef/>
      </w:r>
      <w:r w:rsidRPr="00BC701B">
        <w:rPr>
          <w:sz w:val="16"/>
          <w:szCs w:val="16"/>
        </w:rPr>
        <w:t xml:space="preserve"> Nárůst dluhu v předchozích dvou letech silně poznamenaných dopady pandemie</w:t>
      </w:r>
      <w:r>
        <w:rPr>
          <w:sz w:val="16"/>
          <w:szCs w:val="16"/>
        </w:rPr>
        <w:t xml:space="preserve"> však také</w:t>
      </w:r>
      <w:r w:rsidRPr="00BC701B">
        <w:rPr>
          <w:sz w:val="16"/>
          <w:szCs w:val="16"/>
        </w:rPr>
        <w:t xml:space="preserve"> přesáhl 400 mld. korun (</w:t>
      </w:r>
      <w:r>
        <w:rPr>
          <w:sz w:val="16"/>
          <w:szCs w:val="16"/>
        </w:rPr>
        <w:t>v</w:t>
      </w:r>
      <w:r w:rsidRPr="0024098E">
        <w:rPr>
          <w:sz w:val="16"/>
          <w:szCs w:val="16"/>
        </w:rPr>
        <w:t> </w:t>
      </w:r>
      <w:r w:rsidRPr="00BC701B">
        <w:rPr>
          <w:sz w:val="16"/>
          <w:szCs w:val="16"/>
        </w:rPr>
        <w:t>roce 20</w:t>
      </w:r>
      <w:r>
        <w:rPr>
          <w:sz w:val="16"/>
          <w:szCs w:val="16"/>
        </w:rPr>
        <w:t>20 +409,5 mld., o rok později +</w:t>
      </w:r>
      <w:r w:rsidRPr="00BC701B">
        <w:rPr>
          <w:sz w:val="16"/>
          <w:szCs w:val="16"/>
        </w:rPr>
        <w:t>416,1 mld.).</w:t>
      </w:r>
    </w:p>
  </w:footnote>
  <w:footnote w:id="109">
    <w:p w14:paraId="6E126220" w14:textId="77777777" w:rsidR="00C8019E" w:rsidRDefault="00C8019E" w:rsidP="001C3855">
      <w:pPr>
        <w:pStyle w:val="Textpoznpodarou"/>
      </w:pPr>
      <w:r w:rsidRPr="00A051BE">
        <w:rPr>
          <w:rStyle w:val="Znakapoznpodarou"/>
          <w:sz w:val="16"/>
          <w:szCs w:val="16"/>
        </w:rPr>
        <w:footnoteRef/>
      </w:r>
      <w:r w:rsidRPr="00A051BE">
        <w:rPr>
          <w:sz w:val="16"/>
          <w:szCs w:val="16"/>
        </w:rPr>
        <w:t xml:space="preserve"> </w:t>
      </w:r>
      <w:r>
        <w:rPr>
          <w:spacing w:val="-4"/>
          <w:sz w:val="16"/>
          <w:szCs w:val="16"/>
        </w:rPr>
        <w:t>Hodnota</w:t>
      </w:r>
      <w:r w:rsidRPr="00790DFB">
        <w:rPr>
          <w:spacing w:val="-4"/>
          <w:sz w:val="16"/>
          <w:szCs w:val="16"/>
        </w:rPr>
        <w:t xml:space="preserve"> všech státních dluhopisů v oběhu </w:t>
      </w:r>
      <w:r>
        <w:rPr>
          <w:spacing w:val="-4"/>
          <w:sz w:val="16"/>
          <w:szCs w:val="16"/>
        </w:rPr>
        <w:t xml:space="preserve">vzrostla za loňský rok </w:t>
      </w:r>
      <w:r w:rsidRPr="00790DFB">
        <w:rPr>
          <w:spacing w:val="-4"/>
          <w:sz w:val="16"/>
          <w:szCs w:val="16"/>
        </w:rPr>
        <w:t xml:space="preserve">o 243,7 mld. korun, </w:t>
      </w:r>
      <w:r>
        <w:rPr>
          <w:spacing w:val="-4"/>
          <w:sz w:val="16"/>
          <w:szCs w:val="16"/>
        </w:rPr>
        <w:t xml:space="preserve">tedy </w:t>
      </w:r>
      <w:r w:rsidRPr="00790DFB">
        <w:rPr>
          <w:spacing w:val="-4"/>
          <w:sz w:val="16"/>
          <w:szCs w:val="16"/>
        </w:rPr>
        <w:t>na 2 609,8 mld.</w:t>
      </w:r>
      <w:r>
        <w:rPr>
          <w:spacing w:val="-4"/>
          <w:sz w:val="16"/>
          <w:szCs w:val="16"/>
        </w:rPr>
        <w:t xml:space="preserve"> Rovné dvě třetiny hodnoty dluhopisů držely v prosinci 2022 tuzemské finanční instituce, nerezidenti pak necelých 27 %. Z hlediska celkové držby dluhopisů posílil meziročně nejvíce podíl tuzemských domácností (na více než dvojnásobek –3,7 %), v menší míře také penzijních fondů, pojišťoven, investičních fondů a rovněž nerezidentů.</w:t>
      </w:r>
    </w:p>
  </w:footnote>
  <w:footnote w:id="110">
    <w:p w14:paraId="524B59C3" w14:textId="77777777" w:rsidR="00C8019E" w:rsidRDefault="00C8019E" w:rsidP="001C3855">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4. čtvrtletí i celý rok 2022 zveřejní ČSÚ 3. dubna 2023, </w:t>
      </w:r>
      <w:proofErr w:type="spellStart"/>
      <w:r>
        <w:rPr>
          <w:sz w:val="16"/>
          <w:szCs w:val="16"/>
        </w:rPr>
        <w:t>Eurostat</w:t>
      </w:r>
      <w:proofErr w:type="spellEnd"/>
      <w:r>
        <w:rPr>
          <w:sz w:val="16"/>
          <w:szCs w:val="16"/>
        </w:rPr>
        <w:t xml:space="preserve"> analogicky 21. dubna 2023. Detailnější zhodnocení tuzemského vývoje za 3. čtvrtletí 2022 je obsaženo v publikaci Analýza sektorových účtů:</w:t>
      </w:r>
    </w:p>
    <w:p w14:paraId="2FBF7CA9" w14:textId="77777777" w:rsidR="00C8019E" w:rsidRPr="00900B2B" w:rsidRDefault="005605F3" w:rsidP="001C3855">
      <w:pPr>
        <w:pStyle w:val="Textpoznpodarou"/>
        <w:rPr>
          <w:sz w:val="16"/>
          <w:szCs w:val="16"/>
        </w:rPr>
      </w:pPr>
      <w:hyperlink r:id="rId3" w:history="1">
        <w:r w:rsidR="00C8019E" w:rsidRPr="00017AB9">
          <w:rPr>
            <w:rStyle w:val="Hypertextovodkaz"/>
            <w:sz w:val="16"/>
            <w:szCs w:val="16"/>
          </w:rPr>
          <w:t>https://www.czso.cz/csu/czso/cri/analyza-ctvrtletnich-sektorovych-uctu-3-ctvrtleti-2022</w:t>
        </w:r>
      </w:hyperlink>
    </w:p>
  </w:footnote>
  <w:footnote w:id="111">
    <w:p w14:paraId="601E2BAB" w14:textId="77777777" w:rsidR="00C8019E" w:rsidRPr="00654E54" w:rsidRDefault="00C8019E" w:rsidP="001C3855">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 w:id="112">
    <w:p w14:paraId="007E3BE2" w14:textId="77777777" w:rsidR="00C8019E" w:rsidRPr="00A274FC" w:rsidRDefault="00C8019E" w:rsidP="001C3855">
      <w:pPr>
        <w:pStyle w:val="Textpoznpodarou"/>
        <w:rPr>
          <w:sz w:val="16"/>
          <w:szCs w:val="16"/>
        </w:rPr>
      </w:pPr>
      <w:r w:rsidRPr="00A274FC">
        <w:rPr>
          <w:rStyle w:val="Znakapoznpodarou"/>
          <w:sz w:val="16"/>
          <w:szCs w:val="16"/>
        </w:rPr>
        <w:footnoteRef/>
      </w:r>
      <w:r>
        <w:rPr>
          <w:sz w:val="16"/>
          <w:szCs w:val="16"/>
        </w:rPr>
        <w:t xml:space="preserve"> Údaje o saldu hospodaření</w:t>
      </w:r>
      <w:r w:rsidRPr="00A274FC">
        <w:rPr>
          <w:sz w:val="16"/>
          <w:szCs w:val="16"/>
        </w:rPr>
        <w:t xml:space="preserve"> sektoru VI </w:t>
      </w:r>
      <w:r>
        <w:rPr>
          <w:sz w:val="16"/>
          <w:szCs w:val="16"/>
        </w:rPr>
        <w:t>v zemích EU vyjádřené</w:t>
      </w:r>
      <w:r w:rsidRPr="00A274FC">
        <w:rPr>
          <w:sz w:val="16"/>
          <w:szCs w:val="16"/>
        </w:rPr>
        <w:t xml:space="preserve"> po sezónním očištění.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77777777" w:rsidR="00C8019E" w:rsidRDefault="00C8019E" w:rsidP="00937AE2">
    <w:pPr>
      <w:pStyle w:val="Zhlav"/>
    </w:pPr>
    <w:r>
      <w:t>Vývoj ekonomiky České republiky</w:t>
    </w:r>
  </w:p>
  <w:p w14:paraId="3E881AB3" w14:textId="77777777" w:rsidR="00C8019E" w:rsidRPr="006F5416" w:rsidRDefault="00C8019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77777777" w:rsidR="00C8019E" w:rsidRDefault="00C8019E" w:rsidP="00937AE2">
    <w:pPr>
      <w:pStyle w:val="Zhlav"/>
    </w:pPr>
    <w:r>
      <w:t>Vývoj ekonomiky České republiky</w:t>
    </w:r>
  </w:p>
  <w:p w14:paraId="57266714" w14:textId="77777777" w:rsidR="00C8019E" w:rsidRPr="006F5416" w:rsidRDefault="00C8019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579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989675651">
    <w:abstractNumId w:val="25"/>
  </w:num>
  <w:num w:numId="2" w16cid:durableId="42993069">
    <w:abstractNumId w:val="8"/>
  </w:num>
  <w:num w:numId="3" w16cid:durableId="1188448633">
    <w:abstractNumId w:val="3"/>
  </w:num>
  <w:num w:numId="4" w16cid:durableId="178853939">
    <w:abstractNumId w:val="2"/>
  </w:num>
  <w:num w:numId="5" w16cid:durableId="467431360">
    <w:abstractNumId w:val="1"/>
  </w:num>
  <w:num w:numId="6" w16cid:durableId="1323971648">
    <w:abstractNumId w:val="0"/>
  </w:num>
  <w:num w:numId="7" w16cid:durableId="1319113600">
    <w:abstractNumId w:val="9"/>
  </w:num>
  <w:num w:numId="8" w16cid:durableId="1380520353">
    <w:abstractNumId w:val="7"/>
  </w:num>
  <w:num w:numId="9" w16cid:durableId="1491631085">
    <w:abstractNumId w:val="6"/>
  </w:num>
  <w:num w:numId="10" w16cid:durableId="1311446643">
    <w:abstractNumId w:val="5"/>
  </w:num>
  <w:num w:numId="11" w16cid:durableId="1993364951">
    <w:abstractNumId w:val="4"/>
  </w:num>
  <w:num w:numId="12" w16cid:durableId="231276771">
    <w:abstractNumId w:val="15"/>
  </w:num>
  <w:num w:numId="13" w16cid:durableId="207644179">
    <w:abstractNumId w:val="27"/>
  </w:num>
  <w:num w:numId="14" w16cid:durableId="1218779089">
    <w:abstractNumId w:val="14"/>
  </w:num>
  <w:num w:numId="15" w16cid:durableId="1609242427">
    <w:abstractNumId w:val="20"/>
  </w:num>
  <w:num w:numId="16" w16cid:durableId="375545102">
    <w:abstractNumId w:val="16"/>
  </w:num>
  <w:num w:numId="17" w16cid:durableId="1211458968">
    <w:abstractNumId w:val="28"/>
  </w:num>
  <w:num w:numId="18" w16cid:durableId="482963397">
    <w:abstractNumId w:val="21"/>
  </w:num>
  <w:num w:numId="19" w16cid:durableId="836001720">
    <w:abstractNumId w:val="29"/>
  </w:num>
  <w:num w:numId="20" w16cid:durableId="979767753">
    <w:abstractNumId w:val="30"/>
  </w:num>
  <w:num w:numId="21" w16cid:durableId="862285838">
    <w:abstractNumId w:val="26"/>
  </w:num>
  <w:num w:numId="22" w16cid:durableId="582881778">
    <w:abstractNumId w:val="19"/>
  </w:num>
  <w:num w:numId="23" w16cid:durableId="526522376">
    <w:abstractNumId w:val="17"/>
  </w:num>
  <w:num w:numId="24" w16cid:durableId="386228362">
    <w:abstractNumId w:val="18"/>
  </w:num>
  <w:num w:numId="25" w16cid:durableId="1287664625">
    <w:abstractNumId w:val="13"/>
  </w:num>
  <w:num w:numId="26" w16cid:durableId="907227532">
    <w:abstractNumId w:val="23"/>
  </w:num>
  <w:num w:numId="27" w16cid:durableId="1723559017">
    <w:abstractNumId w:val="22"/>
  </w:num>
  <w:num w:numId="28" w16cid:durableId="1931085482">
    <w:abstractNumId w:val="10"/>
  </w:num>
  <w:num w:numId="29" w16cid:durableId="612982388">
    <w:abstractNumId w:val="30"/>
  </w:num>
  <w:num w:numId="30" w16cid:durableId="189496072">
    <w:abstractNumId w:val="24"/>
  </w:num>
  <w:num w:numId="31" w16cid:durableId="611744734">
    <w:abstractNumId w:val="12"/>
  </w:num>
  <w:num w:numId="32" w16cid:durableId="1852186949">
    <w:abstractNumId w:val="31"/>
  </w:num>
  <w:num w:numId="33" w16cid:durableId="698824509">
    <w:abstractNumId w:val="30"/>
  </w:num>
  <w:num w:numId="34" w16cid:durableId="699744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39B"/>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4779E"/>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C6C"/>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499B"/>
    <w:rsid w:val="0074501E"/>
    <w:rsid w:val="007450BF"/>
    <w:rsid w:val="0074599A"/>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71A"/>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0EBE"/>
    <w:rsid w:val="008C1717"/>
    <w:rsid w:val="008C17F0"/>
    <w:rsid w:val="008C3A32"/>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32F0"/>
    <w:rsid w:val="00D95302"/>
    <w:rsid w:val="00D95889"/>
    <w:rsid w:val="00D95C5D"/>
    <w:rsid w:val="00D95CBE"/>
    <w:rsid w:val="00D95E7F"/>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3E22"/>
    <w:rsid w:val="00DE3E5D"/>
    <w:rsid w:val="00DE450F"/>
    <w:rsid w:val="00DE4865"/>
    <w:rsid w:val="00DE5CA6"/>
    <w:rsid w:val="00DE5E55"/>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730A"/>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21" Type="http://schemas.openxmlformats.org/officeDocument/2006/relationships/chart" Target="charts/chart9.xm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cri/analyza-ctvrtletnich-sektorovych-uctu-3-ctvrtleti-2022" TargetMode="External"/><Relationship Id="rId2" Type="http://schemas.openxmlformats.org/officeDocument/2006/relationships/hyperlink" Target="https://www.czso.cz/csu/czso/metodicka-poznamka-k-indexu-spotrebitelskych-cen-imputovane-najemne" TargetMode="External"/><Relationship Id="rId1" Type="http://schemas.openxmlformats.org/officeDocument/2006/relationships/hyperlink" Target="https://www.czso.cz/csu/czso/aktualizace-metody-propoctu-zahranicni-obchod-se-zboz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2Q4\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nal&#253;za\Q\2022Q4\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2Q4\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2Q4\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zabojnikova31519\Documents\Anal&#253;za\Q\2022Q4\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amenicky3604\JKAM%20CSU\PUBLIKACE\PUBLIKACE\2022\Q-Makro\Celorok\Trh%20pr&#225;ce\Grafy-Trh%20pr&#225;ce%20celorok-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menicky3604\JKAM%20CSU\PUBLIKACE\PUBLIKACE\2022\Q-Makro\Celorok\Trh%20pr&#225;ce\Grafy-Trh%20pr&#225;ce%20celorok-20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Q-makro-2022\Celorok-2022\Trh%20pr&#225;ce\Grafy-Trh%20pr&#225;ce%20celorok-2022-aktu&#225;ln&#23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zabojnikova31519\Documents\Anal&#253;za\Q\2022Q4\Makroanal&#253;za%20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Q-makro-2022\Celorok-2022\Grafy-st&#225;tn&#237;%20rozpo&#269;et-rok-202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Q-makro-2022\Celorok-2022\Grafy-st&#225;tn&#237;%20rozpo&#269;et-rok-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2Q4\Makroanal&#253;za%20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Q-makro-2022\Celorok-2022\Grafy-st&#225;tn&#237;%20rozpo&#269;et-rok-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2Q4\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Q-makro-2022\Celorok-2022\Odv&#283;tv&#237;\Odv&#283;tv&#237;_grafy-rok-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Q-makro-2022\Celorok-2022\Odv&#283;tv&#237;\Odv&#283;tv&#237;_grafy-rok-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Q-makro-2022\Celorok-2022\Odv&#283;tv&#237;\Odv&#283;tv&#237;_grafy-rok-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Q-makro-2022\Celorok-2022\Odv&#283;tv&#237;\Odv&#283;tv&#237;_grafy-rok-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Q-makro-2022\Celorok-2022\Odv&#283;tv&#237;\Odv&#283;tv&#237;_grafy-rok-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nal&#253;za\Q\2022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1'!$C$25:$C$48</c:f>
              <c:numCache>
                <c:formatCode>#\ ##0.0</c:formatCode>
                <c:ptCount val="24"/>
                <c:pt idx="0">
                  <c:v>3.695024939296502</c:v>
                </c:pt>
                <c:pt idx="1">
                  <c:v>5.9154748938585584</c:v>
                </c:pt>
                <c:pt idx="2">
                  <c:v>5.8516412927584582</c:v>
                </c:pt>
                <c:pt idx="3">
                  <c:v>5.8958110920111153</c:v>
                </c:pt>
                <c:pt idx="4">
                  <c:v>4.7409332982438741</c:v>
                </c:pt>
                <c:pt idx="5" formatCode="General">
                  <c:v>2.821338885097731</c:v>
                </c:pt>
                <c:pt idx="6" formatCode="General">
                  <c:v>2.6959141687858903</c:v>
                </c:pt>
                <c:pt idx="7">
                  <c:v>2.6197437017841025</c:v>
                </c:pt>
                <c:pt idx="8">
                  <c:v>2.9978799448777949</c:v>
                </c:pt>
                <c:pt idx="9" formatCode="General">
                  <c:v>3.0712313540949907</c:v>
                </c:pt>
                <c:pt idx="10" formatCode="General">
                  <c:v>3.0292239015638387</c:v>
                </c:pt>
                <c:pt idx="11" formatCode="General">
                  <c:v>2.7681270582493624</c:v>
                </c:pt>
                <c:pt idx="12" formatCode="General">
                  <c:v>-1.4629386956710846</c:v>
                </c:pt>
                <c:pt idx="13" formatCode="General">
                  <c:v>-10.78290466571336</c:v>
                </c:pt>
                <c:pt idx="14" formatCode="General">
                  <c:v>-5.2159569739525011</c:v>
                </c:pt>
                <c:pt idx="15" formatCode="General">
                  <c:v>-4.5960804470275178</c:v>
                </c:pt>
                <c:pt idx="16" formatCode="General">
                  <c:v>-1.8871144320826687</c:v>
                </c:pt>
                <c:pt idx="17" formatCode="General">
                  <c:v>9.1334269072149539</c:v>
                </c:pt>
                <c:pt idx="18" formatCode="General">
                  <c:v>3.7708183512418287</c:v>
                </c:pt>
                <c:pt idx="19" formatCode="General">
                  <c:v>3.4726640387638668</c:v>
                </c:pt>
                <c:pt idx="20" formatCode="General">
                  <c:v>4.6608438845384939</c:v>
                </c:pt>
                <c:pt idx="21" formatCode="General">
                  <c:v>3.510335140502491</c:v>
                </c:pt>
                <c:pt idx="22" formatCode="General">
                  <c:v>1.4589487053958976</c:v>
                </c:pt>
                <c:pt idx="23" formatCode="General">
                  <c:v>0.2381533010240986</c:v>
                </c:pt>
              </c:numCache>
            </c:numRef>
          </c:val>
          <c:extLst>
            <c:ext xmlns:c16="http://schemas.microsoft.com/office/drawing/2014/chart" uri="{C3380CC4-5D6E-409C-BE32-E72D297353CC}">
              <c16:uniqueId val="{00000000-CA1D-4FA6-9881-2D72CA1BB855}"/>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1'!$D$25:$D$48</c:f>
              <c:numCache>
                <c:formatCode>#\ ##0.##########</c:formatCode>
                <c:ptCount val="24"/>
                <c:pt idx="0">
                  <c:v>2.4</c:v>
                </c:pt>
                <c:pt idx="1">
                  <c:v>2.9</c:v>
                </c:pt>
                <c:pt idx="2">
                  <c:v>3.3</c:v>
                </c:pt>
                <c:pt idx="3">
                  <c:v>3.3</c:v>
                </c:pt>
                <c:pt idx="4">
                  <c:v>2.6</c:v>
                </c:pt>
                <c:pt idx="5">
                  <c:v>2.4</c:v>
                </c:pt>
                <c:pt idx="6">
                  <c:v>1.7</c:v>
                </c:pt>
                <c:pt idx="7">
                  <c:v>1.5</c:v>
                </c:pt>
                <c:pt idx="8">
                  <c:v>2.1</c:v>
                </c:pt>
                <c:pt idx="9">
                  <c:v>1.8</c:v>
                </c:pt>
                <c:pt idx="10" formatCode="#\ ##0.0">
                  <c:v>2</c:v>
                </c:pt>
                <c:pt idx="11">
                  <c:v>1.4</c:v>
                </c:pt>
                <c:pt idx="12">
                  <c:v>-2.2000000000000002</c:v>
                </c:pt>
                <c:pt idx="13">
                  <c:v>-13.4</c:v>
                </c:pt>
                <c:pt idx="14">
                  <c:v>-3.7</c:v>
                </c:pt>
                <c:pt idx="15">
                  <c:v>-3.8</c:v>
                </c:pt>
                <c:pt idx="16">
                  <c:v>-0.7</c:v>
                </c:pt>
                <c:pt idx="17">
                  <c:v>13.8</c:v>
                </c:pt>
                <c:pt idx="18">
                  <c:v>4.3</c:v>
                </c:pt>
                <c:pt idx="19">
                  <c:v>5.0999999999999996</c:v>
                </c:pt>
                <c:pt idx="20">
                  <c:v>5.7</c:v>
                </c:pt>
                <c:pt idx="21">
                  <c:v>4.4000000000000004</c:v>
                </c:pt>
                <c:pt idx="22">
                  <c:v>2.6</c:v>
                </c:pt>
                <c:pt idx="23">
                  <c:v>1.7</c:v>
                </c:pt>
              </c:numCache>
            </c:numRef>
          </c:val>
          <c:extLst>
            <c:ext xmlns:c16="http://schemas.microsoft.com/office/drawing/2014/chart" uri="{C3380CC4-5D6E-409C-BE32-E72D297353CC}">
              <c16:uniqueId val="{00000001-CA1D-4FA6-9881-2D72CA1BB855}"/>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1'!$E$25:$E$48</c:f>
              <c:numCache>
                <c:formatCode>#\ ##0.0</c:formatCode>
                <c:ptCount val="24"/>
                <c:pt idx="0">
                  <c:v>1.6501768420245781</c:v>
                </c:pt>
                <c:pt idx="1">
                  <c:v>2.4798258472657153</c:v>
                </c:pt>
                <c:pt idx="2">
                  <c:v>0.83559458693113697</c:v>
                </c:pt>
                <c:pt idx="3">
                  <c:v>0.81343215586227302</c:v>
                </c:pt>
                <c:pt idx="4">
                  <c:v>0.54160105647851253</c:v>
                </c:pt>
                <c:pt idx="5">
                  <c:v>0.60167090858045924</c:v>
                </c:pt>
                <c:pt idx="6">
                  <c:v>0.71259214422481421</c:v>
                </c:pt>
                <c:pt idx="7">
                  <c:v>0.73865794240386151</c:v>
                </c:pt>
                <c:pt idx="8">
                  <c:v>0.91207969856712623</c:v>
                </c:pt>
                <c:pt idx="9" formatCode="General">
                  <c:v>0.67331582335634721</c:v>
                </c:pt>
                <c:pt idx="10" formatCode="General">
                  <c:v>0.67154597277419725</c:v>
                </c:pt>
                <c:pt idx="11" formatCode="General">
                  <c:v>0.4833658554360909</c:v>
                </c:pt>
                <c:pt idx="12" formatCode="General">
                  <c:v>-3.2425707440500986</c:v>
                </c:pt>
                <c:pt idx="13" formatCode="General">
                  <c:v>-8.8487042688318525</c:v>
                </c:pt>
                <c:pt idx="14" formatCode="General">
                  <c:v>6.9532258277307903</c:v>
                </c:pt>
                <c:pt idx="15" formatCode="General">
                  <c:v>1.1405152853573952</c:v>
                </c:pt>
                <c:pt idx="16" formatCode="General">
                  <c:v>-0.49517222231260405</c:v>
                </c:pt>
                <c:pt idx="17" formatCode="General">
                  <c:v>1.3898756783505632</c:v>
                </c:pt>
                <c:pt idx="18" formatCode="General">
                  <c:v>1.6977481966623031</c:v>
                </c:pt>
                <c:pt idx="19" formatCode="General">
                  <c:v>0.84991835957713135</c:v>
                </c:pt>
                <c:pt idx="20" formatCode="General">
                  <c:v>0.6474448352556692</c:v>
                </c:pt>
                <c:pt idx="21" formatCode="General">
                  <c:v>0.27532381544612861</c:v>
                </c:pt>
                <c:pt idx="22" formatCode="General">
                  <c:v>-0.31771606445079215</c:v>
                </c:pt>
                <c:pt idx="23" formatCode="General">
                  <c:v>-0.36354894355976342</c:v>
                </c:pt>
              </c:numCache>
            </c:numRef>
          </c:val>
          <c:smooth val="0"/>
          <c:extLst>
            <c:ext xmlns:c16="http://schemas.microsoft.com/office/drawing/2014/chart" uri="{C3380CC4-5D6E-409C-BE32-E72D297353CC}">
              <c16:uniqueId val="{00000002-CA1D-4FA6-9881-2D72CA1BB855}"/>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1'!$F$25:$F$48</c:f>
              <c:numCache>
                <c:formatCode>#\ ##0.##########</c:formatCode>
                <c:ptCount val="24"/>
                <c:pt idx="0">
                  <c:v>0.8</c:v>
                </c:pt>
                <c:pt idx="1">
                  <c:v>0.8</c:v>
                </c:pt>
                <c:pt idx="2">
                  <c:v>0.8</c:v>
                </c:pt>
                <c:pt idx="3">
                  <c:v>0.8</c:v>
                </c:pt>
                <c:pt idx="4">
                  <c:v>0.1</c:v>
                </c:pt>
                <c:pt idx="5">
                  <c:v>0.6</c:v>
                </c:pt>
                <c:pt idx="6">
                  <c:v>0.1</c:v>
                </c:pt>
                <c:pt idx="7">
                  <c:v>0.7</c:v>
                </c:pt>
                <c:pt idx="8">
                  <c:v>0.7</c:v>
                </c:pt>
                <c:pt idx="9">
                  <c:v>0.4</c:v>
                </c:pt>
                <c:pt idx="10">
                  <c:v>0.3</c:v>
                </c:pt>
                <c:pt idx="11">
                  <c:v>0.1</c:v>
                </c:pt>
                <c:pt idx="12">
                  <c:v>-2.9</c:v>
                </c:pt>
                <c:pt idx="13">
                  <c:v>-11.1</c:v>
                </c:pt>
                <c:pt idx="14">
                  <c:v>11.5</c:v>
                </c:pt>
                <c:pt idx="15">
                  <c:v>-0.1</c:v>
                </c:pt>
                <c:pt idx="16">
                  <c:v>0.2</c:v>
                </c:pt>
                <c:pt idx="17">
                  <c:v>1.9</c:v>
                </c:pt>
                <c:pt idx="18">
                  <c:v>2.2000000000000002</c:v>
                </c:pt>
                <c:pt idx="19">
                  <c:v>0.7</c:v>
                </c:pt>
                <c:pt idx="20">
                  <c:v>0.7</c:v>
                </c:pt>
                <c:pt idx="21">
                  <c:v>0.7</c:v>
                </c:pt>
                <c:pt idx="22">
                  <c:v>0.4</c:v>
                </c:pt>
                <c:pt idx="23">
                  <c:v>-0.1</c:v>
                </c:pt>
              </c:numCache>
            </c:numRef>
          </c:val>
          <c:smooth val="0"/>
          <c:extLst>
            <c:ext xmlns:c16="http://schemas.microsoft.com/office/drawing/2014/chart" uri="{C3380CC4-5D6E-409C-BE32-E72D297353CC}">
              <c16:uniqueId val="{00000003-CA1D-4FA6-9881-2D72CA1BB855}"/>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11717884667364E-2"/>
          <c:y val="2.3304908251716772E-2"/>
          <c:w val="0.92378402700888473"/>
          <c:h val="0.69508533791523486"/>
        </c:manualLayout>
      </c:layout>
      <c:barChart>
        <c:barDir val="col"/>
        <c:grouping val="clustered"/>
        <c:varyColors val="0"/>
        <c:ser>
          <c:idx val="1"/>
          <c:order val="1"/>
          <c:tx>
            <c:strRef>
              <c:f>'Vnější vztahy 2'!$A$7</c:f>
              <c:strCache>
                <c:ptCount val="1"/>
                <c:pt idx="0">
                  <c:v>2021</c:v>
                </c:pt>
              </c:strCache>
            </c:strRef>
          </c:tx>
          <c:spPr>
            <a:solidFill>
              <a:schemeClr val="bg1">
                <a:lumMod val="65000"/>
              </a:schemeClr>
            </a:solidFill>
          </c:spPr>
          <c:invertIfNegative val="0"/>
          <c:cat>
            <c:strRef>
              <c:f>'Vnější vztahy 2'!$B$5:$N$5</c:f>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2'!$B$7:$N$7</c:f>
              <c:numCache>
                <c:formatCode>General</c:formatCode>
                <c:ptCount val="13"/>
                <c:pt idx="0">
                  <c:v>-153.86668029099999</c:v>
                </c:pt>
                <c:pt idx="1">
                  <c:v>-54.645038549000013</c:v>
                </c:pt>
                <c:pt idx="2">
                  <c:v>-36.171383531000004</c:v>
                </c:pt>
                <c:pt idx="3">
                  <c:v>-26.521202938000002</c:v>
                </c:pt>
                <c:pt idx="4">
                  <c:v>-141.32686977700001</c:v>
                </c:pt>
                <c:pt idx="5">
                  <c:v>-74.679230379999936</c:v>
                </c:pt>
                <c:pt idx="6">
                  <c:v>26.090102950000002</c:v>
                </c:pt>
                <c:pt idx="7">
                  <c:v>-155.29868747500001</c:v>
                </c:pt>
                <c:pt idx="8">
                  <c:v>66.780931019999954</c:v>
                </c:pt>
                <c:pt idx="9">
                  <c:v>-64.711664618000057</c:v>
                </c:pt>
                <c:pt idx="10">
                  <c:v>3.5199225899999997</c:v>
                </c:pt>
                <c:pt idx="11">
                  <c:v>91.675185939999935</c:v>
                </c:pt>
                <c:pt idx="12">
                  <c:v>426.56033102399999</c:v>
                </c:pt>
              </c:numCache>
            </c:numRef>
          </c:val>
          <c:extLst>
            <c:ext xmlns:c16="http://schemas.microsoft.com/office/drawing/2014/chart" uri="{C3380CC4-5D6E-409C-BE32-E72D297353CC}">
              <c16:uniqueId val="{00000000-2B83-4C74-9090-15157E820563}"/>
            </c:ext>
          </c:extLst>
        </c:ser>
        <c:ser>
          <c:idx val="2"/>
          <c:order val="2"/>
          <c:tx>
            <c:strRef>
              <c:f>'Vnější vztahy 2'!$A$8</c:f>
              <c:strCache>
                <c:ptCount val="1"/>
                <c:pt idx="0">
                  <c:v>2022</c:v>
                </c:pt>
              </c:strCache>
            </c:strRef>
          </c:tx>
          <c:spPr>
            <a:solidFill>
              <a:srgbClr val="C00000"/>
            </a:solidFill>
          </c:spPr>
          <c:invertIfNegative val="0"/>
          <c:cat>
            <c:strRef>
              <c:f>'Vnější vztahy 2'!$B$5:$N$5</c:f>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2'!$B$8:$N$8</c:f>
              <c:numCache>
                <c:formatCode>General</c:formatCode>
                <c:ptCount val="13"/>
                <c:pt idx="0">
                  <c:v>-330.89006094299975</c:v>
                </c:pt>
                <c:pt idx="1">
                  <c:v>-60.951914400999982</c:v>
                </c:pt>
                <c:pt idx="2">
                  <c:v>-45.948661972999993</c:v>
                </c:pt>
                <c:pt idx="3">
                  <c:v>-49.306866260999982</c:v>
                </c:pt>
                <c:pt idx="4">
                  <c:v>-158.90587557899997</c:v>
                </c:pt>
                <c:pt idx="5">
                  <c:v>-72.845484351999971</c:v>
                </c:pt>
                <c:pt idx="6">
                  <c:v>30.168586840999989</c:v>
                </c:pt>
                <c:pt idx="7">
                  <c:v>-184.889162244</c:v>
                </c:pt>
                <c:pt idx="8">
                  <c:v>76.811881745000022</c:v>
                </c:pt>
                <c:pt idx="9">
                  <c:v>-63.673747178000006</c:v>
                </c:pt>
                <c:pt idx="10">
                  <c:v>-19.503311348</c:v>
                </c:pt>
                <c:pt idx="11">
                  <c:v>95.513267457000026</c:v>
                </c:pt>
                <c:pt idx="12">
                  <c:v>461.96911853999984</c:v>
                </c:pt>
              </c:numCache>
            </c:numRef>
          </c:val>
          <c:extLst>
            <c:ext xmlns:c16="http://schemas.microsoft.com/office/drawing/2014/chart" uri="{C3380CC4-5D6E-409C-BE32-E72D297353CC}">
              <c16:uniqueId val="{00000001-2B83-4C74-9090-15157E820563}"/>
            </c:ext>
          </c:extLst>
        </c:ser>
        <c:dLbls>
          <c:showLegendKey val="0"/>
          <c:showVal val="0"/>
          <c:showCatName val="0"/>
          <c:showSerName val="0"/>
          <c:showPercent val="0"/>
          <c:showBubbleSize val="0"/>
        </c:dLbls>
        <c:gapWidth val="97"/>
        <c:axId val="97533952"/>
        <c:axId val="97535488"/>
        <c:extLst>
          <c:ext xmlns:c15="http://schemas.microsoft.com/office/drawing/2012/chart" uri="{02D57815-91ED-43cb-92C2-25804820EDAC}">
            <c15:filteredBarSeries>
              <c15:ser>
                <c:idx val="0"/>
                <c:order val="0"/>
                <c:tx>
                  <c:strRef>
                    <c:extLst>
                      <c:ext uri="{02D57815-91ED-43cb-92C2-25804820EDAC}">
                        <c15:formulaRef>
                          <c15:sqref>'Vnější vztahy 2'!$A$6</c15:sqref>
                        </c15:formulaRef>
                      </c:ext>
                    </c:extLst>
                    <c:strCache>
                      <c:ptCount val="1"/>
                      <c:pt idx="0">
                        <c:v>2020</c:v>
                      </c:pt>
                    </c:strCache>
                  </c:strRef>
                </c:tx>
                <c:spPr>
                  <a:solidFill>
                    <a:schemeClr val="tx1">
                      <a:lumMod val="50000"/>
                      <a:lumOff val="50000"/>
                    </a:schemeClr>
                  </a:solidFill>
                  <a:ln>
                    <a:noFill/>
                  </a:ln>
                </c:spPr>
                <c:invertIfNegative val="0"/>
                <c:cat>
                  <c:strRef>
                    <c:extLst>
                      <c:ext uri="{02D57815-91ED-43cb-92C2-25804820EDAC}">
                        <c15:formulaRef>
                          <c15:sqref>'Vnější vztahy 2'!$B$5:$N$5</c15:sqref>
                        </c15:formulaRef>
                      </c:ext>
                    </c:extLst>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extLst>
                      <c:ext uri="{02D57815-91ED-43cb-92C2-25804820EDAC}">
                        <c15:formulaRef>
                          <c15:sqref>'Vnější vztahy 2'!$B$6:$N$6</c15:sqref>
                        </c15:formulaRef>
                      </c:ext>
                    </c:extLst>
                    <c:numCache>
                      <c:formatCode>General</c:formatCode>
                      <c:ptCount val="13"/>
                      <c:pt idx="0">
                        <c:v>-70.386265402999996</c:v>
                      </c:pt>
                      <c:pt idx="1">
                        <c:v>-50.105807295000005</c:v>
                      </c:pt>
                      <c:pt idx="2">
                        <c:v>-32.323161171000002</c:v>
                      </c:pt>
                      <c:pt idx="3">
                        <c:v>-20.265765396000003</c:v>
                      </c:pt>
                      <c:pt idx="4">
                        <c:v>-114.680194199</c:v>
                      </c:pt>
                      <c:pt idx="5">
                        <c:v>-51.845113980999997</c:v>
                      </c:pt>
                      <c:pt idx="6">
                        <c:v>24.656106360000003</c:v>
                      </c:pt>
                      <c:pt idx="7">
                        <c:v>-97.370086494999995</c:v>
                      </c:pt>
                      <c:pt idx="8">
                        <c:v>57.283086318000002</c:v>
                      </c:pt>
                      <c:pt idx="9">
                        <c:v>-70.461907215999986</c:v>
                      </c:pt>
                      <c:pt idx="10">
                        <c:v>22.552357532000002</c:v>
                      </c:pt>
                      <c:pt idx="11">
                        <c:v>96.327399193999995</c:v>
                      </c:pt>
                      <c:pt idx="12">
                        <c:v>422.44969503400006</c:v>
                      </c:pt>
                    </c:numCache>
                  </c:numRef>
                </c:val>
                <c:extLst>
                  <c:ext xmlns:c16="http://schemas.microsoft.com/office/drawing/2014/chart" uri="{C3380CC4-5D6E-409C-BE32-E72D297353CC}">
                    <c16:uniqueId val="{00000002-2B83-4C74-9090-15157E820563}"/>
                  </c:ext>
                </c:extLst>
              </c15:ser>
            </c15:filteredBarSeries>
          </c:ext>
        </c:extLst>
      </c:barChart>
      <c:catAx>
        <c:axId val="97533952"/>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97535488"/>
        <c:crosses val="autoZero"/>
        <c:auto val="1"/>
        <c:lblAlgn val="ctr"/>
        <c:lblOffset val="100"/>
        <c:noMultiLvlLbl val="0"/>
      </c:catAx>
      <c:valAx>
        <c:axId val="97535488"/>
        <c:scaling>
          <c:orientation val="minMax"/>
          <c:max val="500"/>
          <c:min val="-3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97533952"/>
        <c:crosses val="autoZero"/>
        <c:crossBetween val="between"/>
        <c:majorUnit val="50"/>
      </c:valAx>
      <c:spPr>
        <a:ln>
          <a:solidFill>
            <a:schemeClr val="tx1"/>
          </a:solidFill>
        </a:ln>
      </c:spPr>
    </c:plotArea>
    <c:legend>
      <c:legendPos val="t"/>
      <c:layout>
        <c:manualLayout>
          <c:xMode val="edge"/>
          <c:yMode val="edge"/>
          <c:x val="0.14065045404275039"/>
          <c:y val="6.1827033218785812E-2"/>
          <c:w val="0.26887915184156158"/>
          <c:h val="5.3991695303550982E-2"/>
        </c:manualLayout>
      </c:layout>
      <c:overlay val="0"/>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361E-2"/>
          <c:w val="0.92237743255066085"/>
          <c:h val="0.71471575213004213"/>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2'!$C$26:$C$49</c:f>
              <c:numCache>
                <c:formatCode>General</c:formatCode>
                <c:ptCount val="24"/>
                <c:pt idx="0">
                  <c:v>2.4000000000000057</c:v>
                </c:pt>
                <c:pt idx="1">
                  <c:v>2.2000000000000042</c:v>
                </c:pt>
                <c:pt idx="2" formatCode="0.0">
                  <c:v>2.5</c:v>
                </c:pt>
                <c:pt idx="3" formatCode="0.0">
                  <c:v>2.6</c:v>
                </c:pt>
                <c:pt idx="4" formatCode="0.0">
                  <c:v>1.9000000000000001</c:v>
                </c:pt>
                <c:pt idx="5" formatCode="0.0">
                  <c:v>2.2999999999999998</c:v>
                </c:pt>
                <c:pt idx="6" formatCode="0.0">
                  <c:v>2.4</c:v>
                </c:pt>
                <c:pt idx="7" formatCode="0.0">
                  <c:v>2.1</c:v>
                </c:pt>
                <c:pt idx="8" formatCode="0.0">
                  <c:v>2.7</c:v>
                </c:pt>
                <c:pt idx="9" formatCode="0.0">
                  <c:v>2.8</c:v>
                </c:pt>
                <c:pt idx="10" formatCode="0.0">
                  <c:v>2.8</c:v>
                </c:pt>
                <c:pt idx="11" formatCode="0.0">
                  <c:v>3</c:v>
                </c:pt>
                <c:pt idx="12" formatCode="0.0">
                  <c:v>3.6</c:v>
                </c:pt>
                <c:pt idx="13" formatCode="0.0">
                  <c:v>3.1</c:v>
                </c:pt>
                <c:pt idx="14" formatCode="0.0">
                  <c:v>3.3</c:v>
                </c:pt>
                <c:pt idx="15" formatCode="0.0">
                  <c:v>2.6</c:v>
                </c:pt>
                <c:pt idx="16" formatCode="0.0">
                  <c:v>2.2000000000000002</c:v>
                </c:pt>
                <c:pt idx="17" formatCode="0.0">
                  <c:v>2.9</c:v>
                </c:pt>
                <c:pt idx="18" formatCode="0.0">
                  <c:v>4.0999999999999996</c:v>
                </c:pt>
                <c:pt idx="19" formatCode="0.0">
                  <c:v>6.1</c:v>
                </c:pt>
                <c:pt idx="20" formatCode="0.0">
                  <c:v>11.2</c:v>
                </c:pt>
                <c:pt idx="21" formatCode="0.0">
                  <c:v>15.8</c:v>
                </c:pt>
                <c:pt idx="22" formatCode="0.0">
                  <c:v>17.600000000000001</c:v>
                </c:pt>
                <c:pt idx="23" formatCode="0.0">
                  <c:v>15.7</c:v>
                </c:pt>
              </c:numCache>
            </c:numRef>
          </c:val>
          <c:extLst>
            <c:ext xmlns:c16="http://schemas.microsoft.com/office/drawing/2014/chart" uri="{C3380CC4-5D6E-409C-BE32-E72D297353CC}">
              <c16:uniqueId val="{00000000-17F9-43C0-822E-32D52D1B7BA2}"/>
            </c:ext>
          </c:extLst>
        </c:ser>
        <c:dLbls>
          <c:showLegendKey val="0"/>
          <c:showVal val="0"/>
          <c:showCatName val="0"/>
          <c:showSerName val="0"/>
          <c:showPercent val="0"/>
          <c:showBubbleSize val="0"/>
        </c:dLbls>
        <c:gapWidth val="95"/>
        <c:axId val="121723520"/>
        <c:axId val="128812928"/>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2'!$D$26:$D$49</c:f>
              <c:numCache>
                <c:formatCode>General</c:formatCode>
                <c:ptCount val="24"/>
                <c:pt idx="0">
                  <c:v>4.2000000000000028</c:v>
                </c:pt>
                <c:pt idx="1">
                  <c:v>4.5</c:v>
                </c:pt>
                <c:pt idx="2" formatCode="0.0">
                  <c:v>5.7</c:v>
                </c:pt>
                <c:pt idx="3" formatCode="0.0">
                  <c:v>6.3</c:v>
                </c:pt>
                <c:pt idx="4" formatCode="0.0">
                  <c:v>2.9</c:v>
                </c:pt>
                <c:pt idx="5" formatCode="#\ ##0.0_ ;\-#\ ##0.0\ ">
                  <c:v>2.2999999999999998</c:v>
                </c:pt>
                <c:pt idx="6" formatCode="0.0">
                  <c:v>0.60000000000000042</c:v>
                </c:pt>
                <c:pt idx="7" formatCode="0.0">
                  <c:v>-0.5</c:v>
                </c:pt>
                <c:pt idx="8" formatCode="0.0">
                  <c:v>1</c:v>
                </c:pt>
                <c:pt idx="9" formatCode="0.0">
                  <c:v>2.5</c:v>
                </c:pt>
                <c:pt idx="10" formatCode="0.0">
                  <c:v>3.5</c:v>
                </c:pt>
                <c:pt idx="11" formatCode="0.0">
                  <c:v>4.3</c:v>
                </c:pt>
                <c:pt idx="12" formatCode="0.0">
                  <c:v>6.1</c:v>
                </c:pt>
                <c:pt idx="13" formatCode="0.0">
                  <c:v>6.5</c:v>
                </c:pt>
                <c:pt idx="14" formatCode="0.0">
                  <c:v>4</c:v>
                </c:pt>
                <c:pt idx="15" formatCode="0.0">
                  <c:v>1.7000000000000004</c:v>
                </c:pt>
                <c:pt idx="16" formatCode="0.0">
                  <c:v>0.30000000000000021</c:v>
                </c:pt>
                <c:pt idx="17" formatCode="0.0">
                  <c:v>-0.8</c:v>
                </c:pt>
                <c:pt idx="18" formatCode="0.0">
                  <c:v>1.4</c:v>
                </c:pt>
                <c:pt idx="19" formatCode="0.0">
                  <c:v>2.2999999999999998</c:v>
                </c:pt>
                <c:pt idx="20" formatCode="0.0">
                  <c:v>6.7</c:v>
                </c:pt>
                <c:pt idx="21" formatCode="0.0">
                  <c:v>14.6</c:v>
                </c:pt>
                <c:pt idx="22" formatCode="0.0">
                  <c:v>20</c:v>
                </c:pt>
                <c:pt idx="23" formatCode="0.0">
                  <c:v>25.5</c:v>
                </c:pt>
              </c:numCache>
            </c:numRef>
          </c:val>
          <c:smooth val="0"/>
          <c:extLst>
            <c:ext xmlns:c16="http://schemas.microsoft.com/office/drawing/2014/chart" uri="{C3380CC4-5D6E-409C-BE32-E72D297353CC}">
              <c16:uniqueId val="{00000001-17F9-43C0-822E-32D52D1B7BA2}"/>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2'!$F$26:$F$49</c:f>
              <c:numCache>
                <c:formatCode>General</c:formatCode>
                <c:ptCount val="24"/>
                <c:pt idx="0">
                  <c:v>0.7999999999999976</c:v>
                </c:pt>
                <c:pt idx="1">
                  <c:v>1.5</c:v>
                </c:pt>
                <c:pt idx="2" formatCode="0.0">
                  <c:v>2.1</c:v>
                </c:pt>
                <c:pt idx="3" formatCode="0.0">
                  <c:v>2.2000000000000002</c:v>
                </c:pt>
                <c:pt idx="4" formatCode="0.0">
                  <c:v>2.2999999999999998</c:v>
                </c:pt>
                <c:pt idx="5" formatCode="0.0">
                  <c:v>2.6</c:v>
                </c:pt>
                <c:pt idx="6" formatCode="0.0">
                  <c:v>3.2</c:v>
                </c:pt>
                <c:pt idx="7" formatCode="0.0">
                  <c:v>3.8</c:v>
                </c:pt>
                <c:pt idx="8" formatCode="0.0">
                  <c:v>5.4</c:v>
                </c:pt>
                <c:pt idx="9" formatCode="0.0">
                  <c:v>5.7</c:v>
                </c:pt>
                <c:pt idx="10" formatCode="0.0">
                  <c:v>5.2</c:v>
                </c:pt>
                <c:pt idx="11" formatCode="0.0">
                  <c:v>5</c:v>
                </c:pt>
                <c:pt idx="12" formatCode="0.0">
                  <c:v>4.2</c:v>
                </c:pt>
                <c:pt idx="13" formatCode="0.0">
                  <c:v>3.2</c:v>
                </c:pt>
                <c:pt idx="14" formatCode="0.0">
                  <c:v>2.7</c:v>
                </c:pt>
                <c:pt idx="15" formatCode="0.0">
                  <c:v>1.4</c:v>
                </c:pt>
                <c:pt idx="16" formatCode="0.0">
                  <c:v>0.60000000000000042</c:v>
                </c:pt>
                <c:pt idx="17" formatCode="0.0">
                  <c:v>1.3</c:v>
                </c:pt>
                <c:pt idx="18" formatCode="0.0">
                  <c:v>3.6</c:v>
                </c:pt>
                <c:pt idx="19" formatCode="0.0">
                  <c:v>5.6</c:v>
                </c:pt>
                <c:pt idx="20" formatCode="0.0">
                  <c:v>16</c:v>
                </c:pt>
                <c:pt idx="21" formatCode="0.0">
                  <c:v>21.4</c:v>
                </c:pt>
                <c:pt idx="22" formatCode="0.0">
                  <c:v>23.6</c:v>
                </c:pt>
                <c:pt idx="23" formatCode="0.0">
                  <c:v>14.9</c:v>
                </c:pt>
              </c:numCache>
            </c:numRef>
          </c:val>
          <c:smooth val="0"/>
          <c:extLst>
            <c:ext xmlns:c16="http://schemas.microsoft.com/office/drawing/2014/chart" uri="{C3380CC4-5D6E-409C-BE32-E72D297353CC}">
              <c16:uniqueId val="{00000002-17F9-43C0-822E-32D52D1B7BA2}"/>
            </c:ext>
          </c:extLst>
        </c:ser>
        <c:ser>
          <c:idx val="4"/>
          <c:order val="3"/>
          <c:tx>
            <c:strRef>
              <c:f>'Ceny 2'!$G$5</c:f>
              <c:strCache>
                <c:ptCount val="1"/>
                <c:pt idx="0">
                  <c:v>Doprava</c:v>
                </c:pt>
              </c:strCache>
            </c:strRef>
          </c:tx>
          <c:spPr>
            <a:ln w="19050">
              <a:solidFill>
                <a:srgbClr val="FFC00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2'!$G$26:$G$49</c:f>
              <c:numCache>
                <c:formatCode>General</c:formatCode>
                <c:ptCount val="24"/>
                <c:pt idx="0">
                  <c:v>6</c:v>
                </c:pt>
                <c:pt idx="1">
                  <c:v>3.9000000000000057</c:v>
                </c:pt>
                <c:pt idx="2" formatCode="0.0">
                  <c:v>2.5</c:v>
                </c:pt>
                <c:pt idx="3" formatCode="0.0">
                  <c:v>2.5</c:v>
                </c:pt>
                <c:pt idx="4" formatCode="0.0">
                  <c:v>1</c:v>
                </c:pt>
                <c:pt idx="5" formatCode="0.0">
                  <c:v>3</c:v>
                </c:pt>
                <c:pt idx="6" formatCode="0.0">
                  <c:v>4.5</c:v>
                </c:pt>
                <c:pt idx="7" formatCode="0.0">
                  <c:v>2.6</c:v>
                </c:pt>
                <c:pt idx="8" formatCode="0.0">
                  <c:v>0.60000000000000042</c:v>
                </c:pt>
                <c:pt idx="9" formatCode="0.0">
                  <c:v>0.8</c:v>
                </c:pt>
                <c:pt idx="10" formatCode="0.0">
                  <c:v>-0.2</c:v>
                </c:pt>
                <c:pt idx="11" formatCode="0.0">
                  <c:v>0.5</c:v>
                </c:pt>
                <c:pt idx="12">
                  <c:v>1.7000000000000004</c:v>
                </c:pt>
                <c:pt idx="13" formatCode="0.0">
                  <c:v>-3.4</c:v>
                </c:pt>
                <c:pt idx="14" formatCode="0.0">
                  <c:v>-0.2</c:v>
                </c:pt>
                <c:pt idx="15" formatCode="0.0">
                  <c:v>0.60000000000000042</c:v>
                </c:pt>
                <c:pt idx="16" formatCode="0.0">
                  <c:v>2.4</c:v>
                </c:pt>
                <c:pt idx="17" formatCode="0.0">
                  <c:v>9.1</c:v>
                </c:pt>
                <c:pt idx="18" formatCode="0.0">
                  <c:v>8.8000000000000007</c:v>
                </c:pt>
                <c:pt idx="19" formatCode="0.0">
                  <c:v>13.1</c:v>
                </c:pt>
                <c:pt idx="20" formatCode="0.0">
                  <c:v>17.2</c:v>
                </c:pt>
                <c:pt idx="21" formatCode="0.0">
                  <c:v>22.7</c:v>
                </c:pt>
                <c:pt idx="22" formatCode="0.0">
                  <c:v>19.7</c:v>
                </c:pt>
                <c:pt idx="23" formatCode="0.0">
                  <c:v>13.1</c:v>
                </c:pt>
              </c:numCache>
            </c:numRef>
          </c:val>
          <c:smooth val="0"/>
          <c:extLst>
            <c:ext xmlns:c16="http://schemas.microsoft.com/office/drawing/2014/chart" uri="{C3380CC4-5D6E-409C-BE32-E72D297353CC}">
              <c16:uniqueId val="{00000003-17F9-43C0-822E-32D52D1B7BA2}"/>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2'!$H$26:$H$49</c:f>
              <c:numCache>
                <c:formatCode>###\ ###\ ##0.0</c:formatCode>
                <c:ptCount val="24"/>
                <c:pt idx="0">
                  <c:v>5.2000000000000028</c:v>
                </c:pt>
                <c:pt idx="1">
                  <c:v>5.7999999999999972</c:v>
                </c:pt>
                <c:pt idx="2">
                  <c:v>6.2999999999999972</c:v>
                </c:pt>
                <c:pt idx="3" formatCode="0.0">
                  <c:v>5.6</c:v>
                </c:pt>
                <c:pt idx="4" formatCode="0.0">
                  <c:v>3.5</c:v>
                </c:pt>
                <c:pt idx="5" formatCode="0.0">
                  <c:v>3.6</c:v>
                </c:pt>
                <c:pt idx="6" formatCode="0.0">
                  <c:v>3.5</c:v>
                </c:pt>
                <c:pt idx="7" formatCode="0.0">
                  <c:v>3.7</c:v>
                </c:pt>
                <c:pt idx="8" formatCode="0.0">
                  <c:v>3.8</c:v>
                </c:pt>
                <c:pt idx="9" formatCode="0.0">
                  <c:v>4</c:v>
                </c:pt>
                <c:pt idx="10" formatCode="0.0">
                  <c:v>4.5</c:v>
                </c:pt>
                <c:pt idx="11" formatCode="0.0">
                  <c:v>4.5999999999999996</c:v>
                </c:pt>
                <c:pt idx="12" formatCode="0.0">
                  <c:v>5.5</c:v>
                </c:pt>
                <c:pt idx="13" formatCode="0.0">
                  <c:v>5.0999999999999996</c:v>
                </c:pt>
                <c:pt idx="14" formatCode="0.0">
                  <c:v>4.9000000000000004</c:v>
                </c:pt>
                <c:pt idx="15" formatCode="0.0">
                  <c:v>4.3</c:v>
                </c:pt>
                <c:pt idx="16" formatCode="0.0">
                  <c:v>3</c:v>
                </c:pt>
                <c:pt idx="17" formatCode="0.0">
                  <c:v>2.9</c:v>
                </c:pt>
                <c:pt idx="18" formatCode="0.0">
                  <c:v>4.5999999999999996</c:v>
                </c:pt>
                <c:pt idx="19" formatCode="0.0">
                  <c:v>6.8</c:v>
                </c:pt>
                <c:pt idx="20" formatCode="0.0">
                  <c:v>12.3</c:v>
                </c:pt>
                <c:pt idx="21" formatCode="0.0">
                  <c:v>21.4</c:v>
                </c:pt>
                <c:pt idx="22" formatCode="0.0">
                  <c:v>24.3</c:v>
                </c:pt>
                <c:pt idx="23" formatCode="0.0">
                  <c:v>25.6</c:v>
                </c:pt>
              </c:numCache>
            </c:numRef>
          </c:val>
          <c:smooth val="0"/>
          <c:extLst>
            <c:ext xmlns:c16="http://schemas.microsoft.com/office/drawing/2014/chart" uri="{C3380CC4-5D6E-409C-BE32-E72D297353CC}">
              <c16:uniqueId val="{00000004-17F9-43C0-822E-32D52D1B7BA2}"/>
            </c:ext>
          </c:extLst>
        </c:ser>
        <c:ser>
          <c:idx val="6"/>
          <c:order val="6"/>
          <c:tx>
            <c:strRef>
              <c:f>'Ceny 2'!$I$5</c:f>
              <c:strCache>
                <c:ptCount val="1"/>
                <c:pt idx="0">
                  <c:v>Rekreace a kultura</c:v>
                </c:pt>
              </c:strCache>
            </c:strRef>
          </c:tx>
          <c:spPr>
            <a:ln w="19050">
              <a:solidFill>
                <a:srgbClr val="FF000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2'!$I$26:$I$49</c:f>
              <c:numCache>
                <c:formatCode>###\ ###\ ##0.0</c:formatCode>
                <c:ptCount val="24"/>
                <c:pt idx="0">
                  <c:v>0.7000000000000004</c:v>
                </c:pt>
                <c:pt idx="1">
                  <c:v>1.1000000000000001</c:v>
                </c:pt>
                <c:pt idx="2">
                  <c:v>1.3</c:v>
                </c:pt>
                <c:pt idx="3">
                  <c:v>0.9</c:v>
                </c:pt>
                <c:pt idx="4" formatCode="General">
                  <c:v>0.5</c:v>
                </c:pt>
                <c:pt idx="5" formatCode="General">
                  <c:v>0.59999999999999454</c:v>
                </c:pt>
                <c:pt idx="6" formatCode="General">
                  <c:v>2.2000000000000042</c:v>
                </c:pt>
                <c:pt idx="7" formatCode="General">
                  <c:v>0.5</c:v>
                </c:pt>
                <c:pt idx="8" formatCode="General">
                  <c:v>1.7000000000000033</c:v>
                </c:pt>
                <c:pt idx="9" formatCode="General">
                  <c:v>1</c:v>
                </c:pt>
                <c:pt idx="10" formatCode="General">
                  <c:v>1.7000000000000033</c:v>
                </c:pt>
                <c:pt idx="11" formatCode="General">
                  <c:v>2.0999999999999943</c:v>
                </c:pt>
                <c:pt idx="12" formatCode="General">
                  <c:v>2.0999999999999943</c:v>
                </c:pt>
                <c:pt idx="13" formatCode="General">
                  <c:v>2</c:v>
                </c:pt>
                <c:pt idx="14" formatCode="General">
                  <c:v>2.2000000000000042</c:v>
                </c:pt>
                <c:pt idx="15" formatCode="General">
                  <c:v>2.5</c:v>
                </c:pt>
                <c:pt idx="16" formatCode="General">
                  <c:v>1.4000000000000057</c:v>
                </c:pt>
                <c:pt idx="17" formatCode="General">
                  <c:v>2</c:v>
                </c:pt>
                <c:pt idx="18" formatCode="General">
                  <c:v>3.0999999999999943</c:v>
                </c:pt>
                <c:pt idx="19" formatCode="General">
                  <c:v>5.2999999999999972</c:v>
                </c:pt>
                <c:pt idx="20" formatCode="General">
                  <c:v>8.5</c:v>
                </c:pt>
                <c:pt idx="21" formatCode="General">
                  <c:v>11.3</c:v>
                </c:pt>
                <c:pt idx="22" formatCode="General">
                  <c:v>12.600000000000001</c:v>
                </c:pt>
                <c:pt idx="23" formatCode="0.0">
                  <c:v>13.2</c:v>
                </c:pt>
              </c:numCache>
            </c:numRef>
          </c:val>
          <c:smooth val="0"/>
          <c:extLst>
            <c:ext xmlns:c16="http://schemas.microsoft.com/office/drawing/2014/chart" uri="{C3380CC4-5D6E-409C-BE32-E72D297353CC}">
              <c16:uniqueId val="{00000005-17F9-43C0-822E-32D52D1B7BA2}"/>
            </c:ext>
          </c:extLst>
        </c:ser>
        <c:dLbls>
          <c:showLegendKey val="0"/>
          <c:showVal val="0"/>
          <c:showCatName val="0"/>
          <c:showSerName val="0"/>
          <c:showPercent val="0"/>
          <c:showBubbleSize val="0"/>
        </c:dLbls>
        <c:marker val="1"/>
        <c:smooth val="0"/>
        <c:axId val="121723520"/>
        <c:axId val="128812928"/>
        <c:extLst>
          <c:ext xmlns:c15="http://schemas.microsoft.com/office/drawing/2012/chart" uri="{02D57815-91ED-43cb-92C2-25804820EDAC}">
            <c15:filteredLineSeries>
              <c15:ser>
                <c:idx val="2"/>
                <c:order val="4"/>
                <c:tx>
                  <c:strRef>
                    <c:extLst>
                      <c:ext uri="{02D57815-91ED-43cb-92C2-25804820EDAC}">
                        <c15:formulaRef>
                          <c15:sqref>'Ceny 2'!$E$5</c15:sqref>
                        </c15:formulaRef>
                      </c:ext>
                    </c:extLst>
                    <c:strCache>
                      <c:ptCount val="1"/>
                      <c:pt idx="0">
                        <c:v>Alkoholické nápoje a tabák</c:v>
                      </c:pt>
                    </c:strCache>
                  </c:strRef>
                </c:tx>
                <c:spPr>
                  <a:ln w="19050">
                    <a:solidFill>
                      <a:schemeClr val="accent2"/>
                    </a:solidFill>
                  </a:ln>
                </c:spPr>
                <c:marker>
                  <c:symbol val="none"/>
                </c:marker>
                <c:cat>
                  <c:multiLvlStrRef>
                    <c:extLst>
                      <c:ext uri="{02D57815-91ED-43cb-92C2-25804820EDAC}">
                        <c15:formulaRef>
                          <c15:sqref>'Ceny 2'!$A$26:$B$49</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extLst>
                      <c:ext uri="{02D57815-91ED-43cb-92C2-25804820EDAC}">
                        <c15:formulaRef>
                          <c15:sqref>'Ceny 2'!$E$26:$E$48</c15:sqref>
                        </c15:formulaRef>
                      </c:ext>
                    </c:extLst>
                    <c:numCache>
                      <c:formatCode>General</c:formatCode>
                      <c:ptCount val="23"/>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numCache>
                  </c:numRef>
                </c:val>
                <c:smooth val="0"/>
                <c:extLst>
                  <c:ext xmlns:c16="http://schemas.microsoft.com/office/drawing/2014/chart" uri="{C3380CC4-5D6E-409C-BE32-E72D297353CC}">
                    <c16:uniqueId val="{00000006-17F9-43C0-822E-32D52D1B7BA2}"/>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'Ceny 2'!$J$5</c15:sqref>
                        </c15:formulaRef>
                      </c:ext>
                    </c:extLst>
                    <c:strCache>
                      <c:ptCount val="1"/>
                      <c:pt idx="0">
                        <c:v>Odívání a obuv</c:v>
                      </c:pt>
                    </c:strCache>
                  </c:strRef>
                </c:tx>
                <c:spPr>
                  <a:ln w="19050">
                    <a:solidFill>
                      <a:srgbClr val="E8AFB2"/>
                    </a:solidFill>
                  </a:ln>
                </c:spPr>
                <c:marker>
                  <c:symbol val="none"/>
                </c:marker>
                <c:cat>
                  <c:multiLvlStrRef>
                    <c:extLst xmlns:c15="http://schemas.microsoft.com/office/drawing/2012/chart">
                      <c:ext xmlns:c15="http://schemas.microsoft.com/office/drawing/2012/chart" uri="{02D57815-91ED-43cb-92C2-25804820EDAC}">
                        <c15:formulaRef>
                          <c15:sqref>'Ceny 2'!$A$26:$B$49</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extLst xmlns:c15="http://schemas.microsoft.com/office/drawing/2012/chart">
                      <c:ext xmlns:c15="http://schemas.microsoft.com/office/drawing/2012/chart" uri="{02D57815-91ED-43cb-92C2-25804820EDAC}">
                        <c15:formulaRef>
                          <c15:sqref>'Ceny 2'!$J$26:$J$48</c15:sqref>
                        </c15:formulaRef>
                      </c:ext>
                    </c:extLst>
                    <c:numCache>
                      <c:formatCode>General</c:formatCode>
                      <c:ptCount val="23"/>
                      <c:pt idx="0">
                        <c:v>0.5</c:v>
                      </c:pt>
                      <c:pt idx="1">
                        <c:v>1</c:v>
                      </c:pt>
                      <c:pt idx="2" formatCode="0.0">
                        <c:v>0.5</c:v>
                      </c:pt>
                      <c:pt idx="3" formatCode="0.0">
                        <c:v>-0.8</c:v>
                      </c:pt>
                      <c:pt idx="4">
                        <c:v>-0.29999999999999716</c:v>
                      </c:pt>
                      <c:pt idx="5">
                        <c:v>-1</c:v>
                      </c:pt>
                      <c:pt idx="6">
                        <c:v>-1.4000000000000057</c:v>
                      </c:pt>
                      <c:pt idx="7">
                        <c:v>-1.7000000000000028</c:v>
                      </c:pt>
                      <c:pt idx="8">
                        <c:v>-1.0999999999999943</c:v>
                      </c:pt>
                      <c:pt idx="9">
                        <c:v>-1.9000000000000057</c:v>
                      </c:pt>
                      <c:pt idx="10">
                        <c:v>-1.5</c:v>
                      </c:pt>
                      <c:pt idx="11">
                        <c:v>-0.29999999999999716</c:v>
                      </c:pt>
                      <c:pt idx="12">
                        <c:v>3.5</c:v>
                      </c:pt>
                      <c:pt idx="13">
                        <c:v>3.4000000000000057</c:v>
                      </c:pt>
                      <c:pt idx="14">
                        <c:v>4.5</c:v>
                      </c:pt>
                      <c:pt idx="15">
                        <c:v>3.4000000000000057</c:v>
                      </c:pt>
                      <c:pt idx="16">
                        <c:v>2.7000000000000028</c:v>
                      </c:pt>
                      <c:pt idx="17">
                        <c:v>2.9000000000000057</c:v>
                      </c:pt>
                      <c:pt idx="18">
                        <c:v>7.7999999999999972</c:v>
                      </c:pt>
                      <c:pt idx="19">
                        <c:v>12.599999999999994</c:v>
                      </c:pt>
                      <c:pt idx="20">
                        <c:v>16.900000000000006</c:v>
                      </c:pt>
                      <c:pt idx="21">
                        <c:v>20</c:v>
                      </c:pt>
                      <c:pt idx="22">
                        <c:v>19</c:v>
                      </c:pt>
                    </c:numCache>
                  </c:numRef>
                </c:val>
                <c:smooth val="0"/>
                <c:extLst xmlns:c15="http://schemas.microsoft.com/office/drawing/2012/chart">
                  <c:ext xmlns:c16="http://schemas.microsoft.com/office/drawing/2014/chart" uri="{C3380CC4-5D6E-409C-BE32-E72D297353CC}">
                    <c16:uniqueId val="{00000007-17F9-43C0-822E-32D52D1B7BA2}"/>
                  </c:ext>
                </c:extLst>
              </c15:ser>
            </c15:filteredLineSeries>
          </c:ext>
        </c:extLst>
      </c:lineChart>
      <c:catAx>
        <c:axId val="12172352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28812928"/>
        <c:crosses val="autoZero"/>
        <c:auto val="1"/>
        <c:lblAlgn val="ctr"/>
        <c:lblOffset val="100"/>
        <c:noMultiLvlLbl val="0"/>
      </c:catAx>
      <c:valAx>
        <c:axId val="128812928"/>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1723520"/>
        <c:crosses val="autoZero"/>
        <c:crossBetween val="between"/>
        <c:majorUnit val="4"/>
      </c:valAx>
      <c:spPr>
        <a:ln>
          <a:solidFill>
            <a:schemeClr val="tx1"/>
          </a:solidFill>
        </a:ln>
      </c:spPr>
    </c:plotArea>
    <c:legend>
      <c:legendPos val="b"/>
      <c:layout>
        <c:manualLayout>
          <c:xMode val="edge"/>
          <c:yMode val="edge"/>
          <c:x val="5.3882134414049376E-2"/>
          <c:y val="0.85802375323651991"/>
          <c:w val="0.92470364741641364"/>
          <c:h val="0.1312535179556454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988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1'!$C$26:$C$49</c:f>
              <c:numCache>
                <c:formatCode>General</c:formatCode>
                <c:ptCount val="24"/>
                <c:pt idx="0">
                  <c:v>17.200000000000003</c:v>
                </c:pt>
                <c:pt idx="1">
                  <c:v>18.700000000000003</c:v>
                </c:pt>
                <c:pt idx="2">
                  <c:v>15.8</c:v>
                </c:pt>
                <c:pt idx="3">
                  <c:v>12</c:v>
                </c:pt>
                <c:pt idx="4">
                  <c:v>9.2000000000000011</c:v>
                </c:pt>
                <c:pt idx="5">
                  <c:v>8</c:v>
                </c:pt>
                <c:pt idx="6">
                  <c:v>9.4000000000000057</c:v>
                </c:pt>
                <c:pt idx="7">
                  <c:v>11.400000000000006</c:v>
                </c:pt>
                <c:pt idx="8">
                  <c:v>11.3</c:v>
                </c:pt>
                <c:pt idx="9">
                  <c:v>10.600000000000001</c:v>
                </c:pt>
                <c:pt idx="10">
                  <c:v>9.5</c:v>
                </c:pt>
                <c:pt idx="11">
                  <c:v>9.4000000000000057</c:v>
                </c:pt>
                <c:pt idx="12">
                  <c:v>10.600000000000001</c:v>
                </c:pt>
                <c:pt idx="13">
                  <c:v>10.200000000000003</c:v>
                </c:pt>
                <c:pt idx="14">
                  <c:v>11.200000000000003</c:v>
                </c:pt>
                <c:pt idx="15">
                  <c:v>13.3</c:v>
                </c:pt>
                <c:pt idx="16">
                  <c:v>15.200000000000003</c:v>
                </c:pt>
                <c:pt idx="17">
                  <c:v>17.900000000000006</c:v>
                </c:pt>
                <c:pt idx="18">
                  <c:v>21.299999999999986</c:v>
                </c:pt>
                <c:pt idx="19">
                  <c:v>25.200000000000003</c:v>
                </c:pt>
                <c:pt idx="20">
                  <c:v>27.299999999999986</c:v>
                </c:pt>
                <c:pt idx="21">
                  <c:v>27.599999999999987</c:v>
                </c:pt>
                <c:pt idx="22">
                  <c:v>23.400000000000006</c:v>
                </c:pt>
                <c:pt idx="23">
                  <c:v>13.8</c:v>
                </c:pt>
              </c:numCache>
            </c:numRef>
          </c:val>
          <c:extLst>
            <c:ext xmlns:c16="http://schemas.microsoft.com/office/drawing/2014/chart" uri="{C3380CC4-5D6E-409C-BE32-E72D297353CC}">
              <c16:uniqueId val="{00000000-E60F-4557-8993-AC00859C5E2E}"/>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1'!$D$26:$D$49</c:f>
              <c:numCache>
                <c:formatCode>General</c:formatCode>
                <c:ptCount val="24"/>
                <c:pt idx="0">
                  <c:v>16.200000000000003</c:v>
                </c:pt>
                <c:pt idx="1">
                  <c:v>19</c:v>
                </c:pt>
                <c:pt idx="2">
                  <c:v>16.400000000000006</c:v>
                </c:pt>
                <c:pt idx="3">
                  <c:v>11.100000000000001</c:v>
                </c:pt>
                <c:pt idx="4">
                  <c:v>8.3000000000000025</c:v>
                </c:pt>
                <c:pt idx="5">
                  <c:v>4</c:v>
                </c:pt>
                <c:pt idx="6">
                  <c:v>6</c:v>
                </c:pt>
                <c:pt idx="7">
                  <c:v>8.7000000000000011</c:v>
                </c:pt>
                <c:pt idx="8">
                  <c:v>9.4000000000000057</c:v>
                </c:pt>
                <c:pt idx="9">
                  <c:v>8.7000000000000011</c:v>
                </c:pt>
                <c:pt idx="10">
                  <c:v>6.5</c:v>
                </c:pt>
                <c:pt idx="11">
                  <c:v>7.0999999999999943</c:v>
                </c:pt>
                <c:pt idx="12">
                  <c:v>6.2000000000000028</c:v>
                </c:pt>
                <c:pt idx="13">
                  <c:v>8</c:v>
                </c:pt>
                <c:pt idx="14">
                  <c:v>9.4000000000000057</c:v>
                </c:pt>
                <c:pt idx="15">
                  <c:v>10.600000000000001</c:v>
                </c:pt>
                <c:pt idx="16">
                  <c:v>14.3</c:v>
                </c:pt>
                <c:pt idx="17">
                  <c:v>15.8</c:v>
                </c:pt>
                <c:pt idx="18">
                  <c:v>16.599999999999987</c:v>
                </c:pt>
                <c:pt idx="19">
                  <c:v>20</c:v>
                </c:pt>
                <c:pt idx="20">
                  <c:v>19</c:v>
                </c:pt>
                <c:pt idx="21">
                  <c:v>16.700000000000003</c:v>
                </c:pt>
                <c:pt idx="22">
                  <c:v>15.600000000000001</c:v>
                </c:pt>
                <c:pt idx="23">
                  <c:v>8.4000000000000057</c:v>
                </c:pt>
              </c:numCache>
            </c:numRef>
          </c:val>
          <c:extLst>
            <c:ext xmlns:c16="http://schemas.microsoft.com/office/drawing/2014/chart" uri="{C3380CC4-5D6E-409C-BE32-E72D297353CC}">
              <c16:uniqueId val="{00000001-E60F-4557-8993-AC00859C5E2E}"/>
            </c:ext>
          </c:extLst>
        </c:ser>
        <c:dLbls>
          <c:showLegendKey val="0"/>
          <c:showVal val="0"/>
          <c:showCatName val="0"/>
          <c:showSerName val="0"/>
          <c:showPercent val="0"/>
          <c:showBubbleSize val="0"/>
        </c:dLbls>
        <c:gapWidth val="95"/>
        <c:axId val="58140544"/>
        <c:axId val="58142080"/>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1'!$E$26:$E$49</c:f>
              <c:numCache>
                <c:formatCode>General</c:formatCode>
                <c:ptCount val="24"/>
                <c:pt idx="0" formatCode="0.0">
                  <c:v>9.5238095238095202</c:v>
                </c:pt>
                <c:pt idx="1">
                  <c:v>9.5278969957081507</c:v>
                </c:pt>
                <c:pt idx="2">
                  <c:v>12.54208754208755</c:v>
                </c:pt>
                <c:pt idx="3">
                  <c:v>12.469237079573427</c:v>
                </c:pt>
                <c:pt idx="4">
                  <c:v>12.801932367149755</c:v>
                </c:pt>
                <c:pt idx="5">
                  <c:v>12.225705329153577</c:v>
                </c:pt>
                <c:pt idx="6">
                  <c:v>9.4988780852655186</c:v>
                </c:pt>
                <c:pt idx="7">
                  <c:v>8.4609773887673203</c:v>
                </c:pt>
                <c:pt idx="8">
                  <c:v>7.4232690935046541</c:v>
                </c:pt>
                <c:pt idx="9">
                  <c:v>5.726256983240237</c:v>
                </c:pt>
                <c:pt idx="10">
                  <c:v>5.1912568306010876</c:v>
                </c:pt>
                <c:pt idx="11">
                  <c:v>5.5144586415601955</c:v>
                </c:pt>
                <c:pt idx="12">
                  <c:v>6.0465116279069626</c:v>
                </c:pt>
                <c:pt idx="13">
                  <c:v>7.1334214002641883</c:v>
                </c:pt>
                <c:pt idx="14">
                  <c:v>7.9870129870129887</c:v>
                </c:pt>
                <c:pt idx="15">
                  <c:v>7.6481835564053489</c:v>
                </c:pt>
                <c:pt idx="16">
                  <c:v>7.6441102756892239</c:v>
                </c:pt>
                <c:pt idx="17">
                  <c:v>7.953144266337854</c:v>
                </c:pt>
                <c:pt idx="18">
                  <c:v>9.320505111244751</c:v>
                </c:pt>
                <c:pt idx="19">
                  <c:v>12.433392539964474</c:v>
                </c:pt>
                <c:pt idx="20">
                  <c:v>16.880093131548293</c:v>
                </c:pt>
                <c:pt idx="21">
                  <c:v>24.67161621930326</c:v>
                </c:pt>
                <c:pt idx="22">
                  <c:v>22.937293729372925</c:v>
                </c:pt>
                <c:pt idx="23">
                  <c:v>18.325434439178494</c:v>
                </c:pt>
              </c:numCache>
            </c:numRef>
          </c:val>
          <c:smooth val="0"/>
          <c:extLst>
            <c:ext xmlns:c16="http://schemas.microsoft.com/office/drawing/2014/chart" uri="{C3380CC4-5D6E-409C-BE32-E72D297353CC}">
              <c16:uniqueId val="{00000002-E60F-4557-8993-AC00859C5E2E}"/>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1'!$F$26:$F$49</c:f>
              <c:numCache>
                <c:formatCode>General</c:formatCode>
                <c:ptCount val="24"/>
                <c:pt idx="0" formatCode="0.0">
                  <c:v>13.636363636363621</c:v>
                </c:pt>
                <c:pt idx="1">
                  <c:v>14.589905362776051</c:v>
                </c:pt>
                <c:pt idx="2">
                  <c:v>18.266253869969024</c:v>
                </c:pt>
                <c:pt idx="3">
                  <c:v>18.773373223635019</c:v>
                </c:pt>
                <c:pt idx="4">
                  <c:v>15.071428571428555</c:v>
                </c:pt>
                <c:pt idx="5">
                  <c:v>14.246386785960068</c:v>
                </c:pt>
                <c:pt idx="6">
                  <c:v>10.732984293193702</c:v>
                </c:pt>
                <c:pt idx="7">
                  <c:v>8.7531486146095574</c:v>
                </c:pt>
                <c:pt idx="8">
                  <c:v>8.3178150217256377</c:v>
                </c:pt>
                <c:pt idx="9">
                  <c:v>4.9397590361445722</c:v>
                </c:pt>
                <c:pt idx="10">
                  <c:v>3.3096926713947976</c:v>
                </c:pt>
                <c:pt idx="11">
                  <c:v>2.9530978575564606</c:v>
                </c:pt>
                <c:pt idx="12">
                  <c:v>3.553008595988528</c:v>
                </c:pt>
                <c:pt idx="13">
                  <c:v>5.2812858783008068</c:v>
                </c:pt>
                <c:pt idx="14">
                  <c:v>6.2356979405034316</c:v>
                </c:pt>
                <c:pt idx="15">
                  <c:v>5.1743532058492718</c:v>
                </c:pt>
                <c:pt idx="16">
                  <c:v>4.7592695074709646</c:v>
                </c:pt>
                <c:pt idx="17">
                  <c:v>4.5256270447110012</c:v>
                </c:pt>
                <c:pt idx="18">
                  <c:v>6.246634356488979</c:v>
                </c:pt>
                <c:pt idx="19">
                  <c:v>9.1443850267379485</c:v>
                </c:pt>
                <c:pt idx="20">
                  <c:v>12.255678816693077</c:v>
                </c:pt>
                <c:pt idx="21">
                  <c:v>19.718309859154925</c:v>
                </c:pt>
                <c:pt idx="22">
                  <c:v>18.499746578813966</c:v>
                </c:pt>
                <c:pt idx="23">
                  <c:v>16.903478686918177</c:v>
                </c:pt>
              </c:numCache>
            </c:numRef>
          </c:val>
          <c:smooth val="0"/>
          <c:extLst>
            <c:ext xmlns:c16="http://schemas.microsoft.com/office/drawing/2014/chart" uri="{C3380CC4-5D6E-409C-BE32-E72D297353CC}">
              <c16:uniqueId val="{00000003-E60F-4557-8993-AC00859C5E2E}"/>
            </c:ext>
          </c:extLst>
        </c:ser>
        <c:dLbls>
          <c:showLegendKey val="0"/>
          <c:showVal val="0"/>
          <c:showCatName val="0"/>
          <c:showSerName val="0"/>
          <c:showPercent val="0"/>
          <c:showBubbleSize val="0"/>
        </c:dLbls>
        <c:marker val="1"/>
        <c:smooth val="0"/>
        <c:axId val="58140544"/>
        <c:axId val="58142080"/>
      </c:lineChart>
      <c:catAx>
        <c:axId val="581405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58142080"/>
        <c:crosses val="autoZero"/>
        <c:auto val="1"/>
        <c:lblAlgn val="ctr"/>
        <c:lblOffset val="100"/>
        <c:noMultiLvlLbl val="0"/>
      </c:catAx>
      <c:valAx>
        <c:axId val="58142080"/>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58140544"/>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336"/>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407E-2"/>
          <c:y val="2.1811315924220472E-2"/>
          <c:w val="0.90860161263086892"/>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4'!$C$54:$C$125</c:f>
              <c:numCache>
                <c:formatCode>General</c:formatCode>
                <c:ptCount val="72"/>
                <c:pt idx="0">
                  <c:v>2.0999999999999943</c:v>
                </c:pt>
                <c:pt idx="1">
                  <c:v>3.0999999999999943</c:v>
                </c:pt>
                <c:pt idx="2" formatCode="0.0">
                  <c:v>3</c:v>
                </c:pt>
                <c:pt idx="3" formatCode="0.0">
                  <c:v>3.2000000000000042</c:v>
                </c:pt>
                <c:pt idx="4">
                  <c:v>2.2999999999999972</c:v>
                </c:pt>
                <c:pt idx="5">
                  <c:v>1.2999999999999956</c:v>
                </c:pt>
                <c:pt idx="6">
                  <c:v>1.1000000000000001</c:v>
                </c:pt>
                <c:pt idx="7">
                  <c:v>1.4</c:v>
                </c:pt>
                <c:pt idx="8">
                  <c:v>1.7</c:v>
                </c:pt>
                <c:pt idx="9">
                  <c:v>1.1000000000000001</c:v>
                </c:pt>
                <c:pt idx="10">
                  <c:v>0.9</c:v>
                </c:pt>
                <c:pt idx="11">
                  <c:v>0.7000000000000004</c:v>
                </c:pt>
                <c:pt idx="12">
                  <c:v>0.5</c:v>
                </c:pt>
                <c:pt idx="13">
                  <c:v>-0.30000000000000021</c:v>
                </c:pt>
                <c:pt idx="14">
                  <c:v>0.1</c:v>
                </c:pt>
                <c:pt idx="15">
                  <c:v>0</c:v>
                </c:pt>
                <c:pt idx="16">
                  <c:v>1.5</c:v>
                </c:pt>
                <c:pt idx="17">
                  <c:v>2.9</c:v>
                </c:pt>
                <c:pt idx="18">
                  <c:v>3.4</c:v>
                </c:pt>
                <c:pt idx="19">
                  <c:v>3.3</c:v>
                </c:pt>
                <c:pt idx="20">
                  <c:v>3.2</c:v>
                </c:pt>
                <c:pt idx="21">
                  <c:v>3.9</c:v>
                </c:pt>
                <c:pt idx="22">
                  <c:v>3.9</c:v>
                </c:pt>
                <c:pt idx="23">
                  <c:v>2.4</c:v>
                </c:pt>
                <c:pt idx="24">
                  <c:v>2.9</c:v>
                </c:pt>
                <c:pt idx="25">
                  <c:v>3.6</c:v>
                </c:pt>
                <c:pt idx="26">
                  <c:v>3.8</c:v>
                </c:pt>
                <c:pt idx="27">
                  <c:v>4.3</c:v>
                </c:pt>
                <c:pt idx="28">
                  <c:v>3.8</c:v>
                </c:pt>
                <c:pt idx="29">
                  <c:v>2.5</c:v>
                </c:pt>
                <c:pt idx="30">
                  <c:v>2.1</c:v>
                </c:pt>
                <c:pt idx="31">
                  <c:v>2.1</c:v>
                </c:pt>
                <c:pt idx="32">
                  <c:v>1.9000000000000001</c:v>
                </c:pt>
                <c:pt idx="33">
                  <c:v>0.9</c:v>
                </c:pt>
                <c:pt idx="34">
                  <c:v>0.9</c:v>
                </c:pt>
                <c:pt idx="35">
                  <c:v>2.1</c:v>
                </c:pt>
                <c:pt idx="36">
                  <c:v>2.4</c:v>
                </c:pt>
                <c:pt idx="37">
                  <c:v>1.4</c:v>
                </c:pt>
                <c:pt idx="38">
                  <c:v>0.4</c:v>
                </c:pt>
                <c:pt idx="39">
                  <c:v>-0.8</c:v>
                </c:pt>
                <c:pt idx="40">
                  <c:v>-0.9</c:v>
                </c:pt>
                <c:pt idx="41">
                  <c:v>-0.30000000000000021</c:v>
                </c:pt>
                <c:pt idx="42">
                  <c:v>-0.1</c:v>
                </c:pt>
                <c:pt idx="43">
                  <c:v>-0.5</c:v>
                </c:pt>
                <c:pt idx="44">
                  <c:v>-0.4</c:v>
                </c:pt>
                <c:pt idx="45">
                  <c:v>0.30000000000000021</c:v>
                </c:pt>
                <c:pt idx="46">
                  <c:v>-0.1</c:v>
                </c:pt>
                <c:pt idx="47">
                  <c:v>0</c:v>
                </c:pt>
                <c:pt idx="48">
                  <c:v>0</c:v>
                </c:pt>
                <c:pt idx="49">
                  <c:v>1.4</c:v>
                </c:pt>
                <c:pt idx="50">
                  <c:v>3.3</c:v>
                </c:pt>
                <c:pt idx="51">
                  <c:v>4.5999999999999996</c:v>
                </c:pt>
                <c:pt idx="52">
                  <c:v>5.0999999999999996</c:v>
                </c:pt>
                <c:pt idx="53">
                  <c:v>6.1</c:v>
                </c:pt>
                <c:pt idx="54">
                  <c:v>7.8</c:v>
                </c:pt>
                <c:pt idx="55">
                  <c:v>9.3000000000000007</c:v>
                </c:pt>
                <c:pt idx="56">
                  <c:v>9.9</c:v>
                </c:pt>
                <c:pt idx="57">
                  <c:v>11.6</c:v>
                </c:pt>
                <c:pt idx="58">
                  <c:v>13.5</c:v>
                </c:pt>
                <c:pt idx="59">
                  <c:v>13.2</c:v>
                </c:pt>
                <c:pt idx="60">
                  <c:v>19.399999999999999</c:v>
                </c:pt>
                <c:pt idx="61">
                  <c:v>21.3</c:v>
                </c:pt>
                <c:pt idx="62">
                  <c:v>24.7</c:v>
                </c:pt>
                <c:pt idx="63">
                  <c:v>26.6</c:v>
                </c:pt>
                <c:pt idx="64">
                  <c:v>27.9</c:v>
                </c:pt>
                <c:pt idx="65">
                  <c:v>28.5</c:v>
                </c:pt>
                <c:pt idx="66">
                  <c:v>26.8</c:v>
                </c:pt>
                <c:pt idx="67">
                  <c:v>25.2</c:v>
                </c:pt>
                <c:pt idx="68">
                  <c:v>25.8</c:v>
                </c:pt>
                <c:pt idx="69">
                  <c:v>24.1</c:v>
                </c:pt>
                <c:pt idx="70">
                  <c:v>21.3</c:v>
                </c:pt>
                <c:pt idx="71">
                  <c:v>20.100000000000001</c:v>
                </c:pt>
              </c:numCache>
            </c:numRef>
          </c:val>
          <c:extLst>
            <c:ext xmlns:c16="http://schemas.microsoft.com/office/drawing/2014/chart" uri="{C3380CC4-5D6E-409C-BE32-E72D297353CC}">
              <c16:uniqueId val="{00000000-4A74-4D92-90F2-49E6EC0C0AC8}"/>
            </c:ext>
          </c:extLst>
        </c:ser>
        <c:dLbls>
          <c:showLegendKey val="0"/>
          <c:showVal val="0"/>
          <c:showCatName val="0"/>
          <c:showSerName val="0"/>
          <c:showPercent val="0"/>
          <c:showBubbleSize val="0"/>
        </c:dLbls>
        <c:gapWidth val="96"/>
        <c:axId val="58178176"/>
        <c:axId val="58192256"/>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4'!$D$54:$D$125</c:f>
              <c:numCache>
                <c:formatCode>General</c:formatCode>
                <c:ptCount val="72"/>
                <c:pt idx="0">
                  <c:v>2.2999999999999972</c:v>
                </c:pt>
                <c:pt idx="1">
                  <c:v>5.7999999999999972</c:v>
                </c:pt>
                <c:pt idx="2" formatCode="0.0">
                  <c:v>6.2000000000000028</c:v>
                </c:pt>
                <c:pt idx="3" formatCode="0.0">
                  <c:v>6.4000000000000083</c:v>
                </c:pt>
                <c:pt idx="4">
                  <c:v>4.2999999999999972</c:v>
                </c:pt>
                <c:pt idx="5">
                  <c:v>4.0999999999999943</c:v>
                </c:pt>
                <c:pt idx="6">
                  <c:v>2.9</c:v>
                </c:pt>
                <c:pt idx="7">
                  <c:v>1.7</c:v>
                </c:pt>
                <c:pt idx="8">
                  <c:v>1.9000000000000001</c:v>
                </c:pt>
                <c:pt idx="9">
                  <c:v>3.4</c:v>
                </c:pt>
                <c:pt idx="10">
                  <c:v>3.3</c:v>
                </c:pt>
                <c:pt idx="11">
                  <c:v>3.6</c:v>
                </c:pt>
                <c:pt idx="12">
                  <c:v>6.7</c:v>
                </c:pt>
                <c:pt idx="13">
                  <c:v>5</c:v>
                </c:pt>
                <c:pt idx="14">
                  <c:v>4.3</c:v>
                </c:pt>
                <c:pt idx="15">
                  <c:v>4.5999999999999996</c:v>
                </c:pt>
                <c:pt idx="16">
                  <c:v>7.4</c:v>
                </c:pt>
                <c:pt idx="17">
                  <c:v>8</c:v>
                </c:pt>
                <c:pt idx="18">
                  <c:v>8.4</c:v>
                </c:pt>
                <c:pt idx="19">
                  <c:v>10.1</c:v>
                </c:pt>
                <c:pt idx="20">
                  <c:v>9.9</c:v>
                </c:pt>
                <c:pt idx="21">
                  <c:v>9</c:v>
                </c:pt>
                <c:pt idx="22">
                  <c:v>9.2000000000000011</c:v>
                </c:pt>
                <c:pt idx="23">
                  <c:v>8.3000000000000007</c:v>
                </c:pt>
                <c:pt idx="24">
                  <c:v>7.9</c:v>
                </c:pt>
                <c:pt idx="25">
                  <c:v>7.4</c:v>
                </c:pt>
                <c:pt idx="26">
                  <c:v>8</c:v>
                </c:pt>
                <c:pt idx="27">
                  <c:v>8.4</c:v>
                </c:pt>
                <c:pt idx="28">
                  <c:v>7.5</c:v>
                </c:pt>
                <c:pt idx="29">
                  <c:v>7.1</c:v>
                </c:pt>
                <c:pt idx="30">
                  <c:v>6.9</c:v>
                </c:pt>
                <c:pt idx="31">
                  <c:v>6.8</c:v>
                </c:pt>
                <c:pt idx="32">
                  <c:v>6.6</c:v>
                </c:pt>
                <c:pt idx="33">
                  <c:v>3.6</c:v>
                </c:pt>
                <c:pt idx="34">
                  <c:v>3.2</c:v>
                </c:pt>
                <c:pt idx="35">
                  <c:v>4.3</c:v>
                </c:pt>
                <c:pt idx="36">
                  <c:v>-2.1</c:v>
                </c:pt>
                <c:pt idx="37">
                  <c:v>-1.8</c:v>
                </c:pt>
                <c:pt idx="38">
                  <c:v>-2.6</c:v>
                </c:pt>
                <c:pt idx="39">
                  <c:v>-3.7</c:v>
                </c:pt>
                <c:pt idx="40">
                  <c:v>-3.1</c:v>
                </c:pt>
                <c:pt idx="41">
                  <c:v>-3.6</c:v>
                </c:pt>
                <c:pt idx="42">
                  <c:v>-3.5</c:v>
                </c:pt>
                <c:pt idx="43">
                  <c:v>-3.5</c:v>
                </c:pt>
                <c:pt idx="44">
                  <c:v>-3.7</c:v>
                </c:pt>
                <c:pt idx="45">
                  <c:v>-1.9000000000000001</c:v>
                </c:pt>
                <c:pt idx="46">
                  <c:v>-1.8</c:v>
                </c:pt>
                <c:pt idx="47">
                  <c:v>-2.2000000000000002</c:v>
                </c:pt>
                <c:pt idx="48">
                  <c:v>-0.30000000000000021</c:v>
                </c:pt>
                <c:pt idx="49">
                  <c:v>-0.8</c:v>
                </c:pt>
                <c:pt idx="50">
                  <c:v>-0.30000000000000021</c:v>
                </c:pt>
                <c:pt idx="51">
                  <c:v>1</c:v>
                </c:pt>
                <c:pt idx="52">
                  <c:v>0.30000000000000021</c:v>
                </c:pt>
                <c:pt idx="53">
                  <c:v>1.1000000000000001</c:v>
                </c:pt>
                <c:pt idx="54">
                  <c:v>2</c:v>
                </c:pt>
                <c:pt idx="55">
                  <c:v>3.6</c:v>
                </c:pt>
                <c:pt idx="56">
                  <c:v>4.3</c:v>
                </c:pt>
                <c:pt idx="57">
                  <c:v>12.7</c:v>
                </c:pt>
                <c:pt idx="58">
                  <c:v>14</c:v>
                </c:pt>
                <c:pt idx="59">
                  <c:v>14.6</c:v>
                </c:pt>
                <c:pt idx="60">
                  <c:v>24.2</c:v>
                </c:pt>
                <c:pt idx="61">
                  <c:v>25.1</c:v>
                </c:pt>
                <c:pt idx="62">
                  <c:v>26.3</c:v>
                </c:pt>
                <c:pt idx="63">
                  <c:v>28.3</c:v>
                </c:pt>
                <c:pt idx="64">
                  <c:v>34</c:v>
                </c:pt>
                <c:pt idx="65">
                  <c:v>33.300000000000004</c:v>
                </c:pt>
                <c:pt idx="66">
                  <c:v>30.4</c:v>
                </c:pt>
                <c:pt idx="67">
                  <c:v>28.8</c:v>
                </c:pt>
                <c:pt idx="68">
                  <c:v>31.3</c:v>
                </c:pt>
                <c:pt idx="69">
                  <c:v>24.5</c:v>
                </c:pt>
                <c:pt idx="70">
                  <c:v>23.5</c:v>
                </c:pt>
                <c:pt idx="71">
                  <c:v>21.9</c:v>
                </c:pt>
              </c:numCache>
            </c:numRef>
          </c:val>
          <c:smooth val="0"/>
          <c:extLst>
            <c:ext xmlns:c16="http://schemas.microsoft.com/office/drawing/2014/chart" uri="{C3380CC4-5D6E-409C-BE32-E72D297353CC}">
              <c16:uniqueId val="{00000001-4A74-4D92-90F2-49E6EC0C0AC8}"/>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4'!$E$54:$E$125</c:f>
              <c:numCache>
                <c:formatCode>General</c:formatCode>
                <c:ptCount val="72"/>
                <c:pt idx="0">
                  <c:v>2.5999999999999943</c:v>
                </c:pt>
                <c:pt idx="1">
                  <c:v>4</c:v>
                </c:pt>
                <c:pt idx="2" formatCode="0.0">
                  <c:v>3.7999999999999972</c:v>
                </c:pt>
                <c:pt idx="3" formatCode="0.0">
                  <c:v>4</c:v>
                </c:pt>
                <c:pt idx="4">
                  <c:v>2.7999999999999972</c:v>
                </c:pt>
                <c:pt idx="5">
                  <c:v>1.5</c:v>
                </c:pt>
                <c:pt idx="6">
                  <c:v>1.4</c:v>
                </c:pt>
                <c:pt idx="7">
                  <c:v>2</c:v>
                </c:pt>
                <c:pt idx="8">
                  <c:v>2.1</c:v>
                </c:pt>
                <c:pt idx="9">
                  <c:v>1.4</c:v>
                </c:pt>
                <c:pt idx="10">
                  <c:v>1.1000000000000001</c:v>
                </c:pt>
                <c:pt idx="11">
                  <c:v>0.9</c:v>
                </c:pt>
                <c:pt idx="12">
                  <c:v>0.2</c:v>
                </c:pt>
                <c:pt idx="13">
                  <c:v>-0.9</c:v>
                </c:pt>
                <c:pt idx="14">
                  <c:v>-0.5</c:v>
                </c:pt>
                <c:pt idx="15">
                  <c:v>-0.5</c:v>
                </c:pt>
                <c:pt idx="16">
                  <c:v>1.3</c:v>
                </c:pt>
                <c:pt idx="17">
                  <c:v>2.8</c:v>
                </c:pt>
                <c:pt idx="18">
                  <c:v>3.4</c:v>
                </c:pt>
                <c:pt idx="19">
                  <c:v>3.2</c:v>
                </c:pt>
                <c:pt idx="20">
                  <c:v>3</c:v>
                </c:pt>
                <c:pt idx="21">
                  <c:v>3.8</c:v>
                </c:pt>
                <c:pt idx="22">
                  <c:v>3.9</c:v>
                </c:pt>
                <c:pt idx="23">
                  <c:v>2.2000000000000002</c:v>
                </c:pt>
                <c:pt idx="24">
                  <c:v>1.9000000000000001</c:v>
                </c:pt>
                <c:pt idx="25">
                  <c:v>2.9</c:v>
                </c:pt>
                <c:pt idx="26">
                  <c:v>3</c:v>
                </c:pt>
                <c:pt idx="27">
                  <c:v>3.5</c:v>
                </c:pt>
                <c:pt idx="28">
                  <c:v>2.9</c:v>
                </c:pt>
                <c:pt idx="29">
                  <c:v>1.4</c:v>
                </c:pt>
                <c:pt idx="30">
                  <c:v>0.9</c:v>
                </c:pt>
                <c:pt idx="31">
                  <c:v>0.8</c:v>
                </c:pt>
                <c:pt idx="32">
                  <c:v>0.7000000000000004</c:v>
                </c:pt>
                <c:pt idx="33">
                  <c:v>-0.4</c:v>
                </c:pt>
                <c:pt idx="34">
                  <c:v>-0.7000000000000004</c:v>
                </c:pt>
                <c:pt idx="35">
                  <c:v>0.8</c:v>
                </c:pt>
                <c:pt idx="36">
                  <c:v>1.2</c:v>
                </c:pt>
                <c:pt idx="37">
                  <c:v>-0.1</c:v>
                </c:pt>
                <c:pt idx="38">
                  <c:v>-1.2</c:v>
                </c:pt>
                <c:pt idx="39">
                  <c:v>-2.5</c:v>
                </c:pt>
                <c:pt idx="40">
                  <c:v>-2.6</c:v>
                </c:pt>
                <c:pt idx="41">
                  <c:v>-1.9000000000000001</c:v>
                </c:pt>
                <c:pt idx="42">
                  <c:v>-1.6</c:v>
                </c:pt>
                <c:pt idx="43">
                  <c:v>-2</c:v>
                </c:pt>
                <c:pt idx="44">
                  <c:v>-1.9000000000000001</c:v>
                </c:pt>
                <c:pt idx="45">
                  <c:v>-1.1000000000000001</c:v>
                </c:pt>
                <c:pt idx="46">
                  <c:v>-1.4</c:v>
                </c:pt>
                <c:pt idx="47">
                  <c:v>-1.2</c:v>
                </c:pt>
                <c:pt idx="48">
                  <c:v>-0.30000000000000021</c:v>
                </c:pt>
                <c:pt idx="49">
                  <c:v>1.6</c:v>
                </c:pt>
                <c:pt idx="50">
                  <c:v>4.0999999999999996</c:v>
                </c:pt>
                <c:pt idx="51">
                  <c:v>5.6</c:v>
                </c:pt>
                <c:pt idx="52">
                  <c:v>6.3</c:v>
                </c:pt>
                <c:pt idx="53">
                  <c:v>7.4</c:v>
                </c:pt>
                <c:pt idx="54">
                  <c:v>9.5</c:v>
                </c:pt>
                <c:pt idx="55">
                  <c:v>11.4</c:v>
                </c:pt>
                <c:pt idx="56">
                  <c:v>12</c:v>
                </c:pt>
                <c:pt idx="57">
                  <c:v>13.4</c:v>
                </c:pt>
                <c:pt idx="58">
                  <c:v>15.4</c:v>
                </c:pt>
                <c:pt idx="59">
                  <c:v>14.7</c:v>
                </c:pt>
                <c:pt idx="60">
                  <c:v>15.5</c:v>
                </c:pt>
                <c:pt idx="61">
                  <c:v>16.600000000000001</c:v>
                </c:pt>
                <c:pt idx="62">
                  <c:v>20.3</c:v>
                </c:pt>
                <c:pt idx="63">
                  <c:v>22.3</c:v>
                </c:pt>
                <c:pt idx="64">
                  <c:v>24.6</c:v>
                </c:pt>
                <c:pt idx="65">
                  <c:v>25.8</c:v>
                </c:pt>
                <c:pt idx="66">
                  <c:v>22.7</c:v>
                </c:pt>
                <c:pt idx="67">
                  <c:v>20</c:v>
                </c:pt>
                <c:pt idx="68">
                  <c:v>18.899999999999999</c:v>
                </c:pt>
                <c:pt idx="69">
                  <c:v>18.399999999999999</c:v>
                </c:pt>
                <c:pt idx="70">
                  <c:v>15.7</c:v>
                </c:pt>
                <c:pt idx="71">
                  <c:v>14</c:v>
                </c:pt>
              </c:numCache>
            </c:numRef>
          </c:val>
          <c:smooth val="0"/>
          <c:extLst>
            <c:ext xmlns:c16="http://schemas.microsoft.com/office/drawing/2014/chart" uri="{C3380CC4-5D6E-409C-BE32-E72D297353CC}">
              <c16:uniqueId val="{00000002-4A74-4D92-90F2-49E6EC0C0AC8}"/>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4'!$F$54:$F$125</c:f>
              <c:numCache>
                <c:formatCode>General</c:formatCode>
                <c:ptCount val="72"/>
                <c:pt idx="0">
                  <c:v>-1.0999999999999932</c:v>
                </c:pt>
                <c:pt idx="1">
                  <c:v>-1.2000000000000028</c:v>
                </c:pt>
                <c:pt idx="2" formatCode="0.0">
                  <c:v>-1.2000000000000028</c:v>
                </c:pt>
                <c:pt idx="3" formatCode="0.0">
                  <c:v>-1.4000000000000057</c:v>
                </c:pt>
                <c:pt idx="4">
                  <c:v>-1.2999999999999956</c:v>
                </c:pt>
                <c:pt idx="5">
                  <c:v>-1.0999999999999932</c:v>
                </c:pt>
                <c:pt idx="6">
                  <c:v>-1.1000000000000001</c:v>
                </c:pt>
                <c:pt idx="7">
                  <c:v>-1.3</c:v>
                </c:pt>
                <c:pt idx="8">
                  <c:v>-1.1000000000000001</c:v>
                </c:pt>
                <c:pt idx="9">
                  <c:v>-1.1000000000000001</c:v>
                </c:pt>
                <c:pt idx="10">
                  <c:v>-1.1000000000000001</c:v>
                </c:pt>
                <c:pt idx="11">
                  <c:v>-1.1000000000000001</c:v>
                </c:pt>
                <c:pt idx="12">
                  <c:v>1.5</c:v>
                </c:pt>
                <c:pt idx="13">
                  <c:v>1.6</c:v>
                </c:pt>
                <c:pt idx="14">
                  <c:v>1.6</c:v>
                </c:pt>
                <c:pt idx="15">
                  <c:v>1.7</c:v>
                </c:pt>
                <c:pt idx="16">
                  <c:v>1.7</c:v>
                </c:pt>
                <c:pt idx="17">
                  <c:v>2.2999999999999998</c:v>
                </c:pt>
                <c:pt idx="18">
                  <c:v>2.2999999999999998</c:v>
                </c:pt>
                <c:pt idx="19">
                  <c:v>2.6</c:v>
                </c:pt>
                <c:pt idx="20">
                  <c:v>2.7</c:v>
                </c:pt>
                <c:pt idx="21">
                  <c:v>2.8</c:v>
                </c:pt>
                <c:pt idx="22">
                  <c:v>2.8</c:v>
                </c:pt>
                <c:pt idx="23">
                  <c:v>2.8</c:v>
                </c:pt>
                <c:pt idx="24">
                  <c:v>7.2</c:v>
                </c:pt>
                <c:pt idx="25">
                  <c:v>7.5</c:v>
                </c:pt>
                <c:pt idx="26">
                  <c:v>8.4</c:v>
                </c:pt>
                <c:pt idx="27">
                  <c:v>8.2000000000000011</c:v>
                </c:pt>
                <c:pt idx="28">
                  <c:v>8.6</c:v>
                </c:pt>
                <c:pt idx="29">
                  <c:v>7.9</c:v>
                </c:pt>
                <c:pt idx="30">
                  <c:v>8</c:v>
                </c:pt>
                <c:pt idx="31">
                  <c:v>7.7</c:v>
                </c:pt>
                <c:pt idx="32">
                  <c:v>7.7</c:v>
                </c:pt>
                <c:pt idx="33">
                  <c:v>7.5</c:v>
                </c:pt>
                <c:pt idx="34">
                  <c:v>8.7000000000000011</c:v>
                </c:pt>
                <c:pt idx="35">
                  <c:v>8.8000000000000007</c:v>
                </c:pt>
                <c:pt idx="36">
                  <c:v>9.3000000000000007</c:v>
                </c:pt>
                <c:pt idx="37">
                  <c:v>9</c:v>
                </c:pt>
                <c:pt idx="38">
                  <c:v>8.3000000000000007</c:v>
                </c:pt>
                <c:pt idx="39">
                  <c:v>8.6</c:v>
                </c:pt>
                <c:pt idx="40">
                  <c:v>8</c:v>
                </c:pt>
                <c:pt idx="41">
                  <c:v>8</c:v>
                </c:pt>
                <c:pt idx="42">
                  <c:v>7.7</c:v>
                </c:pt>
                <c:pt idx="43">
                  <c:v>7.9</c:v>
                </c:pt>
                <c:pt idx="44">
                  <c:v>7.7</c:v>
                </c:pt>
                <c:pt idx="45">
                  <c:v>7</c:v>
                </c:pt>
                <c:pt idx="46">
                  <c:v>5.8</c:v>
                </c:pt>
                <c:pt idx="47">
                  <c:v>5.6</c:v>
                </c:pt>
                <c:pt idx="48">
                  <c:v>0.4</c:v>
                </c:pt>
                <c:pt idx="49">
                  <c:v>0.4</c:v>
                </c:pt>
                <c:pt idx="50">
                  <c:v>0.1</c:v>
                </c:pt>
                <c:pt idx="51">
                  <c:v>-0.1</c:v>
                </c:pt>
                <c:pt idx="52">
                  <c:v>0.2</c:v>
                </c:pt>
                <c:pt idx="53">
                  <c:v>0.2</c:v>
                </c:pt>
                <c:pt idx="54">
                  <c:v>0.5</c:v>
                </c:pt>
                <c:pt idx="55">
                  <c:v>0.7000000000000004</c:v>
                </c:pt>
                <c:pt idx="56">
                  <c:v>1.2</c:v>
                </c:pt>
                <c:pt idx="57">
                  <c:v>3.7</c:v>
                </c:pt>
                <c:pt idx="58">
                  <c:v>5.6</c:v>
                </c:pt>
                <c:pt idx="59">
                  <c:v>7.1</c:v>
                </c:pt>
                <c:pt idx="60">
                  <c:v>40.6</c:v>
                </c:pt>
                <c:pt idx="61">
                  <c:v>45.5</c:v>
                </c:pt>
                <c:pt idx="62">
                  <c:v>48.9</c:v>
                </c:pt>
                <c:pt idx="63">
                  <c:v>51.4</c:v>
                </c:pt>
                <c:pt idx="64">
                  <c:v>45.8</c:v>
                </c:pt>
                <c:pt idx="65">
                  <c:v>44.6</c:v>
                </c:pt>
                <c:pt idx="66">
                  <c:v>49.8</c:v>
                </c:pt>
                <c:pt idx="67">
                  <c:v>54.3</c:v>
                </c:pt>
                <c:pt idx="68">
                  <c:v>64</c:v>
                </c:pt>
                <c:pt idx="69">
                  <c:v>56.8</c:v>
                </c:pt>
                <c:pt idx="70">
                  <c:v>52.6</c:v>
                </c:pt>
                <c:pt idx="71">
                  <c:v>53.5</c:v>
                </c:pt>
              </c:numCache>
            </c:numRef>
          </c:val>
          <c:smooth val="0"/>
          <c:extLst>
            <c:ext xmlns:c16="http://schemas.microsoft.com/office/drawing/2014/chart" uri="{C3380CC4-5D6E-409C-BE32-E72D297353CC}">
              <c16:uniqueId val="{00000003-4A74-4D92-90F2-49E6EC0C0AC8}"/>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4'!$G$54:$G$125</c:f>
              <c:numCache>
                <c:formatCode>General</c:formatCode>
                <c:ptCount val="72"/>
                <c:pt idx="0">
                  <c:v>2.0999999999999943</c:v>
                </c:pt>
                <c:pt idx="1">
                  <c:v>2.0999999999999943</c:v>
                </c:pt>
                <c:pt idx="2" formatCode="0.0">
                  <c:v>2.0999999999999943</c:v>
                </c:pt>
                <c:pt idx="3" formatCode="0.0">
                  <c:v>1</c:v>
                </c:pt>
                <c:pt idx="4">
                  <c:v>1</c:v>
                </c:pt>
                <c:pt idx="5">
                  <c:v>1</c:v>
                </c:pt>
                <c:pt idx="6">
                  <c:v>1</c:v>
                </c:pt>
                <c:pt idx="7">
                  <c:v>1</c:v>
                </c:pt>
                <c:pt idx="8">
                  <c:v>1</c:v>
                </c:pt>
                <c:pt idx="9">
                  <c:v>1</c:v>
                </c:pt>
                <c:pt idx="10">
                  <c:v>1</c:v>
                </c:pt>
                <c:pt idx="11">
                  <c:v>1</c:v>
                </c:pt>
                <c:pt idx="12">
                  <c:v>1.9000000000000001</c:v>
                </c:pt>
                <c:pt idx="13">
                  <c:v>1.9000000000000001</c:v>
                </c:pt>
                <c:pt idx="14">
                  <c:v>1.9000000000000001</c:v>
                </c:pt>
                <c:pt idx="15">
                  <c:v>1.9000000000000001</c:v>
                </c:pt>
                <c:pt idx="16">
                  <c:v>1.9000000000000001</c:v>
                </c:pt>
                <c:pt idx="17">
                  <c:v>1.9000000000000001</c:v>
                </c:pt>
                <c:pt idx="18">
                  <c:v>1.9000000000000001</c:v>
                </c:pt>
                <c:pt idx="19">
                  <c:v>1.9000000000000001</c:v>
                </c:pt>
                <c:pt idx="20">
                  <c:v>1.9000000000000001</c:v>
                </c:pt>
                <c:pt idx="21">
                  <c:v>1.9000000000000001</c:v>
                </c:pt>
                <c:pt idx="22">
                  <c:v>1.9000000000000001</c:v>
                </c:pt>
                <c:pt idx="23">
                  <c:v>1.9000000000000001</c:v>
                </c:pt>
                <c:pt idx="24">
                  <c:v>2.9</c:v>
                </c:pt>
                <c:pt idx="25">
                  <c:v>2.9</c:v>
                </c:pt>
                <c:pt idx="26">
                  <c:v>2.9</c:v>
                </c:pt>
                <c:pt idx="27">
                  <c:v>2.9</c:v>
                </c:pt>
                <c:pt idx="28">
                  <c:v>2.9</c:v>
                </c:pt>
                <c:pt idx="29">
                  <c:v>2.9</c:v>
                </c:pt>
                <c:pt idx="30">
                  <c:v>2.9</c:v>
                </c:pt>
                <c:pt idx="31">
                  <c:v>2.9</c:v>
                </c:pt>
                <c:pt idx="32">
                  <c:v>2.9</c:v>
                </c:pt>
                <c:pt idx="33">
                  <c:v>2.9</c:v>
                </c:pt>
                <c:pt idx="34">
                  <c:v>2.9</c:v>
                </c:pt>
                <c:pt idx="35">
                  <c:v>2.9</c:v>
                </c:pt>
                <c:pt idx="36">
                  <c:v>5.4</c:v>
                </c:pt>
                <c:pt idx="37">
                  <c:v>5.4</c:v>
                </c:pt>
                <c:pt idx="38">
                  <c:v>5.4</c:v>
                </c:pt>
                <c:pt idx="39">
                  <c:v>5.4</c:v>
                </c:pt>
                <c:pt idx="40">
                  <c:v>6.4</c:v>
                </c:pt>
                <c:pt idx="41">
                  <c:v>6.4</c:v>
                </c:pt>
                <c:pt idx="42">
                  <c:v>6.4</c:v>
                </c:pt>
                <c:pt idx="43">
                  <c:v>6.4</c:v>
                </c:pt>
                <c:pt idx="44">
                  <c:v>6.4</c:v>
                </c:pt>
                <c:pt idx="45">
                  <c:v>6.4</c:v>
                </c:pt>
                <c:pt idx="46">
                  <c:v>6.4</c:v>
                </c:pt>
                <c:pt idx="47">
                  <c:v>6.4</c:v>
                </c:pt>
                <c:pt idx="48">
                  <c:v>6.9</c:v>
                </c:pt>
                <c:pt idx="49">
                  <c:v>6.9</c:v>
                </c:pt>
                <c:pt idx="50">
                  <c:v>6.9</c:v>
                </c:pt>
                <c:pt idx="51">
                  <c:v>6.9</c:v>
                </c:pt>
                <c:pt idx="52">
                  <c:v>5.9</c:v>
                </c:pt>
                <c:pt idx="53">
                  <c:v>5.9</c:v>
                </c:pt>
                <c:pt idx="54">
                  <c:v>5.9</c:v>
                </c:pt>
                <c:pt idx="55">
                  <c:v>5.9</c:v>
                </c:pt>
                <c:pt idx="56">
                  <c:v>5.9</c:v>
                </c:pt>
                <c:pt idx="57">
                  <c:v>5.9</c:v>
                </c:pt>
                <c:pt idx="58">
                  <c:v>5.9</c:v>
                </c:pt>
                <c:pt idx="59">
                  <c:v>5.9</c:v>
                </c:pt>
                <c:pt idx="60">
                  <c:v>5.3</c:v>
                </c:pt>
                <c:pt idx="61">
                  <c:v>5.3</c:v>
                </c:pt>
                <c:pt idx="62">
                  <c:v>5.3</c:v>
                </c:pt>
                <c:pt idx="63">
                  <c:v>5.3</c:v>
                </c:pt>
                <c:pt idx="64">
                  <c:v>5.3</c:v>
                </c:pt>
                <c:pt idx="65">
                  <c:v>5.3</c:v>
                </c:pt>
                <c:pt idx="66">
                  <c:v>5.3</c:v>
                </c:pt>
                <c:pt idx="67">
                  <c:v>5.3</c:v>
                </c:pt>
                <c:pt idx="68">
                  <c:v>5.3</c:v>
                </c:pt>
                <c:pt idx="69">
                  <c:v>5.3</c:v>
                </c:pt>
                <c:pt idx="70">
                  <c:v>5.3</c:v>
                </c:pt>
                <c:pt idx="71">
                  <c:v>5.3</c:v>
                </c:pt>
              </c:numCache>
            </c:numRef>
          </c:val>
          <c:smooth val="0"/>
          <c:extLst>
            <c:ext xmlns:c16="http://schemas.microsoft.com/office/drawing/2014/chart" uri="{C3380CC4-5D6E-409C-BE32-E72D297353CC}">
              <c16:uniqueId val="{00000004-4A74-4D92-90F2-49E6EC0C0AC8}"/>
            </c:ext>
          </c:extLst>
        </c:ser>
        <c:dLbls>
          <c:showLegendKey val="0"/>
          <c:showVal val="0"/>
          <c:showCatName val="0"/>
          <c:showSerName val="0"/>
          <c:showPercent val="0"/>
          <c:showBubbleSize val="0"/>
        </c:dLbls>
        <c:marker val="1"/>
        <c:smooth val="0"/>
        <c:axId val="58178176"/>
        <c:axId val="58192256"/>
      </c:lineChart>
      <c:catAx>
        <c:axId val="58178176"/>
        <c:scaling>
          <c:orientation val="minMax"/>
        </c:scaling>
        <c:delete val="0"/>
        <c:axPos val="b"/>
        <c:numFmt formatCode="General" sourceLinked="0"/>
        <c:majorTickMark val="out"/>
        <c:minorTickMark val="none"/>
        <c:tickLblPos val="low"/>
        <c:spPr>
          <a:ln>
            <a:solidFill>
              <a:schemeClr val="tx1"/>
            </a:solidFill>
          </a:ln>
        </c:spPr>
        <c:crossAx val="58192256"/>
        <c:crosses val="autoZero"/>
        <c:auto val="1"/>
        <c:lblAlgn val="ctr"/>
        <c:lblOffset val="100"/>
        <c:noMultiLvlLbl val="0"/>
      </c:catAx>
      <c:valAx>
        <c:axId val="58192256"/>
        <c:scaling>
          <c:orientation val="minMax"/>
          <c:max val="65"/>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58178176"/>
        <c:crosses val="autoZero"/>
        <c:crossBetween val="between"/>
        <c:majorUnit val="5"/>
      </c:valAx>
      <c:spPr>
        <a:ln>
          <a:solidFill>
            <a:schemeClr val="tx1"/>
          </a:solidFill>
        </a:ln>
      </c:spPr>
    </c:plotArea>
    <c:legend>
      <c:legendPos val="b"/>
      <c:layout>
        <c:manualLayout>
          <c:xMode val="edge"/>
          <c:yMode val="edge"/>
          <c:x val="6.1319022289766968E-2"/>
          <c:y val="0.86223931272106069"/>
          <c:w val="0.90901046943600139"/>
          <c:h val="0.121094024257652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1854E-2"/>
          <c:y val="1.452205106022466E-2"/>
          <c:w val="0.84495121574960963"/>
          <c:h val="0.67557130739459703"/>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1-SNÚ'!$AC$28:$AC$60</c:f>
              <c:numCache>
                <c:formatCode>#\ ##0.0</c:formatCode>
                <c:ptCount val="33"/>
                <c:pt idx="0">
                  <c:v>-5.6991893197978323E-2</c:v>
                </c:pt>
                <c:pt idx="1">
                  <c:v>-5.3077004431979165E-2</c:v>
                </c:pt>
                <c:pt idx="2">
                  <c:v>-6.9683605158033485E-2</c:v>
                </c:pt>
                <c:pt idx="3">
                  <c:v>-0.13993931548915475</c:v>
                </c:pt>
                <c:pt idx="4">
                  <c:v>-0.12488466174466099</c:v>
                </c:pt>
                <c:pt idx="5">
                  <c:v>-3.2025271621926886E-2</c:v>
                </c:pt>
                <c:pt idx="6">
                  <c:v>-4.5209168072263259E-2</c:v>
                </c:pt>
                <c:pt idx="7">
                  <c:v>5.8178231424048349E-2</c:v>
                </c:pt>
                <c:pt idx="8">
                  <c:v>9.847316873845928E-2</c:v>
                </c:pt>
                <c:pt idx="9">
                  <c:v>3.582769575865416E-2</c:v>
                </c:pt>
                <c:pt idx="10">
                  <c:v>1.9597324357556165E-2</c:v>
                </c:pt>
                <c:pt idx="11">
                  <c:v>-9.3256093124704578E-2</c:v>
                </c:pt>
                <c:pt idx="12">
                  <c:v>2.8281779223500583E-2</c:v>
                </c:pt>
                <c:pt idx="13">
                  <c:v>3.1385538570036633E-2</c:v>
                </c:pt>
                <c:pt idx="14">
                  <c:v>1.6521075080556516E-2</c:v>
                </c:pt>
                <c:pt idx="15">
                  <c:v>8.3398360204896146E-2</c:v>
                </c:pt>
                <c:pt idx="16">
                  <c:v>-3.2066957439228189E-2</c:v>
                </c:pt>
                <c:pt idx="17">
                  <c:v>-9.1886912097250764E-2</c:v>
                </c:pt>
                <c:pt idx="18">
                  <c:v>-0.12544281535318705</c:v>
                </c:pt>
                <c:pt idx="19">
                  <c:v>-0.13296546528421771</c:v>
                </c:pt>
                <c:pt idx="20">
                  <c:v>-8.0149764825409739E-2</c:v>
                </c:pt>
                <c:pt idx="21">
                  <c:v>1.2847127079559931E-4</c:v>
                </c:pt>
                <c:pt idx="22">
                  <c:v>9.2281662728676939E-2</c:v>
                </c:pt>
                <c:pt idx="23">
                  <c:v>7.8785121950452494E-2</c:v>
                </c:pt>
                <c:pt idx="24">
                  <c:v>3.9467525638141862E-2</c:v>
                </c:pt>
                <c:pt idx="25">
                  <c:v>-3.5679661917382206E-2</c:v>
                </c:pt>
                <c:pt idx="26">
                  <c:v>-6.7116536974324945E-2</c:v>
                </c:pt>
                <c:pt idx="27">
                  <c:v>-2.1524420295770987E-2</c:v>
                </c:pt>
                <c:pt idx="28">
                  <c:v>-2.1396085155666732E-2</c:v>
                </c:pt>
                <c:pt idx="29">
                  <c:v>8.9564611387649873E-2</c:v>
                </c:pt>
                <c:pt idx="30">
                  <c:v>3.6987296379261833E-2</c:v>
                </c:pt>
                <c:pt idx="31">
                  <c:v>-5.9061454391102594E-2</c:v>
                </c:pt>
              </c:numCache>
            </c:numRef>
          </c:val>
          <c:extLst>
            <c:ext xmlns:c16="http://schemas.microsoft.com/office/drawing/2014/chart" uri="{C3380CC4-5D6E-409C-BE32-E72D297353CC}">
              <c16:uniqueId val="{00000000-4DBC-43F7-8812-71F02EC36BAA}"/>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1-SNÚ'!$AD$28:$AD$60</c:f>
              <c:numCache>
                <c:formatCode>#\ ##0.0</c:formatCode>
                <c:ptCount val="33"/>
                <c:pt idx="0">
                  <c:v>0.8819790258041621</c:v>
                </c:pt>
                <c:pt idx="1">
                  <c:v>0.93619594656509875</c:v>
                </c:pt>
                <c:pt idx="2">
                  <c:v>0.79380670100221296</c:v>
                </c:pt>
                <c:pt idx="3">
                  <c:v>0.92941048859384778</c:v>
                </c:pt>
                <c:pt idx="4">
                  <c:v>0.86436958871149239</c:v>
                </c:pt>
                <c:pt idx="5">
                  <c:v>0.64306976785438064</c:v>
                </c:pt>
                <c:pt idx="6">
                  <c:v>0.67102358376255722</c:v>
                </c:pt>
                <c:pt idx="7">
                  <c:v>0.51768439491468099</c:v>
                </c:pt>
                <c:pt idx="8">
                  <c:v>0.27352595704925442</c:v>
                </c:pt>
                <c:pt idx="9">
                  <c:v>0.40495174469100209</c:v>
                </c:pt>
                <c:pt idx="10">
                  <c:v>0.48296390541252482</c:v>
                </c:pt>
                <c:pt idx="11">
                  <c:v>0.47073561501166572</c:v>
                </c:pt>
                <c:pt idx="12">
                  <c:v>0.35993792705298538</c:v>
                </c:pt>
                <c:pt idx="13">
                  <c:v>0.28632749685910514</c:v>
                </c:pt>
                <c:pt idx="14">
                  <c:v>9.3203449496172278E-2</c:v>
                </c:pt>
                <c:pt idx="15">
                  <c:v>8.6360902490994762E-2</c:v>
                </c:pt>
                <c:pt idx="16">
                  <c:v>0.14709256185686445</c:v>
                </c:pt>
                <c:pt idx="17">
                  <c:v>-2.0854942188739026E-2</c:v>
                </c:pt>
                <c:pt idx="18">
                  <c:v>-0.16258097669671437</c:v>
                </c:pt>
                <c:pt idx="19">
                  <c:v>-0.55102805433099289</c:v>
                </c:pt>
                <c:pt idx="20">
                  <c:v>-0.82136508594643098</c:v>
                </c:pt>
                <c:pt idx="21">
                  <c:v>-1.0952359365711681</c:v>
                </c:pt>
                <c:pt idx="22">
                  <c:v>-1.0796051443294794</c:v>
                </c:pt>
                <c:pt idx="23">
                  <c:v>-0.91314157662366424</c:v>
                </c:pt>
                <c:pt idx="24">
                  <c:v>-0.48322704277798206</c:v>
                </c:pt>
                <c:pt idx="25">
                  <c:v>-6.9933638079916441E-2</c:v>
                </c:pt>
                <c:pt idx="26">
                  <c:v>0.17887110622763175</c:v>
                </c:pt>
                <c:pt idx="27">
                  <c:v>0.31056393603222182</c:v>
                </c:pt>
                <c:pt idx="28">
                  <c:v>7.524352618012152E-2</c:v>
                </c:pt>
                <c:pt idx="29">
                  <c:v>0.38919045732493623</c:v>
                </c:pt>
                <c:pt idx="30">
                  <c:v>0.19536879625969064</c:v>
                </c:pt>
                <c:pt idx="31">
                  <c:v>9.9464098143858246E-2</c:v>
                </c:pt>
              </c:numCache>
            </c:numRef>
          </c:val>
          <c:extLst>
            <c:ext xmlns:c16="http://schemas.microsoft.com/office/drawing/2014/chart" uri="{C3380CC4-5D6E-409C-BE32-E72D297353CC}">
              <c16:uniqueId val="{00000001-4DBC-43F7-8812-71F02EC36BAA}"/>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1-SNÚ'!$AE$28:$AE$60</c:f>
              <c:numCache>
                <c:formatCode>#\ ##0.0</c:formatCode>
                <c:ptCount val="33"/>
                <c:pt idx="0">
                  <c:v>-0.11535945278349405</c:v>
                </c:pt>
                <c:pt idx="1">
                  <c:v>-0.10277905701098219</c:v>
                </c:pt>
                <c:pt idx="2">
                  <c:v>-0.15744780912986248</c:v>
                </c:pt>
                <c:pt idx="3">
                  <c:v>-0.17964656072744944</c:v>
                </c:pt>
                <c:pt idx="4">
                  <c:v>-0.11205258317894973</c:v>
                </c:pt>
                <c:pt idx="5">
                  <c:v>-0.12466911878830762</c:v>
                </c:pt>
                <c:pt idx="6">
                  <c:v>-2.5910926178730032E-2</c:v>
                </c:pt>
                <c:pt idx="7">
                  <c:v>9.6483224892210742E-3</c:v>
                </c:pt>
                <c:pt idx="8">
                  <c:v>-9.847316873845928E-3</c:v>
                </c:pt>
                <c:pt idx="9">
                  <c:v>1.9091640634913781E-2</c:v>
                </c:pt>
                <c:pt idx="10">
                  <c:v>7.2407555983877492E-2</c:v>
                </c:pt>
                <c:pt idx="11">
                  <c:v>-7.2320666550757681E-2</c:v>
                </c:pt>
                <c:pt idx="12">
                  <c:v>0.10670200915568535</c:v>
                </c:pt>
                <c:pt idx="13">
                  <c:v>7.1029443792451546E-2</c:v>
                </c:pt>
                <c:pt idx="14">
                  <c:v>5.9006500400454333E-2</c:v>
                </c:pt>
                <c:pt idx="15">
                  <c:v>0.11179404853203223</c:v>
                </c:pt>
                <c:pt idx="16">
                  <c:v>3.5683531586509575E-2</c:v>
                </c:pt>
                <c:pt idx="17">
                  <c:v>8.4487365089419425E-2</c:v>
                </c:pt>
                <c:pt idx="18">
                  <c:v>9.8622860864049505E-2</c:v>
                </c:pt>
                <c:pt idx="19">
                  <c:v>0.12706817507064183</c:v>
                </c:pt>
                <c:pt idx="20">
                  <c:v>1.7073866434947429E-2</c:v>
                </c:pt>
                <c:pt idx="21">
                  <c:v>-0.21562985151107084</c:v>
                </c:pt>
                <c:pt idx="22">
                  <c:v>-0.10234473200166617</c:v>
                </c:pt>
                <c:pt idx="23">
                  <c:v>-5.2591242475965305E-2</c:v>
                </c:pt>
                <c:pt idx="24">
                  <c:v>-5.9386582004809813E-2</c:v>
                </c:pt>
                <c:pt idx="25">
                  <c:v>0.13637809786507291</c:v>
                </c:pt>
                <c:pt idx="26">
                  <c:v>-3.1728840934745151E-2</c:v>
                </c:pt>
                <c:pt idx="27">
                  <c:v>6.512129265954951E-2</c:v>
                </c:pt>
                <c:pt idx="28">
                  <c:v>0.26034410470168484</c:v>
                </c:pt>
                <c:pt idx="29">
                  <c:v>0.27560497205938939</c:v>
                </c:pt>
                <c:pt idx="30">
                  <c:v>0.25807425799466888</c:v>
                </c:pt>
                <c:pt idx="31">
                  <c:v>0.24362385324511113</c:v>
                </c:pt>
              </c:numCache>
            </c:numRef>
          </c:val>
          <c:extLst>
            <c:ext xmlns:c16="http://schemas.microsoft.com/office/drawing/2014/chart" uri="{C3380CC4-5D6E-409C-BE32-E72D297353CC}">
              <c16:uniqueId val="{00000002-4DBC-43F7-8812-71F02EC36BAA}"/>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1-SNÚ'!$AF$28:$AF$60</c:f>
              <c:numCache>
                <c:formatCode>#\ ##0.0</c:formatCode>
                <c:ptCount val="33"/>
                <c:pt idx="0">
                  <c:v>0.23291997178704818</c:v>
                </c:pt>
                <c:pt idx="1">
                  <c:v>0.49484250453607481</c:v>
                </c:pt>
                <c:pt idx="2">
                  <c:v>0.32328110679066346</c:v>
                </c:pt>
                <c:pt idx="3">
                  <c:v>0.16315218273979096</c:v>
                </c:pt>
                <c:pt idx="4">
                  <c:v>8.7514387555562345E-2</c:v>
                </c:pt>
                <c:pt idx="5">
                  <c:v>0.23539827888748047</c:v>
                </c:pt>
                <c:pt idx="6">
                  <c:v>-1.0121455538566434E-2</c:v>
                </c:pt>
                <c:pt idx="7">
                  <c:v>6.4501534410011954E-2</c:v>
                </c:pt>
                <c:pt idx="8">
                  <c:v>0.1749189412853254</c:v>
                </c:pt>
                <c:pt idx="9">
                  <c:v>5.3760540295329402E-3</c:v>
                </c:pt>
                <c:pt idx="10">
                  <c:v>0.35548634881148383</c:v>
                </c:pt>
                <c:pt idx="11">
                  <c:v>0.17830036428397431</c:v>
                </c:pt>
                <c:pt idx="12">
                  <c:v>0.15887539134747303</c:v>
                </c:pt>
                <c:pt idx="13">
                  <c:v>0.40293713210708676</c:v>
                </c:pt>
                <c:pt idx="14">
                  <c:v>0.21063905082977841</c:v>
                </c:pt>
                <c:pt idx="15">
                  <c:v>0.22355083238122042</c:v>
                </c:pt>
                <c:pt idx="16">
                  <c:v>0.43914483415040162</c:v>
                </c:pt>
                <c:pt idx="17">
                  <c:v>0.11318361828645729</c:v>
                </c:pt>
                <c:pt idx="18">
                  <c:v>-1.4877414534236133E-2</c:v>
                </c:pt>
                <c:pt idx="19">
                  <c:v>-4.6754453974505922E-2</c:v>
                </c:pt>
                <c:pt idx="20">
                  <c:v>-0.11596996469808198</c:v>
                </c:pt>
                <c:pt idx="21">
                  <c:v>-0.57289010255494743</c:v>
                </c:pt>
                <c:pt idx="22">
                  <c:v>-0.41512925330551581</c:v>
                </c:pt>
                <c:pt idx="23">
                  <c:v>-0.9900953468311966</c:v>
                </c:pt>
                <c:pt idx="24">
                  <c:v>-0.85418472506699616</c:v>
                </c:pt>
                <c:pt idx="25">
                  <c:v>-0.15881388948084027</c:v>
                </c:pt>
                <c:pt idx="26">
                  <c:v>0.24439275764343901</c:v>
                </c:pt>
                <c:pt idx="27">
                  <c:v>0.73867123838551241</c:v>
                </c:pt>
                <c:pt idx="28">
                  <c:v>0.44187240187036914</c:v>
                </c:pt>
                <c:pt idx="29">
                  <c:v>0.90504152566544072</c:v>
                </c:pt>
                <c:pt idx="30">
                  <c:v>0.4080689953476736</c:v>
                </c:pt>
                <c:pt idx="31">
                  <c:v>0.19173600533448876</c:v>
                </c:pt>
              </c:numCache>
            </c:numRef>
          </c:val>
          <c:extLst>
            <c:ext xmlns:c16="http://schemas.microsoft.com/office/drawing/2014/chart" uri="{C3380CC4-5D6E-409C-BE32-E72D297353CC}">
              <c16:uniqueId val="{00000003-4DBC-43F7-8812-71F02EC36BAA}"/>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1-SNÚ'!$AG$28:$AG$60</c:f>
              <c:numCache>
                <c:formatCode>#\ ##0.0</c:formatCode>
                <c:ptCount val="33"/>
                <c:pt idx="0">
                  <c:v>1.2223778472118125E-2</c:v>
                </c:pt>
                <c:pt idx="1">
                  <c:v>6.0238966213004064E-2</c:v>
                </c:pt>
                <c:pt idx="2">
                  <c:v>7.0191816584150843E-2</c:v>
                </c:pt>
                <c:pt idx="3">
                  <c:v>9.797309994794548E-2</c:v>
                </c:pt>
                <c:pt idx="4">
                  <c:v>0.11574107777423753</c:v>
                </c:pt>
                <c:pt idx="5">
                  <c:v>0.11485523362541725</c:v>
                </c:pt>
                <c:pt idx="6">
                  <c:v>0.13512625118059429</c:v>
                </c:pt>
                <c:pt idx="7">
                  <c:v>0.16390616372127001</c:v>
                </c:pt>
                <c:pt idx="8">
                  <c:v>0.13639011895367537</c:v>
                </c:pt>
                <c:pt idx="9">
                  <c:v>0.13690890950828224</c:v>
                </c:pt>
                <c:pt idx="10">
                  <c:v>0.13784590844137623</c:v>
                </c:pt>
                <c:pt idx="11">
                  <c:v>0.11872218009337375</c:v>
                </c:pt>
                <c:pt idx="12">
                  <c:v>0.12284956731327347</c:v>
                </c:pt>
                <c:pt idx="13">
                  <c:v>0.1377705293912645</c:v>
                </c:pt>
                <c:pt idx="14">
                  <c:v>0.12183128760081174</c:v>
                </c:pt>
                <c:pt idx="15">
                  <c:v>0.14710233552673246</c:v>
                </c:pt>
                <c:pt idx="16">
                  <c:v>0.15146954390177933</c:v>
                </c:pt>
                <c:pt idx="17">
                  <c:v>8.5481334090471192E-2</c:v>
                </c:pt>
                <c:pt idx="18">
                  <c:v>0.13044502296953692</c:v>
                </c:pt>
                <c:pt idx="19">
                  <c:v>0.14053979740227937</c:v>
                </c:pt>
                <c:pt idx="20">
                  <c:v>0.1289269892800389</c:v>
                </c:pt>
                <c:pt idx="21">
                  <c:v>8.7929408340245235E-2</c:v>
                </c:pt>
                <c:pt idx="22">
                  <c:v>0.10800290465149717</c:v>
                </c:pt>
                <c:pt idx="23">
                  <c:v>7.2310646091645697E-2</c:v>
                </c:pt>
                <c:pt idx="24">
                  <c:v>7.4765946455353352E-2</c:v>
                </c:pt>
                <c:pt idx="25">
                  <c:v>0.13000003001443688</c:v>
                </c:pt>
                <c:pt idx="26">
                  <c:v>0.10201638566659332</c:v>
                </c:pt>
                <c:pt idx="27">
                  <c:v>3.643466403006717E-2</c:v>
                </c:pt>
                <c:pt idx="28">
                  <c:v>0.1174340491057069</c:v>
                </c:pt>
                <c:pt idx="29">
                  <c:v>0.1043021459830316</c:v>
                </c:pt>
                <c:pt idx="30">
                  <c:v>0.10363509437990252</c:v>
                </c:pt>
                <c:pt idx="31">
                  <c:v>0.18052956826783198</c:v>
                </c:pt>
              </c:numCache>
            </c:numRef>
          </c:val>
          <c:extLst>
            <c:ext xmlns:c16="http://schemas.microsoft.com/office/drawing/2014/chart" uri="{C3380CC4-5D6E-409C-BE32-E72D297353CC}">
              <c16:uniqueId val="{00000004-4DBC-43F7-8812-71F02EC36BAA}"/>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1-SNÚ'!$AH$28:$AH$60</c:f>
              <c:numCache>
                <c:formatCode>#\ ##0.0</c:formatCode>
                <c:ptCount val="33"/>
                <c:pt idx="0">
                  <c:v>0.10850077322277195</c:v>
                </c:pt>
                <c:pt idx="1">
                  <c:v>0.12304838994193759</c:v>
                </c:pt>
                <c:pt idx="2">
                  <c:v>0.25299155723995131</c:v>
                </c:pt>
                <c:pt idx="3">
                  <c:v>0.35101672163818687</c:v>
                </c:pt>
                <c:pt idx="4">
                  <c:v>0.24190700606252494</c:v>
                </c:pt>
                <c:pt idx="5">
                  <c:v>0.24438309320163906</c:v>
                </c:pt>
                <c:pt idx="6">
                  <c:v>0.25066507602369625</c:v>
                </c:pt>
                <c:pt idx="7">
                  <c:v>0.26288795818240274</c:v>
                </c:pt>
                <c:pt idx="8">
                  <c:v>0.40909387284647242</c:v>
                </c:pt>
                <c:pt idx="9">
                  <c:v>0.3560353520194568</c:v>
                </c:pt>
                <c:pt idx="10">
                  <c:v>0.3141458690378412</c:v>
                </c:pt>
                <c:pt idx="11">
                  <c:v>0.14060149424955432</c:v>
                </c:pt>
                <c:pt idx="12">
                  <c:v>0.17385474809809426</c:v>
                </c:pt>
                <c:pt idx="13">
                  <c:v>0.14777045635809016</c:v>
                </c:pt>
                <c:pt idx="14">
                  <c:v>9.3482836335189556E-2</c:v>
                </c:pt>
                <c:pt idx="15">
                  <c:v>0.1886897215806482</c:v>
                </c:pt>
                <c:pt idx="16">
                  <c:v>-9.607104657906422E-3</c:v>
                </c:pt>
                <c:pt idx="17">
                  <c:v>-3.2359213034248172E-2</c:v>
                </c:pt>
                <c:pt idx="18">
                  <c:v>-2.9422579116094798E-2</c:v>
                </c:pt>
                <c:pt idx="19">
                  <c:v>-0.2039356671982194</c:v>
                </c:pt>
                <c:pt idx="20">
                  <c:v>-0.1605384535083593</c:v>
                </c:pt>
                <c:pt idx="21">
                  <c:v>-0.28764717531134681</c:v>
                </c:pt>
                <c:pt idx="22">
                  <c:v>-0.41553472496120397</c:v>
                </c:pt>
                <c:pt idx="23">
                  <c:v>-0.19227343450410975</c:v>
                </c:pt>
                <c:pt idx="24">
                  <c:v>-0.1810873840664608</c:v>
                </c:pt>
                <c:pt idx="25">
                  <c:v>8.9049082608734634E-2</c:v>
                </c:pt>
                <c:pt idx="26">
                  <c:v>0.19420077094891303</c:v>
                </c:pt>
                <c:pt idx="27">
                  <c:v>9.0255163593154081E-2</c:v>
                </c:pt>
                <c:pt idx="28">
                  <c:v>7.9511462322772133E-2</c:v>
                </c:pt>
                <c:pt idx="29">
                  <c:v>3.6049989567917426E-2</c:v>
                </c:pt>
                <c:pt idx="30">
                  <c:v>0.13800036522398282</c:v>
                </c:pt>
                <c:pt idx="31">
                  <c:v>0.13672596600231021</c:v>
                </c:pt>
              </c:numCache>
            </c:numRef>
          </c:val>
          <c:extLst>
            <c:ext xmlns:c16="http://schemas.microsoft.com/office/drawing/2014/chart" uri="{C3380CC4-5D6E-409C-BE32-E72D297353CC}">
              <c16:uniqueId val="{00000005-4DBC-43F7-8812-71F02EC36BAA}"/>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1-SNÚ'!$AI$28:$AI$60</c:f>
              <c:numCache>
                <c:formatCode>#\ ##0.0</c:formatCode>
                <c:ptCount val="33"/>
                <c:pt idx="0">
                  <c:v>0.2235654403517939</c:v>
                </c:pt>
                <c:pt idx="1">
                  <c:v>0.22121632087472592</c:v>
                </c:pt>
                <c:pt idx="2">
                  <c:v>0.12507865060484005</c:v>
                </c:pt>
                <c:pt idx="3">
                  <c:v>0.12632707202590387</c:v>
                </c:pt>
                <c:pt idx="4">
                  <c:v>0.32907195728800748</c:v>
                </c:pt>
                <c:pt idx="5">
                  <c:v>0.33515671077902165</c:v>
                </c:pt>
                <c:pt idx="6">
                  <c:v>0.44146897214787206</c:v>
                </c:pt>
                <c:pt idx="7">
                  <c:v>0.55904533116329502</c:v>
                </c:pt>
                <c:pt idx="8">
                  <c:v>0.45377965834973044</c:v>
                </c:pt>
                <c:pt idx="9">
                  <c:v>0.48758720415555468</c:v>
                </c:pt>
                <c:pt idx="10">
                  <c:v>0.52434236449693716</c:v>
                </c:pt>
                <c:pt idx="11">
                  <c:v>0.53403271627626758</c:v>
                </c:pt>
                <c:pt idx="12">
                  <c:v>0.4379247919471026</c:v>
                </c:pt>
                <c:pt idx="13">
                  <c:v>0.46550221824222576</c:v>
                </c:pt>
                <c:pt idx="14">
                  <c:v>0.29622455251541197</c:v>
                </c:pt>
                <c:pt idx="15">
                  <c:v>0.2439346138968943</c:v>
                </c:pt>
                <c:pt idx="16">
                  <c:v>0.20792519366754592</c:v>
                </c:pt>
                <c:pt idx="17">
                  <c:v>0.13389130580837388</c:v>
                </c:pt>
                <c:pt idx="18">
                  <c:v>0.1488479786651119</c:v>
                </c:pt>
                <c:pt idx="19">
                  <c:v>0.16857035494868167</c:v>
                </c:pt>
                <c:pt idx="20">
                  <c:v>0.34228599406292892</c:v>
                </c:pt>
                <c:pt idx="21">
                  <c:v>0.27122120568819474</c:v>
                </c:pt>
                <c:pt idx="22">
                  <c:v>0.38125393952574582</c:v>
                </c:pt>
                <c:pt idx="23">
                  <c:v>0.32350181091089775</c:v>
                </c:pt>
                <c:pt idx="24">
                  <c:v>0.18331090663762345</c:v>
                </c:pt>
                <c:pt idx="25">
                  <c:v>0.29725547988582496</c:v>
                </c:pt>
                <c:pt idx="26">
                  <c:v>0.29415318706918947</c:v>
                </c:pt>
                <c:pt idx="27">
                  <c:v>0.35013560951715972</c:v>
                </c:pt>
                <c:pt idx="28">
                  <c:v>0.42965143934736072</c:v>
                </c:pt>
                <c:pt idx="29">
                  <c:v>0.3847262358188579</c:v>
                </c:pt>
                <c:pt idx="30">
                  <c:v>0.45225291500434778</c:v>
                </c:pt>
                <c:pt idx="31">
                  <c:v>0.51709436972247858</c:v>
                </c:pt>
              </c:numCache>
            </c:numRef>
          </c:val>
          <c:extLst>
            <c:ext xmlns:c16="http://schemas.microsoft.com/office/drawing/2014/chart" uri="{C3380CC4-5D6E-409C-BE32-E72D297353CC}">
              <c16:uniqueId val="{00000006-4DBC-43F7-8812-71F02EC36BAA}"/>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1-SNÚ'!$AJ$28:$AJ$60</c:f>
              <c:numCache>
                <c:formatCode>#\ ##0.0</c:formatCode>
                <c:ptCount val="33"/>
                <c:pt idx="0">
                  <c:v>-5.4437084192551839E-2</c:v>
                </c:pt>
                <c:pt idx="1">
                  <c:v>8.9416602290768532E-2</c:v>
                </c:pt>
                <c:pt idx="2">
                  <c:v>4.9980639099324431E-2</c:v>
                </c:pt>
                <c:pt idx="3">
                  <c:v>-2.6133949538887497E-2</c:v>
                </c:pt>
                <c:pt idx="4">
                  <c:v>0.1261076888999407</c:v>
                </c:pt>
                <c:pt idx="5">
                  <c:v>7.9147344977730114E-2</c:v>
                </c:pt>
                <c:pt idx="6">
                  <c:v>0.10645843330278795</c:v>
                </c:pt>
                <c:pt idx="7">
                  <c:v>0.17588007788617954</c:v>
                </c:pt>
                <c:pt idx="8">
                  <c:v>-5.5355305533561015E-2</c:v>
                </c:pt>
                <c:pt idx="9">
                  <c:v>-2.8874919169222996E-3</c:v>
                </c:pt>
                <c:pt idx="10">
                  <c:v>4.6771521213818675E-2</c:v>
                </c:pt>
                <c:pt idx="11">
                  <c:v>4.0303999761385413E-2</c:v>
                </c:pt>
                <c:pt idx="12">
                  <c:v>0.20445408817735161</c:v>
                </c:pt>
                <c:pt idx="13">
                  <c:v>0.19370645045850773</c:v>
                </c:pt>
                <c:pt idx="14">
                  <c:v>1.6316191398610506E-2</c:v>
                </c:pt>
                <c:pt idx="15">
                  <c:v>1.8371488642097301E-2</c:v>
                </c:pt>
                <c:pt idx="16">
                  <c:v>-2.6762648689882155E-2</c:v>
                </c:pt>
                <c:pt idx="17">
                  <c:v>2.116785835573683E-2</c:v>
                </c:pt>
                <c:pt idx="18">
                  <c:v>0.10524940158091128</c:v>
                </c:pt>
                <c:pt idx="19">
                  <c:v>0.12295850095305616</c:v>
                </c:pt>
                <c:pt idx="20">
                  <c:v>-0.12300902911636498</c:v>
                </c:pt>
                <c:pt idx="21">
                  <c:v>-0.3520846941346828</c:v>
                </c:pt>
                <c:pt idx="22">
                  <c:v>-0.34275256276516958</c:v>
                </c:pt>
                <c:pt idx="23">
                  <c:v>-0.43863649018293682</c:v>
                </c:pt>
                <c:pt idx="24">
                  <c:v>-0.1670236038038547</c:v>
                </c:pt>
                <c:pt idx="25">
                  <c:v>4.1494959075315162E-2</c:v>
                </c:pt>
                <c:pt idx="26">
                  <c:v>-1.4410260105194707E-2</c:v>
                </c:pt>
                <c:pt idx="27">
                  <c:v>0.11548352276335092</c:v>
                </c:pt>
                <c:pt idx="28">
                  <c:v>8.7370481299106559E-2</c:v>
                </c:pt>
                <c:pt idx="29">
                  <c:v>0.16487733570777571</c:v>
                </c:pt>
                <c:pt idx="30">
                  <c:v>0.18233305228690899</c:v>
                </c:pt>
                <c:pt idx="31">
                  <c:v>1.4718902415907242E-2</c:v>
                </c:pt>
              </c:numCache>
            </c:numRef>
          </c:val>
          <c:extLst>
            <c:ext xmlns:c16="http://schemas.microsoft.com/office/drawing/2014/chart" uri="{C3380CC4-5D6E-409C-BE32-E72D297353CC}">
              <c16:uniqueId val="{00000007-4DBC-43F7-8812-71F02EC36BAA}"/>
            </c:ext>
          </c:extLst>
        </c:ser>
        <c:dLbls>
          <c:showLegendKey val="0"/>
          <c:showVal val="0"/>
          <c:showCatName val="0"/>
          <c:showSerName val="0"/>
          <c:showPercent val="0"/>
          <c:showBubbleSize val="0"/>
        </c:dLbls>
        <c:gapWidth val="47"/>
        <c:overlap val="100"/>
        <c:axId val="167211008"/>
        <c:axId val="46620672"/>
      </c:barChart>
      <c:lineChart>
        <c:grouping val="standard"/>
        <c:varyColors val="0"/>
        <c:ser>
          <c:idx val="8"/>
          <c:order val="8"/>
          <c:tx>
            <c:strRef>
              <c:f>'Trh práce 1-SNÚ'!$AK$7</c:f>
              <c:strCache>
                <c:ptCount val="1"/>
                <c:pt idx="0">
                  <c:v>Zaměstnanost celkem</c:v>
                </c:pt>
              </c:strCache>
            </c:strRef>
          </c:tx>
          <c:spPr>
            <a:ln w="19050">
              <a:solidFill>
                <a:schemeClr val="tx1">
                  <a:lumMod val="95000"/>
                  <a:lumOff val="5000"/>
                </a:schemeClr>
              </a:solidFill>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1-SNÚ'!$AK$28:$AK$60</c:f>
              <c:numCache>
                <c:formatCode>#\ ##0.0</c:formatCode>
                <c:ptCount val="33"/>
                <c:pt idx="0">
                  <c:v>1.2324005594638701</c:v>
                </c:pt>
                <c:pt idx="1">
                  <c:v>1.7691026689786475</c:v>
                </c:pt>
                <c:pt idx="2">
                  <c:v>1.3881990570332476</c:v>
                </c:pt>
                <c:pt idx="3">
                  <c:v>1.322159739190184</c:v>
                </c:pt>
                <c:pt idx="4">
                  <c:v>1.5277744613681534</c:v>
                </c:pt>
                <c:pt idx="5">
                  <c:v>1.4953160389154334</c:v>
                </c:pt>
                <c:pt idx="6">
                  <c:v>1.5235007666279472</c:v>
                </c:pt>
                <c:pt idx="7">
                  <c:v>1.811732014191108</c:v>
                </c:pt>
                <c:pt idx="8">
                  <c:v>1.4809790948155097</c:v>
                </c:pt>
                <c:pt idx="9">
                  <c:v>1.4428911088804726</c:v>
                </c:pt>
                <c:pt idx="10">
                  <c:v>1.953560797755413</c:v>
                </c:pt>
                <c:pt idx="11">
                  <c:v>1.3171196100007592</c:v>
                </c:pt>
                <c:pt idx="12">
                  <c:v>1.5928803023154638</c:v>
                </c:pt>
                <c:pt idx="13">
                  <c:v>1.7364292657787679</c:v>
                </c:pt>
                <c:pt idx="14">
                  <c:v>0.90722494365698481</c:v>
                </c:pt>
                <c:pt idx="15">
                  <c:v>1.1032023032555145</c:v>
                </c:pt>
                <c:pt idx="16">
                  <c:v>0.91287895437608391</c:v>
                </c:pt>
                <c:pt idx="17">
                  <c:v>0.29311041431022067</c:v>
                </c:pt>
                <c:pt idx="18">
                  <c:v>0.15084147837937695</c:v>
                </c:pt>
                <c:pt idx="19">
                  <c:v>-0.37554681241327631</c:v>
                </c:pt>
                <c:pt idx="20">
                  <c:v>-0.81274544831673334</c:v>
                </c:pt>
                <c:pt idx="21">
                  <c:v>-2.1642086747839784</c:v>
                </c:pt>
                <c:pt idx="22">
                  <c:v>-1.7738279104571142</c:v>
                </c:pt>
                <c:pt idx="23">
                  <c:v>-2.1121405116648737</c:v>
                </c:pt>
                <c:pt idx="24">
                  <c:v>-1.4473649589889828</c:v>
                </c:pt>
                <c:pt idx="25">
                  <c:v>0.42975045997124572</c:v>
                </c:pt>
                <c:pt idx="26">
                  <c:v>0.90037856954150186</c:v>
                </c:pt>
                <c:pt idx="27">
                  <c:v>1.6851410066852437</c:v>
                </c:pt>
                <c:pt idx="28">
                  <c:v>1.4700313796714539</c:v>
                </c:pt>
                <c:pt idx="29">
                  <c:v>2.3493572735149972</c:v>
                </c:pt>
                <c:pt idx="30">
                  <c:v>1.7747207728764345</c:v>
                </c:pt>
                <c:pt idx="31">
                  <c:v>1.3248313087408832</c:v>
                </c:pt>
              </c:numCache>
            </c:numRef>
          </c:val>
          <c:smooth val="0"/>
          <c:extLst>
            <c:ext xmlns:c16="http://schemas.microsoft.com/office/drawing/2014/chart" uri="{C3380CC4-5D6E-409C-BE32-E72D297353CC}">
              <c16:uniqueId val="{00000008-4DBC-43F7-8812-71F02EC36BAA}"/>
            </c:ext>
          </c:extLst>
        </c:ser>
        <c:dLbls>
          <c:showLegendKey val="0"/>
          <c:showVal val="0"/>
          <c:showCatName val="0"/>
          <c:showSerName val="0"/>
          <c:showPercent val="0"/>
          <c:showBubbleSize val="0"/>
        </c:dLbls>
        <c:marker val="1"/>
        <c:smooth val="0"/>
        <c:axId val="167211008"/>
        <c:axId val="46620672"/>
      </c:lineChart>
      <c:lineChart>
        <c:grouping val="standard"/>
        <c:varyColors val="0"/>
        <c:ser>
          <c:idx val="9"/>
          <c:order val="9"/>
          <c:tx>
            <c:strRef>
              <c:f>'Trh práce 1-SNÚ'!$AL$7</c:f>
              <c:strCache>
                <c:ptCount val="1"/>
              </c:strCache>
            </c:strRef>
          </c:tx>
          <c:spPr>
            <a:ln>
              <a:noFill/>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1-SNÚ'!$AL$28:$AL$60</c:f>
              <c:numCache>
                <c:formatCode>General</c:formatCode>
                <c:ptCount val="33"/>
              </c:numCache>
            </c:numRef>
          </c:val>
          <c:smooth val="0"/>
          <c:extLst>
            <c:ext xmlns:c16="http://schemas.microsoft.com/office/drawing/2014/chart" uri="{C3380CC4-5D6E-409C-BE32-E72D297353CC}">
              <c16:uniqueId val="{00000009-4DBC-43F7-8812-71F02EC36BAA}"/>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1-SNÚ'!$AM$28:$AM$60</c:f>
              <c:numCache>
                <c:formatCode>#\ ##0.0</c:formatCode>
                <c:ptCount val="33"/>
                <c:pt idx="0">
                  <c:v>-3</c:v>
                </c:pt>
                <c:pt idx="1">
                  <c:v>4.3</c:v>
                </c:pt>
                <c:pt idx="2">
                  <c:v>5.5</c:v>
                </c:pt>
                <c:pt idx="3">
                  <c:v>7.8</c:v>
                </c:pt>
                <c:pt idx="4">
                  <c:v>8.2000000000000011</c:v>
                </c:pt>
                <c:pt idx="5">
                  <c:v>9.9</c:v>
                </c:pt>
                <c:pt idx="6">
                  <c:v>3.8</c:v>
                </c:pt>
                <c:pt idx="7">
                  <c:v>9.5</c:v>
                </c:pt>
                <c:pt idx="8">
                  <c:v>11.1</c:v>
                </c:pt>
                <c:pt idx="9">
                  <c:v>5.7</c:v>
                </c:pt>
                <c:pt idx="10">
                  <c:v>8.2000000000000011</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numCache>
            </c:numRef>
          </c:val>
          <c:smooth val="0"/>
          <c:extLst>
            <c:ext xmlns:c16="http://schemas.microsoft.com/office/drawing/2014/chart" uri="{C3380CC4-5D6E-409C-BE32-E72D297353CC}">
              <c16:uniqueId val="{0000000A-4DBC-43F7-8812-71F02EC36BAA}"/>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1-SNÚ'!$AN$28:$AN$60</c:f>
              <c:numCache>
                <c:formatCode>#\ ##0.0</c:formatCode>
                <c:ptCount val="33"/>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3.6</c:v>
                </c:pt>
                <c:pt idx="25">
                  <c:v>4.0999999999999996</c:v>
                </c:pt>
                <c:pt idx="26">
                  <c:v>4.2</c:v>
                </c:pt>
                <c:pt idx="27">
                  <c:v>8.9</c:v>
                </c:pt>
                <c:pt idx="28">
                  <c:v>9.5</c:v>
                </c:pt>
                <c:pt idx="29">
                  <c:v>7.3</c:v>
                </c:pt>
                <c:pt idx="30">
                  <c:v>1.3</c:v>
                </c:pt>
                <c:pt idx="31">
                  <c:v>0.1</c:v>
                </c:pt>
                <c:pt idx="32">
                  <c:v>-11.3</c:v>
                </c:pt>
              </c:numCache>
            </c:numRef>
          </c:val>
          <c:smooth val="0"/>
          <c:extLst>
            <c:ext xmlns:c16="http://schemas.microsoft.com/office/drawing/2014/chart" uri="{C3380CC4-5D6E-409C-BE32-E72D297353CC}">
              <c16:uniqueId val="{0000000B-4DBC-43F7-8812-71F02EC36BAA}"/>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1-SNÚ'!$AO$28:$AO$60</c:f>
              <c:numCache>
                <c:formatCode>#\ ##0.0</c:formatCode>
                <c:ptCount val="33"/>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0.70000000000000062</c:v>
                </c:pt>
                <c:pt idx="24">
                  <c:v>5.6</c:v>
                </c:pt>
                <c:pt idx="25">
                  <c:v>13.2</c:v>
                </c:pt>
                <c:pt idx="26">
                  <c:v>10.7</c:v>
                </c:pt>
                <c:pt idx="27">
                  <c:v>8.3000000000000007</c:v>
                </c:pt>
                <c:pt idx="28">
                  <c:v>10.1</c:v>
                </c:pt>
                <c:pt idx="29">
                  <c:v>3.1</c:v>
                </c:pt>
                <c:pt idx="30">
                  <c:v>5.2</c:v>
                </c:pt>
                <c:pt idx="31">
                  <c:v>12.5</c:v>
                </c:pt>
                <c:pt idx="32">
                  <c:v>10.200000000000001</c:v>
                </c:pt>
              </c:numCache>
            </c:numRef>
          </c:val>
          <c:smooth val="0"/>
          <c:extLst>
            <c:ext xmlns:c16="http://schemas.microsoft.com/office/drawing/2014/chart" uri="{C3380CC4-5D6E-409C-BE32-E72D297353CC}">
              <c16:uniqueId val="{0000000C-4DBC-43F7-8812-71F02EC36BAA}"/>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1-SNÚ'!$AP$28:$AP$60</c:f>
              <c:numCache>
                <c:formatCode>#\ ##0.0</c:formatCode>
                <c:ptCount val="33"/>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-32.300000000000004</c:v>
                </c:pt>
                <c:pt idx="22">
                  <c:v>-28.6</c:v>
                </c:pt>
                <c:pt idx="23">
                  <c:v>-30.1</c:v>
                </c:pt>
                <c:pt idx="24">
                  <c:v>-27</c:v>
                </c:pt>
                <c:pt idx="25">
                  <c:v>-27.7</c:v>
                </c:pt>
                <c:pt idx="26">
                  <c:v>-12.1</c:v>
                </c:pt>
                <c:pt idx="27">
                  <c:v>-15.8</c:v>
                </c:pt>
                <c:pt idx="28">
                  <c:v>-6.8</c:v>
                </c:pt>
                <c:pt idx="29">
                  <c:v>-3.5</c:v>
                </c:pt>
                <c:pt idx="30">
                  <c:v>-6.1</c:v>
                </c:pt>
                <c:pt idx="31">
                  <c:v>-6.4</c:v>
                </c:pt>
                <c:pt idx="32">
                  <c:v>-10.7</c:v>
                </c:pt>
              </c:numCache>
            </c:numRef>
          </c:val>
          <c:smooth val="0"/>
          <c:extLst>
            <c:ext xmlns:c16="http://schemas.microsoft.com/office/drawing/2014/chart" uri="{C3380CC4-5D6E-409C-BE32-E72D297353CC}">
              <c16:uniqueId val="{0000000D-4DBC-43F7-8812-71F02EC36BAA}"/>
            </c:ext>
          </c:extLst>
        </c:ser>
        <c:dLbls>
          <c:showLegendKey val="0"/>
          <c:showVal val="0"/>
          <c:showCatName val="0"/>
          <c:showSerName val="0"/>
          <c:showPercent val="0"/>
          <c:showBubbleSize val="0"/>
        </c:dLbls>
        <c:marker val="1"/>
        <c:smooth val="0"/>
        <c:axId val="46624768"/>
        <c:axId val="46622592"/>
      </c:lineChart>
      <c:catAx>
        <c:axId val="167211008"/>
        <c:scaling>
          <c:orientation val="minMax"/>
        </c:scaling>
        <c:delete val="0"/>
        <c:axPos val="b"/>
        <c:numFmt formatCode="General" sourceLinked="1"/>
        <c:majorTickMark val="out"/>
        <c:minorTickMark val="none"/>
        <c:tickLblPos val="low"/>
        <c:spPr>
          <a:ln>
            <a:solidFill>
              <a:schemeClr val="tx1"/>
            </a:solidFill>
          </a:ln>
        </c:spPr>
        <c:crossAx val="46620672"/>
        <c:crosses val="autoZero"/>
        <c:auto val="1"/>
        <c:lblAlgn val="ctr"/>
        <c:lblOffset val="10"/>
        <c:noMultiLvlLbl val="0"/>
      </c:catAx>
      <c:valAx>
        <c:axId val="46620672"/>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167211008"/>
        <c:crosses val="autoZero"/>
        <c:crossBetween val="between"/>
        <c:majorUnit val="0.5"/>
      </c:valAx>
      <c:valAx>
        <c:axId val="46622592"/>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46624768"/>
        <c:crosses val="max"/>
        <c:crossBetween val="between"/>
        <c:majorUnit val="10"/>
      </c:valAx>
      <c:catAx>
        <c:axId val="46624768"/>
        <c:scaling>
          <c:orientation val="minMax"/>
        </c:scaling>
        <c:delete val="1"/>
        <c:axPos val="b"/>
        <c:numFmt formatCode="General" sourceLinked="1"/>
        <c:majorTickMark val="out"/>
        <c:minorTickMark val="none"/>
        <c:tickLblPos val="none"/>
        <c:crossAx val="46622592"/>
        <c:crosses val="autoZero"/>
        <c:auto val="1"/>
        <c:lblAlgn val="ctr"/>
        <c:lblOffset val="100"/>
        <c:noMultiLvlLbl val="0"/>
      </c:catAx>
      <c:spPr>
        <a:ln>
          <a:solidFill>
            <a:schemeClr val="tx1"/>
          </a:solidFill>
        </a:ln>
      </c:spPr>
    </c:plotArea>
    <c:legend>
      <c:legendPos val="b"/>
      <c:layout>
        <c:manualLayout>
          <c:xMode val="edge"/>
          <c:yMode val="edge"/>
          <c:x val="1.5472441370721636E-2"/>
          <c:y val="0.7799282311707082"/>
          <c:w val="0.96005692595618608"/>
          <c:h val="0.2119461831534999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6016E-2"/>
          <c:y val="1.6081916099773243E-2"/>
          <c:w val="0.83584199323559127"/>
          <c:h val="0.75413005601973715"/>
        </c:manualLayout>
      </c:layout>
      <c:barChart>
        <c:barDir val="col"/>
        <c:grouping val="clustered"/>
        <c:varyColors val="0"/>
        <c:ser>
          <c:idx val="0"/>
          <c:order val="0"/>
          <c:tx>
            <c:strRef>
              <c:f>'Trh práce-2b'!$A$30</c:f>
              <c:strCache>
                <c:ptCount val="1"/>
                <c:pt idx="0">
                  <c:v>Míra nezaměstnanosti mužů</c:v>
                </c:pt>
              </c:strCache>
            </c:strRef>
          </c:tx>
          <c:spPr>
            <a:solidFill>
              <a:srgbClr val="BCBCBC"/>
            </a:solidFill>
          </c:spPr>
          <c:invertIfNegative val="0"/>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práce-2b'!$B$30:$AH$30</c:f>
              <c:numCache>
                <c:formatCode>0.0</c:formatCode>
                <c:ptCount val="33"/>
                <c:pt idx="0">
                  <c:v>5.0184498557278294</c:v>
                </c:pt>
                <c:pt idx="1">
                  <c:v>4.3151435519817865</c:v>
                </c:pt>
                <c:pt idx="2">
                  <c:v>4.0653569827424283</c:v>
                </c:pt>
                <c:pt idx="3">
                  <c:v>3.7854260166193554</c:v>
                </c:pt>
                <c:pt idx="4">
                  <c:v>3.6474975169630288</c:v>
                </c:pt>
                <c:pt idx="5">
                  <c:v>3.5654830555353332</c:v>
                </c:pt>
                <c:pt idx="6">
                  <c:v>3.3989604167359637</c:v>
                </c:pt>
                <c:pt idx="7">
                  <c:v>3.1504941789659258</c:v>
                </c:pt>
                <c:pt idx="8">
                  <c:v>2.6905697458963487</c:v>
                </c:pt>
                <c:pt idx="9">
                  <c:v>2.4896599632821212</c:v>
                </c:pt>
                <c:pt idx="10">
                  <c:v>2.2551170095832918</c:v>
                </c:pt>
                <c:pt idx="11">
                  <c:v>2.0776134206978387</c:v>
                </c:pt>
                <c:pt idx="12">
                  <c:v>1.8918478975900792</c:v>
                </c:pt>
                <c:pt idx="13">
                  <c:v>1.8305349024755444</c:v>
                </c:pt>
                <c:pt idx="14">
                  <c:v>1.8940050899262646</c:v>
                </c:pt>
                <c:pt idx="15">
                  <c:v>1.6761905519941769</c:v>
                </c:pt>
                <c:pt idx="16">
                  <c:v>1.8002825463432983</c:v>
                </c:pt>
                <c:pt idx="17">
                  <c:v>1.6771476901478308</c:v>
                </c:pt>
                <c:pt idx="18">
                  <c:v>1.7720037672502047</c:v>
                </c:pt>
                <c:pt idx="19">
                  <c:v>1.8485018676570995</c:v>
                </c:pt>
                <c:pt idx="20">
                  <c:v>1.8397687048630029</c:v>
                </c:pt>
                <c:pt idx="21">
                  <c:v>2.2844542160880894</c:v>
                </c:pt>
                <c:pt idx="22">
                  <c:v>2.5189637649999312</c:v>
                </c:pt>
                <c:pt idx="23">
                  <c:v>2.5568056874518592</c:v>
                </c:pt>
                <c:pt idx="24">
                  <c:v>2.6511157781093457</c:v>
                </c:pt>
                <c:pt idx="25">
                  <c:v>2.5558537145751221</c:v>
                </c:pt>
                <c:pt idx="26">
                  <c:v>2.2901538060327793</c:v>
                </c:pt>
                <c:pt idx="27">
                  <c:v>1.9496167650763063</c:v>
                </c:pt>
                <c:pt idx="28">
                  <c:v>1.9720395538197208</c:v>
                </c:pt>
                <c:pt idx="29">
                  <c:v>1.8974171672263442</c:v>
                </c:pt>
                <c:pt idx="30">
                  <c:v>1.9138067672143408</c:v>
                </c:pt>
                <c:pt idx="31">
                  <c:v>2.0818370633895995</c:v>
                </c:pt>
              </c:numCache>
            </c:numRef>
          </c:val>
          <c:extLst>
            <c:ext xmlns:c16="http://schemas.microsoft.com/office/drawing/2014/chart" uri="{C3380CC4-5D6E-409C-BE32-E72D297353CC}">
              <c16:uniqueId val="{00000000-073E-4A2F-97B2-7E8A20E258F1}"/>
            </c:ext>
          </c:extLst>
        </c:ser>
        <c:ser>
          <c:idx val="1"/>
          <c:order val="1"/>
          <c:tx>
            <c:strRef>
              <c:f>'Trh práce-2b'!$A$31</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práce-2b'!$B$31:$AH$31</c:f>
              <c:numCache>
                <c:formatCode>0.0</c:formatCode>
                <c:ptCount val="33"/>
                <c:pt idx="0">
                  <c:v>6.9222553285182276</c:v>
                </c:pt>
                <c:pt idx="1">
                  <c:v>6.1574734010641681</c:v>
                </c:pt>
                <c:pt idx="2">
                  <c:v>5.9782623258088501</c:v>
                </c:pt>
                <c:pt idx="3">
                  <c:v>5.6620152495567417</c:v>
                </c:pt>
                <c:pt idx="4">
                  <c:v>5.0673452085604307</c:v>
                </c:pt>
                <c:pt idx="5">
                  <c:v>4.8043887472568372</c:v>
                </c:pt>
                <c:pt idx="6">
                  <c:v>4.8106927452925161</c:v>
                </c:pt>
                <c:pt idx="7">
                  <c:v>4.3651406959211574</c:v>
                </c:pt>
                <c:pt idx="8">
                  <c:v>4.2662202987956901</c:v>
                </c:pt>
                <c:pt idx="9">
                  <c:v>3.895989609330353</c:v>
                </c:pt>
                <c:pt idx="10">
                  <c:v>3.4106288974811787</c:v>
                </c:pt>
                <c:pt idx="11">
                  <c:v>3.0248852601317608</c:v>
                </c:pt>
                <c:pt idx="12">
                  <c:v>2.937438095997102</c:v>
                </c:pt>
                <c:pt idx="13">
                  <c:v>2.8942131985459234</c:v>
                </c:pt>
                <c:pt idx="14">
                  <c:v>2.8595897081181061</c:v>
                </c:pt>
                <c:pt idx="15">
                  <c:v>2.6790615757528808</c:v>
                </c:pt>
                <c:pt idx="16">
                  <c:v>2.2422670386030705</c:v>
                </c:pt>
                <c:pt idx="17">
                  <c:v>2.4749436172794574</c:v>
                </c:pt>
                <c:pt idx="18">
                  <c:v>2.5674106554391818</c:v>
                </c:pt>
                <c:pt idx="19">
                  <c:v>2.4331319301010672</c:v>
                </c:pt>
                <c:pt idx="20">
                  <c:v>2.0406633937113834</c:v>
                </c:pt>
                <c:pt idx="21">
                  <c:v>2.8151720875870319</c:v>
                </c:pt>
                <c:pt idx="22">
                  <c:v>3.3721173958268587</c:v>
                </c:pt>
                <c:pt idx="23">
                  <c:v>3.8941512714495952</c:v>
                </c:pt>
                <c:pt idx="24">
                  <c:v>4.1466133438217581</c:v>
                </c:pt>
                <c:pt idx="25">
                  <c:v>3.9108278351467125</c:v>
                </c:pt>
                <c:pt idx="26">
                  <c:v>3.2642331011371852</c:v>
                </c:pt>
                <c:pt idx="27">
                  <c:v>2.7320770364618543</c:v>
                </c:pt>
                <c:pt idx="28">
                  <c:v>2.9886729723100074</c:v>
                </c:pt>
                <c:pt idx="29">
                  <c:v>3.2165326130380625</c:v>
                </c:pt>
                <c:pt idx="30">
                  <c:v>2.9001874705692408</c:v>
                </c:pt>
                <c:pt idx="31">
                  <c:v>2.7940167262836417</c:v>
                </c:pt>
              </c:numCache>
            </c:numRef>
          </c:val>
          <c:extLst>
            <c:ext xmlns:c16="http://schemas.microsoft.com/office/drawing/2014/chart" uri="{C3380CC4-5D6E-409C-BE32-E72D297353CC}">
              <c16:uniqueId val="{00000001-073E-4A2F-97B2-7E8A20E258F1}"/>
            </c:ext>
          </c:extLst>
        </c:ser>
        <c:dLbls>
          <c:showLegendKey val="0"/>
          <c:showVal val="0"/>
          <c:showCatName val="0"/>
          <c:showSerName val="0"/>
          <c:showPercent val="0"/>
          <c:showBubbleSize val="0"/>
        </c:dLbls>
        <c:gapWidth val="68"/>
        <c:axId val="46801664"/>
        <c:axId val="46803584"/>
      </c:barChart>
      <c:lineChart>
        <c:grouping val="standard"/>
        <c:varyColors val="0"/>
        <c:ser>
          <c:idx val="2"/>
          <c:order val="2"/>
          <c:tx>
            <c:strRef>
              <c:f>'Trh práce-2b'!$A$32</c:f>
              <c:strCache>
                <c:ptCount val="1"/>
                <c:pt idx="0">
                  <c:v>Míra ekonomické aktivity mužů</c:v>
                </c:pt>
              </c:strCache>
            </c:strRef>
          </c:tx>
          <c:spPr>
            <a:ln w="19050">
              <a:solidFill>
                <a:srgbClr val="4FD1FF"/>
              </a:solidFill>
              <a:prstDash val="solid"/>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práce-2b'!$B$32:$AH$32</c:f>
              <c:numCache>
                <c:formatCode>0.0</c:formatCode>
                <c:ptCount val="33"/>
                <c:pt idx="0">
                  <c:v>81.413481997639408</c:v>
                </c:pt>
                <c:pt idx="1">
                  <c:v>81.419110594189576</c:v>
                </c:pt>
                <c:pt idx="2">
                  <c:v>81.349582359517356</c:v>
                </c:pt>
                <c:pt idx="3">
                  <c:v>81.513665177863871</c:v>
                </c:pt>
                <c:pt idx="4">
                  <c:v>81.95464671816957</c:v>
                </c:pt>
                <c:pt idx="5">
                  <c:v>82.083249820800901</c:v>
                </c:pt>
                <c:pt idx="6">
                  <c:v>82.176405797492023</c:v>
                </c:pt>
                <c:pt idx="7">
                  <c:v>82.467848071365196</c:v>
                </c:pt>
                <c:pt idx="8">
                  <c:v>82.727860041774363</c:v>
                </c:pt>
                <c:pt idx="9">
                  <c:v>82.8574723840579</c:v>
                </c:pt>
                <c:pt idx="10">
                  <c:v>83.019684737731751</c:v>
                </c:pt>
                <c:pt idx="11">
                  <c:v>83.176217916023887</c:v>
                </c:pt>
                <c:pt idx="12">
                  <c:v>83.366789147231671</c:v>
                </c:pt>
                <c:pt idx="13">
                  <c:v>83.412777616074308</c:v>
                </c:pt>
                <c:pt idx="14">
                  <c:v>83.227918264119197</c:v>
                </c:pt>
                <c:pt idx="15">
                  <c:v>83.429606669855431</c:v>
                </c:pt>
                <c:pt idx="16">
                  <c:v>83.682240247092309</c:v>
                </c:pt>
                <c:pt idx="17">
                  <c:v>83.455854890894514</c:v>
                </c:pt>
                <c:pt idx="18">
                  <c:v>83.299122325687904</c:v>
                </c:pt>
                <c:pt idx="19">
                  <c:v>83.581723193428658</c:v>
                </c:pt>
                <c:pt idx="20">
                  <c:v>83.439582450321751</c:v>
                </c:pt>
                <c:pt idx="21">
                  <c:v>83.067870438412911</c:v>
                </c:pt>
                <c:pt idx="22">
                  <c:v>83.403417829033472</c:v>
                </c:pt>
                <c:pt idx="23">
                  <c:v>83.153717731021757</c:v>
                </c:pt>
                <c:pt idx="24">
                  <c:v>82.990935835508182</c:v>
                </c:pt>
                <c:pt idx="25">
                  <c:v>83.019143570825904</c:v>
                </c:pt>
                <c:pt idx="26">
                  <c:v>83.358986296034701</c:v>
                </c:pt>
                <c:pt idx="27">
                  <c:v>83.646745052051784</c:v>
                </c:pt>
                <c:pt idx="28">
                  <c:v>83.752911933942713</c:v>
                </c:pt>
                <c:pt idx="29">
                  <c:v>83.771889777101919</c:v>
                </c:pt>
                <c:pt idx="30">
                  <c:v>83.585423870007347</c:v>
                </c:pt>
                <c:pt idx="31">
                  <c:v>83.347599287949421</c:v>
                </c:pt>
              </c:numCache>
            </c:numRef>
          </c:val>
          <c:smooth val="0"/>
          <c:extLst>
            <c:ext xmlns:c16="http://schemas.microsoft.com/office/drawing/2014/chart" uri="{C3380CC4-5D6E-409C-BE32-E72D297353CC}">
              <c16:uniqueId val="{00000002-073E-4A2F-97B2-7E8A20E258F1}"/>
            </c:ext>
          </c:extLst>
        </c:ser>
        <c:ser>
          <c:idx val="3"/>
          <c:order val="3"/>
          <c:tx>
            <c:strRef>
              <c:f>'Trh práce-2b'!$A$33</c:f>
              <c:strCache>
                <c:ptCount val="1"/>
                <c:pt idx="0">
                  <c:v>Míra ekonomické aktivity žen</c:v>
                </c:pt>
              </c:strCache>
            </c:strRef>
          </c:tx>
          <c:spPr>
            <a:ln w="19050">
              <a:solidFill>
                <a:schemeClr val="accent2">
                  <a:lumMod val="60000"/>
                  <a:lumOff val="40000"/>
                </a:schemeClr>
              </a:solidFill>
              <a:prstDash val="solid"/>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práce-2b'!$B$33:$AH$33</c:f>
              <c:numCache>
                <c:formatCode>0.0</c:formatCode>
                <c:ptCount val="33"/>
                <c:pt idx="0">
                  <c:v>66.54252814007161</c:v>
                </c:pt>
                <c:pt idx="1">
                  <c:v>66.666431768491307</c:v>
                </c:pt>
                <c:pt idx="2">
                  <c:v>66.654792914968837</c:v>
                </c:pt>
                <c:pt idx="3">
                  <c:v>66.418889866464539</c:v>
                </c:pt>
                <c:pt idx="4">
                  <c:v>67.04627543928467</c:v>
                </c:pt>
                <c:pt idx="5">
                  <c:v>67.710621614993485</c:v>
                </c:pt>
                <c:pt idx="6">
                  <c:v>67.837768163348073</c:v>
                </c:pt>
                <c:pt idx="7">
                  <c:v>68.456265295297428</c:v>
                </c:pt>
                <c:pt idx="8">
                  <c:v>68.697468612411839</c:v>
                </c:pt>
                <c:pt idx="9">
                  <c:v>68.713756307271581</c:v>
                </c:pt>
                <c:pt idx="10">
                  <c:v>69.103189641889657</c:v>
                </c:pt>
                <c:pt idx="11">
                  <c:v>68.910813934937806</c:v>
                </c:pt>
                <c:pt idx="12">
                  <c:v>69.340516941843759</c:v>
                </c:pt>
                <c:pt idx="13">
                  <c:v>69.81384857147701</c:v>
                </c:pt>
                <c:pt idx="14">
                  <c:v>69.950002702371648</c:v>
                </c:pt>
                <c:pt idx="15">
                  <c:v>70.044975969350347</c:v>
                </c:pt>
                <c:pt idx="16">
                  <c:v>70.049718587143374</c:v>
                </c:pt>
                <c:pt idx="17">
                  <c:v>69.833313596022052</c:v>
                </c:pt>
                <c:pt idx="18">
                  <c:v>69.925958459528289</c:v>
                </c:pt>
                <c:pt idx="19">
                  <c:v>69.668015731742173</c:v>
                </c:pt>
                <c:pt idx="20">
                  <c:v>69.333922930053149</c:v>
                </c:pt>
                <c:pt idx="21">
                  <c:v>68.92848776238327</c:v>
                </c:pt>
                <c:pt idx="22">
                  <c:v>68.946784735681518</c:v>
                </c:pt>
                <c:pt idx="23">
                  <c:v>69.349546510975912</c:v>
                </c:pt>
                <c:pt idx="24">
                  <c:v>69.402776735529145</c:v>
                </c:pt>
                <c:pt idx="25">
                  <c:v>68.843817581364831</c:v>
                </c:pt>
                <c:pt idx="26">
                  <c:v>69.983896064987391</c:v>
                </c:pt>
                <c:pt idx="27">
                  <c:v>70.127127346898348</c:v>
                </c:pt>
                <c:pt idx="28">
                  <c:v>70.135331194241147</c:v>
                </c:pt>
                <c:pt idx="29">
                  <c:v>70.397950263800396</c:v>
                </c:pt>
                <c:pt idx="30">
                  <c:v>70.915988158136841</c:v>
                </c:pt>
                <c:pt idx="31">
                  <c:v>70.823612459758408</c:v>
                </c:pt>
              </c:numCache>
            </c:numRef>
          </c:val>
          <c:smooth val="0"/>
          <c:extLst>
            <c:ext xmlns:c16="http://schemas.microsoft.com/office/drawing/2014/chart" uri="{C3380CC4-5D6E-409C-BE32-E72D297353CC}">
              <c16:uniqueId val="{00000003-073E-4A2F-97B2-7E8A20E258F1}"/>
            </c:ext>
          </c:extLst>
        </c:ser>
        <c:ser>
          <c:idx val="4"/>
          <c:order val="4"/>
          <c:tx>
            <c:strRef>
              <c:f>'Trh práce-2b'!$A$34</c:f>
              <c:strCache>
                <c:ptCount val="1"/>
                <c:pt idx="0">
                  <c:v>Ekon. neaktivní chtějící pracovat</c:v>
                </c:pt>
              </c:strCache>
            </c:strRef>
          </c:tx>
          <c:spPr>
            <a:ln w="19050">
              <a:solidFill>
                <a:schemeClr val="bg2">
                  <a:lumMod val="50000"/>
                </a:schemeClr>
              </a:solidFill>
              <a:prstDash val="sysDash"/>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práce-2b'!$B$34:$AH$34</c:f>
              <c:numCache>
                <c:formatCode>0.0</c:formatCode>
                <c:ptCount val="33"/>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58.7</c:v>
                </c:pt>
                <c:pt idx="30">
                  <c:v>56.6</c:v>
                </c:pt>
                <c:pt idx="31">
                  <c:v>50</c:v>
                </c:pt>
              </c:numCache>
            </c:numRef>
          </c:val>
          <c:smooth val="0"/>
          <c:extLst>
            <c:ext xmlns:c16="http://schemas.microsoft.com/office/drawing/2014/chart" uri="{C3380CC4-5D6E-409C-BE32-E72D297353CC}">
              <c16:uniqueId val="{00000004-073E-4A2F-97B2-7E8A20E258F1}"/>
            </c:ext>
          </c:extLst>
        </c:ser>
        <c:ser>
          <c:idx val="5"/>
          <c:order val="5"/>
          <c:tx>
            <c:strRef>
              <c:f>'Trh práce-2b'!$A$35</c:f>
              <c:strCache>
                <c:ptCount val="1"/>
                <c:pt idx="0">
                  <c:v>Očekávání vývoje nezaměstnanosti</c:v>
                </c:pt>
              </c:strCache>
            </c:strRef>
          </c:tx>
          <c:spPr>
            <a:ln w="15875">
              <a:solidFill>
                <a:schemeClr val="accent6">
                  <a:lumMod val="75000"/>
                </a:schemeClr>
              </a:solidFill>
              <a:prstDash val="dash"/>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práce-2b'!$B$35:$AH$35</c:f>
              <c:numCache>
                <c:formatCode>0.0</c:formatCode>
                <c:ptCount val="33"/>
                <c:pt idx="0">
                  <c:v>7.164299999999999</c:v>
                </c:pt>
                <c:pt idx="1">
                  <c:v>7.285100000000007</c:v>
                </c:pt>
                <c:pt idx="2">
                  <c:v>12.284650000000003</c:v>
                </c:pt>
                <c:pt idx="3">
                  <c:v>4.9166000000000114</c:v>
                </c:pt>
                <c:pt idx="4">
                  <c:v>1.0857999999999965</c:v>
                </c:pt>
                <c:pt idx="5">
                  <c:v>8.5</c:v>
                </c:pt>
                <c:pt idx="6">
                  <c:v>7.0434000000000001</c:v>
                </c:pt>
                <c:pt idx="7">
                  <c:v>3.6378000000000008</c:v>
                </c:pt>
                <c:pt idx="8">
                  <c:v>-1.5695999999999979</c:v>
                </c:pt>
                <c:pt idx="9">
                  <c:v>-4.08</c:v>
                </c:pt>
                <c:pt idx="10">
                  <c:v>3.4699999999999998</c:v>
                </c:pt>
                <c:pt idx="11">
                  <c:v>-0.24125000000000121</c:v>
                </c:pt>
                <c:pt idx="12">
                  <c:v>-2.7831500000000058</c:v>
                </c:pt>
                <c:pt idx="13">
                  <c:v>-3.4120999999999966</c:v>
                </c:pt>
                <c:pt idx="14">
                  <c:v>1.7031000000000018</c:v>
                </c:pt>
                <c:pt idx="15">
                  <c:v>5.4753000000000034</c:v>
                </c:pt>
                <c:pt idx="16">
                  <c:v>6.049950000000007</c:v>
                </c:pt>
                <c:pt idx="17">
                  <c:v>6.7826500000000092</c:v>
                </c:pt>
                <c:pt idx="18">
                  <c:v>13.915050000000004</c:v>
                </c:pt>
                <c:pt idx="19">
                  <c:v>12.833350000000015</c:v>
                </c:pt>
                <c:pt idx="20">
                  <c:v>16.191749999999974</c:v>
                </c:pt>
                <c:pt idx="21">
                  <c:v>48.613783013874155</c:v>
                </c:pt>
                <c:pt idx="22">
                  <c:v>46.743935992335068</c:v>
                </c:pt>
                <c:pt idx="23">
                  <c:v>59.451661916404795</c:v>
                </c:pt>
                <c:pt idx="24">
                  <c:v>51.491542099717499</c:v>
                </c:pt>
                <c:pt idx="25">
                  <c:v>17.798405633777229</c:v>
                </c:pt>
                <c:pt idx="26">
                  <c:v>14.166188913138264</c:v>
                </c:pt>
                <c:pt idx="27">
                  <c:v>24.802588956528087</c:v>
                </c:pt>
                <c:pt idx="28">
                  <c:v>15.46</c:v>
                </c:pt>
                <c:pt idx="29">
                  <c:v>21.479999999999986</c:v>
                </c:pt>
                <c:pt idx="30">
                  <c:v>27.68</c:v>
                </c:pt>
                <c:pt idx="31">
                  <c:v>46.57</c:v>
                </c:pt>
                <c:pt idx="32">
                  <c:v>31.69</c:v>
                </c:pt>
              </c:numCache>
            </c:numRef>
          </c:val>
          <c:smooth val="0"/>
          <c:extLst>
            <c:ext xmlns:c16="http://schemas.microsoft.com/office/drawing/2014/chart" uri="{C3380CC4-5D6E-409C-BE32-E72D297353CC}">
              <c16:uniqueId val="{00000005-073E-4A2F-97B2-7E8A20E258F1}"/>
            </c:ext>
          </c:extLst>
        </c:ser>
        <c:ser>
          <c:idx val="6"/>
          <c:order val="6"/>
          <c:tx>
            <c:strRef>
              <c:f>'Trh práce-2b'!$A$36</c:f>
              <c:strCache>
                <c:ptCount val="1"/>
                <c:pt idx="0">
                  <c:v>VPM pro vyučené a SŠ bez mat.</c:v>
                </c:pt>
              </c:strCache>
            </c:strRef>
          </c:tx>
          <c:spPr>
            <a:ln>
              <a:noFill/>
            </a:ln>
          </c:spPr>
          <c:marker>
            <c:symbol val="circle"/>
            <c:size val="4"/>
            <c:spPr>
              <a:solidFill>
                <a:srgbClr val="8EB149"/>
              </a:solidFill>
              <a:ln>
                <a:noFill/>
              </a:ln>
            </c:spPr>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práce-2b'!$B$36:$AH$36</c:f>
              <c:numCache>
                <c:formatCode>0.0</c:formatCode>
                <c:ptCount val="33"/>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43.886999999999993</c:v>
                </c:pt>
              </c:numCache>
            </c:numRef>
          </c:val>
          <c:smooth val="0"/>
          <c:extLst>
            <c:ext xmlns:c16="http://schemas.microsoft.com/office/drawing/2014/chart" uri="{C3380CC4-5D6E-409C-BE32-E72D297353CC}">
              <c16:uniqueId val="{00000006-073E-4A2F-97B2-7E8A20E258F1}"/>
            </c:ext>
          </c:extLst>
        </c:ser>
        <c:ser>
          <c:idx val="7"/>
          <c:order val="7"/>
          <c:tx>
            <c:strRef>
              <c:f>'Trh práce-2b'!$A$37</c:f>
              <c:strCache>
                <c:ptCount val="1"/>
                <c:pt idx="0">
                  <c:v>VPM pro SŠ s mat., VOŠ a VŠ</c:v>
                </c:pt>
              </c:strCache>
            </c:strRef>
          </c:tx>
          <c:spPr>
            <a:ln>
              <a:noFill/>
            </a:ln>
          </c:spPr>
          <c:marker>
            <c:symbol val="diamond"/>
            <c:size val="5"/>
            <c:spPr>
              <a:solidFill>
                <a:srgbClr val="00B050"/>
              </a:solidFill>
              <a:ln>
                <a:noFill/>
              </a:ln>
            </c:spPr>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práce-2b'!$B$37:$AH$37</c:f>
              <c:numCache>
                <c:formatCode>0.0</c:formatCode>
                <c:ptCount val="33"/>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34.300000000000004</c:v>
                </c:pt>
                <c:pt idx="13">
                  <c:v>38</c:v>
                </c:pt>
                <c:pt idx="14">
                  <c:v>37.200000000000003</c:v>
                </c:pt>
                <c:pt idx="15">
                  <c:v>36.6</c:v>
                </c:pt>
                <c:pt idx="16">
                  <c:v>37.300000000000004</c:v>
                </c:pt>
                <c:pt idx="17">
                  <c:v>38.300000000000004</c:v>
                </c:pt>
                <c:pt idx="18">
                  <c:v>38.6</c:v>
                </c:pt>
                <c:pt idx="19">
                  <c:v>36.300000000000004</c:v>
                </c:pt>
                <c:pt idx="20">
                  <c:v>37.700000000000003</c:v>
                </c:pt>
                <c:pt idx="21">
                  <c:v>38.1</c:v>
                </c:pt>
                <c:pt idx="22">
                  <c:v>34.4</c:v>
                </c:pt>
                <c:pt idx="23">
                  <c:v>34.1</c:v>
                </c:pt>
                <c:pt idx="24">
                  <c:v>36.300000000000004</c:v>
                </c:pt>
                <c:pt idx="25">
                  <c:v>39.6</c:v>
                </c:pt>
                <c:pt idx="26">
                  <c:v>40.300000000000004</c:v>
                </c:pt>
                <c:pt idx="27">
                  <c:v>39.200000000000003</c:v>
                </c:pt>
                <c:pt idx="28">
                  <c:v>42.5</c:v>
                </c:pt>
                <c:pt idx="29">
                  <c:v>41</c:v>
                </c:pt>
                <c:pt idx="30">
                  <c:v>38.5</c:v>
                </c:pt>
                <c:pt idx="31">
                  <c:v>36.56</c:v>
                </c:pt>
              </c:numCache>
            </c:numRef>
          </c:val>
          <c:smooth val="0"/>
          <c:extLst>
            <c:ext xmlns:c16="http://schemas.microsoft.com/office/drawing/2014/chart" uri="{C3380CC4-5D6E-409C-BE32-E72D297353CC}">
              <c16:uniqueId val="{00000007-073E-4A2F-97B2-7E8A20E258F1}"/>
            </c:ext>
          </c:extLst>
        </c:ser>
        <c:dLbls>
          <c:showLegendKey val="0"/>
          <c:showVal val="0"/>
          <c:showCatName val="0"/>
          <c:showSerName val="0"/>
          <c:showPercent val="0"/>
          <c:showBubbleSize val="0"/>
        </c:dLbls>
        <c:marker val="1"/>
        <c:smooth val="0"/>
        <c:axId val="46811776"/>
        <c:axId val="46809856"/>
      </c:lineChart>
      <c:catAx>
        <c:axId val="46801664"/>
        <c:scaling>
          <c:orientation val="minMax"/>
        </c:scaling>
        <c:delete val="0"/>
        <c:axPos val="b"/>
        <c:numFmt formatCode="General" sourceLinked="0"/>
        <c:majorTickMark val="out"/>
        <c:minorTickMark val="none"/>
        <c:tickLblPos val="low"/>
        <c:spPr>
          <a:ln>
            <a:solidFill>
              <a:schemeClr val="tx1"/>
            </a:solidFill>
          </a:ln>
        </c:spPr>
        <c:crossAx val="46803584"/>
        <c:crossesAt val="-50"/>
        <c:auto val="1"/>
        <c:lblAlgn val="ctr"/>
        <c:lblOffset val="0"/>
        <c:noMultiLvlLbl val="0"/>
      </c:catAx>
      <c:valAx>
        <c:axId val="46803584"/>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46801664"/>
        <c:crosses val="autoZero"/>
        <c:crossBetween val="between"/>
        <c:majorUnit val="0.5"/>
      </c:valAx>
      <c:valAx>
        <c:axId val="46809856"/>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overlay val="0"/>
        </c:title>
        <c:numFmt formatCode="#,##0" sourceLinked="0"/>
        <c:majorTickMark val="out"/>
        <c:minorTickMark val="none"/>
        <c:tickLblPos val="nextTo"/>
        <c:crossAx val="46811776"/>
        <c:crosses val="max"/>
        <c:crossBetween val="between"/>
        <c:majorUnit val="10"/>
      </c:valAx>
      <c:catAx>
        <c:axId val="46811776"/>
        <c:scaling>
          <c:orientation val="minMax"/>
        </c:scaling>
        <c:delete val="1"/>
        <c:axPos val="b"/>
        <c:numFmt formatCode="General" sourceLinked="1"/>
        <c:majorTickMark val="out"/>
        <c:minorTickMark val="none"/>
        <c:tickLblPos val="none"/>
        <c:crossAx val="46809856"/>
        <c:crosses val="autoZero"/>
        <c:auto val="1"/>
        <c:lblAlgn val="ctr"/>
        <c:lblOffset val="100"/>
        <c:noMultiLvlLbl val="0"/>
      </c:catAx>
      <c:spPr>
        <a:ln>
          <a:solidFill>
            <a:schemeClr val="tx1"/>
          </a:solidFill>
        </a:ln>
      </c:spPr>
    </c:plotArea>
    <c:legend>
      <c:legendPos val="b"/>
      <c:layout>
        <c:manualLayout>
          <c:xMode val="edge"/>
          <c:yMode val="edge"/>
          <c:x val="7.7707750087519983E-2"/>
          <c:y val="0.85621702146200651"/>
          <c:w val="0.87725909810586844"/>
          <c:h val="0.13327617558991148"/>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25E-2"/>
          <c:y val="2.0203894786331153E-2"/>
          <c:w val="0.94100987714831796"/>
          <c:h val="0.79440831414609769"/>
        </c:manualLayout>
      </c:layout>
      <c:barChart>
        <c:barDir val="col"/>
        <c:grouping val="clustered"/>
        <c:varyColors val="0"/>
        <c:ser>
          <c:idx val="4"/>
          <c:order val="1"/>
          <c:tx>
            <c:strRef>
              <c:f>'Trh práce 3'!$D$65</c:f>
              <c:strCache>
                <c:ptCount val="1"/>
                <c:pt idx="0">
                  <c:v>Průměrná mzda celkem (reálně)</c:v>
                </c:pt>
              </c:strCache>
            </c:strRef>
          </c:tx>
          <c:spPr>
            <a:solidFill>
              <a:srgbClr val="DBDBDB"/>
            </a:solidFill>
            <a:ln w="19050">
              <a:noFill/>
            </a:ln>
          </c:spPr>
          <c:invertIfNegative val="0"/>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3'!$D$66:$D$83</c:f>
              <c:numCache>
                <c:formatCode>#\ ##0.0</c:formatCode>
                <c:ptCount val="18"/>
                <c:pt idx="0">
                  <c:v>3</c:v>
                </c:pt>
                <c:pt idx="1">
                  <c:v>4</c:v>
                </c:pt>
                <c:pt idx="2">
                  <c:v>4.2999999999999972</c:v>
                </c:pt>
                <c:pt idx="3">
                  <c:v>1.4000000000000057</c:v>
                </c:pt>
                <c:pt idx="4">
                  <c:v>2.2999999999999972</c:v>
                </c:pt>
                <c:pt idx="5">
                  <c:v>0.70000000000000284</c:v>
                </c:pt>
                <c:pt idx="6">
                  <c:v>0.59999999999999432</c:v>
                </c:pt>
                <c:pt idx="7">
                  <c:v>-0.7999999999999976</c:v>
                </c:pt>
                <c:pt idx="8">
                  <c:v>-1.5</c:v>
                </c:pt>
                <c:pt idx="9">
                  <c:v>2.5</c:v>
                </c:pt>
                <c:pt idx="10">
                  <c:v>2.9000000000000057</c:v>
                </c:pt>
                <c:pt idx="11">
                  <c:v>3.7000000000000042</c:v>
                </c:pt>
                <c:pt idx="12">
                  <c:v>4.2000000000000028</c:v>
                </c:pt>
                <c:pt idx="13">
                  <c:v>5.9000000000000083</c:v>
                </c:pt>
                <c:pt idx="14">
                  <c:v>5</c:v>
                </c:pt>
                <c:pt idx="15">
                  <c:v>1.4000000000000057</c:v>
                </c:pt>
                <c:pt idx="16">
                  <c:v>1</c:v>
                </c:pt>
                <c:pt idx="17">
                  <c:v>-7.5</c:v>
                </c:pt>
              </c:numCache>
            </c:numRef>
          </c:val>
          <c:extLst>
            <c:ext xmlns:c16="http://schemas.microsoft.com/office/drawing/2014/chart" uri="{C3380CC4-5D6E-409C-BE32-E72D297353CC}">
              <c16:uniqueId val="{00000000-C4E1-417B-A55F-5E5CDD2B7FC8}"/>
            </c:ext>
          </c:extLst>
        </c:ser>
        <c:dLbls>
          <c:showLegendKey val="0"/>
          <c:showVal val="0"/>
          <c:showCatName val="0"/>
          <c:showSerName val="0"/>
          <c:showPercent val="0"/>
          <c:showBubbleSize val="0"/>
        </c:dLbls>
        <c:gapWidth val="37"/>
        <c:axId val="46834048"/>
        <c:axId val="46835968"/>
      </c:barChart>
      <c:lineChart>
        <c:grouping val="standard"/>
        <c:varyColors val="0"/>
        <c:ser>
          <c:idx val="0"/>
          <c:order val="0"/>
          <c:tx>
            <c:strRef>
              <c:f>'Trh práce 3'!$C$65</c:f>
              <c:strCache>
                <c:ptCount val="1"/>
                <c:pt idx="0">
                  <c:v>Průměrná mzda celkem (nominálně)</c:v>
                </c:pt>
              </c:strCache>
            </c:strRef>
          </c:tx>
          <c:spPr>
            <a:ln w="19050">
              <a:solidFill>
                <a:schemeClr val="tx1">
                  <a:lumMod val="95000"/>
                  <a:lumOff val="5000"/>
                </a:schemeClr>
              </a:solidFill>
              <a:prstDash val="sysDash"/>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3'!$C$66:$C$83</c:f>
              <c:numCache>
                <c:formatCode>General</c:formatCode>
                <c:ptCount val="18"/>
                <c:pt idx="0" formatCode="0.0">
                  <c:v>5</c:v>
                </c:pt>
                <c:pt idx="1">
                  <c:v>6.5999999999999943</c:v>
                </c:pt>
                <c:pt idx="2">
                  <c:v>7.2000000000000028</c:v>
                </c:pt>
                <c:pt idx="3">
                  <c:v>7.7999999999999972</c:v>
                </c:pt>
                <c:pt idx="4" formatCode="#\ ##0.0">
                  <c:v>3.2999999999999972</c:v>
                </c:pt>
                <c:pt idx="5" formatCode="#\ ##0.0">
                  <c:v>2.2000000000000042</c:v>
                </c:pt>
                <c:pt idx="6" formatCode="#\ ##0.0">
                  <c:v>2.5</c:v>
                </c:pt>
                <c:pt idx="7" formatCode="#\ ##0.0">
                  <c:v>2.5</c:v>
                </c:pt>
                <c:pt idx="8" formatCode="#\ ##0.0">
                  <c:v>-9.9999999999994482E-2</c:v>
                </c:pt>
                <c:pt idx="9" formatCode="#\ ##0.0">
                  <c:v>2.9000000000000057</c:v>
                </c:pt>
                <c:pt idx="10" formatCode="#\ ##0.0">
                  <c:v>3.2000000000000042</c:v>
                </c:pt>
                <c:pt idx="11" formatCode="#\ ##0.0">
                  <c:v>4.4000000000000083</c:v>
                </c:pt>
                <c:pt idx="12" formatCode="#\ ##0.0">
                  <c:v>6.7999999999999972</c:v>
                </c:pt>
                <c:pt idx="13" formatCode="#\ ##0.0">
                  <c:v>8.1000000000000014</c:v>
                </c:pt>
                <c:pt idx="14" formatCode="#\ ##0.0">
                  <c:v>7.9000000000000083</c:v>
                </c:pt>
                <c:pt idx="15" formatCode="#\ ##0.0">
                  <c:v>4.5999999999999943</c:v>
                </c:pt>
                <c:pt idx="16" formatCode="#\ ##0.0">
                  <c:v>4.7999999999999972</c:v>
                </c:pt>
                <c:pt idx="17" formatCode="#\ ##0.0">
                  <c:v>6.5</c:v>
                </c:pt>
              </c:numCache>
            </c:numRef>
          </c:val>
          <c:smooth val="0"/>
          <c:extLst>
            <c:ext xmlns:c16="http://schemas.microsoft.com/office/drawing/2014/chart" uri="{C3380CC4-5D6E-409C-BE32-E72D297353CC}">
              <c16:uniqueId val="{00000001-C4E1-417B-A55F-5E5CDD2B7FC8}"/>
            </c:ext>
          </c:extLst>
        </c:ser>
        <c:ser>
          <c:idx val="5"/>
          <c:order val="2"/>
          <c:tx>
            <c:strRef>
              <c:f>'Trh práce 3'!$E$65</c:f>
              <c:strCache>
                <c:ptCount val="1"/>
                <c:pt idx="0">
                  <c:v>Prům. mzda v průmyslu (nominálně)</c:v>
                </c:pt>
              </c:strCache>
            </c:strRef>
          </c:tx>
          <c:spPr>
            <a:ln w="9525">
              <a:solidFill>
                <a:srgbClr val="C0000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3'!$E$66:$E$83</c:f>
              <c:numCache>
                <c:formatCode>0.0</c:formatCode>
                <c:ptCount val="18"/>
                <c:pt idx="0">
                  <c:v>4.7940779037659365</c:v>
                </c:pt>
                <c:pt idx="1">
                  <c:v>6.3912092840724517</c:v>
                </c:pt>
                <c:pt idx="2">
                  <c:v>7.0295621014912824</c:v>
                </c:pt>
                <c:pt idx="3">
                  <c:v>8.8966569839003551</c:v>
                </c:pt>
                <c:pt idx="4">
                  <c:v>2.2922506555746338</c:v>
                </c:pt>
                <c:pt idx="5">
                  <c:v>4.4817679558011143</c:v>
                </c:pt>
                <c:pt idx="6">
                  <c:v>3.1854139345996062</c:v>
                </c:pt>
                <c:pt idx="7">
                  <c:v>3.0337815677271385</c:v>
                </c:pt>
                <c:pt idx="8">
                  <c:v>0.81171414929173058</c:v>
                </c:pt>
                <c:pt idx="9">
                  <c:v>3.3154404799494679</c:v>
                </c:pt>
                <c:pt idx="10">
                  <c:v>2.6016198044009684</c:v>
                </c:pt>
                <c:pt idx="11">
                  <c:v>4.2558737014558554</c:v>
                </c:pt>
                <c:pt idx="12">
                  <c:v>6.8214285714285783</c:v>
                </c:pt>
                <c:pt idx="13">
                  <c:v>7.7465730524908034</c:v>
                </c:pt>
                <c:pt idx="14">
                  <c:v>6.6310857355633503</c:v>
                </c:pt>
                <c:pt idx="15">
                  <c:v>2.0282854149691585</c:v>
                </c:pt>
                <c:pt idx="16">
                  <c:v>4.1128319215082065</c:v>
                </c:pt>
                <c:pt idx="17">
                  <c:v>8.007561022381708</c:v>
                </c:pt>
              </c:numCache>
            </c:numRef>
          </c:val>
          <c:smooth val="0"/>
          <c:extLst>
            <c:ext xmlns:c16="http://schemas.microsoft.com/office/drawing/2014/chart" uri="{C3380CC4-5D6E-409C-BE32-E72D297353CC}">
              <c16:uniqueId val="{00000002-C4E1-417B-A55F-5E5CDD2B7FC8}"/>
            </c:ext>
          </c:extLst>
        </c:ser>
        <c:ser>
          <c:idx val="1"/>
          <c:order val="3"/>
          <c:tx>
            <c:strRef>
              <c:f>'Trh práce 3'!$F$65</c:f>
              <c:strCache>
                <c:ptCount val="1"/>
                <c:pt idx="0">
                  <c:v>Prům. mzda v obchodu (nominálně)</c:v>
                </c:pt>
              </c:strCache>
            </c:strRef>
          </c:tx>
          <c:spPr>
            <a:ln w="9525">
              <a:solidFill>
                <a:srgbClr val="0070C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3'!$F$66:$F$83</c:f>
              <c:numCache>
                <c:formatCode>0.0</c:formatCode>
                <c:ptCount val="18"/>
                <c:pt idx="0">
                  <c:v>4.6374677953625447</c:v>
                </c:pt>
                <c:pt idx="1">
                  <c:v>6.9175753312228778</c:v>
                </c:pt>
                <c:pt idx="2">
                  <c:v>8.6796797894505726</c:v>
                </c:pt>
                <c:pt idx="3">
                  <c:v>7.6686342767771434</c:v>
                </c:pt>
                <c:pt idx="4">
                  <c:v>7.9658872592673888E-2</c:v>
                </c:pt>
                <c:pt idx="5">
                  <c:v>3.1931828822923669</c:v>
                </c:pt>
                <c:pt idx="6">
                  <c:v>3.5117967332123383</c:v>
                </c:pt>
                <c:pt idx="7">
                  <c:v>2.2573858157271927</c:v>
                </c:pt>
                <c:pt idx="8">
                  <c:v>-0.84015602897680708</c:v>
                </c:pt>
                <c:pt idx="9">
                  <c:v>3.315609735010594</c:v>
                </c:pt>
                <c:pt idx="10">
                  <c:v>4.2301255230125614</c:v>
                </c:pt>
                <c:pt idx="11">
                  <c:v>4.7609489783629559</c:v>
                </c:pt>
                <c:pt idx="12">
                  <c:v>7.4453002260796382</c:v>
                </c:pt>
                <c:pt idx="13">
                  <c:v>6.9400855920113997</c:v>
                </c:pt>
                <c:pt idx="14">
                  <c:v>7.7869672513839703</c:v>
                </c:pt>
                <c:pt idx="15">
                  <c:v>3.5920918288419332</c:v>
                </c:pt>
                <c:pt idx="16">
                  <c:v>3.5212950241920993</c:v>
                </c:pt>
                <c:pt idx="17">
                  <c:v>8.4071434753757899</c:v>
                </c:pt>
              </c:numCache>
            </c:numRef>
          </c:val>
          <c:smooth val="0"/>
          <c:extLst>
            <c:ext xmlns:c16="http://schemas.microsoft.com/office/drawing/2014/chart" uri="{C3380CC4-5D6E-409C-BE32-E72D297353CC}">
              <c16:uniqueId val="{00000003-C4E1-417B-A55F-5E5CDD2B7FC8}"/>
            </c:ext>
          </c:extLst>
        </c:ser>
        <c:ser>
          <c:idx val="2"/>
          <c:order val="4"/>
          <c:tx>
            <c:strRef>
              <c:f>'Trh práce 3'!$G$65</c:f>
              <c:strCache>
                <c:ptCount val="1"/>
                <c:pt idx="0">
                  <c:v>Prům. mzda ve veř. službách (nominálně)*</c:v>
                </c:pt>
              </c:strCache>
            </c:strRef>
          </c:tx>
          <c:spPr>
            <a:ln w="9525">
              <a:solidFill>
                <a:srgbClr val="00B05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3'!$G$66:$G$83</c:f>
              <c:numCache>
                <c:formatCode>0.0</c:formatCode>
                <c:ptCount val="18"/>
                <c:pt idx="0">
                  <c:v>5.7448429075864285</c:v>
                </c:pt>
                <c:pt idx="1">
                  <c:v>6.2139886096904409</c:v>
                </c:pt>
                <c:pt idx="2">
                  <c:v>6.5213266053676193</c:v>
                </c:pt>
                <c:pt idx="3">
                  <c:v>4.5033471199856399</c:v>
                </c:pt>
                <c:pt idx="4">
                  <c:v>5.6068124661603465</c:v>
                </c:pt>
                <c:pt idx="5">
                  <c:v>9.2548488337286183E-2</c:v>
                </c:pt>
                <c:pt idx="6">
                  <c:v>1.3745128342853425</c:v>
                </c:pt>
                <c:pt idx="7">
                  <c:v>1.9623700739873597</c:v>
                </c:pt>
                <c:pt idx="8">
                  <c:v>0.61373585270925524</c:v>
                </c:pt>
                <c:pt idx="9">
                  <c:v>2.5772633649077372</c:v>
                </c:pt>
                <c:pt idx="10">
                  <c:v>3.7559457553514362</c:v>
                </c:pt>
                <c:pt idx="11">
                  <c:v>4.9014309200953221</c:v>
                </c:pt>
                <c:pt idx="12">
                  <c:v>7.9550010446935664</c:v>
                </c:pt>
                <c:pt idx="13">
                  <c:v>10.160948468455345</c:v>
                </c:pt>
                <c:pt idx="14">
                  <c:v>9.5948437653510705</c:v>
                </c:pt>
                <c:pt idx="15">
                  <c:v>8.458871087746628</c:v>
                </c:pt>
                <c:pt idx="16">
                  <c:v>5.8945060202917245</c:v>
                </c:pt>
                <c:pt idx="17">
                  <c:v>0.49511194805045056</c:v>
                </c:pt>
              </c:numCache>
            </c:numRef>
          </c:val>
          <c:smooth val="0"/>
          <c:extLst>
            <c:ext xmlns:c16="http://schemas.microsoft.com/office/drawing/2014/chart" uri="{C3380CC4-5D6E-409C-BE32-E72D297353CC}">
              <c16:uniqueId val="{00000004-C4E1-417B-A55F-5E5CDD2B7FC8}"/>
            </c:ext>
          </c:extLst>
        </c:ser>
        <c:ser>
          <c:idx val="3"/>
          <c:order val="5"/>
          <c:tx>
            <c:strRef>
              <c:f>'Trh práce 3'!$H$65</c:f>
              <c:strCache>
                <c:ptCount val="1"/>
                <c:pt idx="0">
                  <c:v>Produktivita práce v NH (reálně)**</c:v>
                </c:pt>
              </c:strCache>
            </c:strRef>
          </c:tx>
          <c:spPr>
            <a:ln w="19050">
              <a:noFill/>
            </a:ln>
          </c:spPr>
          <c:marker>
            <c:symbol val="circle"/>
            <c:size val="5"/>
            <c:spPr>
              <a:solidFill>
                <a:srgbClr val="FFFF00"/>
              </a:solidFill>
              <a:ln w="6350">
                <a:solidFill>
                  <a:schemeClr val="bg1">
                    <a:lumMod val="50000"/>
                  </a:schemeClr>
                </a:solidFill>
              </a:ln>
            </c:spPr>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3'!$H$66:$H$83</c:f>
              <c:numCache>
                <c:formatCode>0.0</c:formatCode>
                <c:ptCount val="18"/>
                <c:pt idx="0">
                  <c:v>4.8184392486091365</c:v>
                </c:pt>
                <c:pt idx="1">
                  <c:v>6.028388746830978</c:v>
                </c:pt>
                <c:pt idx="2">
                  <c:v>3.1203468878058942</c:v>
                </c:pt>
                <c:pt idx="3">
                  <c:v>1.1960060577281411</c:v>
                </c:pt>
                <c:pt idx="4">
                  <c:v>-3.3926648626845264</c:v>
                </c:pt>
                <c:pt idx="5">
                  <c:v>3.9244043600750871</c:v>
                </c:pt>
                <c:pt idx="6">
                  <c:v>2.0324802370246831</c:v>
                </c:pt>
                <c:pt idx="7">
                  <c:v>-1.1785053132423684</c:v>
                </c:pt>
                <c:pt idx="8">
                  <c:v>-0.33188705551789666</c:v>
                </c:pt>
                <c:pt idx="9">
                  <c:v>2.2922851854517003</c:v>
                </c:pt>
                <c:pt idx="10">
                  <c:v>3.4234882693979531</c:v>
                </c:pt>
                <c:pt idx="11">
                  <c:v>0.80058075383486449</c:v>
                </c:pt>
                <c:pt idx="12">
                  <c:v>3.7890043117499799</c:v>
                </c:pt>
                <c:pt idx="13">
                  <c:v>2.0329992649659392</c:v>
                </c:pt>
                <c:pt idx="14">
                  <c:v>2.6850552456238574</c:v>
                </c:pt>
                <c:pt idx="15">
                  <c:v>-3.6283055899581313</c:v>
                </c:pt>
                <c:pt idx="16">
                  <c:v>2.9638733267345847</c:v>
                </c:pt>
                <c:pt idx="17">
                  <c:v>0.72609942307819786</c:v>
                </c:pt>
              </c:numCache>
            </c:numRef>
          </c:val>
          <c:smooth val="0"/>
          <c:extLst>
            <c:ext xmlns:c16="http://schemas.microsoft.com/office/drawing/2014/chart" uri="{C3380CC4-5D6E-409C-BE32-E72D297353CC}">
              <c16:uniqueId val="{00000005-C4E1-417B-A55F-5E5CDD2B7FC8}"/>
            </c:ext>
          </c:extLst>
        </c:ser>
        <c:dLbls>
          <c:showLegendKey val="0"/>
          <c:showVal val="0"/>
          <c:showCatName val="0"/>
          <c:showSerName val="0"/>
          <c:showPercent val="0"/>
          <c:showBubbleSize val="0"/>
        </c:dLbls>
        <c:marker val="1"/>
        <c:smooth val="0"/>
        <c:axId val="46834048"/>
        <c:axId val="46835968"/>
      </c:lineChart>
      <c:catAx>
        <c:axId val="46834048"/>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46835968"/>
        <c:crosses val="autoZero"/>
        <c:auto val="1"/>
        <c:lblAlgn val="ctr"/>
        <c:lblOffset val="0"/>
        <c:tickMarkSkip val="4"/>
        <c:noMultiLvlLbl val="0"/>
      </c:catAx>
      <c:valAx>
        <c:axId val="46835968"/>
        <c:scaling>
          <c:orientation val="minMax"/>
          <c:max val="11"/>
          <c:min val="-8"/>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46834048"/>
        <c:crosses val="autoZero"/>
        <c:crossBetween val="between"/>
        <c:majorUnit val="1"/>
      </c:valAx>
      <c:spPr>
        <a:ln>
          <a:solidFill>
            <a:schemeClr val="tx1"/>
          </a:solidFill>
        </a:ln>
      </c:spPr>
    </c:plotArea>
    <c:legend>
      <c:legendPos val="b"/>
      <c:layout>
        <c:manualLayout>
          <c:xMode val="edge"/>
          <c:yMode val="edge"/>
          <c:x val="9.1291858669558714E-3"/>
          <c:y val="0.8622457286029126"/>
          <c:w val="0.97744444842554068"/>
          <c:h val="0.1269549730357275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26E-2"/>
          <c:y val="2.1711264016309892E-2"/>
          <c:w val="0.93508633063154345"/>
          <c:h val="0.73130361364405039"/>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1'!$C$66:$C$137</c:f>
              <c:numCache>
                <c:formatCode>General</c:formatCode>
                <c:ptCount val="72"/>
                <c:pt idx="0">
                  <c:v>0.05</c:v>
                </c:pt>
                <c:pt idx="1">
                  <c:v>0.05</c:v>
                </c:pt>
                <c:pt idx="2">
                  <c:v>0.05</c:v>
                </c:pt>
                <c:pt idx="3">
                  <c:v>0.05</c:v>
                </c:pt>
                <c:pt idx="4">
                  <c:v>0.05</c:v>
                </c:pt>
                <c:pt idx="5">
                  <c:v>0.05</c:v>
                </c:pt>
                <c:pt idx="6">
                  <c:v>0.05</c:v>
                </c:pt>
                <c:pt idx="7">
                  <c:v>0.25</c:v>
                </c:pt>
                <c:pt idx="8">
                  <c:v>0.25</c:v>
                </c:pt>
                <c:pt idx="9">
                  <c:v>0.25</c:v>
                </c:pt>
                <c:pt idx="10">
                  <c:v>0.5</c:v>
                </c:pt>
                <c:pt idx="11">
                  <c:v>0.5</c:v>
                </c:pt>
                <c:pt idx="12">
                  <c:v>0.5</c:v>
                </c:pt>
                <c:pt idx="13">
                  <c:v>0.75000000000000022</c:v>
                </c:pt>
                <c:pt idx="14">
                  <c:v>0.75000000000000022</c:v>
                </c:pt>
                <c:pt idx="15">
                  <c:v>0.75000000000000022</c:v>
                </c:pt>
                <c:pt idx="16">
                  <c:v>0.75000000000000022</c:v>
                </c:pt>
                <c:pt idx="17">
                  <c:v>1</c:v>
                </c:pt>
                <c:pt idx="18">
                  <c:v>1</c:v>
                </c:pt>
                <c:pt idx="19">
                  <c:v>1.25</c:v>
                </c:pt>
                <c:pt idx="20">
                  <c:v>1.5</c:v>
                </c:pt>
                <c:pt idx="21">
                  <c:v>1.5</c:v>
                </c:pt>
                <c:pt idx="22">
                  <c:v>1.75</c:v>
                </c:pt>
                <c:pt idx="23">
                  <c:v>1.75</c:v>
                </c:pt>
                <c:pt idx="24">
                  <c:v>1.75</c:v>
                </c:pt>
                <c:pt idx="25">
                  <c:v>1.75</c:v>
                </c:pt>
                <c:pt idx="26">
                  <c:v>1.75</c:v>
                </c:pt>
                <c:pt idx="27">
                  <c:v>1.75</c:v>
                </c:pt>
                <c:pt idx="28">
                  <c:v>2</c:v>
                </c:pt>
                <c:pt idx="29">
                  <c:v>2</c:v>
                </c:pt>
                <c:pt idx="30">
                  <c:v>2</c:v>
                </c:pt>
                <c:pt idx="31">
                  <c:v>2</c:v>
                </c:pt>
                <c:pt idx="32">
                  <c:v>2</c:v>
                </c:pt>
                <c:pt idx="33">
                  <c:v>2</c:v>
                </c:pt>
                <c:pt idx="34">
                  <c:v>2</c:v>
                </c:pt>
                <c:pt idx="35">
                  <c:v>2</c:v>
                </c:pt>
                <c:pt idx="36">
                  <c:v>2</c:v>
                </c:pt>
                <c:pt idx="37">
                  <c:v>2.25</c:v>
                </c:pt>
                <c:pt idx="38">
                  <c:v>1</c:v>
                </c:pt>
                <c:pt idx="39">
                  <c:v>1</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0.5</c:v>
                </c:pt>
                <c:pt idx="54">
                  <c:v>0.5</c:v>
                </c:pt>
                <c:pt idx="55">
                  <c:v>0.75000000000000022</c:v>
                </c:pt>
                <c:pt idx="56">
                  <c:v>0.75000000000000022</c:v>
                </c:pt>
                <c:pt idx="57">
                  <c:v>1.5</c:v>
                </c:pt>
                <c:pt idx="58">
                  <c:v>2.75</c:v>
                </c:pt>
                <c:pt idx="59">
                  <c:v>3.75</c:v>
                </c:pt>
                <c:pt idx="60">
                  <c:v>3.75</c:v>
                </c:pt>
                <c:pt idx="61">
                  <c:v>4.5</c:v>
                </c:pt>
                <c:pt idx="62">
                  <c:v>4.5</c:v>
                </c:pt>
                <c:pt idx="63">
                  <c:v>5</c:v>
                </c:pt>
                <c:pt idx="64">
                  <c:v>5.75</c:v>
                </c:pt>
                <c:pt idx="65">
                  <c:v>7</c:v>
                </c:pt>
                <c:pt idx="66">
                  <c:v>7</c:v>
                </c:pt>
                <c:pt idx="67">
                  <c:v>7</c:v>
                </c:pt>
                <c:pt idx="68">
                  <c:v>7</c:v>
                </c:pt>
                <c:pt idx="69">
                  <c:v>7</c:v>
                </c:pt>
                <c:pt idx="70">
                  <c:v>7</c:v>
                </c:pt>
                <c:pt idx="71">
                  <c:v>7</c:v>
                </c:pt>
              </c:numCache>
            </c:numRef>
          </c:val>
          <c:extLst>
            <c:ext xmlns:c16="http://schemas.microsoft.com/office/drawing/2014/chart" uri="{C3380CC4-5D6E-409C-BE32-E72D297353CC}">
              <c16:uniqueId val="{00000000-D112-41F6-BD06-46B5A2E8F041}"/>
            </c:ext>
          </c:extLst>
        </c:ser>
        <c:dLbls>
          <c:showLegendKey val="0"/>
          <c:showVal val="0"/>
          <c:showCatName val="0"/>
          <c:showSerName val="0"/>
          <c:showPercent val="0"/>
          <c:showBubbleSize val="0"/>
        </c:dLbls>
        <c:gapWidth val="31"/>
        <c:axId val="80235520"/>
        <c:axId val="80270464"/>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1'!$F$66:$F$137</c:f>
              <c:numCache>
                <c:formatCode>General</c:formatCode>
                <c:ptCount val="72"/>
                <c:pt idx="0">
                  <c:v>-0.88</c:v>
                </c:pt>
                <c:pt idx="1">
                  <c:v>-0.53</c:v>
                </c:pt>
                <c:pt idx="2">
                  <c:v>-0.44</c:v>
                </c:pt>
                <c:pt idx="3">
                  <c:v>-0.23</c:v>
                </c:pt>
                <c:pt idx="4">
                  <c:v>-0.24000000000000005</c:v>
                </c:pt>
                <c:pt idx="5">
                  <c:v>-0.25</c:v>
                </c:pt>
                <c:pt idx="6">
                  <c:v>-0.29000000000000009</c:v>
                </c:pt>
                <c:pt idx="7">
                  <c:v>-0.33000000000000013</c:v>
                </c:pt>
                <c:pt idx="8">
                  <c:v>-0.29000000000000009</c:v>
                </c:pt>
                <c:pt idx="9">
                  <c:v>0.12000000000000002</c:v>
                </c:pt>
                <c:pt idx="10">
                  <c:v>0.31000000000000011</c:v>
                </c:pt>
                <c:pt idx="11">
                  <c:v>0.19</c:v>
                </c:pt>
                <c:pt idx="12">
                  <c:v>0.46</c:v>
                </c:pt>
                <c:pt idx="13">
                  <c:v>0.55000000000000004</c:v>
                </c:pt>
                <c:pt idx="14">
                  <c:v>0.62000000000000022</c:v>
                </c:pt>
                <c:pt idx="15">
                  <c:v>0.6000000000000002</c:v>
                </c:pt>
                <c:pt idx="16">
                  <c:v>0.70000000000000018</c:v>
                </c:pt>
                <c:pt idx="17">
                  <c:v>0.89</c:v>
                </c:pt>
                <c:pt idx="18">
                  <c:v>1.0900000000000001</c:v>
                </c:pt>
                <c:pt idx="19">
                  <c:v>1.26</c:v>
                </c:pt>
                <c:pt idx="20">
                  <c:v>1.34</c:v>
                </c:pt>
                <c:pt idx="21">
                  <c:v>1.44</c:v>
                </c:pt>
                <c:pt idx="22">
                  <c:v>1.49</c:v>
                </c:pt>
                <c:pt idx="23">
                  <c:v>1.52</c:v>
                </c:pt>
                <c:pt idx="24">
                  <c:v>1.6600000000000001</c:v>
                </c:pt>
                <c:pt idx="25">
                  <c:v>1.74</c:v>
                </c:pt>
                <c:pt idx="26">
                  <c:v>1.71</c:v>
                </c:pt>
                <c:pt idx="27">
                  <c:v>1.6300000000000001</c:v>
                </c:pt>
                <c:pt idx="28">
                  <c:v>1.62</c:v>
                </c:pt>
                <c:pt idx="29">
                  <c:v>1.52</c:v>
                </c:pt>
                <c:pt idx="30">
                  <c:v>1.35</c:v>
                </c:pt>
                <c:pt idx="31">
                  <c:v>0.8500000000000002</c:v>
                </c:pt>
                <c:pt idx="32">
                  <c:v>1.07</c:v>
                </c:pt>
                <c:pt idx="33">
                  <c:v>1.1700000000000004</c:v>
                </c:pt>
                <c:pt idx="34">
                  <c:v>1.33</c:v>
                </c:pt>
                <c:pt idx="35">
                  <c:v>1.36</c:v>
                </c:pt>
                <c:pt idx="36">
                  <c:v>1.55</c:v>
                </c:pt>
                <c:pt idx="37">
                  <c:v>1.57</c:v>
                </c:pt>
                <c:pt idx="38">
                  <c:v>1.27</c:v>
                </c:pt>
                <c:pt idx="39">
                  <c:v>0.71000000000000019</c:v>
                </c:pt>
                <c:pt idx="40">
                  <c:v>0.13</c:v>
                </c:pt>
                <c:pt idx="41">
                  <c:v>8.0000000000000029E-2</c:v>
                </c:pt>
                <c:pt idx="42">
                  <c:v>2.0000000000000007E-2</c:v>
                </c:pt>
                <c:pt idx="43">
                  <c:v>4.0000000000000015E-2</c:v>
                </c:pt>
                <c:pt idx="44">
                  <c:v>0.05</c:v>
                </c:pt>
                <c:pt idx="45">
                  <c:v>0</c:v>
                </c:pt>
                <c:pt idx="46">
                  <c:v>6.0000000000000019E-2</c:v>
                </c:pt>
                <c:pt idx="47">
                  <c:v>0.16</c:v>
                </c:pt>
                <c:pt idx="48">
                  <c:v>0.26</c:v>
                </c:pt>
                <c:pt idx="49">
                  <c:v>0.45</c:v>
                </c:pt>
                <c:pt idx="50">
                  <c:v>0.75000000000000022</c:v>
                </c:pt>
                <c:pt idx="51">
                  <c:v>0.76000000000000023</c:v>
                </c:pt>
                <c:pt idx="52">
                  <c:v>0.76000000000000023</c:v>
                </c:pt>
                <c:pt idx="53">
                  <c:v>0.69000000000000017</c:v>
                </c:pt>
                <c:pt idx="54">
                  <c:v>0.84000000000000019</c:v>
                </c:pt>
                <c:pt idx="55">
                  <c:v>1.24</c:v>
                </c:pt>
                <c:pt idx="56">
                  <c:v>1.6</c:v>
                </c:pt>
                <c:pt idx="57">
                  <c:v>2.29</c:v>
                </c:pt>
                <c:pt idx="58">
                  <c:v>3</c:v>
                </c:pt>
                <c:pt idx="59">
                  <c:v>3.07</c:v>
                </c:pt>
                <c:pt idx="60">
                  <c:v>3.8099999999999992</c:v>
                </c:pt>
                <c:pt idx="61">
                  <c:v>3.77</c:v>
                </c:pt>
                <c:pt idx="62">
                  <c:v>4.54</c:v>
                </c:pt>
                <c:pt idx="63">
                  <c:v>5.13</c:v>
                </c:pt>
                <c:pt idx="64">
                  <c:v>5.6499999999999995</c:v>
                </c:pt>
                <c:pt idx="65">
                  <c:v>6.26</c:v>
                </c:pt>
                <c:pt idx="66">
                  <c:v>6.38</c:v>
                </c:pt>
                <c:pt idx="67">
                  <c:v>5.8599999999999985</c:v>
                </c:pt>
                <c:pt idx="68">
                  <c:v>5.9</c:v>
                </c:pt>
                <c:pt idx="69">
                  <c:v>6.18</c:v>
                </c:pt>
                <c:pt idx="70">
                  <c:v>5.68</c:v>
                </c:pt>
                <c:pt idx="71">
                  <c:v>5.1899999999999995</c:v>
                </c:pt>
              </c:numCache>
            </c:numRef>
          </c:val>
          <c:smooth val="0"/>
          <c:extLst>
            <c:ext xmlns:c16="http://schemas.microsoft.com/office/drawing/2014/chart" uri="{C3380CC4-5D6E-409C-BE32-E72D297353CC}">
              <c16:uniqueId val="{00000001-D112-41F6-BD06-46B5A2E8F041}"/>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1'!$D$66:$D$137</c:f>
              <c:numCache>
                <c:formatCode>General</c:formatCode>
                <c:ptCount val="72"/>
                <c:pt idx="0">
                  <c:v>0.28000000000000008</c:v>
                </c:pt>
                <c:pt idx="1">
                  <c:v>0.28000000000000008</c:v>
                </c:pt>
                <c:pt idx="2">
                  <c:v>0.28000000000000008</c:v>
                </c:pt>
                <c:pt idx="3">
                  <c:v>0.29000000000000009</c:v>
                </c:pt>
                <c:pt idx="4">
                  <c:v>0.3000000000000001</c:v>
                </c:pt>
                <c:pt idx="5">
                  <c:v>0.3000000000000001</c:v>
                </c:pt>
                <c:pt idx="6">
                  <c:v>0.3000000000000001</c:v>
                </c:pt>
                <c:pt idx="7">
                  <c:v>0.4300000000000001</c:v>
                </c:pt>
                <c:pt idx="8">
                  <c:v>0.46</c:v>
                </c:pt>
                <c:pt idx="9">
                  <c:v>0.51</c:v>
                </c:pt>
                <c:pt idx="10">
                  <c:v>0.71000000000000019</c:v>
                </c:pt>
                <c:pt idx="11">
                  <c:v>0.75000000000000022</c:v>
                </c:pt>
                <c:pt idx="12">
                  <c:v>0.77000000000000024</c:v>
                </c:pt>
                <c:pt idx="13">
                  <c:v>0.9</c:v>
                </c:pt>
                <c:pt idx="14">
                  <c:v>0.9</c:v>
                </c:pt>
                <c:pt idx="15">
                  <c:v>0.9</c:v>
                </c:pt>
                <c:pt idx="16">
                  <c:v>0.9</c:v>
                </c:pt>
                <c:pt idx="17">
                  <c:v>0.93</c:v>
                </c:pt>
                <c:pt idx="18">
                  <c:v>1.1800000000000004</c:v>
                </c:pt>
                <c:pt idx="19">
                  <c:v>1.45</c:v>
                </c:pt>
                <c:pt idx="20">
                  <c:v>1.54</c:v>
                </c:pt>
                <c:pt idx="21">
                  <c:v>1.76</c:v>
                </c:pt>
                <c:pt idx="22">
                  <c:v>1.9900000000000004</c:v>
                </c:pt>
                <c:pt idx="23">
                  <c:v>2.0099999999999998</c:v>
                </c:pt>
                <c:pt idx="24">
                  <c:v>2.0099999999999998</c:v>
                </c:pt>
                <c:pt idx="25">
                  <c:v>2.0099999999999998</c:v>
                </c:pt>
                <c:pt idx="26">
                  <c:v>2.0299999999999998</c:v>
                </c:pt>
                <c:pt idx="27">
                  <c:v>2.02</c:v>
                </c:pt>
                <c:pt idx="28">
                  <c:v>2.19</c:v>
                </c:pt>
                <c:pt idx="29">
                  <c:v>2.17</c:v>
                </c:pt>
                <c:pt idx="30">
                  <c:v>2.16</c:v>
                </c:pt>
                <c:pt idx="31">
                  <c:v>2.14</c:v>
                </c:pt>
                <c:pt idx="32">
                  <c:v>2.14</c:v>
                </c:pt>
                <c:pt idx="33">
                  <c:v>2.17</c:v>
                </c:pt>
                <c:pt idx="34">
                  <c:v>2.1800000000000002</c:v>
                </c:pt>
                <c:pt idx="35">
                  <c:v>2.1800000000000002</c:v>
                </c:pt>
                <c:pt idx="36">
                  <c:v>2.17</c:v>
                </c:pt>
                <c:pt idx="37">
                  <c:v>2.34</c:v>
                </c:pt>
                <c:pt idx="38">
                  <c:v>2</c:v>
                </c:pt>
                <c:pt idx="39">
                  <c:v>0.9700000000000002</c:v>
                </c:pt>
                <c:pt idx="40">
                  <c:v>0.46</c:v>
                </c:pt>
                <c:pt idx="41">
                  <c:v>0.34</c:v>
                </c:pt>
                <c:pt idx="42">
                  <c:v>0.34</c:v>
                </c:pt>
                <c:pt idx="43">
                  <c:v>0.34</c:v>
                </c:pt>
                <c:pt idx="44">
                  <c:v>0.34</c:v>
                </c:pt>
                <c:pt idx="45">
                  <c:v>0.35000000000000009</c:v>
                </c:pt>
                <c:pt idx="46">
                  <c:v>0.35000000000000009</c:v>
                </c:pt>
                <c:pt idx="47">
                  <c:v>0.35000000000000009</c:v>
                </c:pt>
                <c:pt idx="48">
                  <c:v>0.3600000000000001</c:v>
                </c:pt>
                <c:pt idx="49">
                  <c:v>0.3600000000000001</c:v>
                </c:pt>
                <c:pt idx="50">
                  <c:v>0.3600000000000001</c:v>
                </c:pt>
                <c:pt idx="51">
                  <c:v>0.3600000000000001</c:v>
                </c:pt>
                <c:pt idx="52">
                  <c:v>0.37000000000000011</c:v>
                </c:pt>
                <c:pt idx="53">
                  <c:v>0.48000000000000009</c:v>
                </c:pt>
                <c:pt idx="54">
                  <c:v>0.69000000000000017</c:v>
                </c:pt>
                <c:pt idx="55">
                  <c:v>0.94000000000000017</c:v>
                </c:pt>
                <c:pt idx="56">
                  <c:v>1.1100000000000001</c:v>
                </c:pt>
                <c:pt idx="57">
                  <c:v>2.02</c:v>
                </c:pt>
                <c:pt idx="58">
                  <c:v>2.9699999999999998</c:v>
                </c:pt>
                <c:pt idx="59">
                  <c:v>3.5</c:v>
                </c:pt>
                <c:pt idx="60">
                  <c:v>4.21</c:v>
                </c:pt>
                <c:pt idx="61">
                  <c:v>4.6899999999999995</c:v>
                </c:pt>
                <c:pt idx="62">
                  <c:v>4.8599999999999985</c:v>
                </c:pt>
                <c:pt idx="63">
                  <c:v>5.3599999999999985</c:v>
                </c:pt>
                <c:pt idx="64">
                  <c:v>5.9700000000000015</c:v>
                </c:pt>
                <c:pt idx="65">
                  <c:v>6.64</c:v>
                </c:pt>
                <c:pt idx="66">
                  <c:v>7.3</c:v>
                </c:pt>
                <c:pt idx="67">
                  <c:v>7.2700000000000014</c:v>
                </c:pt>
                <c:pt idx="68">
                  <c:v>7.25</c:v>
                </c:pt>
                <c:pt idx="69">
                  <c:v>7.28</c:v>
                </c:pt>
                <c:pt idx="70">
                  <c:v>7.2700000000000014</c:v>
                </c:pt>
                <c:pt idx="71">
                  <c:v>7.26</c:v>
                </c:pt>
              </c:numCache>
            </c:numRef>
          </c:val>
          <c:smooth val="0"/>
          <c:extLst>
            <c:ext xmlns:c16="http://schemas.microsoft.com/office/drawing/2014/chart" uri="{C3380CC4-5D6E-409C-BE32-E72D297353CC}">
              <c16:uniqueId val="{00000002-D112-41F6-BD06-46B5A2E8F041}"/>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1'!$G$66:$G$137</c:f>
              <c:numCache>
                <c:formatCode>General</c:formatCode>
                <c:ptCount val="72"/>
                <c:pt idx="0">
                  <c:v>-0.22</c:v>
                </c:pt>
                <c:pt idx="1">
                  <c:v>9.0000000000000024E-2</c:v>
                </c:pt>
                <c:pt idx="2">
                  <c:v>0.1</c:v>
                </c:pt>
                <c:pt idx="3">
                  <c:v>0.16</c:v>
                </c:pt>
                <c:pt idx="4">
                  <c:v>4.0000000000000015E-2</c:v>
                </c:pt>
                <c:pt idx="5">
                  <c:v>-3.0000000000000002E-2</c:v>
                </c:pt>
                <c:pt idx="6">
                  <c:v>0.14000000000000001</c:v>
                </c:pt>
                <c:pt idx="7">
                  <c:v>9.0000000000000024E-2</c:v>
                </c:pt>
                <c:pt idx="8">
                  <c:v>0.1</c:v>
                </c:pt>
                <c:pt idx="9">
                  <c:v>0.63000000000000023</c:v>
                </c:pt>
                <c:pt idx="10">
                  <c:v>0.87000000000000022</c:v>
                </c:pt>
                <c:pt idx="11">
                  <c:v>0.68</c:v>
                </c:pt>
                <c:pt idx="12">
                  <c:v>0.99</c:v>
                </c:pt>
                <c:pt idx="13">
                  <c:v>1.07</c:v>
                </c:pt>
                <c:pt idx="14">
                  <c:v>1.0900000000000001</c:v>
                </c:pt>
                <c:pt idx="15">
                  <c:v>1.05</c:v>
                </c:pt>
                <c:pt idx="16">
                  <c:v>1.21</c:v>
                </c:pt>
                <c:pt idx="17">
                  <c:v>1.41</c:v>
                </c:pt>
                <c:pt idx="18">
                  <c:v>1.44</c:v>
                </c:pt>
                <c:pt idx="19">
                  <c:v>1.55</c:v>
                </c:pt>
                <c:pt idx="20">
                  <c:v>1.7</c:v>
                </c:pt>
                <c:pt idx="21">
                  <c:v>1.81</c:v>
                </c:pt>
                <c:pt idx="22">
                  <c:v>1.79</c:v>
                </c:pt>
                <c:pt idx="23">
                  <c:v>1.71</c:v>
                </c:pt>
                <c:pt idx="24">
                  <c:v>1.6</c:v>
                </c:pt>
                <c:pt idx="25">
                  <c:v>1.61</c:v>
                </c:pt>
                <c:pt idx="26">
                  <c:v>1.7</c:v>
                </c:pt>
                <c:pt idx="27">
                  <c:v>1.6300000000000001</c:v>
                </c:pt>
                <c:pt idx="28">
                  <c:v>1.57</c:v>
                </c:pt>
                <c:pt idx="29">
                  <c:v>1.43</c:v>
                </c:pt>
                <c:pt idx="30">
                  <c:v>1.31</c:v>
                </c:pt>
                <c:pt idx="31">
                  <c:v>0.89</c:v>
                </c:pt>
                <c:pt idx="32">
                  <c:v>1.1299999999999994</c:v>
                </c:pt>
                <c:pt idx="33">
                  <c:v>1.23</c:v>
                </c:pt>
                <c:pt idx="34">
                  <c:v>1.32</c:v>
                </c:pt>
                <c:pt idx="35">
                  <c:v>1.31</c:v>
                </c:pt>
                <c:pt idx="36">
                  <c:v>1.51</c:v>
                </c:pt>
                <c:pt idx="37">
                  <c:v>1.52</c:v>
                </c:pt>
                <c:pt idx="38">
                  <c:v>1.23</c:v>
                </c:pt>
                <c:pt idx="39">
                  <c:v>1.06</c:v>
                </c:pt>
                <c:pt idx="40">
                  <c:v>0.56999999999999995</c:v>
                </c:pt>
                <c:pt idx="41">
                  <c:v>0.52</c:v>
                </c:pt>
                <c:pt idx="42">
                  <c:v>0.52</c:v>
                </c:pt>
                <c:pt idx="43">
                  <c:v>0.58000000000000007</c:v>
                </c:pt>
                <c:pt idx="44">
                  <c:v>0.58000000000000007</c:v>
                </c:pt>
                <c:pt idx="45">
                  <c:v>0.54</c:v>
                </c:pt>
                <c:pt idx="46">
                  <c:v>0.66000000000000025</c:v>
                </c:pt>
                <c:pt idx="47">
                  <c:v>0.8</c:v>
                </c:pt>
                <c:pt idx="48">
                  <c:v>0.82000000000000017</c:v>
                </c:pt>
                <c:pt idx="49">
                  <c:v>1.06</c:v>
                </c:pt>
                <c:pt idx="50">
                  <c:v>1.4</c:v>
                </c:pt>
                <c:pt idx="51">
                  <c:v>1.43</c:v>
                </c:pt>
                <c:pt idx="52">
                  <c:v>1.47</c:v>
                </c:pt>
                <c:pt idx="53">
                  <c:v>1.55</c:v>
                </c:pt>
                <c:pt idx="54">
                  <c:v>1.6300000000000001</c:v>
                </c:pt>
                <c:pt idx="55">
                  <c:v>1.6800000000000004</c:v>
                </c:pt>
                <c:pt idx="56">
                  <c:v>1.87</c:v>
                </c:pt>
                <c:pt idx="57">
                  <c:v>2.3699999999999997</c:v>
                </c:pt>
                <c:pt idx="58">
                  <c:v>2.84</c:v>
                </c:pt>
                <c:pt idx="59">
                  <c:v>2.84</c:v>
                </c:pt>
                <c:pt idx="60">
                  <c:v>3.36</c:v>
                </c:pt>
                <c:pt idx="61">
                  <c:v>3.2</c:v>
                </c:pt>
                <c:pt idx="62">
                  <c:v>3.8499999999999992</c:v>
                </c:pt>
                <c:pt idx="63">
                  <c:v>4.54</c:v>
                </c:pt>
                <c:pt idx="64">
                  <c:v>4.99</c:v>
                </c:pt>
                <c:pt idx="65">
                  <c:v>5.49</c:v>
                </c:pt>
                <c:pt idx="66">
                  <c:v>5.1199999999999983</c:v>
                </c:pt>
                <c:pt idx="67">
                  <c:v>4.67</c:v>
                </c:pt>
                <c:pt idx="68">
                  <c:v>5.0599999999999996</c:v>
                </c:pt>
                <c:pt idx="69">
                  <c:v>5.6899999999999995</c:v>
                </c:pt>
                <c:pt idx="70">
                  <c:v>5.31</c:v>
                </c:pt>
                <c:pt idx="71">
                  <c:v>4.9000000000000004</c:v>
                </c:pt>
              </c:numCache>
            </c:numRef>
          </c:val>
          <c:smooth val="0"/>
          <c:extLst>
            <c:ext xmlns:c16="http://schemas.microsoft.com/office/drawing/2014/chart" uri="{C3380CC4-5D6E-409C-BE32-E72D297353CC}">
              <c16:uniqueId val="{00000003-D112-41F6-BD06-46B5A2E8F041}"/>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1'!$E$66:$E$137</c:f>
              <c:numCache>
                <c:formatCode>General</c:formatCode>
                <c:ptCount val="72"/>
                <c:pt idx="0">
                  <c:v>0.44</c:v>
                </c:pt>
                <c:pt idx="1">
                  <c:v>0.44</c:v>
                </c:pt>
                <c:pt idx="2">
                  <c:v>0.44</c:v>
                </c:pt>
                <c:pt idx="3">
                  <c:v>0.45</c:v>
                </c:pt>
                <c:pt idx="4">
                  <c:v>0.46</c:v>
                </c:pt>
                <c:pt idx="5">
                  <c:v>0.46</c:v>
                </c:pt>
                <c:pt idx="6">
                  <c:v>0.47000000000000008</c:v>
                </c:pt>
                <c:pt idx="7">
                  <c:v>0.6000000000000002</c:v>
                </c:pt>
                <c:pt idx="8">
                  <c:v>0.64000000000000024</c:v>
                </c:pt>
                <c:pt idx="9">
                  <c:v>0.69000000000000017</c:v>
                </c:pt>
                <c:pt idx="10">
                  <c:v>0.91</c:v>
                </c:pt>
                <c:pt idx="11">
                  <c:v>0.96000000000000019</c:v>
                </c:pt>
                <c:pt idx="12">
                  <c:v>0.98</c:v>
                </c:pt>
                <c:pt idx="13">
                  <c:v>1.1100000000000001</c:v>
                </c:pt>
                <c:pt idx="14">
                  <c:v>1.1200000000000001</c:v>
                </c:pt>
                <c:pt idx="15">
                  <c:v>1.1200000000000001</c:v>
                </c:pt>
                <c:pt idx="16">
                  <c:v>1.1200000000000001</c:v>
                </c:pt>
                <c:pt idx="17">
                  <c:v>1.1499999999999995</c:v>
                </c:pt>
                <c:pt idx="18">
                  <c:v>1.3900000000000001</c:v>
                </c:pt>
                <c:pt idx="19">
                  <c:v>1.6700000000000004</c:v>
                </c:pt>
                <c:pt idx="20">
                  <c:v>1.79</c:v>
                </c:pt>
                <c:pt idx="21">
                  <c:v>1.9500000000000004</c:v>
                </c:pt>
                <c:pt idx="22">
                  <c:v>2.1800000000000002</c:v>
                </c:pt>
                <c:pt idx="23">
                  <c:v>2.21</c:v>
                </c:pt>
                <c:pt idx="24">
                  <c:v>2.21</c:v>
                </c:pt>
                <c:pt idx="25">
                  <c:v>2.2000000000000002</c:v>
                </c:pt>
                <c:pt idx="26">
                  <c:v>2.2000000000000002</c:v>
                </c:pt>
                <c:pt idx="27">
                  <c:v>2.21</c:v>
                </c:pt>
                <c:pt idx="28">
                  <c:v>2.319999999999999</c:v>
                </c:pt>
                <c:pt idx="29">
                  <c:v>2.29</c:v>
                </c:pt>
                <c:pt idx="30">
                  <c:v>2.2799999999999998</c:v>
                </c:pt>
                <c:pt idx="31">
                  <c:v>2.2200000000000002</c:v>
                </c:pt>
                <c:pt idx="32">
                  <c:v>2.2000000000000002</c:v>
                </c:pt>
                <c:pt idx="33">
                  <c:v>2.2799999999999998</c:v>
                </c:pt>
                <c:pt idx="34">
                  <c:v>2.2799999999999998</c:v>
                </c:pt>
                <c:pt idx="35">
                  <c:v>2.27</c:v>
                </c:pt>
                <c:pt idx="36">
                  <c:v>2.27</c:v>
                </c:pt>
                <c:pt idx="37">
                  <c:v>2.42</c:v>
                </c:pt>
                <c:pt idx="38">
                  <c:v>2.0099999999999998</c:v>
                </c:pt>
                <c:pt idx="39">
                  <c:v>0.92</c:v>
                </c:pt>
                <c:pt idx="40">
                  <c:v>0.51</c:v>
                </c:pt>
                <c:pt idx="41">
                  <c:v>0.4300000000000001</c:v>
                </c:pt>
                <c:pt idx="42">
                  <c:v>0.4300000000000001</c:v>
                </c:pt>
                <c:pt idx="43">
                  <c:v>0.4300000000000001</c:v>
                </c:pt>
                <c:pt idx="44">
                  <c:v>0.44</c:v>
                </c:pt>
                <c:pt idx="45">
                  <c:v>0.4300000000000001</c:v>
                </c:pt>
                <c:pt idx="46">
                  <c:v>0.44</c:v>
                </c:pt>
                <c:pt idx="47">
                  <c:v>0.4900000000000001</c:v>
                </c:pt>
                <c:pt idx="48">
                  <c:v>0.4900000000000001</c:v>
                </c:pt>
                <c:pt idx="49">
                  <c:v>0.54</c:v>
                </c:pt>
                <c:pt idx="50">
                  <c:v>0.56000000000000005</c:v>
                </c:pt>
                <c:pt idx="51">
                  <c:v>0.56000000000000005</c:v>
                </c:pt>
                <c:pt idx="52">
                  <c:v>0.67000000000000026</c:v>
                </c:pt>
                <c:pt idx="53">
                  <c:v>0.78</c:v>
                </c:pt>
                <c:pt idx="54">
                  <c:v>1</c:v>
                </c:pt>
                <c:pt idx="55">
                  <c:v>1.3</c:v>
                </c:pt>
                <c:pt idx="56">
                  <c:v>1.52</c:v>
                </c:pt>
                <c:pt idx="57">
                  <c:v>2.44</c:v>
                </c:pt>
                <c:pt idx="58">
                  <c:v>3.5</c:v>
                </c:pt>
                <c:pt idx="59">
                  <c:v>3.96</c:v>
                </c:pt>
                <c:pt idx="60">
                  <c:v>4.55</c:v>
                </c:pt>
                <c:pt idx="61">
                  <c:v>4.87</c:v>
                </c:pt>
                <c:pt idx="62">
                  <c:v>5.1199999999999983</c:v>
                </c:pt>
                <c:pt idx="63">
                  <c:v>5.74</c:v>
                </c:pt>
                <c:pt idx="64">
                  <c:v>6.33</c:v>
                </c:pt>
                <c:pt idx="65">
                  <c:v>7.02</c:v>
                </c:pt>
                <c:pt idx="66">
                  <c:v>7.55</c:v>
                </c:pt>
                <c:pt idx="67">
                  <c:v>7.48</c:v>
                </c:pt>
                <c:pt idx="68">
                  <c:v>7.44</c:v>
                </c:pt>
                <c:pt idx="69">
                  <c:v>7.45</c:v>
                </c:pt>
                <c:pt idx="70">
                  <c:v>7.39</c:v>
                </c:pt>
                <c:pt idx="71">
                  <c:v>7.28</c:v>
                </c:pt>
              </c:numCache>
            </c:numRef>
          </c:val>
          <c:smooth val="0"/>
          <c:extLst>
            <c:ext xmlns:c16="http://schemas.microsoft.com/office/drawing/2014/chart" uri="{C3380CC4-5D6E-409C-BE32-E72D297353CC}">
              <c16:uniqueId val="{00000004-D112-41F6-BD06-46B5A2E8F041}"/>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1'!$H$66:$H$137</c:f>
              <c:numCache>
                <c:formatCode>General</c:formatCode>
                <c:ptCount val="72"/>
                <c:pt idx="0">
                  <c:v>0.47000000000000008</c:v>
                </c:pt>
                <c:pt idx="1">
                  <c:v>0.63000000000000023</c:v>
                </c:pt>
                <c:pt idx="2">
                  <c:v>0.87000000000000022</c:v>
                </c:pt>
                <c:pt idx="3">
                  <c:v>0.96000000000000019</c:v>
                </c:pt>
                <c:pt idx="4">
                  <c:v>0.74000000000000021</c:v>
                </c:pt>
                <c:pt idx="5">
                  <c:v>0.77000000000000024</c:v>
                </c:pt>
                <c:pt idx="6">
                  <c:v>0.9</c:v>
                </c:pt>
                <c:pt idx="7">
                  <c:v>0.83000000000000018</c:v>
                </c:pt>
                <c:pt idx="8">
                  <c:v>0.9700000000000002</c:v>
                </c:pt>
                <c:pt idx="9">
                  <c:v>1.45</c:v>
                </c:pt>
                <c:pt idx="10">
                  <c:v>1.6800000000000004</c:v>
                </c:pt>
                <c:pt idx="11">
                  <c:v>1.5</c:v>
                </c:pt>
                <c:pt idx="12">
                  <c:v>1.77</c:v>
                </c:pt>
                <c:pt idx="13">
                  <c:v>1.82</c:v>
                </c:pt>
                <c:pt idx="14">
                  <c:v>1.81</c:v>
                </c:pt>
                <c:pt idx="15">
                  <c:v>1.74</c:v>
                </c:pt>
                <c:pt idx="16">
                  <c:v>1.8900000000000001</c:v>
                </c:pt>
                <c:pt idx="17">
                  <c:v>2.14</c:v>
                </c:pt>
                <c:pt idx="18">
                  <c:v>2.11</c:v>
                </c:pt>
                <c:pt idx="19">
                  <c:v>2.14</c:v>
                </c:pt>
                <c:pt idx="20">
                  <c:v>2.14</c:v>
                </c:pt>
                <c:pt idx="21">
                  <c:v>2.14</c:v>
                </c:pt>
                <c:pt idx="22">
                  <c:v>2.0699999999999998</c:v>
                </c:pt>
                <c:pt idx="23">
                  <c:v>2.0099999999999998</c:v>
                </c:pt>
                <c:pt idx="24">
                  <c:v>1.85</c:v>
                </c:pt>
                <c:pt idx="25">
                  <c:v>1.76</c:v>
                </c:pt>
                <c:pt idx="26">
                  <c:v>1.82</c:v>
                </c:pt>
                <c:pt idx="27">
                  <c:v>1.82</c:v>
                </c:pt>
                <c:pt idx="28">
                  <c:v>1.86</c:v>
                </c:pt>
                <c:pt idx="29">
                  <c:v>1.58</c:v>
                </c:pt>
                <c:pt idx="30">
                  <c:v>1.36</c:v>
                </c:pt>
                <c:pt idx="31">
                  <c:v>0.99</c:v>
                </c:pt>
                <c:pt idx="32">
                  <c:v>1.24</c:v>
                </c:pt>
                <c:pt idx="33">
                  <c:v>1.32</c:v>
                </c:pt>
                <c:pt idx="34">
                  <c:v>1.47</c:v>
                </c:pt>
                <c:pt idx="35">
                  <c:v>1.51</c:v>
                </c:pt>
                <c:pt idx="36">
                  <c:v>1.62</c:v>
                </c:pt>
                <c:pt idx="37">
                  <c:v>1.47</c:v>
                </c:pt>
                <c:pt idx="38">
                  <c:v>1.28</c:v>
                </c:pt>
                <c:pt idx="39">
                  <c:v>1.28</c:v>
                </c:pt>
                <c:pt idx="40">
                  <c:v>0.92</c:v>
                </c:pt>
                <c:pt idx="41">
                  <c:v>0.86000000000000021</c:v>
                </c:pt>
                <c:pt idx="42">
                  <c:v>0.86000000000000021</c:v>
                </c:pt>
                <c:pt idx="43">
                  <c:v>0.95000000000000018</c:v>
                </c:pt>
                <c:pt idx="44">
                  <c:v>0.98</c:v>
                </c:pt>
                <c:pt idx="45">
                  <c:v>0.94000000000000017</c:v>
                </c:pt>
                <c:pt idx="46">
                  <c:v>1.1200000000000001</c:v>
                </c:pt>
                <c:pt idx="47">
                  <c:v>1.26</c:v>
                </c:pt>
                <c:pt idx="48">
                  <c:v>1.28</c:v>
                </c:pt>
                <c:pt idx="49">
                  <c:v>1.49</c:v>
                </c:pt>
                <c:pt idx="50">
                  <c:v>1.87</c:v>
                </c:pt>
                <c:pt idx="51">
                  <c:v>1.86</c:v>
                </c:pt>
                <c:pt idx="52">
                  <c:v>1.74</c:v>
                </c:pt>
                <c:pt idx="53">
                  <c:v>1.6700000000000004</c:v>
                </c:pt>
                <c:pt idx="54">
                  <c:v>1.72</c:v>
                </c:pt>
                <c:pt idx="55">
                  <c:v>1.74</c:v>
                </c:pt>
                <c:pt idx="56">
                  <c:v>1.9000000000000001</c:v>
                </c:pt>
                <c:pt idx="57">
                  <c:v>2.34</c:v>
                </c:pt>
                <c:pt idx="58">
                  <c:v>2.62</c:v>
                </c:pt>
                <c:pt idx="59">
                  <c:v>2.62</c:v>
                </c:pt>
                <c:pt idx="60">
                  <c:v>3.12</c:v>
                </c:pt>
                <c:pt idx="61">
                  <c:v>3.03</c:v>
                </c:pt>
                <c:pt idx="62">
                  <c:v>3.53</c:v>
                </c:pt>
                <c:pt idx="63">
                  <c:v>4.01</c:v>
                </c:pt>
                <c:pt idx="64">
                  <c:v>4.6099999999999985</c:v>
                </c:pt>
                <c:pt idx="65">
                  <c:v>5.1199999999999983</c:v>
                </c:pt>
                <c:pt idx="66">
                  <c:v>4.4000000000000004</c:v>
                </c:pt>
                <c:pt idx="67">
                  <c:v>4.1099999999999985</c:v>
                </c:pt>
                <c:pt idx="68">
                  <c:v>4.72</c:v>
                </c:pt>
                <c:pt idx="69">
                  <c:v>5.52</c:v>
                </c:pt>
                <c:pt idx="70">
                  <c:v>5.1099999999999985</c:v>
                </c:pt>
                <c:pt idx="71">
                  <c:v>4.71</c:v>
                </c:pt>
              </c:numCache>
            </c:numRef>
          </c:val>
          <c:smooth val="0"/>
          <c:extLst>
            <c:ext xmlns:c16="http://schemas.microsoft.com/office/drawing/2014/chart" uri="{C3380CC4-5D6E-409C-BE32-E72D297353CC}">
              <c16:uniqueId val="{00000005-D112-41F6-BD06-46B5A2E8F041}"/>
            </c:ext>
          </c:extLst>
        </c:ser>
        <c:dLbls>
          <c:showLegendKey val="0"/>
          <c:showVal val="0"/>
          <c:showCatName val="0"/>
          <c:showSerName val="0"/>
          <c:showPercent val="0"/>
          <c:showBubbleSize val="0"/>
        </c:dLbls>
        <c:marker val="1"/>
        <c:smooth val="0"/>
        <c:axId val="80235520"/>
        <c:axId val="80270464"/>
      </c:lineChart>
      <c:catAx>
        <c:axId val="80235520"/>
        <c:scaling>
          <c:orientation val="minMax"/>
        </c:scaling>
        <c:delete val="0"/>
        <c:axPos val="b"/>
        <c:numFmt formatCode="General" sourceLinked="0"/>
        <c:majorTickMark val="out"/>
        <c:minorTickMark val="none"/>
        <c:tickLblPos val="low"/>
        <c:spPr>
          <a:ln>
            <a:solidFill>
              <a:schemeClr val="tx1"/>
            </a:solidFill>
          </a:ln>
        </c:spPr>
        <c:crossAx val="80270464"/>
        <c:crosses val="autoZero"/>
        <c:auto val="1"/>
        <c:lblAlgn val="ctr"/>
        <c:lblOffset val="100"/>
        <c:noMultiLvlLbl val="0"/>
      </c:catAx>
      <c:valAx>
        <c:axId val="80270464"/>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0235520"/>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98E-2"/>
          <c:y val="1.7107238390107422E-2"/>
          <c:w val="0.83559968783080563"/>
          <c:h val="0.81067557818886526"/>
        </c:manualLayout>
      </c:layout>
      <c:barChart>
        <c:barDir val="col"/>
        <c:grouping val="clustered"/>
        <c:varyColors val="0"/>
        <c:ser>
          <c:idx val="2"/>
          <c:order val="4"/>
          <c:tx>
            <c:strRef>
              <c:f>'GRAF-1-Státní rozpočet-příjmy'!$A$40</c:f>
              <c:strCache>
                <c:ptCount val="1"/>
                <c:pt idx="0">
                  <c:v>Saldo státního rozpočtu (pravá osa)</c:v>
                </c:pt>
              </c:strCache>
            </c:strRef>
          </c:tx>
          <c:spPr>
            <a:solidFill>
              <a:sysClr val="window" lastClr="FFFFFF">
                <a:lumMod val="75000"/>
              </a:sysClr>
            </a:solidFill>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rozpočet-příjmy'!$D$40:$S$40</c:f>
              <c:numCache>
                <c:formatCode>#\ ##0.0</c:formatCode>
                <c:ptCount val="16"/>
                <c:pt idx="0">
                  <c:v>-66.391999999999996</c:v>
                </c:pt>
                <c:pt idx="1">
                  <c:v>-20.003</c:v>
                </c:pt>
                <c:pt idx="2">
                  <c:v>-192.39400000000001</c:v>
                </c:pt>
                <c:pt idx="3">
                  <c:v>-156.416</c:v>
                </c:pt>
                <c:pt idx="4">
                  <c:v>-142.77099999999999</c:v>
                </c:pt>
                <c:pt idx="5">
                  <c:v>-101</c:v>
                </c:pt>
                <c:pt idx="6">
                  <c:v>-81.263999999999996</c:v>
                </c:pt>
                <c:pt idx="7">
                  <c:v>-77.78</c:v>
                </c:pt>
                <c:pt idx="8">
                  <c:v>-62.8</c:v>
                </c:pt>
                <c:pt idx="9">
                  <c:v>61.77</c:v>
                </c:pt>
                <c:pt idx="10">
                  <c:v>-6.1499999999999995</c:v>
                </c:pt>
                <c:pt idx="11">
                  <c:v>2.94</c:v>
                </c:pt>
                <c:pt idx="12">
                  <c:v>-28.52</c:v>
                </c:pt>
                <c:pt idx="13">
                  <c:v>-367.44997523070992</c:v>
                </c:pt>
                <c:pt idx="14">
                  <c:v>-419.6874634421896</c:v>
                </c:pt>
                <c:pt idx="15">
                  <c:v>-360.40048457025</c:v>
                </c:pt>
              </c:numCache>
            </c:numRef>
          </c:val>
          <c:extLst>
            <c:ext xmlns:c16="http://schemas.microsoft.com/office/drawing/2014/chart" uri="{C3380CC4-5D6E-409C-BE32-E72D297353CC}">
              <c16:uniqueId val="{00000000-A5C7-4C50-9F61-41BA57FF9223}"/>
            </c:ext>
          </c:extLst>
        </c:ser>
        <c:ser>
          <c:idx val="5"/>
          <c:order val="5"/>
          <c:tx>
            <c:strRef>
              <c:f>'GRAF-1-Státní rozpočet-příjmy'!$A$41</c:f>
              <c:strCache>
                <c:ptCount val="1"/>
                <c:pt idx="0">
                  <c:v>Saldo SR očišť. o vliv EU a FM (pr. osa)</c:v>
                </c:pt>
              </c:strCache>
            </c:strRef>
          </c:tx>
          <c:spPr>
            <a:solidFill>
              <a:schemeClr val="bg1">
                <a:lumMod val="50000"/>
              </a:schemeClr>
            </a:solidFill>
            <a:ln>
              <a:noFill/>
            </a:ln>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rozpočet-příjmy'!$D$41:$S$41</c:f>
              <c:numCache>
                <c:formatCode>General</c:formatCode>
                <c:ptCount val="16"/>
                <c:pt idx="6" formatCode="#\ ##0.0">
                  <c:v>-81.73296260617991</c:v>
                </c:pt>
                <c:pt idx="7" formatCode="#\ ##0.0">
                  <c:v>-64.099999999999994</c:v>
                </c:pt>
                <c:pt idx="8" formatCode="#\ ##0.0">
                  <c:v>-41.7</c:v>
                </c:pt>
                <c:pt idx="9" formatCode="#\ ##0.0">
                  <c:v>-13.6</c:v>
                </c:pt>
                <c:pt idx="10" formatCode="#\ ##0.0">
                  <c:v>-1.3</c:v>
                </c:pt>
                <c:pt idx="11" formatCode="#\ ##0.0">
                  <c:v>-3.5</c:v>
                </c:pt>
                <c:pt idx="12" formatCode="#\ ##0.0">
                  <c:v>-29.2</c:v>
                </c:pt>
                <c:pt idx="13" formatCode="#\ ##0.0">
                  <c:v>-364.9</c:v>
                </c:pt>
                <c:pt idx="14" formatCode="#\ ##0.0">
                  <c:v>-408.62534300787979</c:v>
                </c:pt>
                <c:pt idx="15" formatCode="#\ ##0.0">
                  <c:v>-316.12697116642994</c:v>
                </c:pt>
              </c:numCache>
            </c:numRef>
          </c:val>
          <c:extLst>
            <c:ext xmlns:c16="http://schemas.microsoft.com/office/drawing/2014/chart" uri="{C3380CC4-5D6E-409C-BE32-E72D297353CC}">
              <c16:uniqueId val="{00000001-A5C7-4C50-9F61-41BA57FF9223}"/>
            </c:ext>
          </c:extLst>
        </c:ser>
        <c:dLbls>
          <c:showLegendKey val="0"/>
          <c:showVal val="0"/>
          <c:showCatName val="0"/>
          <c:showSerName val="0"/>
          <c:showPercent val="0"/>
          <c:showBubbleSize val="0"/>
        </c:dLbls>
        <c:gapWidth val="150"/>
        <c:axId val="91131904"/>
        <c:axId val="90805760"/>
      </c:barChart>
      <c:lineChart>
        <c:grouping val="standard"/>
        <c:varyColors val="0"/>
        <c:ser>
          <c:idx val="0"/>
          <c:order val="0"/>
          <c:tx>
            <c:strRef>
              <c:f>'GRAF-1-Státní rozpočet-příjmy'!$A$36</c:f>
              <c:strCache>
                <c:ptCount val="1"/>
                <c:pt idx="0">
                  <c:v>DPH</c:v>
                </c:pt>
              </c:strCache>
            </c:strRef>
          </c:tx>
          <c:spPr>
            <a:ln w="19050">
              <a:solidFill>
                <a:srgbClr val="BD1B25"/>
              </a:solidFill>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rozpočet-příjmy'!$D$36:$S$36</c:f>
              <c:numCache>
                <c:formatCode>0.0</c:formatCode>
                <c:ptCount val="16"/>
                <c:pt idx="0">
                  <c:v>8.540729176232901</c:v>
                </c:pt>
                <c:pt idx="1">
                  <c:v>7.9575260174295543</c:v>
                </c:pt>
                <c:pt idx="2">
                  <c:v>-0.61914651828048806</c:v>
                </c:pt>
                <c:pt idx="3">
                  <c:v>6.285241118252447</c:v>
                </c:pt>
                <c:pt idx="4">
                  <c:v>2.1665739194954341</c:v>
                </c:pt>
                <c:pt idx="5">
                  <c:v>1.0312647518065459</c:v>
                </c:pt>
                <c:pt idx="6">
                  <c:v>10.865111598317952</c:v>
                </c:pt>
                <c:pt idx="7">
                  <c:v>4.6748362834727395</c:v>
                </c:pt>
                <c:pt idx="8">
                  <c:v>2.7750247770069376</c:v>
                </c:pt>
                <c:pt idx="9">
                  <c:v>5.3881388621022355</c:v>
                </c:pt>
                <c:pt idx="10">
                  <c:v>9.138739563079028</c:v>
                </c:pt>
                <c:pt idx="11">
                  <c:v>8.2844267449172122</c:v>
                </c:pt>
                <c:pt idx="12">
                  <c:v>4.4229373336559199</c:v>
                </c:pt>
                <c:pt idx="13">
                  <c:v>-1.188210397930874</c:v>
                </c:pt>
                <c:pt idx="14">
                  <c:v>8.7290514464571789</c:v>
                </c:pt>
                <c:pt idx="15">
                  <c:v>15.63923586994985</c:v>
                </c:pt>
              </c:numCache>
            </c:numRef>
          </c:val>
          <c:smooth val="0"/>
          <c:extLst>
            <c:ext xmlns:c16="http://schemas.microsoft.com/office/drawing/2014/chart" uri="{C3380CC4-5D6E-409C-BE32-E72D297353CC}">
              <c16:uniqueId val="{00000002-A5C7-4C50-9F61-41BA57FF9223}"/>
            </c:ext>
          </c:extLst>
        </c:ser>
        <c:ser>
          <c:idx val="1"/>
          <c:order val="1"/>
          <c:tx>
            <c:strRef>
              <c:f>'GRAF-1-Státní rozpočet-příjmy'!$A$37</c:f>
              <c:strCache>
                <c:ptCount val="1"/>
                <c:pt idx="0">
                  <c:v>Spotřební daň</c:v>
                </c:pt>
              </c:strCache>
            </c:strRef>
          </c:tx>
          <c:spPr>
            <a:ln w="19050">
              <a:solidFill>
                <a:srgbClr val="7DBB2D"/>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rozpočet-příjmy'!$D$37:$S$37</c:f>
              <c:numCache>
                <c:formatCode>0.0</c:formatCode>
                <c:ptCount val="16"/>
                <c:pt idx="0">
                  <c:v>16.227519866164755</c:v>
                </c:pt>
                <c:pt idx="1">
                  <c:v>-4.2605253688376985</c:v>
                </c:pt>
                <c:pt idx="2">
                  <c:v>-1.473351875516798</c:v>
                </c:pt>
                <c:pt idx="3">
                  <c:v>5.4932478828107278</c:v>
                </c:pt>
                <c:pt idx="4">
                  <c:v>6.0099804729876354</c:v>
                </c:pt>
                <c:pt idx="5">
                  <c:v>0.13644426251875086</c:v>
                </c:pt>
                <c:pt idx="6">
                  <c:v>-2.2891402098378553</c:v>
                </c:pt>
                <c:pt idx="7">
                  <c:v>-1.471203458373991</c:v>
                </c:pt>
                <c:pt idx="8">
                  <c:v>6.5034321704055005</c:v>
                </c:pt>
                <c:pt idx="9">
                  <c:v>5.1362126245847044</c:v>
                </c:pt>
                <c:pt idx="10">
                  <c:v>2.9071604626177252</c:v>
                </c:pt>
                <c:pt idx="11">
                  <c:v>2.8495977399742003</c:v>
                </c:pt>
                <c:pt idx="12">
                  <c:v>-0.19705021794949579</c:v>
                </c:pt>
                <c:pt idx="13">
                  <c:v>-2.7814436561206151</c:v>
                </c:pt>
                <c:pt idx="14">
                  <c:v>-2.9871716093147151</c:v>
                </c:pt>
                <c:pt idx="15">
                  <c:v>1.9170974105799412</c:v>
                </c:pt>
              </c:numCache>
            </c:numRef>
          </c:val>
          <c:smooth val="0"/>
          <c:extLst>
            <c:ext xmlns:c16="http://schemas.microsoft.com/office/drawing/2014/chart" uri="{C3380CC4-5D6E-409C-BE32-E72D297353CC}">
              <c16:uniqueId val="{00000003-A5C7-4C50-9F61-41BA57FF9223}"/>
            </c:ext>
          </c:extLst>
        </c:ser>
        <c:ser>
          <c:idx val="3"/>
          <c:order val="2"/>
          <c:tx>
            <c:strRef>
              <c:f>'GRAF-1-Státní rozpočet-příjmy'!$A$38</c:f>
              <c:strCache>
                <c:ptCount val="1"/>
                <c:pt idx="0">
                  <c:v>Daně z příjmů fyzických osob</c:v>
                </c:pt>
              </c:strCache>
            </c:strRef>
          </c:tx>
          <c:spPr>
            <a:ln w="19050">
              <a:solidFill>
                <a:srgbClr val="0071BC"/>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rozpočet-příjmy'!$D$38:$S$38</c:f>
              <c:numCache>
                <c:formatCode>0.0</c:formatCode>
                <c:ptCount val="16"/>
                <c:pt idx="0">
                  <c:v>10.991820040899793</c:v>
                </c:pt>
                <c:pt idx="1">
                  <c:v>-5.698493123642824</c:v>
                </c:pt>
                <c:pt idx="2">
                  <c:v>-11.562347358872394</c:v>
                </c:pt>
                <c:pt idx="3">
                  <c:v>2.5800852138235797</c:v>
                </c:pt>
                <c:pt idx="4">
                  <c:v>2.5844165833397437</c:v>
                </c:pt>
                <c:pt idx="5">
                  <c:v>2.1893979155731955</c:v>
                </c:pt>
                <c:pt idx="6">
                  <c:v>3.9254530779954582</c:v>
                </c:pt>
                <c:pt idx="7">
                  <c:v>3.6430386896357172</c:v>
                </c:pt>
                <c:pt idx="8">
                  <c:v>5.1430517711171575</c:v>
                </c:pt>
                <c:pt idx="9">
                  <c:v>11.681243926141882</c:v>
                </c:pt>
                <c:pt idx="10">
                  <c:v>11.863325211741516</c:v>
                </c:pt>
                <c:pt idx="11">
                  <c:v>14.033086138049038</c:v>
                </c:pt>
                <c:pt idx="12">
                  <c:v>12.165173495838822</c:v>
                </c:pt>
                <c:pt idx="13">
                  <c:v>-6.0491656046383504</c:v>
                </c:pt>
                <c:pt idx="14">
                  <c:v>-25.50708659365489</c:v>
                </c:pt>
                <c:pt idx="15">
                  <c:v>13.260461136729297</c:v>
                </c:pt>
              </c:numCache>
            </c:numRef>
          </c:val>
          <c:smooth val="0"/>
          <c:extLst>
            <c:ext xmlns:c16="http://schemas.microsoft.com/office/drawing/2014/chart" uri="{C3380CC4-5D6E-409C-BE32-E72D297353CC}">
              <c16:uniqueId val="{00000004-A5C7-4C50-9F61-41BA57FF9223}"/>
            </c:ext>
          </c:extLst>
        </c:ser>
        <c:ser>
          <c:idx val="4"/>
          <c:order val="3"/>
          <c:tx>
            <c:strRef>
              <c:f>'GRAF-1-Státní rozpočet-příjmy'!$A$39</c:f>
              <c:strCache>
                <c:ptCount val="1"/>
                <c:pt idx="0">
                  <c:v>Daně z příjmů právnických osob</c:v>
                </c:pt>
              </c:strCache>
            </c:strRef>
          </c:tx>
          <c:spPr>
            <a:ln w="19050">
              <a:noFill/>
            </a:ln>
          </c:spPr>
          <c:marker>
            <c:symbol val="diamond"/>
            <c:size val="6"/>
            <c:spPr>
              <a:solidFill>
                <a:srgbClr val="984807"/>
              </a:solidFill>
              <a:ln>
                <a:noFill/>
              </a:ln>
            </c:spPr>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rozpočet-příjmy'!$D$39:$S$39</c:f>
              <c:numCache>
                <c:formatCode>0.0</c:formatCode>
                <c:ptCount val="16"/>
                <c:pt idx="0">
                  <c:v>20.193443591258116</c:v>
                </c:pt>
                <c:pt idx="1">
                  <c:v>12.113766201855157</c:v>
                </c:pt>
                <c:pt idx="2">
                  <c:v>-34.469344145526264</c:v>
                </c:pt>
                <c:pt idx="3">
                  <c:v>3.5618729096990029</c:v>
                </c:pt>
                <c:pt idx="4">
                  <c:v>-4.6423381236880354</c:v>
                </c:pt>
                <c:pt idx="5">
                  <c:v>8.3735500804335032</c:v>
                </c:pt>
                <c:pt idx="6">
                  <c:v>-5.6874999999999964</c:v>
                </c:pt>
                <c:pt idx="7">
                  <c:v>9.6752816434725109</c:v>
                </c:pt>
                <c:pt idx="8">
                  <c:v>11.412386706948631</c:v>
                </c:pt>
                <c:pt idx="9">
                  <c:v>11.667005626737165</c:v>
                </c:pt>
                <c:pt idx="10">
                  <c:v>3.6000485672656595</c:v>
                </c:pt>
                <c:pt idx="11">
                  <c:v>1.9689422795194669</c:v>
                </c:pt>
                <c:pt idx="12">
                  <c:v>5.1089017872536004</c:v>
                </c:pt>
                <c:pt idx="13">
                  <c:v>-12.219312902832137</c:v>
                </c:pt>
                <c:pt idx="14">
                  <c:v>24.923332261143905</c:v>
                </c:pt>
                <c:pt idx="15">
                  <c:v>17.341113343647127</c:v>
                </c:pt>
              </c:numCache>
            </c:numRef>
          </c:val>
          <c:smooth val="0"/>
          <c:extLst>
            <c:ext xmlns:c16="http://schemas.microsoft.com/office/drawing/2014/chart" uri="{C3380CC4-5D6E-409C-BE32-E72D297353CC}">
              <c16:uniqueId val="{00000005-A5C7-4C50-9F61-41BA57FF9223}"/>
            </c:ext>
          </c:extLst>
        </c:ser>
        <c:dLbls>
          <c:showLegendKey val="0"/>
          <c:showVal val="0"/>
          <c:showCatName val="0"/>
          <c:showSerName val="0"/>
          <c:showPercent val="0"/>
          <c:showBubbleSize val="0"/>
        </c:dLbls>
        <c:marker val="1"/>
        <c:smooth val="0"/>
        <c:axId val="87940096"/>
        <c:axId val="90790144"/>
      </c:lineChart>
      <c:catAx>
        <c:axId val="87940096"/>
        <c:scaling>
          <c:orientation val="minMax"/>
        </c:scaling>
        <c:delete val="0"/>
        <c:axPos val="b"/>
        <c:numFmt formatCode="General" sourceLinked="1"/>
        <c:majorTickMark val="out"/>
        <c:minorTickMark val="none"/>
        <c:tickLblPos val="low"/>
        <c:spPr>
          <a:ln w="6350">
            <a:solidFill>
              <a:schemeClr val="tx1"/>
            </a:solidFill>
          </a:ln>
        </c:spPr>
        <c:crossAx val="90790144"/>
        <c:crosses val="autoZero"/>
        <c:auto val="1"/>
        <c:lblAlgn val="ctr"/>
        <c:lblOffset val="0"/>
        <c:noMultiLvlLbl val="0"/>
      </c:catAx>
      <c:valAx>
        <c:axId val="90790144"/>
        <c:scaling>
          <c:orientation val="minMax"/>
          <c:max val="30"/>
          <c:min val="-45"/>
        </c:scaling>
        <c:delete val="0"/>
        <c:axPos val="l"/>
        <c:majorGridlines>
          <c:spPr>
            <a:ln w="6350">
              <a:solidFill>
                <a:schemeClr val="bg1">
                  <a:lumMod val="75000"/>
                </a:schemeClr>
              </a:solidFill>
            </a:ln>
          </c:spPr>
        </c:majorGridlines>
        <c:title>
          <c:tx>
            <c:rich>
              <a:bodyPr/>
              <a:lstStyle/>
              <a:p>
                <a:pPr>
                  <a:defRPr sz="700" b="0" i="1"/>
                </a:pPr>
                <a:r>
                  <a:rPr lang="cs-CZ" sz="700" b="0" i="1"/>
                  <a:t>Vybrané druhy daňových příjmů (meziročně,</a:t>
                </a:r>
                <a:r>
                  <a:rPr lang="cs-CZ" sz="700" b="0" i="1" baseline="0"/>
                  <a:t> v %)</a:t>
                </a:r>
                <a:endParaRPr lang="cs-CZ" sz="700" b="0" i="1"/>
              </a:p>
            </c:rich>
          </c:tx>
          <c:overlay val="0"/>
        </c:title>
        <c:numFmt formatCode="0" sourceLinked="0"/>
        <c:majorTickMark val="out"/>
        <c:minorTickMark val="none"/>
        <c:tickLblPos val="nextTo"/>
        <c:spPr>
          <a:ln w="6350">
            <a:solidFill>
              <a:schemeClr val="tx1"/>
            </a:solidFill>
          </a:ln>
        </c:spPr>
        <c:crossAx val="87940096"/>
        <c:crosses val="autoZero"/>
        <c:crossBetween val="between"/>
        <c:majorUnit val="5"/>
      </c:valAx>
      <c:valAx>
        <c:axId val="90805760"/>
        <c:scaling>
          <c:orientation val="minMax"/>
          <c:max val="300"/>
          <c:min val="-450"/>
        </c:scaling>
        <c:delete val="0"/>
        <c:axPos val="r"/>
        <c:title>
          <c:tx>
            <c:rich>
              <a:bodyPr/>
              <a:lstStyle/>
              <a:p>
                <a:pPr>
                  <a:defRPr sz="700" b="0" i="1"/>
                </a:pPr>
                <a:r>
                  <a:rPr lang="cs-CZ" sz="700" b="0" i="1"/>
                  <a:t>Saldo státního rozpočtu (v mld. korun)</a:t>
                </a:r>
              </a:p>
            </c:rich>
          </c:tx>
          <c:overlay val="0"/>
        </c:title>
        <c:numFmt formatCode="#,##0" sourceLinked="0"/>
        <c:majorTickMark val="out"/>
        <c:minorTickMark val="none"/>
        <c:tickLblPos val="nextTo"/>
        <c:crossAx val="91131904"/>
        <c:crosses val="max"/>
        <c:crossBetween val="between"/>
        <c:majorUnit val="50"/>
      </c:valAx>
      <c:catAx>
        <c:axId val="91131904"/>
        <c:scaling>
          <c:orientation val="minMax"/>
        </c:scaling>
        <c:delete val="1"/>
        <c:axPos val="b"/>
        <c:numFmt formatCode="General" sourceLinked="1"/>
        <c:majorTickMark val="out"/>
        <c:minorTickMark val="none"/>
        <c:tickLblPos val="none"/>
        <c:crossAx val="90805760"/>
        <c:crosses val="autoZero"/>
        <c:auto val="1"/>
        <c:lblAlgn val="ctr"/>
        <c:lblOffset val="100"/>
        <c:noMultiLvlLbl val="0"/>
      </c:catAx>
      <c:spPr>
        <a:ln w="6350">
          <a:solidFill>
            <a:schemeClr val="tx1"/>
          </a:solidFill>
        </a:ln>
      </c:spPr>
    </c:plotArea>
    <c:legend>
      <c:legendPos val="b"/>
      <c:layout>
        <c:manualLayout>
          <c:xMode val="edge"/>
          <c:yMode val="edge"/>
          <c:x val="3.7637147724222574E-2"/>
          <c:y val="0.8755708894853319"/>
          <c:w val="0.90521999513292006"/>
          <c:h val="0.1132151442113124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76336352808833E-2"/>
          <c:y val="1.7698902479006778E-2"/>
          <c:w val="0.832299541788034"/>
          <c:h val="0.75671581590046955"/>
        </c:manualLayout>
      </c:layout>
      <c:barChart>
        <c:barDir val="col"/>
        <c:grouping val="clustered"/>
        <c:varyColors val="0"/>
        <c:ser>
          <c:idx val="0"/>
          <c:order val="0"/>
          <c:tx>
            <c:strRef>
              <c:f>'G2-St.rozpočet-výdaje'!$B$31</c:f>
              <c:strCache>
                <c:ptCount val="1"/>
                <c:pt idx="0">
                  <c:v>Běžné výdaje celkem (pravá osa)</c:v>
                </c:pt>
              </c:strCache>
            </c:strRef>
          </c:tx>
          <c:spPr>
            <a:solidFill>
              <a:srgbClr val="D3D3D3"/>
            </a:solidFill>
            <a:ln>
              <a:noFill/>
            </a:ln>
          </c:spPr>
          <c:invertIfNegative val="0"/>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'G2-St.rozpočet-výdaje'!$B$34:$B$49</c:f>
              <c:numCache>
                <c:formatCode>0.0</c:formatCode>
                <c:ptCount val="16"/>
                <c:pt idx="0">
                  <c:v>973.84999999999957</c:v>
                </c:pt>
                <c:pt idx="1">
                  <c:v>975.85999999999956</c:v>
                </c:pt>
                <c:pt idx="2">
                  <c:v>1032.78</c:v>
                </c:pt>
                <c:pt idx="3">
                  <c:v>1021.89</c:v>
                </c:pt>
                <c:pt idx="4">
                  <c:v>1031.83</c:v>
                </c:pt>
                <c:pt idx="5">
                  <c:v>1038.76</c:v>
                </c:pt>
                <c:pt idx="6">
                  <c:v>1070.8129999999999</c:v>
                </c:pt>
                <c:pt idx="7">
                  <c:v>1100.1019999999999</c:v>
                </c:pt>
                <c:pt idx="8">
                  <c:v>1121.6599999999999</c:v>
                </c:pt>
                <c:pt idx="9">
                  <c:v>1135.57</c:v>
                </c:pt>
                <c:pt idx="10">
                  <c:v>1198.05</c:v>
                </c:pt>
                <c:pt idx="11">
                  <c:v>1284.5</c:v>
                </c:pt>
                <c:pt idx="12">
                  <c:v>1412.5989294339895</c:v>
                </c:pt>
                <c:pt idx="13">
                  <c:v>1670.3085864663701</c:v>
                </c:pt>
                <c:pt idx="14">
                  <c:v>1729.78958897348</c:v>
                </c:pt>
                <c:pt idx="15">
                  <c:v>1797.9543482347988</c:v>
                </c:pt>
              </c:numCache>
            </c:numRef>
          </c:val>
          <c:extLst>
            <c:ext xmlns:c16="http://schemas.microsoft.com/office/drawing/2014/chart" uri="{C3380CC4-5D6E-409C-BE32-E72D297353CC}">
              <c16:uniqueId val="{00000000-7165-4677-8215-78E7F10AFF37}"/>
            </c:ext>
          </c:extLst>
        </c:ser>
        <c:dLbls>
          <c:showLegendKey val="0"/>
          <c:showVal val="0"/>
          <c:showCatName val="0"/>
          <c:showSerName val="0"/>
          <c:showPercent val="0"/>
          <c:showBubbleSize val="0"/>
        </c:dLbls>
        <c:gapWidth val="70"/>
        <c:axId val="129331968"/>
        <c:axId val="129184512"/>
      </c:barChart>
      <c:lineChart>
        <c:grouping val="standard"/>
        <c:varyColors val="0"/>
        <c:ser>
          <c:idx val="1"/>
          <c:order val="1"/>
          <c:tx>
            <c:strRef>
              <c:f>'G2-St.rozpočet-výdaje'!$C$31</c:f>
              <c:strCache>
                <c:ptCount val="1"/>
                <c:pt idx="0">
                  <c:v>Platy státních zaměstnanců*</c:v>
                </c:pt>
              </c:strCache>
            </c:strRef>
          </c:tx>
          <c:spPr>
            <a:ln w="15875">
              <a:solidFill>
                <a:srgbClr val="F8A124"/>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'G2-St.rozpočet-výdaje'!$C$34:$C$49</c:f>
              <c:numCache>
                <c:formatCode>0.0</c:formatCode>
                <c:ptCount val="16"/>
                <c:pt idx="0">
                  <c:v>95.76</c:v>
                </c:pt>
                <c:pt idx="1">
                  <c:v>97.33</c:v>
                </c:pt>
                <c:pt idx="2">
                  <c:v>100.19</c:v>
                </c:pt>
                <c:pt idx="3">
                  <c:v>97.669999999999987</c:v>
                </c:pt>
                <c:pt idx="4">
                  <c:v>89.6</c:v>
                </c:pt>
                <c:pt idx="5">
                  <c:v>90.45</c:v>
                </c:pt>
                <c:pt idx="6">
                  <c:v>92.374999999999986</c:v>
                </c:pt>
                <c:pt idx="7">
                  <c:v>96.582999999999998</c:v>
                </c:pt>
                <c:pt idx="8">
                  <c:v>104.19</c:v>
                </c:pt>
                <c:pt idx="9">
                  <c:v>109.86</c:v>
                </c:pt>
                <c:pt idx="10">
                  <c:v>120.08</c:v>
                </c:pt>
                <c:pt idx="11">
                  <c:v>133.9</c:v>
                </c:pt>
                <c:pt idx="12">
                  <c:v>143.7275473014802</c:v>
                </c:pt>
                <c:pt idx="13">
                  <c:v>150.49796216553</c:v>
                </c:pt>
                <c:pt idx="14">
                  <c:v>152.83601356255002</c:v>
                </c:pt>
                <c:pt idx="15">
                  <c:v>153.60033768562022</c:v>
                </c:pt>
              </c:numCache>
            </c:numRef>
          </c:val>
          <c:smooth val="0"/>
          <c:extLst>
            <c:ext xmlns:c16="http://schemas.microsoft.com/office/drawing/2014/chart" uri="{C3380CC4-5D6E-409C-BE32-E72D297353CC}">
              <c16:uniqueId val="{00000001-7165-4677-8215-78E7F10AFF37}"/>
            </c:ext>
          </c:extLst>
        </c:ser>
        <c:ser>
          <c:idx val="6"/>
          <c:order val="2"/>
          <c:tx>
            <c:strRef>
              <c:f>'G2-St.rozpočet-výdaje'!$D$31</c:f>
              <c:strCache>
                <c:ptCount val="1"/>
                <c:pt idx="0">
                  <c:v>Podpora v nezaměstnanosti</c:v>
                </c:pt>
              </c:strCache>
            </c:strRef>
          </c:tx>
          <c:spPr>
            <a:ln w="15875">
              <a:solidFill>
                <a:srgbClr val="48AEE7"/>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'G2-St.rozpočet-výdaje'!$D$34:$D$49</c:f>
              <c:numCache>
                <c:formatCode>0.0</c:formatCode>
                <c:ptCount val="16"/>
                <c:pt idx="0">
                  <c:v>7.24</c:v>
                </c:pt>
                <c:pt idx="1">
                  <c:v>7.1099999999999985</c:v>
                </c:pt>
                <c:pt idx="2">
                  <c:v>15.078000000000001</c:v>
                </c:pt>
                <c:pt idx="3">
                  <c:v>13.355000000000008</c:v>
                </c:pt>
                <c:pt idx="4">
                  <c:v>10.349</c:v>
                </c:pt>
                <c:pt idx="5">
                  <c:v>8.76</c:v>
                </c:pt>
                <c:pt idx="6">
                  <c:v>9.65</c:v>
                </c:pt>
                <c:pt idx="7">
                  <c:v>9.2620000000000005</c:v>
                </c:pt>
                <c:pt idx="8">
                  <c:v>8.2760000000000016</c:v>
                </c:pt>
                <c:pt idx="9">
                  <c:v>8.2199999999999989</c:v>
                </c:pt>
                <c:pt idx="10">
                  <c:v>7.8199999999999985</c:v>
                </c:pt>
                <c:pt idx="11">
                  <c:v>7.51</c:v>
                </c:pt>
                <c:pt idx="12">
                  <c:v>8.1136251569399995</c:v>
                </c:pt>
                <c:pt idx="13">
                  <c:v>10.524849742540001</c:v>
                </c:pt>
                <c:pt idx="14">
                  <c:v>9.9694941281400116</c:v>
                </c:pt>
                <c:pt idx="15">
                  <c:v>9.8510506837400005</c:v>
                </c:pt>
              </c:numCache>
            </c:numRef>
          </c:val>
          <c:smooth val="0"/>
          <c:extLst>
            <c:ext xmlns:c16="http://schemas.microsoft.com/office/drawing/2014/chart" uri="{C3380CC4-5D6E-409C-BE32-E72D297353CC}">
              <c16:uniqueId val="{00000002-7165-4677-8215-78E7F10AFF37}"/>
            </c:ext>
          </c:extLst>
        </c:ser>
        <c:ser>
          <c:idx val="7"/>
          <c:order val="3"/>
          <c:tx>
            <c:strRef>
              <c:f>'G2-St.rozpočet-výdaje'!$E$31</c:f>
              <c:strCache>
                <c:ptCount val="1"/>
                <c:pt idx="0">
                  <c:v>Státní sociální podpora**</c:v>
                </c:pt>
              </c:strCache>
            </c:strRef>
          </c:tx>
          <c:spPr>
            <a:ln w="15875">
              <a:solidFill>
                <a:srgbClr val="00B05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'G2-St.rozpočet-výdaje'!$E$34:$E$49</c:f>
              <c:numCache>
                <c:formatCode>0.0</c:formatCode>
                <c:ptCount val="16"/>
                <c:pt idx="0">
                  <c:v>49.47</c:v>
                </c:pt>
                <c:pt idx="1">
                  <c:v>41.97</c:v>
                </c:pt>
                <c:pt idx="2">
                  <c:v>41.168000000000013</c:v>
                </c:pt>
                <c:pt idx="3">
                  <c:v>40.880999999999993</c:v>
                </c:pt>
                <c:pt idx="4">
                  <c:v>36.094000000000001</c:v>
                </c:pt>
                <c:pt idx="5">
                  <c:v>35.554000000000002</c:v>
                </c:pt>
                <c:pt idx="6">
                  <c:v>37.423000000000002</c:v>
                </c:pt>
                <c:pt idx="7">
                  <c:v>37.544000000000004</c:v>
                </c:pt>
                <c:pt idx="8">
                  <c:v>37.65</c:v>
                </c:pt>
                <c:pt idx="9">
                  <c:v>37.78</c:v>
                </c:pt>
                <c:pt idx="10">
                  <c:v>37.220000000000013</c:v>
                </c:pt>
                <c:pt idx="11">
                  <c:v>39.220000000000013</c:v>
                </c:pt>
                <c:pt idx="12">
                  <c:v>37.87859106618</c:v>
                </c:pt>
                <c:pt idx="13">
                  <c:v>51.685289497479999</c:v>
                </c:pt>
                <c:pt idx="14">
                  <c:v>48.771589956349999</c:v>
                </c:pt>
                <c:pt idx="15">
                  <c:v>56.352518862020013</c:v>
                </c:pt>
              </c:numCache>
            </c:numRef>
          </c:val>
          <c:smooth val="0"/>
          <c:extLst>
            <c:ext xmlns:c16="http://schemas.microsoft.com/office/drawing/2014/chart" uri="{C3380CC4-5D6E-409C-BE32-E72D297353CC}">
              <c16:uniqueId val="{00000003-7165-4677-8215-78E7F10AFF37}"/>
            </c:ext>
          </c:extLst>
        </c:ser>
        <c:ser>
          <c:idx val="2"/>
          <c:order val="4"/>
          <c:tx>
            <c:strRef>
              <c:f>'G2-St.rozpočet-výdaje'!$F$31</c:f>
              <c:strCache>
                <c:ptCount val="1"/>
                <c:pt idx="0">
                  <c:v>Dávky nemocenského pojištění</c:v>
                </c:pt>
              </c:strCache>
            </c:strRef>
          </c:tx>
          <c:spPr>
            <a:ln w="15875">
              <a:solidFill>
                <a:srgbClr val="0071BC"/>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'G2-St.rozpočet-výdaje'!$F$34:$F$49</c:f>
              <c:numCache>
                <c:formatCode>0.0</c:formatCode>
                <c:ptCount val="16"/>
                <c:pt idx="0">
                  <c:v>34.671000000000006</c:v>
                </c:pt>
                <c:pt idx="1">
                  <c:v>31.881999999999987</c:v>
                </c:pt>
                <c:pt idx="2">
                  <c:v>26.233000000000001</c:v>
                </c:pt>
                <c:pt idx="3">
                  <c:v>22.995999999999981</c:v>
                </c:pt>
                <c:pt idx="4">
                  <c:v>21.734000000000005</c:v>
                </c:pt>
                <c:pt idx="5">
                  <c:v>19.602</c:v>
                </c:pt>
                <c:pt idx="6">
                  <c:v>20.350000000000001</c:v>
                </c:pt>
                <c:pt idx="7">
                  <c:v>22.28299999999998</c:v>
                </c:pt>
                <c:pt idx="8">
                  <c:v>24.310000000000013</c:v>
                </c:pt>
                <c:pt idx="9">
                  <c:v>26.5</c:v>
                </c:pt>
                <c:pt idx="10">
                  <c:v>28.57</c:v>
                </c:pt>
                <c:pt idx="11">
                  <c:v>34.173700000000011</c:v>
                </c:pt>
                <c:pt idx="12">
                  <c:v>39.094712800000039</c:v>
                </c:pt>
                <c:pt idx="13">
                  <c:v>55.4</c:v>
                </c:pt>
                <c:pt idx="14">
                  <c:v>51.355800000000002</c:v>
                </c:pt>
                <c:pt idx="15">
                  <c:v>47.630528750690004</c:v>
                </c:pt>
              </c:numCache>
            </c:numRef>
          </c:val>
          <c:smooth val="0"/>
          <c:extLst>
            <c:ext xmlns:c16="http://schemas.microsoft.com/office/drawing/2014/chart" uri="{C3380CC4-5D6E-409C-BE32-E72D297353CC}">
              <c16:uniqueId val="{00000004-7165-4677-8215-78E7F10AFF37}"/>
            </c:ext>
          </c:extLst>
        </c:ser>
        <c:ser>
          <c:idx val="3"/>
          <c:order val="5"/>
          <c:tx>
            <c:strRef>
              <c:f>'G2-St.rozpočet-výdaje'!$G$31</c:f>
              <c:strCache>
                <c:ptCount val="1"/>
                <c:pt idx="0">
                  <c:v>Dávky sociální péče***</c:v>
                </c:pt>
              </c:strCache>
            </c:strRef>
          </c:tx>
          <c:spPr>
            <a:ln w="15875">
              <a:solidFill>
                <a:srgbClr val="7030A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'G2-St.rozpočet-výdaje'!$G$34:$G$49</c:f>
              <c:numCache>
                <c:formatCode>0.0</c:formatCode>
                <c:ptCount val="16"/>
                <c:pt idx="0">
                  <c:v>20.811000000000014</c:v>
                </c:pt>
                <c:pt idx="1">
                  <c:v>23.542000000000002</c:v>
                </c:pt>
                <c:pt idx="2">
                  <c:v>24.256</c:v>
                </c:pt>
                <c:pt idx="3">
                  <c:v>25.292000000000002</c:v>
                </c:pt>
                <c:pt idx="4">
                  <c:v>24.966999999999981</c:v>
                </c:pt>
                <c:pt idx="5">
                  <c:v>27.695499999999985</c:v>
                </c:pt>
                <c:pt idx="6">
                  <c:v>31.978999999999989</c:v>
                </c:pt>
                <c:pt idx="7">
                  <c:v>33.622000000000028</c:v>
                </c:pt>
                <c:pt idx="8">
                  <c:v>33.621000000000002</c:v>
                </c:pt>
                <c:pt idx="9">
                  <c:v>34.29500000000003</c:v>
                </c:pt>
                <c:pt idx="10">
                  <c:v>34.439</c:v>
                </c:pt>
                <c:pt idx="11">
                  <c:v>33.990400000000001</c:v>
                </c:pt>
                <c:pt idx="12">
                  <c:v>36.831099999999999</c:v>
                </c:pt>
                <c:pt idx="13">
                  <c:v>40.510200000000005</c:v>
                </c:pt>
                <c:pt idx="14">
                  <c:v>40.537129800000002</c:v>
                </c:pt>
              </c:numCache>
            </c:numRef>
          </c:val>
          <c:smooth val="0"/>
          <c:extLst>
            <c:ext xmlns:c16="http://schemas.microsoft.com/office/drawing/2014/chart" uri="{C3380CC4-5D6E-409C-BE32-E72D297353CC}">
              <c16:uniqueId val="{00000005-7165-4677-8215-78E7F10AFF37}"/>
            </c:ext>
          </c:extLst>
        </c:ser>
        <c:ser>
          <c:idx val="4"/>
          <c:order val="6"/>
          <c:tx>
            <c:strRef>
              <c:f>'G2-St.rozpočet-výdaje'!$H$31</c:f>
              <c:strCache>
                <c:ptCount val="1"/>
                <c:pt idx="0">
                  <c:v>Neinvestič. nákupy a souvis. výdaje****</c:v>
                </c:pt>
              </c:strCache>
            </c:strRef>
          </c:tx>
          <c:spPr>
            <a:ln w="15875">
              <a:solidFill>
                <a:srgbClr val="D5D000"/>
              </a:solidFill>
              <a:prstDash val="solid"/>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'G2-St.rozpočet-výdaje'!$H$34:$H$49</c:f>
              <c:numCache>
                <c:formatCode>0.0</c:formatCode>
                <c:ptCount val="16"/>
                <c:pt idx="0">
                  <c:v>63.827000000000005</c:v>
                </c:pt>
                <c:pt idx="1">
                  <c:v>71.581999999999994</c:v>
                </c:pt>
                <c:pt idx="2">
                  <c:v>69.73</c:v>
                </c:pt>
                <c:pt idx="3">
                  <c:v>65.116</c:v>
                </c:pt>
                <c:pt idx="4">
                  <c:v>57.98</c:v>
                </c:pt>
                <c:pt idx="5">
                  <c:v>53.175000000000011</c:v>
                </c:pt>
                <c:pt idx="6">
                  <c:v>54.193000000000012</c:v>
                </c:pt>
                <c:pt idx="7">
                  <c:v>54.751000000000005</c:v>
                </c:pt>
                <c:pt idx="8">
                  <c:v>62.36</c:v>
                </c:pt>
                <c:pt idx="9">
                  <c:v>57.560000000000009</c:v>
                </c:pt>
                <c:pt idx="10">
                  <c:v>62.760000000000012</c:v>
                </c:pt>
                <c:pt idx="11">
                  <c:v>68.410000000000025</c:v>
                </c:pt>
                <c:pt idx="12">
                  <c:v>66.430000000000007</c:v>
                </c:pt>
                <c:pt idx="13">
                  <c:v>77.884951001920001</c:v>
                </c:pt>
                <c:pt idx="14">
                  <c:v>78.966372350419888</c:v>
                </c:pt>
                <c:pt idx="15">
                  <c:v>91.408634165139986</c:v>
                </c:pt>
              </c:numCache>
            </c:numRef>
          </c:val>
          <c:smooth val="0"/>
          <c:extLst>
            <c:ext xmlns:c16="http://schemas.microsoft.com/office/drawing/2014/chart" uri="{C3380CC4-5D6E-409C-BE32-E72D297353CC}">
              <c16:uniqueId val="{00000006-7165-4677-8215-78E7F10AFF37}"/>
            </c:ext>
          </c:extLst>
        </c:ser>
        <c:ser>
          <c:idx val="5"/>
          <c:order val="7"/>
          <c:tx>
            <c:strRef>
              <c:f>'G2-St.rozpočet-výdaje'!$I$31</c:f>
              <c:strCache>
                <c:ptCount val="1"/>
                <c:pt idx="0">
                  <c:v>Státní dluh (čisté výdaje)*****</c:v>
                </c:pt>
              </c:strCache>
            </c:strRef>
          </c:tx>
          <c:spPr>
            <a:ln w="15875">
              <a:solidFill>
                <a:srgbClr val="996633"/>
              </a:solidFill>
              <a:prstDash val="sys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'G2-St.rozpočet-výdaje'!$I$34:$I$49</c:f>
              <c:numCache>
                <c:formatCode>0.0</c:formatCode>
                <c:ptCount val="16"/>
                <c:pt idx="0">
                  <c:v>34.130000000000003</c:v>
                </c:pt>
                <c:pt idx="1">
                  <c:v>37.64</c:v>
                </c:pt>
                <c:pt idx="2">
                  <c:v>44.46</c:v>
                </c:pt>
                <c:pt idx="3">
                  <c:v>35.840000000000003</c:v>
                </c:pt>
                <c:pt idx="4">
                  <c:v>45.120000000000012</c:v>
                </c:pt>
                <c:pt idx="5">
                  <c:v>41.400000000000006</c:v>
                </c:pt>
                <c:pt idx="6">
                  <c:v>50.89</c:v>
                </c:pt>
                <c:pt idx="7">
                  <c:v>48.49</c:v>
                </c:pt>
                <c:pt idx="8">
                  <c:v>45.28</c:v>
                </c:pt>
                <c:pt idx="9">
                  <c:v>40.65</c:v>
                </c:pt>
                <c:pt idx="10">
                  <c:v>39.77000000000001</c:v>
                </c:pt>
                <c:pt idx="11">
                  <c:v>40.730000000000011</c:v>
                </c:pt>
                <c:pt idx="12">
                  <c:v>39.550577993799998</c:v>
                </c:pt>
                <c:pt idx="13">
                  <c:v>40.145474011320005</c:v>
                </c:pt>
                <c:pt idx="14">
                  <c:v>42.233847726200004</c:v>
                </c:pt>
                <c:pt idx="15">
                  <c:v>49.705483243530011</c:v>
                </c:pt>
              </c:numCache>
            </c:numRef>
          </c:val>
          <c:smooth val="0"/>
          <c:extLst>
            <c:ext xmlns:c16="http://schemas.microsoft.com/office/drawing/2014/chart" uri="{C3380CC4-5D6E-409C-BE32-E72D297353CC}">
              <c16:uniqueId val="{00000007-7165-4677-8215-78E7F10AFF37}"/>
            </c:ext>
          </c:extLst>
        </c:ser>
        <c:ser>
          <c:idx val="8"/>
          <c:order val="8"/>
          <c:tx>
            <c:strRef>
              <c:f>'G2-St.rozpočet-výdaje'!$J$31</c:f>
              <c:strCache>
                <c:ptCount val="1"/>
                <c:pt idx="0">
                  <c:v>Neinvestič. transfery podnikat. subjektům</c:v>
                </c:pt>
              </c:strCache>
            </c:strRef>
          </c:tx>
          <c:spPr>
            <a:ln w="15875">
              <a:solidFill>
                <a:schemeClr val="tx1">
                  <a:lumMod val="95000"/>
                  <a:lumOff val="5000"/>
                </a:schemeClr>
              </a:solidFill>
              <a:prstDash val="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'G2-St.rozpočet-výdaje'!$J$34:$J$49</c:f>
              <c:numCache>
                <c:formatCode>0.00</c:formatCode>
                <c:ptCount val="16"/>
                <c:pt idx="0">
                  <c:v>23.696000000000005</c:v>
                </c:pt>
                <c:pt idx="1">
                  <c:v>26.108000000000001</c:v>
                </c:pt>
                <c:pt idx="2">
                  <c:v>28.491</c:v>
                </c:pt>
                <c:pt idx="3">
                  <c:v>28.100999999999999</c:v>
                </c:pt>
                <c:pt idx="4">
                  <c:v>33.263000000000012</c:v>
                </c:pt>
                <c:pt idx="5">
                  <c:v>35.61</c:v>
                </c:pt>
                <c:pt idx="6">
                  <c:v>35.03</c:v>
                </c:pt>
                <c:pt idx="7">
                  <c:v>41.230000000000011</c:v>
                </c:pt>
                <c:pt idx="8">
                  <c:v>39.14</c:v>
                </c:pt>
                <c:pt idx="9">
                  <c:v>44.230000000000011</c:v>
                </c:pt>
                <c:pt idx="10">
                  <c:v>48.3</c:v>
                </c:pt>
                <c:pt idx="11">
                  <c:v>57.32</c:v>
                </c:pt>
                <c:pt idx="12">
                  <c:v>57.932912725290002</c:v>
                </c:pt>
                <c:pt idx="13">
                  <c:v>106.75302514385</c:v>
                </c:pt>
                <c:pt idx="14">
                  <c:v>125.41352918255002</c:v>
                </c:pt>
                <c:pt idx="15">
                  <c:v>89.292856818779896</c:v>
                </c:pt>
              </c:numCache>
            </c:numRef>
          </c:val>
          <c:smooth val="0"/>
          <c:extLst>
            <c:ext xmlns:c16="http://schemas.microsoft.com/office/drawing/2014/chart" uri="{C3380CC4-5D6E-409C-BE32-E72D297353CC}">
              <c16:uniqueId val="{00000008-7165-4677-8215-78E7F10AFF37}"/>
            </c:ext>
          </c:extLst>
        </c:ser>
        <c:ser>
          <c:idx val="9"/>
          <c:order val="9"/>
          <c:tx>
            <c:strRef>
              <c:f>'G2-St.rozpočet-výdaje'!$K$31</c:f>
              <c:strCache>
                <c:ptCount val="1"/>
                <c:pt idx="0">
                  <c:v>Kapitálové výdaje</c:v>
                </c:pt>
              </c:strCache>
            </c:strRef>
          </c:tx>
          <c:spPr>
            <a:ln w="9525">
              <a:solidFill>
                <a:srgbClr val="C00000"/>
              </a:solidFill>
              <a:prstDash val="sysDot"/>
            </a:ln>
          </c:spPr>
          <c:marker>
            <c:symbol val="circle"/>
            <c:size val="4"/>
            <c:spPr>
              <a:solidFill>
                <a:srgbClr val="C00000"/>
              </a:solidFill>
              <a:ln>
                <a:noFill/>
              </a:ln>
            </c:spPr>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'G2-St.rozpočet-výdaje'!$K$34:$K$49</c:f>
              <c:numCache>
                <c:formatCode>0.0</c:formatCode>
                <c:ptCount val="16"/>
                <c:pt idx="0">
                  <c:v>118.42</c:v>
                </c:pt>
                <c:pt idx="1">
                  <c:v>108.08</c:v>
                </c:pt>
                <c:pt idx="2">
                  <c:v>134.22999999999999</c:v>
                </c:pt>
                <c:pt idx="3">
                  <c:v>134.91</c:v>
                </c:pt>
                <c:pt idx="4">
                  <c:v>123.69</c:v>
                </c:pt>
                <c:pt idx="5">
                  <c:v>113.61999999999999</c:v>
                </c:pt>
                <c:pt idx="6">
                  <c:v>102.315</c:v>
                </c:pt>
                <c:pt idx="7">
                  <c:v>111.50700000000002</c:v>
                </c:pt>
                <c:pt idx="8">
                  <c:v>175.66</c:v>
                </c:pt>
                <c:pt idx="9">
                  <c:v>84.27</c:v>
                </c:pt>
                <c:pt idx="10">
                  <c:v>81.75</c:v>
                </c:pt>
                <c:pt idx="11">
                  <c:v>116.46000000000002</c:v>
                </c:pt>
                <c:pt idx="12">
                  <c:v>139.13928546781995</c:v>
                </c:pt>
                <c:pt idx="13">
                  <c:v>172.62079654905</c:v>
                </c:pt>
                <c:pt idx="14">
                  <c:v>177.13556603781998</c:v>
                </c:pt>
                <c:pt idx="15">
                  <c:v>186.85457144361001</c:v>
                </c:pt>
              </c:numCache>
            </c:numRef>
          </c:val>
          <c:smooth val="0"/>
          <c:extLst>
            <c:ext xmlns:c16="http://schemas.microsoft.com/office/drawing/2014/chart" uri="{C3380CC4-5D6E-409C-BE32-E72D297353CC}">
              <c16:uniqueId val="{00000009-7165-4677-8215-78E7F10AFF37}"/>
            </c:ext>
          </c:extLst>
        </c:ser>
        <c:dLbls>
          <c:showLegendKey val="0"/>
          <c:showVal val="0"/>
          <c:showCatName val="0"/>
          <c:showSerName val="0"/>
          <c:showPercent val="0"/>
          <c:showBubbleSize val="0"/>
        </c:dLbls>
        <c:marker val="1"/>
        <c:smooth val="0"/>
        <c:axId val="129125376"/>
        <c:axId val="129157760"/>
      </c:lineChart>
      <c:catAx>
        <c:axId val="129125376"/>
        <c:scaling>
          <c:orientation val="minMax"/>
        </c:scaling>
        <c:delete val="0"/>
        <c:axPos val="b"/>
        <c:numFmt formatCode="General" sourceLinked="1"/>
        <c:majorTickMark val="out"/>
        <c:minorTickMark val="none"/>
        <c:tickLblPos val="low"/>
        <c:spPr>
          <a:ln w="6350">
            <a:solidFill>
              <a:schemeClr val="bg1">
                <a:lumMod val="50000"/>
              </a:schemeClr>
            </a:solidFill>
          </a:ln>
        </c:spPr>
        <c:crossAx val="129157760"/>
        <c:crosses val="autoZero"/>
        <c:auto val="1"/>
        <c:lblAlgn val="ctr"/>
        <c:lblOffset val="20"/>
        <c:noMultiLvlLbl val="0"/>
      </c:catAx>
      <c:valAx>
        <c:axId val="129157760"/>
        <c:scaling>
          <c:orientation val="minMax"/>
          <c:max val="200"/>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129125376"/>
        <c:crosses val="autoZero"/>
        <c:crossBetween val="between"/>
        <c:majorUnit val="20"/>
      </c:valAx>
      <c:valAx>
        <c:axId val="129184512"/>
        <c:scaling>
          <c:orientation val="minMax"/>
          <c:max val="2000"/>
          <c:min val="0"/>
        </c:scaling>
        <c:delete val="0"/>
        <c:axPos val="r"/>
        <c:title>
          <c:tx>
            <c:rich>
              <a:bodyPr/>
              <a:lstStyle/>
              <a:p>
                <a:pPr>
                  <a:defRPr sz="700" b="0" i="1"/>
                </a:pPr>
                <a:r>
                  <a:rPr lang="cs-CZ" sz="700" b="0" i="1"/>
                  <a:t>Běžné výdaje celkem</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129331968"/>
        <c:crosses val="max"/>
        <c:crossBetween val="between"/>
        <c:majorUnit val="200"/>
        <c:minorUnit val="10"/>
      </c:valAx>
      <c:catAx>
        <c:axId val="129331968"/>
        <c:scaling>
          <c:orientation val="minMax"/>
        </c:scaling>
        <c:delete val="1"/>
        <c:axPos val="b"/>
        <c:numFmt formatCode="General" sourceLinked="1"/>
        <c:majorTickMark val="out"/>
        <c:minorTickMark val="none"/>
        <c:tickLblPos val="none"/>
        <c:crossAx val="129184512"/>
        <c:crosses val="autoZero"/>
        <c:auto val="1"/>
        <c:lblAlgn val="ctr"/>
        <c:lblOffset val="100"/>
        <c:noMultiLvlLbl val="0"/>
      </c:catAx>
      <c:spPr>
        <a:ln w="6350">
          <a:solidFill>
            <a:schemeClr val="tx1"/>
          </a:solidFill>
        </a:ln>
      </c:spPr>
    </c:plotArea>
    <c:legend>
      <c:legendPos val="b"/>
      <c:layout>
        <c:manualLayout>
          <c:xMode val="edge"/>
          <c:yMode val="edge"/>
          <c:x val="1.8694652958186689E-2"/>
          <c:y val="0.82695584929121102"/>
          <c:w val="0.96274947908666564"/>
          <c:h val="0.1658548997830193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93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3'!$D$26:$D$49</c:f>
              <c:numCache>
                <c:formatCode>#\ ##0.0</c:formatCode>
                <c:ptCount val="24"/>
                <c:pt idx="0">
                  <c:v>1.1724461062125437</c:v>
                </c:pt>
                <c:pt idx="1">
                  <c:v>1.3838280833932579</c:v>
                </c:pt>
                <c:pt idx="2">
                  <c:v>1.3029633342515601</c:v>
                </c:pt>
                <c:pt idx="3">
                  <c:v>1.0570981809373126</c:v>
                </c:pt>
                <c:pt idx="4">
                  <c:v>1.5755125159315506</c:v>
                </c:pt>
                <c:pt idx="5">
                  <c:v>1.2433932618107362</c:v>
                </c:pt>
                <c:pt idx="6">
                  <c:v>0.98503190180886557</c:v>
                </c:pt>
                <c:pt idx="7">
                  <c:v>0.86242373693181462</c:v>
                </c:pt>
                <c:pt idx="8">
                  <c:v>0.9340536063309256</c:v>
                </c:pt>
                <c:pt idx="9">
                  <c:v>1.3264749570937773</c:v>
                </c:pt>
                <c:pt idx="10">
                  <c:v>1.0320858874492613</c:v>
                </c:pt>
                <c:pt idx="11">
                  <c:v>1.1072516380596777</c:v>
                </c:pt>
                <c:pt idx="12">
                  <c:v>-1.0200898881441898</c:v>
                </c:pt>
                <c:pt idx="13">
                  <c:v>-3.319130632152298</c:v>
                </c:pt>
                <c:pt idx="14">
                  <c:v>-1.7922184957520035</c:v>
                </c:pt>
                <c:pt idx="15">
                  <c:v>-4.4205469928881964</c:v>
                </c:pt>
                <c:pt idx="16">
                  <c:v>-2.9518338941199547</c:v>
                </c:pt>
                <c:pt idx="17">
                  <c:v>1.8968770554897822</c:v>
                </c:pt>
                <c:pt idx="18">
                  <c:v>1.8846956040757781</c:v>
                </c:pt>
                <c:pt idx="19">
                  <c:v>3.2917123189007609</c:v>
                </c:pt>
                <c:pt idx="20">
                  <c:v>3.1814812425400487</c:v>
                </c:pt>
                <c:pt idx="21">
                  <c:v>-7.4174055396546926E-3</c:v>
                </c:pt>
                <c:pt idx="22">
                  <c:v>-2.8088511245861616</c:v>
                </c:pt>
                <c:pt idx="23">
                  <c:v>-2.8634750896442864</c:v>
                </c:pt>
              </c:numCache>
            </c:numRef>
          </c:val>
          <c:extLst>
            <c:ext xmlns:c16="http://schemas.microsoft.com/office/drawing/2014/chart" uri="{C3380CC4-5D6E-409C-BE32-E72D297353CC}">
              <c16:uniqueId val="{00000000-AB67-4E6A-9FBF-59C71CE7C69F}"/>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3'!$E$26:$E$49</c:f>
              <c:numCache>
                <c:formatCode>#\ ##0.0</c:formatCode>
                <c:ptCount val="24"/>
                <c:pt idx="0">
                  <c:v>0.43568874146674741</c:v>
                </c:pt>
                <c:pt idx="1">
                  <c:v>0.31651507948948154</c:v>
                </c:pt>
                <c:pt idx="2">
                  <c:v>0.23074272942367355</c:v>
                </c:pt>
                <c:pt idx="3">
                  <c:v>0.28553793240162229</c:v>
                </c:pt>
                <c:pt idx="4">
                  <c:v>0.57412630446352575</c:v>
                </c:pt>
                <c:pt idx="5">
                  <c:v>0.65995211680089316</c:v>
                </c:pt>
                <c:pt idx="6">
                  <c:v>0.81778085262984679</c:v>
                </c:pt>
                <c:pt idx="7">
                  <c:v>0.8108648897803995</c:v>
                </c:pt>
                <c:pt idx="8">
                  <c:v>0.45281581800869158</c:v>
                </c:pt>
                <c:pt idx="9">
                  <c:v>0.47909637272946903</c:v>
                </c:pt>
                <c:pt idx="10">
                  <c:v>0.44460153705879729</c:v>
                </c:pt>
                <c:pt idx="11">
                  <c:v>0.3372657138378225</c:v>
                </c:pt>
                <c:pt idx="12">
                  <c:v>0.80451284992687988</c:v>
                </c:pt>
                <c:pt idx="13">
                  <c:v>0.70708681585804789</c:v>
                </c:pt>
                <c:pt idx="14">
                  <c:v>0.41395179326421994</c:v>
                </c:pt>
                <c:pt idx="15">
                  <c:v>1.2239863422317079</c:v>
                </c:pt>
                <c:pt idx="16">
                  <c:v>0.19935804269977092</c:v>
                </c:pt>
                <c:pt idx="17">
                  <c:v>0.11457182275232361</c:v>
                </c:pt>
                <c:pt idx="18">
                  <c:v>0.6666354240933543</c:v>
                </c:pt>
                <c:pt idx="19">
                  <c:v>-4.6599956234866978E-2</c:v>
                </c:pt>
                <c:pt idx="20">
                  <c:v>0.40070657657155367</c:v>
                </c:pt>
                <c:pt idx="21">
                  <c:v>0.32871201808462608</c:v>
                </c:pt>
                <c:pt idx="22">
                  <c:v>-0.43678326455502947</c:v>
                </c:pt>
                <c:pt idx="23">
                  <c:v>0.16650379577834051</c:v>
                </c:pt>
              </c:numCache>
            </c:numRef>
          </c:val>
          <c:extLst>
            <c:ext xmlns:c16="http://schemas.microsoft.com/office/drawing/2014/chart" uri="{C3380CC4-5D6E-409C-BE32-E72D297353CC}">
              <c16:uniqueId val="{00000001-AB67-4E6A-9FBF-59C71CE7C69F}"/>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3'!$G$26:$G$49</c:f>
              <c:numCache>
                <c:formatCode>#\ ##0.0</c:formatCode>
                <c:ptCount val="24"/>
                <c:pt idx="0">
                  <c:v>-0.96460420103508726</c:v>
                </c:pt>
                <c:pt idx="1">
                  <c:v>0.50244635297633888</c:v>
                </c:pt>
                <c:pt idx="2">
                  <c:v>1.4868373962562362</c:v>
                </c:pt>
                <c:pt idx="3">
                  <c:v>2.3482189542959593</c:v>
                </c:pt>
                <c:pt idx="4">
                  <c:v>2.6506947871686042</c:v>
                </c:pt>
                <c:pt idx="5">
                  <c:v>1.7081773365114359</c:v>
                </c:pt>
                <c:pt idx="6">
                  <c:v>1.9279335844788141</c:v>
                </c:pt>
                <c:pt idx="7">
                  <c:v>0.67229902849734025</c:v>
                </c:pt>
                <c:pt idx="8">
                  <c:v>1.5906650874354968</c:v>
                </c:pt>
                <c:pt idx="9">
                  <c:v>-0.19146224798983871</c:v>
                </c:pt>
                <c:pt idx="10">
                  <c:v>0.25415698160207945</c:v>
                </c:pt>
                <c:pt idx="11">
                  <c:v>2.4122891717477368</c:v>
                </c:pt>
                <c:pt idx="12">
                  <c:v>0.69791730489126746</c:v>
                </c:pt>
                <c:pt idx="13">
                  <c:v>0.95595711935685235</c:v>
                </c:pt>
                <c:pt idx="14">
                  <c:v>-2.7554209500001341</c:v>
                </c:pt>
                <c:pt idx="15">
                  <c:v>-3.4824684565401767</c:v>
                </c:pt>
                <c:pt idx="16">
                  <c:v>1.0691356844743092</c:v>
                </c:pt>
                <c:pt idx="17">
                  <c:v>2.9229568698502404</c:v>
                </c:pt>
                <c:pt idx="18">
                  <c:v>6.9097346363336198</c:v>
                </c:pt>
                <c:pt idx="19">
                  <c:v>6.6616257432894885</c:v>
                </c:pt>
                <c:pt idx="20">
                  <c:v>4.0389782015964286</c:v>
                </c:pt>
                <c:pt idx="21">
                  <c:v>3.4613756239715827</c:v>
                </c:pt>
                <c:pt idx="22">
                  <c:v>1.4516124385714106</c:v>
                </c:pt>
                <c:pt idx="23">
                  <c:v>0.52701259461238459</c:v>
                </c:pt>
              </c:numCache>
            </c:numRef>
          </c:val>
          <c:extLst>
            <c:ext xmlns:c16="http://schemas.microsoft.com/office/drawing/2014/chart" uri="{C3380CC4-5D6E-409C-BE32-E72D297353CC}">
              <c16:uniqueId val="{00000002-AB67-4E6A-9FBF-59C71CE7C69F}"/>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3'!$F$26:$F$49</c:f>
              <c:numCache>
                <c:formatCode>#\ ##0.0</c:formatCode>
                <c:ptCount val="24"/>
                <c:pt idx="0">
                  <c:v>2.9754675891551927</c:v>
                </c:pt>
                <c:pt idx="1">
                  <c:v>3.63036253408232</c:v>
                </c:pt>
                <c:pt idx="2">
                  <c:v>2.7474075811976975</c:v>
                </c:pt>
                <c:pt idx="3">
                  <c:v>2.1271051366721982</c:v>
                </c:pt>
                <c:pt idx="4">
                  <c:v>-0.181902759784416</c:v>
                </c:pt>
                <c:pt idx="5">
                  <c:v>-0.9011007424628219</c:v>
                </c:pt>
                <c:pt idx="6">
                  <c:v>-1.1419594143316307</c:v>
                </c:pt>
                <c:pt idx="7">
                  <c:v>0.16780244720397519</c:v>
                </c:pt>
                <c:pt idx="8">
                  <c:v>-3.048777072279623E-2</c:v>
                </c:pt>
                <c:pt idx="9">
                  <c:v>1.401018621045631</c:v>
                </c:pt>
                <c:pt idx="10">
                  <c:v>1.245438224612009</c:v>
                </c:pt>
                <c:pt idx="11">
                  <c:v>-1.1377389757832601</c:v>
                </c:pt>
                <c:pt idx="12">
                  <c:v>-1.982621142964861</c:v>
                </c:pt>
                <c:pt idx="13">
                  <c:v>-9.1465234127285484</c:v>
                </c:pt>
                <c:pt idx="14">
                  <c:v>-1.0987632014143376</c:v>
                </c:pt>
                <c:pt idx="15">
                  <c:v>2.0622607746427408</c:v>
                </c:pt>
                <c:pt idx="16">
                  <c:v>-0.24003125036630402</c:v>
                </c:pt>
                <c:pt idx="17">
                  <c:v>4.1602208095308058</c:v>
                </c:pt>
                <c:pt idx="18">
                  <c:v>-5.7225789847057085</c:v>
                </c:pt>
                <c:pt idx="19">
                  <c:v>-6.4629212214111327</c:v>
                </c:pt>
                <c:pt idx="20">
                  <c:v>-2.9496051495240838</c:v>
                </c:pt>
                <c:pt idx="21">
                  <c:v>-0.30173056024281764</c:v>
                </c:pt>
                <c:pt idx="22">
                  <c:v>3.2479556728103613</c:v>
                </c:pt>
                <c:pt idx="23">
                  <c:v>2.4287920620491343</c:v>
                </c:pt>
              </c:numCache>
            </c:numRef>
          </c:val>
          <c:extLst>
            <c:ext xmlns:c16="http://schemas.microsoft.com/office/drawing/2014/chart" uri="{C3380CC4-5D6E-409C-BE32-E72D297353CC}">
              <c16:uniqueId val="{00000003-AB67-4E6A-9FBF-59C71CE7C69F}"/>
            </c:ext>
          </c:extLst>
        </c:ser>
        <c:dLbls>
          <c:showLegendKey val="0"/>
          <c:showVal val="0"/>
          <c:showCatName val="0"/>
          <c:showSerName val="0"/>
          <c:showPercent val="0"/>
          <c:showBubbleSize val="0"/>
        </c:dLbls>
        <c:gapWidth val="40"/>
        <c:overlap val="100"/>
        <c:axId val="108761472"/>
        <c:axId val="108763008"/>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3'!$C$26:$C$49</c:f>
              <c:numCache>
                <c:formatCode>#\ ##0.0</c:formatCode>
                <c:ptCount val="24"/>
                <c:pt idx="0">
                  <c:v>3.6950522088079962</c:v>
                </c:pt>
                <c:pt idx="1">
                  <c:v>5.915497976835205</c:v>
                </c:pt>
                <c:pt idx="2">
                  <c:v>5.8516739490936533</c:v>
                </c:pt>
                <c:pt idx="3">
                  <c:v>5.8958373145450755</c:v>
                </c:pt>
                <c:pt idx="4">
                  <c:v>4.7409433615299719</c:v>
                </c:pt>
                <c:pt idx="5">
                  <c:v>2.8213141032059932</c:v>
                </c:pt>
                <c:pt idx="6">
                  <c:v>2.6958490566037767</c:v>
                </c:pt>
                <c:pt idx="7">
                  <c:v>2.6197232600124969</c:v>
                </c:pt>
                <c:pt idx="8">
                  <c:v>2.9978163782603557</c:v>
                </c:pt>
                <c:pt idx="9">
                  <c:v>3.0711985153536427</c:v>
                </c:pt>
                <c:pt idx="10">
                  <c:v>3.0292786172026638</c:v>
                </c:pt>
                <c:pt idx="11">
                  <c:v>2.7680914244993042</c:v>
                </c:pt>
                <c:pt idx="12">
                  <c:v>-1.4628912343715539</c:v>
                </c:pt>
                <c:pt idx="13">
                  <c:v>-10.782881996253849</c:v>
                </c:pt>
                <c:pt idx="14">
                  <c:v>-5.2160051898008994</c:v>
                </c:pt>
                <c:pt idx="15">
                  <c:v>-4.5960486594733538</c:v>
                </c:pt>
                <c:pt idx="16">
                  <c:v>-1.8871159314410617</c:v>
                </c:pt>
                <c:pt idx="17">
                  <c:v>9.1334019596629705</c:v>
                </c:pt>
                <c:pt idx="18">
                  <c:v>3.7708317820233979</c:v>
                </c:pt>
                <c:pt idx="19">
                  <c:v>3.4726638742077647</c:v>
                </c:pt>
                <c:pt idx="20">
                  <c:v>4.6607894840410893</c:v>
                </c:pt>
                <c:pt idx="21">
                  <c:v>3.5103450256849671</c:v>
                </c:pt>
                <c:pt idx="22">
                  <c:v>1.4589580267119415</c:v>
                </c:pt>
                <c:pt idx="23">
                  <c:v>0.23813308505727118</c:v>
                </c:pt>
              </c:numCache>
            </c:numRef>
          </c:val>
          <c:smooth val="0"/>
          <c:extLst>
            <c:ext xmlns:c16="http://schemas.microsoft.com/office/drawing/2014/chart" uri="{C3380CC4-5D6E-409C-BE32-E72D297353CC}">
              <c16:uniqueId val="{00000004-AB67-4E6A-9FBF-59C71CE7C69F}"/>
            </c:ext>
          </c:extLst>
        </c:ser>
        <c:dLbls>
          <c:showLegendKey val="0"/>
          <c:showVal val="0"/>
          <c:showCatName val="0"/>
          <c:showSerName val="0"/>
          <c:showPercent val="0"/>
          <c:showBubbleSize val="0"/>
        </c:dLbls>
        <c:marker val="1"/>
        <c:smooth val="0"/>
        <c:axId val="108761472"/>
        <c:axId val="108763008"/>
      </c:lineChart>
      <c:catAx>
        <c:axId val="10876147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08763008"/>
        <c:crosses val="autoZero"/>
        <c:auto val="1"/>
        <c:lblAlgn val="ctr"/>
        <c:lblOffset val="100"/>
        <c:noMultiLvlLbl val="0"/>
      </c:catAx>
      <c:valAx>
        <c:axId val="108763008"/>
        <c:scaling>
          <c:orientation val="minMax"/>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8761472"/>
        <c:crosses val="autoZero"/>
        <c:crossBetween val="between"/>
        <c:majorUnit val="2"/>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59500701947142E-2"/>
          <c:y val="2.3228803716608595E-2"/>
          <c:w val="0.92596734520780277"/>
          <c:h val="0.81080883387586233"/>
        </c:manualLayout>
      </c:layout>
      <c:areaChart>
        <c:grouping val="standard"/>
        <c:varyColors val="0"/>
        <c:ser>
          <c:idx val="0"/>
          <c:order val="0"/>
          <c:tx>
            <c:strRef>
              <c:f>'G3-Sektor vlád.institucí'!$A$42</c:f>
              <c:strCache>
                <c:ptCount val="1"/>
                <c:pt idx="0">
                  <c:v>Česko</c:v>
                </c:pt>
              </c:strCache>
            </c:strRef>
          </c:tx>
          <c:spPr>
            <a:solidFill>
              <a:schemeClr val="bg2">
                <a:lumMod val="75000"/>
              </a:schemeClr>
            </a:solidFill>
            <a:ln w="25400">
              <a:noFill/>
            </a:ln>
            <a:effectLst/>
          </c:spP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vlád.institucí'!$B$42:$AF$42</c:f>
              <c:numCache>
                <c:formatCode>#\ ##0.##########</c:formatCode>
                <c:ptCount val="31"/>
                <c:pt idx="0">
                  <c:v>0.2</c:v>
                </c:pt>
                <c:pt idx="1">
                  <c:v>-0.4</c:v>
                </c:pt>
                <c:pt idx="2">
                  <c:v>-0.60000000000000042</c:v>
                </c:pt>
                <c:pt idx="3">
                  <c:v>-1.9000000000000001</c:v>
                </c:pt>
                <c:pt idx="4">
                  <c:v>0.7000000000000004</c:v>
                </c:pt>
                <c:pt idx="5">
                  <c:v>0.8</c:v>
                </c:pt>
                <c:pt idx="6" formatCode="#\ ##0.0">
                  <c:v>1</c:v>
                </c:pt>
                <c:pt idx="7">
                  <c:v>0.4</c:v>
                </c:pt>
                <c:pt idx="8">
                  <c:v>0.9</c:v>
                </c:pt>
                <c:pt idx="9">
                  <c:v>1.6</c:v>
                </c:pt>
                <c:pt idx="10">
                  <c:v>1.7</c:v>
                </c:pt>
                <c:pt idx="11">
                  <c:v>1.7</c:v>
                </c:pt>
                <c:pt idx="12">
                  <c:v>1.2</c:v>
                </c:pt>
                <c:pt idx="13">
                  <c:v>1.6</c:v>
                </c:pt>
                <c:pt idx="14">
                  <c:v>0.2</c:v>
                </c:pt>
                <c:pt idx="15">
                  <c:v>0.60000000000000042</c:v>
                </c:pt>
                <c:pt idx="16" formatCode="#\ ##0.0">
                  <c:v>1</c:v>
                </c:pt>
                <c:pt idx="17">
                  <c:v>1.1000000000000001</c:v>
                </c:pt>
                <c:pt idx="18">
                  <c:v>-0.2</c:v>
                </c:pt>
                <c:pt idx="19">
                  <c:v>-0.7000000000000004</c:v>
                </c:pt>
                <c:pt idx="20">
                  <c:v>-2.6</c:v>
                </c:pt>
                <c:pt idx="21">
                  <c:v>-8.4</c:v>
                </c:pt>
                <c:pt idx="22">
                  <c:v>-5.3</c:v>
                </c:pt>
                <c:pt idx="23">
                  <c:v>-6.9</c:v>
                </c:pt>
                <c:pt idx="24">
                  <c:v>-7.4</c:v>
                </c:pt>
                <c:pt idx="25">
                  <c:v>-4.5</c:v>
                </c:pt>
                <c:pt idx="26">
                  <c:v>-4.4000000000000004</c:v>
                </c:pt>
                <c:pt idx="27">
                  <c:v>-4.2</c:v>
                </c:pt>
                <c:pt idx="28">
                  <c:v>-3.5</c:v>
                </c:pt>
                <c:pt idx="29" formatCode="#\ ##0.0">
                  <c:v>-3</c:v>
                </c:pt>
                <c:pt idx="30">
                  <c:v>-4.4000000000000004</c:v>
                </c:pt>
              </c:numCache>
            </c:numRef>
          </c:val>
          <c:extLst>
            <c:ext xmlns:c16="http://schemas.microsoft.com/office/drawing/2014/chart" uri="{C3380CC4-5D6E-409C-BE32-E72D297353CC}">
              <c16:uniqueId val="{00000000-5491-44BB-87AA-882F14DB4338}"/>
            </c:ext>
          </c:extLst>
        </c:ser>
        <c:dLbls>
          <c:showLegendKey val="0"/>
          <c:showVal val="0"/>
          <c:showCatName val="0"/>
          <c:showSerName val="0"/>
          <c:showPercent val="0"/>
          <c:showBubbleSize val="0"/>
        </c:dLbls>
        <c:axId val="129668224"/>
        <c:axId val="129669760"/>
      </c:areaChart>
      <c:lineChart>
        <c:grouping val="standard"/>
        <c:varyColors val="0"/>
        <c:ser>
          <c:idx val="1"/>
          <c:order val="1"/>
          <c:tx>
            <c:strRef>
              <c:f>'G3-Sektor vlád.institucí'!$A$43</c:f>
              <c:strCache>
                <c:ptCount val="1"/>
                <c:pt idx="0">
                  <c:v>EU27</c:v>
                </c:pt>
              </c:strCache>
            </c:strRef>
          </c:tx>
          <c:spPr>
            <a:ln w="19050" cap="rnd">
              <a:solidFill>
                <a:schemeClr val="accent2"/>
              </a:solidFill>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vlád.institucí'!$B$43:$AF$43</c:f>
              <c:numCache>
                <c:formatCode>#\ ##0.0</c:formatCode>
                <c:ptCount val="31"/>
                <c:pt idx="0" formatCode="#\ ##0.##########">
                  <c:v>-2.2000000000000002</c:v>
                </c:pt>
                <c:pt idx="1">
                  <c:v>-2</c:v>
                </c:pt>
                <c:pt idx="2" formatCode="#\ ##0.##########">
                  <c:v>-1.7</c:v>
                </c:pt>
                <c:pt idx="3" formatCode="#\ ##0.##########">
                  <c:v>-1.8</c:v>
                </c:pt>
                <c:pt idx="4" formatCode="#\ ##0.##########">
                  <c:v>-1.6</c:v>
                </c:pt>
                <c:pt idx="5" formatCode="#\ ##0.##########">
                  <c:v>-1.4</c:v>
                </c:pt>
                <c:pt idx="6" formatCode="#\ ##0.##########">
                  <c:v>-1.6</c:v>
                </c:pt>
                <c:pt idx="7" formatCode="#\ ##0.##########">
                  <c:v>-0.8</c:v>
                </c:pt>
                <c:pt idx="8" formatCode="#\ ##0.##########">
                  <c:v>-0.8</c:v>
                </c:pt>
                <c:pt idx="9" formatCode="#\ ##0.##########">
                  <c:v>-1.2</c:v>
                </c:pt>
                <c:pt idx="10" formatCode="#\ ##0.##########">
                  <c:v>-0.7000000000000004</c:v>
                </c:pt>
                <c:pt idx="11" formatCode="#\ ##0.##########">
                  <c:v>-0.30000000000000021</c:v>
                </c:pt>
                <c:pt idx="12" formatCode="#\ ##0.##########">
                  <c:v>-0.1</c:v>
                </c:pt>
                <c:pt idx="13" formatCode="#\ ##0.##########">
                  <c:v>-0.1</c:v>
                </c:pt>
                <c:pt idx="14" formatCode="#\ ##0.##########">
                  <c:v>-0.5</c:v>
                </c:pt>
                <c:pt idx="15" formatCode="#\ ##0.##########">
                  <c:v>-0.7000000000000004</c:v>
                </c:pt>
                <c:pt idx="16" formatCode="#\ ##0.##########">
                  <c:v>-0.2</c:v>
                </c:pt>
                <c:pt idx="17" formatCode="#\ ##0.##########">
                  <c:v>-0.2</c:v>
                </c:pt>
                <c:pt idx="18" formatCode="#\ ##0.##########">
                  <c:v>-0.9</c:v>
                </c:pt>
                <c:pt idx="19" formatCode="#\ ##0.##########">
                  <c:v>-0.8</c:v>
                </c:pt>
                <c:pt idx="20" formatCode="#\ ##0.##########">
                  <c:v>-2.7</c:v>
                </c:pt>
                <c:pt idx="21" formatCode="#\ ##0.##########">
                  <c:v>-11.6</c:v>
                </c:pt>
                <c:pt idx="22" formatCode="#\ ##0.##########">
                  <c:v>-6.1</c:v>
                </c:pt>
                <c:pt idx="23" formatCode="#\ ##0.##########">
                  <c:v>-6.9</c:v>
                </c:pt>
                <c:pt idx="24" formatCode="#\ ##0.##########">
                  <c:v>-6.2</c:v>
                </c:pt>
                <c:pt idx="25" formatCode="#\ ##0.##########">
                  <c:v>-5.9</c:v>
                </c:pt>
                <c:pt idx="26" formatCode="#\ ##0.##########">
                  <c:v>-3.6</c:v>
                </c:pt>
                <c:pt idx="27" formatCode="#\ ##0.##########">
                  <c:v>-3.1</c:v>
                </c:pt>
                <c:pt idx="28" formatCode="#\ ##0.##########">
                  <c:v>-2.1</c:v>
                </c:pt>
                <c:pt idx="29" formatCode="#\ ##0.##########">
                  <c:v>-1.8</c:v>
                </c:pt>
                <c:pt idx="30" formatCode="#\ ##0.##########">
                  <c:v>-3.2</c:v>
                </c:pt>
              </c:numCache>
            </c:numRef>
          </c:val>
          <c:smooth val="0"/>
          <c:extLst>
            <c:ext xmlns:c16="http://schemas.microsoft.com/office/drawing/2014/chart" uri="{C3380CC4-5D6E-409C-BE32-E72D297353CC}">
              <c16:uniqueId val="{00000001-5491-44BB-87AA-882F14DB4338}"/>
            </c:ext>
          </c:extLst>
        </c:ser>
        <c:ser>
          <c:idx val="2"/>
          <c:order val="2"/>
          <c:tx>
            <c:strRef>
              <c:f>'G3-Sektor vlád.institucí'!$A$44</c:f>
              <c:strCache>
                <c:ptCount val="1"/>
                <c:pt idx="0">
                  <c:v>Německo</c:v>
                </c:pt>
              </c:strCache>
            </c:strRef>
          </c:tx>
          <c:spPr>
            <a:ln w="19050" cap="rnd">
              <a:solidFill>
                <a:srgbClr val="F8A124"/>
              </a:solidFill>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vlád.institucí'!$B$44:$AF$44</c:f>
              <c:numCache>
                <c:formatCode>#\ ##0.##########</c:formatCode>
                <c:ptCount val="31"/>
                <c:pt idx="0">
                  <c:v>0.8</c:v>
                </c:pt>
                <c:pt idx="1">
                  <c:v>0.7000000000000004</c:v>
                </c:pt>
                <c:pt idx="2">
                  <c:v>1.6</c:v>
                </c:pt>
                <c:pt idx="3">
                  <c:v>0.8</c:v>
                </c:pt>
                <c:pt idx="4">
                  <c:v>1.1000000000000001</c:v>
                </c:pt>
                <c:pt idx="5">
                  <c:v>0.9</c:v>
                </c:pt>
                <c:pt idx="6">
                  <c:v>0.5</c:v>
                </c:pt>
                <c:pt idx="7">
                  <c:v>2.1</c:v>
                </c:pt>
                <c:pt idx="8">
                  <c:v>1.6</c:v>
                </c:pt>
                <c:pt idx="9">
                  <c:v>0.4</c:v>
                </c:pt>
                <c:pt idx="10">
                  <c:v>1.5</c:v>
                </c:pt>
                <c:pt idx="11">
                  <c:v>1.8</c:v>
                </c:pt>
                <c:pt idx="12">
                  <c:v>2.5</c:v>
                </c:pt>
                <c:pt idx="13">
                  <c:v>2.6</c:v>
                </c:pt>
                <c:pt idx="14">
                  <c:v>1.6</c:v>
                </c:pt>
                <c:pt idx="15">
                  <c:v>1.1000000000000001</c:v>
                </c:pt>
                <c:pt idx="16">
                  <c:v>2.4</c:v>
                </c:pt>
                <c:pt idx="17">
                  <c:v>2.1</c:v>
                </c:pt>
                <c:pt idx="18">
                  <c:v>0.60000000000000042</c:v>
                </c:pt>
                <c:pt idx="19">
                  <c:v>1.1000000000000001</c:v>
                </c:pt>
                <c:pt idx="20">
                  <c:v>0.7000000000000004</c:v>
                </c:pt>
                <c:pt idx="21">
                  <c:v>-8.3000000000000007</c:v>
                </c:pt>
                <c:pt idx="22">
                  <c:v>-5.9</c:v>
                </c:pt>
                <c:pt idx="23">
                  <c:v>-4.2</c:v>
                </c:pt>
                <c:pt idx="24">
                  <c:v>-4.5999999999999996</c:v>
                </c:pt>
                <c:pt idx="25">
                  <c:v>-5.5</c:v>
                </c:pt>
                <c:pt idx="26">
                  <c:v>-3.2</c:v>
                </c:pt>
                <c:pt idx="27">
                  <c:v>-1.8</c:v>
                </c:pt>
                <c:pt idx="28">
                  <c:v>-0.9</c:v>
                </c:pt>
                <c:pt idx="29">
                  <c:v>-1.1000000000000001</c:v>
                </c:pt>
                <c:pt idx="30">
                  <c:v>-3.8</c:v>
                </c:pt>
              </c:numCache>
            </c:numRef>
          </c:val>
          <c:smooth val="0"/>
          <c:extLst>
            <c:ext xmlns:c16="http://schemas.microsoft.com/office/drawing/2014/chart" uri="{C3380CC4-5D6E-409C-BE32-E72D297353CC}">
              <c16:uniqueId val="{00000002-5491-44BB-87AA-882F14DB4338}"/>
            </c:ext>
          </c:extLst>
        </c:ser>
        <c:ser>
          <c:idx val="5"/>
          <c:order val="3"/>
          <c:tx>
            <c:strRef>
              <c:f>'G3-Sektor vlád.institucí'!$A$46</c:f>
              <c:strCache>
                <c:ptCount val="1"/>
                <c:pt idx="0">
                  <c:v>Slovensko</c:v>
                </c:pt>
              </c:strCache>
            </c:strRef>
          </c:tx>
          <c:spPr>
            <a:ln w="19050" cap="rnd">
              <a:solidFill>
                <a:srgbClr val="00B050"/>
              </a:solidFill>
              <a:prstDash val="solid"/>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vlád.institucí'!$B$46:$AF$46</c:f>
              <c:numCache>
                <c:formatCode>#\ ##0.##########</c:formatCode>
                <c:ptCount val="31"/>
                <c:pt idx="0">
                  <c:v>-3.2</c:v>
                </c:pt>
                <c:pt idx="1">
                  <c:v>-2.5</c:v>
                </c:pt>
                <c:pt idx="2">
                  <c:v>-2.2999999999999998</c:v>
                </c:pt>
                <c:pt idx="3">
                  <c:v>-2.2999999999999998</c:v>
                </c:pt>
                <c:pt idx="4">
                  <c:v>-3.4</c:v>
                </c:pt>
                <c:pt idx="5" formatCode="#\ ##0.0">
                  <c:v>-3</c:v>
                </c:pt>
                <c:pt idx="6">
                  <c:v>-2.2000000000000002</c:v>
                </c:pt>
                <c:pt idx="7" formatCode="#\ ##0.0">
                  <c:v>-2</c:v>
                </c:pt>
                <c:pt idx="8">
                  <c:v>-2.1</c:v>
                </c:pt>
                <c:pt idx="9">
                  <c:v>-1.2</c:v>
                </c:pt>
                <c:pt idx="10">
                  <c:v>-1.3</c:v>
                </c:pt>
                <c:pt idx="11">
                  <c:v>0.4</c:v>
                </c:pt>
                <c:pt idx="12">
                  <c:v>-1.2</c:v>
                </c:pt>
                <c:pt idx="13" formatCode="#\ ##0.0">
                  <c:v>-1</c:v>
                </c:pt>
                <c:pt idx="14">
                  <c:v>-1.4</c:v>
                </c:pt>
                <c:pt idx="15">
                  <c:v>-0.4</c:v>
                </c:pt>
                <c:pt idx="16">
                  <c:v>-1.1000000000000001</c:v>
                </c:pt>
                <c:pt idx="17">
                  <c:v>-1.2</c:v>
                </c:pt>
                <c:pt idx="18">
                  <c:v>-1.9000000000000001</c:v>
                </c:pt>
                <c:pt idx="19">
                  <c:v>-0.5</c:v>
                </c:pt>
                <c:pt idx="20" formatCode="#\ ##0.0">
                  <c:v>-3</c:v>
                </c:pt>
                <c:pt idx="21">
                  <c:v>-7.4</c:v>
                </c:pt>
                <c:pt idx="22">
                  <c:v>-5.3</c:v>
                </c:pt>
                <c:pt idx="23">
                  <c:v>-5.5</c:v>
                </c:pt>
                <c:pt idx="24">
                  <c:v>-6.1</c:v>
                </c:pt>
                <c:pt idx="25">
                  <c:v>-7.3</c:v>
                </c:pt>
                <c:pt idx="26">
                  <c:v>-3.2</c:v>
                </c:pt>
                <c:pt idx="27">
                  <c:v>-5.0999999999999996</c:v>
                </c:pt>
                <c:pt idx="28">
                  <c:v>-3.2</c:v>
                </c:pt>
                <c:pt idx="29">
                  <c:v>-3.3</c:v>
                </c:pt>
                <c:pt idx="30">
                  <c:v>-3.2</c:v>
                </c:pt>
              </c:numCache>
            </c:numRef>
          </c:val>
          <c:smooth val="0"/>
          <c:extLst>
            <c:ext xmlns:c16="http://schemas.microsoft.com/office/drawing/2014/chart" uri="{C3380CC4-5D6E-409C-BE32-E72D297353CC}">
              <c16:uniqueId val="{00000003-5491-44BB-87AA-882F14DB4338}"/>
            </c:ext>
          </c:extLst>
        </c:ser>
        <c:ser>
          <c:idx val="6"/>
          <c:order val="4"/>
          <c:tx>
            <c:strRef>
              <c:f>'G3-Sektor vlád.institucí'!$A$48</c:f>
              <c:strCache>
                <c:ptCount val="1"/>
                <c:pt idx="0">
                  <c:v>Dánsko</c:v>
                </c:pt>
              </c:strCache>
            </c:strRef>
          </c:tx>
          <c:spPr>
            <a:ln w="19050" cap="rnd">
              <a:solidFill>
                <a:srgbClr val="0070C0"/>
              </a:solidFill>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vlád.institucí'!$B$48:$AF$48</c:f>
              <c:numCache>
                <c:formatCode>#\ ##0.##########</c:formatCode>
                <c:ptCount val="31"/>
                <c:pt idx="0">
                  <c:v>-3.4</c:v>
                </c:pt>
                <c:pt idx="1">
                  <c:v>-1.6</c:v>
                </c:pt>
                <c:pt idx="2">
                  <c:v>-0.8</c:v>
                </c:pt>
                <c:pt idx="3">
                  <c:v>-0.60000000000000042</c:v>
                </c:pt>
                <c:pt idx="4">
                  <c:v>-0.4</c:v>
                </c:pt>
                <c:pt idx="5">
                  <c:v>-0.60000000000000042</c:v>
                </c:pt>
                <c:pt idx="6">
                  <c:v>-0.4</c:v>
                </c:pt>
                <c:pt idx="7">
                  <c:v>0.60000000000000042</c:v>
                </c:pt>
                <c:pt idx="8">
                  <c:v>2.2000000000000002</c:v>
                </c:pt>
                <c:pt idx="9">
                  <c:v>1.3</c:v>
                </c:pt>
                <c:pt idx="10">
                  <c:v>1.7</c:v>
                </c:pt>
                <c:pt idx="11" formatCode="#\ ##0.0">
                  <c:v>2</c:v>
                </c:pt>
                <c:pt idx="12">
                  <c:v>1.1000000000000001</c:v>
                </c:pt>
                <c:pt idx="13">
                  <c:v>1.2</c:v>
                </c:pt>
                <c:pt idx="14">
                  <c:v>1.7</c:v>
                </c:pt>
                <c:pt idx="15">
                  <c:v>-0.1</c:v>
                </c:pt>
                <c:pt idx="16">
                  <c:v>5.5</c:v>
                </c:pt>
                <c:pt idx="17">
                  <c:v>4.9000000000000004</c:v>
                </c:pt>
                <c:pt idx="18">
                  <c:v>3.3</c:v>
                </c:pt>
                <c:pt idx="19">
                  <c:v>3.1</c:v>
                </c:pt>
                <c:pt idx="20">
                  <c:v>1.2</c:v>
                </c:pt>
                <c:pt idx="21">
                  <c:v>-1.8</c:v>
                </c:pt>
                <c:pt idx="22">
                  <c:v>0.8</c:v>
                </c:pt>
                <c:pt idx="23">
                  <c:v>0.9</c:v>
                </c:pt>
                <c:pt idx="24">
                  <c:v>3.9</c:v>
                </c:pt>
                <c:pt idx="25">
                  <c:v>4.3</c:v>
                </c:pt>
                <c:pt idx="26">
                  <c:v>4.7</c:v>
                </c:pt>
                <c:pt idx="27">
                  <c:v>1.9000000000000001</c:v>
                </c:pt>
                <c:pt idx="28">
                  <c:v>1.4</c:v>
                </c:pt>
                <c:pt idx="29">
                  <c:v>1.3</c:v>
                </c:pt>
                <c:pt idx="30">
                  <c:v>0.9</c:v>
                </c:pt>
              </c:numCache>
            </c:numRef>
          </c:val>
          <c:smooth val="0"/>
          <c:extLst>
            <c:ext xmlns:c16="http://schemas.microsoft.com/office/drawing/2014/chart" uri="{C3380CC4-5D6E-409C-BE32-E72D297353CC}">
              <c16:uniqueId val="{00000004-5491-44BB-87AA-882F14DB4338}"/>
            </c:ext>
          </c:extLst>
        </c:ser>
        <c:ser>
          <c:idx val="7"/>
          <c:order val="5"/>
          <c:tx>
            <c:strRef>
              <c:f>'G3-Sektor vlád.institucí'!$A$49</c:f>
              <c:strCache>
                <c:ptCount val="1"/>
                <c:pt idx="0">
                  <c:v>Španělsko</c:v>
                </c:pt>
              </c:strCache>
            </c:strRef>
          </c:tx>
          <c:spPr>
            <a:ln w="19050" cap="rnd">
              <a:solidFill>
                <a:srgbClr val="D5D000"/>
              </a:solidFill>
              <a:prstDash val="solid"/>
              <a:round/>
            </a:ln>
            <a:effectLst/>
          </c:spPr>
          <c:marker>
            <c:symbol val="none"/>
          </c:marker>
          <c:cat>
            <c:multiLvlStrRef>
              <c:f>'G3-Sektor vlád.institucí'!$B$40:$AF$41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vlád.institucí'!$B$49:$AF$49</c:f>
              <c:numCache>
                <c:formatCode>#\ ##0.##########</c:formatCode>
                <c:ptCount val="31"/>
                <c:pt idx="0" formatCode="#\ ##0.0">
                  <c:v>-5</c:v>
                </c:pt>
                <c:pt idx="1">
                  <c:v>-5.4</c:v>
                </c:pt>
                <c:pt idx="2">
                  <c:v>-5.8</c:v>
                </c:pt>
                <c:pt idx="3">
                  <c:v>-5.0999999999999996</c:v>
                </c:pt>
                <c:pt idx="4">
                  <c:v>-4.5</c:v>
                </c:pt>
                <c:pt idx="5">
                  <c:v>-4.7</c:v>
                </c:pt>
                <c:pt idx="6">
                  <c:v>-4.5999999999999996</c:v>
                </c:pt>
                <c:pt idx="7">
                  <c:v>-3.4</c:v>
                </c:pt>
                <c:pt idx="8">
                  <c:v>-3.5</c:v>
                </c:pt>
                <c:pt idx="9" formatCode="#\ ##0.0">
                  <c:v>-3</c:v>
                </c:pt>
                <c:pt idx="10">
                  <c:v>-2.9</c:v>
                </c:pt>
                <c:pt idx="11" formatCode="#\ ##0.0">
                  <c:v>-3</c:v>
                </c:pt>
                <c:pt idx="12">
                  <c:v>-2.8</c:v>
                </c:pt>
                <c:pt idx="13">
                  <c:v>-2.6</c:v>
                </c:pt>
                <c:pt idx="14">
                  <c:v>-2.7</c:v>
                </c:pt>
                <c:pt idx="15">
                  <c:v>-2.2999999999999998</c:v>
                </c:pt>
                <c:pt idx="16">
                  <c:v>-2.6</c:v>
                </c:pt>
                <c:pt idx="17">
                  <c:v>-3.3</c:v>
                </c:pt>
                <c:pt idx="18">
                  <c:v>-3.2</c:v>
                </c:pt>
                <c:pt idx="19">
                  <c:v>-3.2</c:v>
                </c:pt>
                <c:pt idx="20">
                  <c:v>-5.4</c:v>
                </c:pt>
                <c:pt idx="21">
                  <c:v>-20.3</c:v>
                </c:pt>
                <c:pt idx="22">
                  <c:v>-8.5</c:v>
                </c:pt>
                <c:pt idx="23">
                  <c:v>-7.9</c:v>
                </c:pt>
                <c:pt idx="24">
                  <c:v>-9.1</c:v>
                </c:pt>
                <c:pt idx="25">
                  <c:v>-7.9</c:v>
                </c:pt>
                <c:pt idx="26">
                  <c:v>-7.2</c:v>
                </c:pt>
                <c:pt idx="27">
                  <c:v>-3.7</c:v>
                </c:pt>
                <c:pt idx="28">
                  <c:v>-3.8</c:v>
                </c:pt>
                <c:pt idx="29">
                  <c:v>-3.7</c:v>
                </c:pt>
                <c:pt idx="30">
                  <c:v>-4.2</c:v>
                </c:pt>
              </c:numCache>
            </c:numRef>
          </c:val>
          <c:smooth val="0"/>
          <c:extLst>
            <c:ext xmlns:c16="http://schemas.microsoft.com/office/drawing/2014/chart" uri="{C3380CC4-5D6E-409C-BE32-E72D297353CC}">
              <c16:uniqueId val="{00000005-5491-44BB-87AA-882F14DB4338}"/>
            </c:ext>
          </c:extLst>
        </c:ser>
        <c:dLbls>
          <c:showLegendKey val="0"/>
          <c:showVal val="0"/>
          <c:showCatName val="0"/>
          <c:showSerName val="0"/>
          <c:showPercent val="0"/>
          <c:showBubbleSize val="0"/>
        </c:dLbls>
        <c:marker val="1"/>
        <c:smooth val="0"/>
        <c:axId val="129668224"/>
        <c:axId val="129669760"/>
      </c:lineChart>
      <c:catAx>
        <c:axId val="1296682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29669760"/>
        <c:crosses val="autoZero"/>
        <c:auto val="1"/>
        <c:lblAlgn val="ctr"/>
        <c:lblOffset val="0"/>
        <c:noMultiLvlLbl val="0"/>
      </c:catAx>
      <c:valAx>
        <c:axId val="129669760"/>
        <c:scaling>
          <c:orientation val="minMax"/>
          <c:max val="6"/>
          <c:min val="-21"/>
        </c:scaling>
        <c:delete val="0"/>
        <c:axPos val="l"/>
        <c:majorGridlines>
          <c:spPr>
            <a:ln w="6350" cap="flat" cmpd="sng" algn="ctr">
              <a:solidFill>
                <a:schemeClr val="bg1">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29668224"/>
        <c:crosses val="autoZero"/>
        <c:crossBetween val="between"/>
        <c:majorUnit val="3"/>
      </c:valAx>
      <c:spPr>
        <a:noFill/>
        <a:ln w="6350">
          <a:solidFill>
            <a:schemeClr val="tx1"/>
          </a:solidFill>
        </a:ln>
        <a:effectLst/>
      </c:spPr>
    </c:plotArea>
    <c:legend>
      <c:legendPos val="b"/>
      <c:layout>
        <c:manualLayout>
          <c:xMode val="edge"/>
          <c:yMode val="edge"/>
          <c:x val="7.3409033078880401E-2"/>
          <c:y val="0.9264709295169411"/>
          <c:w val="0.90985114503816789"/>
          <c:h val="6.5108399432100422E-2"/>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75E-2"/>
          <c:y val="2.9499886988623578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4'!$C$26:$C$49</c:f>
              <c:numCache>
                <c:formatCode>#\ ##0.0</c:formatCode>
                <c:ptCount val="24"/>
                <c:pt idx="0">
                  <c:v>-1.3480202956280746E-2</c:v>
                </c:pt>
                <c:pt idx="1">
                  <c:v>-0.10834731479250063</c:v>
                </c:pt>
                <c:pt idx="2">
                  <c:v>-0.17283036507391236</c:v>
                </c:pt>
                <c:pt idx="3">
                  <c:v>-5.7499524058591989E-2</c:v>
                </c:pt>
                <c:pt idx="4">
                  <c:v>3.3101048510961691E-2</c:v>
                </c:pt>
                <c:pt idx="5">
                  <c:v>7.1756948575291107E-2</c:v>
                </c:pt>
                <c:pt idx="6">
                  <c:v>0.13149584386693988</c:v>
                </c:pt>
                <c:pt idx="7">
                  <c:v>0.13446361914513524</c:v>
                </c:pt>
                <c:pt idx="8">
                  <c:v>7.2918853884007803E-2</c:v>
                </c:pt>
                <c:pt idx="9">
                  <c:v>8.5676115253478527E-2</c:v>
                </c:pt>
                <c:pt idx="10">
                  <c:v>0.11352421571245842</c:v>
                </c:pt>
                <c:pt idx="11">
                  <c:v>0.1297955956354544</c:v>
                </c:pt>
                <c:pt idx="12">
                  <c:v>0.21206913343969164</c:v>
                </c:pt>
                <c:pt idx="13">
                  <c:v>0.23393026126693067</c:v>
                </c:pt>
                <c:pt idx="14">
                  <c:v>0.2444124398056049</c:v>
                </c:pt>
                <c:pt idx="15">
                  <c:v>0.21978387176272163</c:v>
                </c:pt>
                <c:pt idx="16">
                  <c:v>-0.18221441644720823</c:v>
                </c:pt>
                <c:pt idx="17">
                  <c:v>-0.33863410192001386</c:v>
                </c:pt>
                <c:pt idx="18">
                  <c:v>-0.3687497371739023</c:v>
                </c:pt>
                <c:pt idx="19">
                  <c:v>-0.39562426253164096</c:v>
                </c:pt>
                <c:pt idx="20">
                  <c:v>-0.12834998401418826</c:v>
                </c:pt>
                <c:pt idx="21">
                  <c:v>1.4145340295686521E-2</c:v>
                </c:pt>
                <c:pt idx="22">
                  <c:v>-5.0814027754783699E-2</c:v>
                </c:pt>
                <c:pt idx="23">
                  <c:v>-3.4747962203343197E-2</c:v>
                </c:pt>
              </c:numCache>
            </c:numRef>
          </c:val>
          <c:extLst>
            <c:ext xmlns:c16="http://schemas.microsoft.com/office/drawing/2014/chart" uri="{C3380CC4-5D6E-409C-BE32-E72D297353CC}">
              <c16:uniqueId val="{00000000-CEFE-4FC2-A589-235FC663EE76}"/>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4'!$D$26:$D$49</c:f>
              <c:numCache>
                <c:formatCode>#\ ##0.0</c:formatCode>
                <c:ptCount val="24"/>
                <c:pt idx="0">
                  <c:v>1.4029354561354288</c:v>
                </c:pt>
                <c:pt idx="1">
                  <c:v>3.0521121696167977</c:v>
                </c:pt>
                <c:pt idx="2">
                  <c:v>3.0689947409685301</c:v>
                </c:pt>
                <c:pt idx="3">
                  <c:v>2.3434131051105536</c:v>
                </c:pt>
                <c:pt idx="4">
                  <c:v>1.4988954552402798</c:v>
                </c:pt>
                <c:pt idx="5">
                  <c:v>0.14865466019918347</c:v>
                </c:pt>
                <c:pt idx="6">
                  <c:v>8.654884566406602E-3</c:v>
                </c:pt>
                <c:pt idx="7">
                  <c:v>0.32252729120432666</c:v>
                </c:pt>
                <c:pt idx="8">
                  <c:v>0.78403714445772887</c:v>
                </c:pt>
                <c:pt idx="9">
                  <c:v>1.3396178430313301</c:v>
                </c:pt>
                <c:pt idx="10">
                  <c:v>1.4312708537266536</c:v>
                </c:pt>
                <c:pt idx="11">
                  <c:v>0.95608213895270067</c:v>
                </c:pt>
                <c:pt idx="12">
                  <c:v>-1.2099063790338638</c:v>
                </c:pt>
                <c:pt idx="13">
                  <c:v>-5.9215879942171474</c:v>
                </c:pt>
                <c:pt idx="14">
                  <c:v>-2.4830139549614381</c:v>
                </c:pt>
                <c:pt idx="15">
                  <c:v>-1.8545602201995735</c:v>
                </c:pt>
                <c:pt idx="16">
                  <c:v>0.1466603459515349</c:v>
                </c:pt>
                <c:pt idx="17">
                  <c:v>4.832573256596727</c:v>
                </c:pt>
                <c:pt idx="18">
                  <c:v>0.13926978613968424</c:v>
                </c:pt>
                <c:pt idx="19">
                  <c:v>-0.37554863954723389</c:v>
                </c:pt>
                <c:pt idx="20">
                  <c:v>0.20241520363315191</c:v>
                </c:pt>
                <c:pt idx="21">
                  <c:v>0.2327770075015709</c:v>
                </c:pt>
                <c:pt idx="22">
                  <c:v>0.82455056608942667</c:v>
                </c:pt>
                <c:pt idx="23">
                  <c:v>1.3696951016894638</c:v>
                </c:pt>
              </c:numCache>
            </c:numRef>
          </c:val>
          <c:extLst>
            <c:ext xmlns:c16="http://schemas.microsoft.com/office/drawing/2014/chart" uri="{C3380CC4-5D6E-409C-BE32-E72D297353CC}">
              <c16:uniqueId val="{00000001-CEFE-4FC2-A589-235FC663EE76}"/>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4'!$E$26:$E$49</c:f>
              <c:numCache>
                <c:formatCode>#\ ##0.0</c:formatCode>
                <c:ptCount val="24"/>
                <c:pt idx="0">
                  <c:v>0.20896030591717282</c:v>
                </c:pt>
                <c:pt idx="1">
                  <c:v>7.6093021703350014E-2</c:v>
                </c:pt>
                <c:pt idx="2">
                  <c:v>0.11363564757057368</c:v>
                </c:pt>
                <c:pt idx="3">
                  <c:v>-2.1455946351557592E-2</c:v>
                </c:pt>
                <c:pt idx="4">
                  <c:v>-7.5503829252544369E-2</c:v>
                </c:pt>
                <c:pt idx="5">
                  <c:v>-2.1457218474246834E-4</c:v>
                </c:pt>
                <c:pt idx="6" formatCode="General">
                  <c:v>0.11499031724354705</c:v>
                </c:pt>
                <c:pt idx="7" formatCode="General">
                  <c:v>-5.8063785050184724E-2</c:v>
                </c:pt>
                <c:pt idx="8" formatCode="General">
                  <c:v>-0.20753253585572437</c:v>
                </c:pt>
                <c:pt idx="9" formatCode="General">
                  <c:v>-0.39259990964881214</c:v>
                </c:pt>
                <c:pt idx="10" formatCode="General">
                  <c:v>-0.67997190068436875</c:v>
                </c:pt>
                <c:pt idx="11" formatCode="General">
                  <c:v>-0.47224783032630274</c:v>
                </c:pt>
                <c:pt idx="12" formatCode="General">
                  <c:v>-0.35554388462432995</c:v>
                </c:pt>
                <c:pt idx="13" formatCode="General">
                  <c:v>-0.29945450798864309</c:v>
                </c:pt>
                <c:pt idx="14" formatCode="General">
                  <c:v>8.9909890553687033E-2</c:v>
                </c:pt>
                <c:pt idx="15" formatCode="General">
                  <c:v>0.40350778052436731</c:v>
                </c:pt>
                <c:pt idx="16" formatCode="General">
                  <c:v>0.11506880670570308</c:v>
                </c:pt>
                <c:pt idx="17" formatCode="General">
                  <c:v>0.23206715280195506</c:v>
                </c:pt>
                <c:pt idx="18" formatCode="General">
                  <c:v>5.5257849303414486E-3</c:v>
                </c:pt>
                <c:pt idx="19" formatCode="General">
                  <c:v>-0.31062877330342575</c:v>
                </c:pt>
                <c:pt idx="20" formatCode="General">
                  <c:v>-0.32282656267220072</c:v>
                </c:pt>
                <c:pt idx="21" formatCode="General">
                  <c:v>-8.8081022051474028E-2</c:v>
                </c:pt>
                <c:pt idx="22" formatCode="General">
                  <c:v>7.4485683512276885E-2</c:v>
                </c:pt>
                <c:pt idx="23" formatCode="General">
                  <c:v>-0.50909898024723199</c:v>
                </c:pt>
              </c:numCache>
            </c:numRef>
          </c:val>
          <c:extLst>
            <c:ext xmlns:c16="http://schemas.microsoft.com/office/drawing/2014/chart" uri="{C3380CC4-5D6E-409C-BE32-E72D297353CC}">
              <c16:uniqueId val="{00000002-CEFE-4FC2-A589-235FC663EE76}"/>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4'!$F$26:$F$49</c:f>
              <c:numCache>
                <c:formatCode>#\ ##0.0</c:formatCode>
                <c:ptCount val="24"/>
                <c:pt idx="0">
                  <c:v>-0.11971252971432786</c:v>
                </c:pt>
                <c:pt idx="1">
                  <c:v>0.12513537674207531</c:v>
                </c:pt>
                <c:pt idx="2">
                  <c:v>7.5639144896938418E-2</c:v>
                </c:pt>
                <c:pt idx="3">
                  <c:v>0.16915702258933871</c:v>
                </c:pt>
                <c:pt idx="4">
                  <c:v>0.12251647468928524</c:v>
                </c:pt>
                <c:pt idx="5">
                  <c:v>4.4465884869504188E-3</c:v>
                </c:pt>
                <c:pt idx="6">
                  <c:v>-1.6359859988612918E-2</c:v>
                </c:pt>
                <c:pt idx="7">
                  <c:v>-0.12156128779443696</c:v>
                </c:pt>
                <c:pt idx="8">
                  <c:v>-0.15734451118480144</c:v>
                </c:pt>
                <c:pt idx="9">
                  <c:v>-4.5532361519053814E-2</c:v>
                </c:pt>
                <c:pt idx="10">
                  <c:v>-9.8757103245276756E-2</c:v>
                </c:pt>
                <c:pt idx="11">
                  <c:v>-0.10368709258279588</c:v>
                </c:pt>
                <c:pt idx="12">
                  <c:v>-0.34540850854541638</c:v>
                </c:pt>
                <c:pt idx="13">
                  <c:v>-0.70801073477756959</c:v>
                </c:pt>
                <c:pt idx="14">
                  <c:v>-0.63145687961935903</c:v>
                </c:pt>
                <c:pt idx="15">
                  <c:v>-0.60465596754463669</c:v>
                </c:pt>
                <c:pt idx="16">
                  <c:v>-0.56128430139034546</c:v>
                </c:pt>
                <c:pt idx="17">
                  <c:v>-0.11692747497662014</c:v>
                </c:pt>
                <c:pt idx="18">
                  <c:v>-2.3855020584604005E-2</c:v>
                </c:pt>
                <c:pt idx="19">
                  <c:v>6.4870256116827493E-2</c:v>
                </c:pt>
                <c:pt idx="20">
                  <c:v>0.44454598462250261</c:v>
                </c:pt>
                <c:pt idx="21">
                  <c:v>0.27568131307686183</c:v>
                </c:pt>
                <c:pt idx="22">
                  <c:v>-0.13143141765821154</c:v>
                </c:pt>
                <c:pt idx="23">
                  <c:v>-0.15387830255176782</c:v>
                </c:pt>
              </c:numCache>
            </c:numRef>
          </c:val>
          <c:extLst>
            <c:ext xmlns:c16="http://schemas.microsoft.com/office/drawing/2014/chart" uri="{C3380CC4-5D6E-409C-BE32-E72D297353CC}">
              <c16:uniqueId val="{00000003-CEFE-4FC2-A589-235FC663EE76}"/>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4'!$G$26:$G$49</c:f>
              <c:numCache>
                <c:formatCode>#\ ##0.0</c:formatCode>
                <c:ptCount val="24"/>
                <c:pt idx="0">
                  <c:v>2.2567846902239754</c:v>
                </c:pt>
                <c:pt idx="1">
                  <c:v>2.9186309791713847</c:v>
                </c:pt>
                <c:pt idx="2">
                  <c:v>2.9697548900570792</c:v>
                </c:pt>
                <c:pt idx="3">
                  <c:v>3.2819135077275594</c:v>
                </c:pt>
                <c:pt idx="4">
                  <c:v>3.1084812332896234</c:v>
                </c:pt>
                <c:pt idx="5">
                  <c:v>2.7563352038547313</c:v>
                </c:pt>
                <c:pt idx="6" formatCode="General">
                  <c:v>2.6924043929265342</c:v>
                </c:pt>
                <c:pt idx="7" formatCode="General">
                  <c:v>2.6316200146897137</c:v>
                </c:pt>
                <c:pt idx="8" formatCode="General">
                  <c:v>2.4919003926236427</c:v>
                </c:pt>
                <c:pt idx="9" formatCode="General">
                  <c:v>2.2093063938623412</c:v>
                </c:pt>
                <c:pt idx="10" formatCode="General">
                  <c:v>2.1316318226048487</c:v>
                </c:pt>
                <c:pt idx="11" formatCode="General">
                  <c:v>2.1602853151609636</c:v>
                </c:pt>
                <c:pt idx="12" formatCode="General">
                  <c:v>0.60230691969475514</c:v>
                </c:pt>
                <c:pt idx="13" formatCode="General">
                  <c:v>-4.2582563012779078</c:v>
                </c:pt>
                <c:pt idx="14" formatCode="General">
                  <c:v>-2.0902678469504199</c:v>
                </c:pt>
                <c:pt idx="15" formatCode="General">
                  <c:v>-2.3497385311278536</c:v>
                </c:pt>
                <c:pt idx="16" formatCode="General">
                  <c:v>-1.3407828493940885</c:v>
                </c:pt>
                <c:pt idx="17" formatCode="General">
                  <c:v>4.7541169059829826</c:v>
                </c:pt>
                <c:pt idx="18" formatCode="General">
                  <c:v>3.6648747973783964</c:v>
                </c:pt>
                <c:pt idx="19" formatCode="General">
                  <c:v>4.0483204326921998</c:v>
                </c:pt>
                <c:pt idx="20" formatCode="General">
                  <c:v>3.8504446532817904</c:v>
                </c:pt>
                <c:pt idx="21" formatCode="General">
                  <c:v>2.9747494036467965</c:v>
                </c:pt>
                <c:pt idx="22" formatCode="General">
                  <c:v>0.8079263971959757</c:v>
                </c:pt>
                <c:pt idx="23" formatCode="General">
                  <c:v>0.28999073719532831</c:v>
                </c:pt>
              </c:numCache>
            </c:numRef>
          </c:val>
          <c:extLst>
            <c:ext xmlns:c16="http://schemas.microsoft.com/office/drawing/2014/chart" uri="{C3380CC4-5D6E-409C-BE32-E72D297353CC}">
              <c16:uniqueId val="{00000004-CEFE-4FC2-A589-235FC663EE76}"/>
            </c:ext>
          </c:extLst>
        </c:ser>
        <c:dLbls>
          <c:showLegendKey val="0"/>
          <c:showVal val="0"/>
          <c:showCatName val="0"/>
          <c:showSerName val="0"/>
          <c:showPercent val="0"/>
          <c:showBubbleSize val="0"/>
        </c:dLbls>
        <c:gapWidth val="70"/>
        <c:overlap val="100"/>
        <c:axId val="108822912"/>
        <c:axId val="10882444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4'!$H$26:$H$49</c:f>
              <c:numCache>
                <c:formatCode>#\ ##0.0</c:formatCode>
                <c:ptCount val="24"/>
                <c:pt idx="0">
                  <c:v>3.7354703358596737</c:v>
                </c:pt>
                <c:pt idx="1">
                  <c:v>6.0635693129024588</c:v>
                </c:pt>
                <c:pt idx="2">
                  <c:v>6.0551704530576105</c:v>
                </c:pt>
                <c:pt idx="3">
                  <c:v>5.7157111017319409</c:v>
                </c:pt>
                <c:pt idx="4">
                  <c:v>4.7985438750560263</c:v>
                </c:pt>
                <c:pt idx="5">
                  <c:v>2.9808255360502329</c:v>
                </c:pt>
                <c:pt idx="6">
                  <c:v>2.9311807438003412</c:v>
                </c:pt>
                <c:pt idx="7">
                  <c:v>2.9093096332303503</c:v>
                </c:pt>
                <c:pt idx="8">
                  <c:v>2.9841391815935912</c:v>
                </c:pt>
                <c:pt idx="9">
                  <c:v>3.1966587652537259</c:v>
                </c:pt>
                <c:pt idx="10">
                  <c:v>2.8977411942901767</c:v>
                </c:pt>
                <c:pt idx="11">
                  <c:v>2.6699223236542764</c:v>
                </c:pt>
                <c:pt idx="12">
                  <c:v>-1.0965543495417918</c:v>
                </c:pt>
                <c:pt idx="13">
                  <c:v>-10.953400191597822</c:v>
                </c:pt>
                <c:pt idx="14">
                  <c:v>-4.8704580385287244</c:v>
                </c:pt>
                <c:pt idx="15">
                  <c:v>-4.1854633683910549</c:v>
                </c:pt>
                <c:pt idx="16">
                  <c:v>-1.8224490492609107</c:v>
                </c:pt>
                <c:pt idx="17">
                  <c:v>9.3633800591705967</c:v>
                </c:pt>
                <c:pt idx="18">
                  <c:v>3.4170911446025545</c:v>
                </c:pt>
                <c:pt idx="19">
                  <c:v>3.0307983564293011</c:v>
                </c:pt>
                <c:pt idx="20">
                  <c:v>4.0461035879015839</c:v>
                </c:pt>
                <c:pt idx="21">
                  <c:v>3.408966810641715</c:v>
                </c:pt>
                <c:pt idx="22">
                  <c:v>1.5248518351453979</c:v>
                </c:pt>
                <c:pt idx="23">
                  <c:v>0.96213654414856353</c:v>
                </c:pt>
              </c:numCache>
            </c:numRef>
          </c:val>
          <c:smooth val="0"/>
          <c:extLst>
            <c:ext xmlns:c16="http://schemas.microsoft.com/office/drawing/2014/chart" uri="{C3380CC4-5D6E-409C-BE32-E72D297353CC}">
              <c16:uniqueId val="{00000005-CEFE-4FC2-A589-235FC663EE76}"/>
            </c:ext>
          </c:extLst>
        </c:ser>
        <c:dLbls>
          <c:showLegendKey val="0"/>
          <c:showVal val="0"/>
          <c:showCatName val="0"/>
          <c:showSerName val="0"/>
          <c:showPercent val="0"/>
          <c:showBubbleSize val="0"/>
        </c:dLbls>
        <c:marker val="1"/>
        <c:smooth val="0"/>
        <c:axId val="108822912"/>
        <c:axId val="108824448"/>
      </c:lineChart>
      <c:catAx>
        <c:axId val="10882291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08824448"/>
        <c:crosses val="autoZero"/>
        <c:auto val="1"/>
        <c:lblAlgn val="ctr"/>
        <c:lblOffset val="100"/>
        <c:noMultiLvlLbl val="0"/>
      </c:catAx>
      <c:valAx>
        <c:axId val="108824448"/>
        <c:scaling>
          <c:orientation val="minMax"/>
          <c:max val="10"/>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8822912"/>
        <c:crosses val="autoZero"/>
        <c:crossBetween val="between"/>
        <c:majorUnit val="2"/>
      </c:valAx>
      <c:spPr>
        <a:ln>
          <a:solidFill>
            <a:schemeClr val="tx1"/>
          </a:solidFill>
        </a:ln>
      </c:spPr>
    </c:plotArea>
    <c:legend>
      <c:legendPos val="b"/>
      <c:layout>
        <c:manualLayout>
          <c:xMode val="edge"/>
          <c:yMode val="edge"/>
          <c:x val="5.4144292468760548E-2"/>
          <c:y val="0.79016604750647301"/>
          <c:w val="0.92386482607227283"/>
          <c:h val="0.1946248452099492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109E-2"/>
          <c:y val="1.5804777005479883E-2"/>
          <c:w val="0.84419102795189604"/>
          <c:h val="0.70867754321612231"/>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IPP'!$R$27:$AW$27</c:f>
              <c:numCache>
                <c:formatCode>0.0</c:formatCode>
                <c:ptCount val="32"/>
                <c:pt idx="0">
                  <c:v>1.5414336001551836</c:v>
                </c:pt>
                <c:pt idx="1">
                  <c:v>2.1741500812415602</c:v>
                </c:pt>
                <c:pt idx="2">
                  <c:v>2.3807451285231696</c:v>
                </c:pt>
                <c:pt idx="3">
                  <c:v>2.8689756615217954</c:v>
                </c:pt>
                <c:pt idx="4">
                  <c:v>3.3341210196737827</c:v>
                </c:pt>
                <c:pt idx="5">
                  <c:v>2.686672264317759</c:v>
                </c:pt>
                <c:pt idx="6">
                  <c:v>1.4809491976121276</c:v>
                </c:pt>
                <c:pt idx="7">
                  <c:v>1.0295786410238899</c:v>
                </c:pt>
                <c:pt idx="8">
                  <c:v>1.7176851530772046</c:v>
                </c:pt>
                <c:pt idx="9">
                  <c:v>2.162430036953364</c:v>
                </c:pt>
                <c:pt idx="10">
                  <c:v>1.6010808371876544</c:v>
                </c:pt>
                <c:pt idx="11">
                  <c:v>1.6765308689366043</c:v>
                </c:pt>
                <c:pt idx="12">
                  <c:v>0.76463369901420963</c:v>
                </c:pt>
                <c:pt idx="13">
                  <c:v>0.53745054525373026</c:v>
                </c:pt>
                <c:pt idx="14">
                  <c:v>0.24390176608722364</c:v>
                </c:pt>
                <c:pt idx="15">
                  <c:v>0.97145099568383719</c:v>
                </c:pt>
                <c:pt idx="16">
                  <c:v>-0.22653642884122777</c:v>
                </c:pt>
                <c:pt idx="17">
                  <c:v>0.48861091853368632</c:v>
                </c:pt>
                <c:pt idx="18">
                  <c:v>0.80855917746087291</c:v>
                </c:pt>
                <c:pt idx="19">
                  <c:v>-1.0897983527427599</c:v>
                </c:pt>
                <c:pt idx="20">
                  <c:v>-1.5435543851935798</c:v>
                </c:pt>
                <c:pt idx="21">
                  <c:v>-9.4039632081130193</c:v>
                </c:pt>
                <c:pt idx="22">
                  <c:v>-0.18743733484121575</c:v>
                </c:pt>
                <c:pt idx="23">
                  <c:v>2.0451875585567296</c:v>
                </c:pt>
                <c:pt idx="24">
                  <c:v>1.8998981300154258</c:v>
                </c:pt>
                <c:pt idx="25">
                  <c:v>10.981696435394754</c:v>
                </c:pt>
                <c:pt idx="26">
                  <c:v>-3.7777447309199408</c:v>
                </c:pt>
                <c:pt idx="27">
                  <c:v>-3.2745552925864532</c:v>
                </c:pt>
                <c:pt idx="28">
                  <c:v>-1.9102799380643063</c:v>
                </c:pt>
                <c:pt idx="29">
                  <c:v>7.1908710545503615E-2</c:v>
                </c:pt>
                <c:pt idx="30">
                  <c:v>5.6241519876439341</c:v>
                </c:pt>
                <c:pt idx="31">
                  <c:v>4.0478662222931554</c:v>
                </c:pt>
              </c:numCache>
            </c:numRef>
          </c:val>
          <c:extLst>
            <c:ext xmlns:c16="http://schemas.microsoft.com/office/drawing/2014/chart" uri="{C3380CC4-5D6E-409C-BE32-E72D297353CC}">
              <c16:uniqueId val="{00000000-5EBA-453B-9D1F-1EE109E2DCED}"/>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IPP'!$R$28:$AW$28</c:f>
              <c:numCache>
                <c:formatCode>0.0</c:formatCode>
                <c:ptCount val="32"/>
                <c:pt idx="0">
                  <c:v>1.0327842576995614</c:v>
                </c:pt>
                <c:pt idx="1">
                  <c:v>1.2398193770878803</c:v>
                </c:pt>
                <c:pt idx="2">
                  <c:v>1.4194520754584399</c:v>
                </c:pt>
                <c:pt idx="3">
                  <c:v>0.62945179373892213</c:v>
                </c:pt>
                <c:pt idx="4">
                  <c:v>0.81066950070394839</c:v>
                </c:pt>
                <c:pt idx="5">
                  <c:v>0.15910929112689315</c:v>
                </c:pt>
                <c:pt idx="6">
                  <c:v>0.27430884251769189</c:v>
                </c:pt>
                <c:pt idx="7">
                  <c:v>0.42966812397126047</c:v>
                </c:pt>
                <c:pt idx="8">
                  <c:v>0.81190885185629913</c:v>
                </c:pt>
                <c:pt idx="9">
                  <c:v>1.4478162783570216</c:v>
                </c:pt>
                <c:pt idx="10">
                  <c:v>0.86831270392558868</c:v>
                </c:pt>
                <c:pt idx="11">
                  <c:v>1.6467937182997419</c:v>
                </c:pt>
                <c:pt idx="12">
                  <c:v>0.99355825089751959</c:v>
                </c:pt>
                <c:pt idx="13">
                  <c:v>0.32981714268582202</c:v>
                </c:pt>
                <c:pt idx="14">
                  <c:v>0.43066392508053108</c:v>
                </c:pt>
                <c:pt idx="15">
                  <c:v>-5.4042637097958611E-2</c:v>
                </c:pt>
                <c:pt idx="16">
                  <c:v>0.52511448325990218</c:v>
                </c:pt>
                <c:pt idx="17">
                  <c:v>0.41827161057405132</c:v>
                </c:pt>
                <c:pt idx="18">
                  <c:v>0.20321919004157399</c:v>
                </c:pt>
                <c:pt idx="19">
                  <c:v>0.40664545615593128</c:v>
                </c:pt>
                <c:pt idx="20">
                  <c:v>-0.54518803499189361</c:v>
                </c:pt>
                <c:pt idx="21">
                  <c:v>-4.0594843067761044</c:v>
                </c:pt>
                <c:pt idx="22">
                  <c:v>-0.42308415860457271</c:v>
                </c:pt>
                <c:pt idx="23">
                  <c:v>0.57531703991443739</c:v>
                </c:pt>
                <c:pt idx="24">
                  <c:v>0.72127374997619453</c:v>
                </c:pt>
                <c:pt idx="25">
                  <c:v>5.5133080211538479</c:v>
                </c:pt>
                <c:pt idx="26">
                  <c:v>0.63109141066247476</c:v>
                </c:pt>
                <c:pt idx="27">
                  <c:v>-0.40575686667122407</c:v>
                </c:pt>
                <c:pt idx="28">
                  <c:v>9.5649941631887267E-2</c:v>
                </c:pt>
                <c:pt idx="29">
                  <c:v>0.14616646719142384</c:v>
                </c:pt>
                <c:pt idx="30">
                  <c:v>0.53290769757744694</c:v>
                </c:pt>
                <c:pt idx="31">
                  <c:v>0.60794822436824103</c:v>
                </c:pt>
              </c:numCache>
            </c:numRef>
          </c:val>
          <c:extLst>
            <c:ext xmlns:c16="http://schemas.microsoft.com/office/drawing/2014/chart" uri="{C3380CC4-5D6E-409C-BE32-E72D297353CC}">
              <c16:uniqueId val="{00000001-5EBA-453B-9D1F-1EE109E2DCED}"/>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IPP'!$R$29:$AW$29</c:f>
              <c:numCache>
                <c:formatCode>0.0</c:formatCode>
                <c:ptCount val="32"/>
                <c:pt idx="0">
                  <c:v>0.27352741322260504</c:v>
                </c:pt>
                <c:pt idx="1">
                  <c:v>0.29435778863230155</c:v>
                </c:pt>
                <c:pt idx="2">
                  <c:v>0.38381901893821552</c:v>
                </c:pt>
                <c:pt idx="3">
                  <c:v>1.9907538862099922E-2</c:v>
                </c:pt>
                <c:pt idx="4">
                  <c:v>0.36213267281302258</c:v>
                </c:pt>
                <c:pt idx="5">
                  <c:v>-6.5064708510287728E-2</c:v>
                </c:pt>
                <c:pt idx="6">
                  <c:v>0.19502661099256188</c:v>
                </c:pt>
                <c:pt idx="7">
                  <c:v>0.31976595271137093</c:v>
                </c:pt>
                <c:pt idx="8">
                  <c:v>0.36260721751312475</c:v>
                </c:pt>
                <c:pt idx="9">
                  <c:v>1.0676230430151585</c:v>
                </c:pt>
                <c:pt idx="10">
                  <c:v>0.84856622097502898</c:v>
                </c:pt>
                <c:pt idx="11">
                  <c:v>0.8011679796708624</c:v>
                </c:pt>
                <c:pt idx="12">
                  <c:v>0.47154480134890697</c:v>
                </c:pt>
                <c:pt idx="13">
                  <c:v>0.14539794495792599</c:v>
                </c:pt>
                <c:pt idx="14">
                  <c:v>0.18518957990291937</c:v>
                </c:pt>
                <c:pt idx="15">
                  <c:v>-0.19190856298894723</c:v>
                </c:pt>
                <c:pt idx="16">
                  <c:v>0.14248219231403378</c:v>
                </c:pt>
                <c:pt idx="17">
                  <c:v>-2.1421773901395606E-2</c:v>
                </c:pt>
                <c:pt idx="18">
                  <c:v>-0.25698546548398382</c:v>
                </c:pt>
                <c:pt idx="19">
                  <c:v>-0.1385976419695116</c:v>
                </c:pt>
                <c:pt idx="20">
                  <c:v>-0.69677730727295739</c:v>
                </c:pt>
                <c:pt idx="21">
                  <c:v>-2.1434069100206701</c:v>
                </c:pt>
                <c:pt idx="22">
                  <c:v>-0.80071965285565583</c:v>
                </c:pt>
                <c:pt idx="23">
                  <c:v>-0.53337369043417615</c:v>
                </c:pt>
                <c:pt idx="24">
                  <c:v>7.0388429332234728E-2</c:v>
                </c:pt>
                <c:pt idx="25">
                  <c:v>2.1082132332125232</c:v>
                </c:pt>
                <c:pt idx="26">
                  <c:v>0.54002718228061808</c:v>
                </c:pt>
                <c:pt idx="27">
                  <c:v>0.28651169955913558</c:v>
                </c:pt>
                <c:pt idx="28">
                  <c:v>0.38259176655886912</c:v>
                </c:pt>
                <c:pt idx="29">
                  <c:v>0.10571776271065519</c:v>
                </c:pt>
                <c:pt idx="30">
                  <c:v>0.49644675486725792</c:v>
                </c:pt>
                <c:pt idx="31">
                  <c:v>0.65963565268528634</c:v>
                </c:pt>
              </c:numCache>
            </c:numRef>
          </c:val>
          <c:extLst>
            <c:ext xmlns:c16="http://schemas.microsoft.com/office/drawing/2014/chart" uri="{C3380CC4-5D6E-409C-BE32-E72D297353CC}">
              <c16:uniqueId val="{00000002-5EBA-453B-9D1F-1EE109E2DCED}"/>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IPP'!$R$30:$AW$30</c:f>
              <c:numCache>
                <c:formatCode>0.0</c:formatCode>
                <c:ptCount val="32"/>
                <c:pt idx="0">
                  <c:v>0.69497691812608697</c:v>
                </c:pt>
                <c:pt idx="1">
                  <c:v>0.7850872599759442</c:v>
                </c:pt>
                <c:pt idx="2">
                  <c:v>0.99073344247385264</c:v>
                </c:pt>
                <c:pt idx="3">
                  <c:v>0.60112803930591463</c:v>
                </c:pt>
                <c:pt idx="4">
                  <c:v>0.8056510855242317</c:v>
                </c:pt>
                <c:pt idx="5">
                  <c:v>0.37292975928366623</c:v>
                </c:pt>
                <c:pt idx="6">
                  <c:v>0.22874403118707326</c:v>
                </c:pt>
                <c:pt idx="7">
                  <c:v>0.25105221227274938</c:v>
                </c:pt>
                <c:pt idx="8">
                  <c:v>0.39859566543955594</c:v>
                </c:pt>
                <c:pt idx="9">
                  <c:v>0.93860836876068798</c:v>
                </c:pt>
                <c:pt idx="10">
                  <c:v>0.85733344200421968</c:v>
                </c:pt>
                <c:pt idx="11">
                  <c:v>0.96180148351524553</c:v>
                </c:pt>
                <c:pt idx="12">
                  <c:v>0.66382399405022563</c:v>
                </c:pt>
                <c:pt idx="13">
                  <c:v>0.46639173271760581</c:v>
                </c:pt>
                <c:pt idx="14">
                  <c:v>0.40419840691742392</c:v>
                </c:pt>
                <c:pt idx="15">
                  <c:v>0.1444093288361632</c:v>
                </c:pt>
                <c:pt idx="16">
                  <c:v>0.25807569584954476</c:v>
                </c:pt>
                <c:pt idx="17">
                  <c:v>1.4459010693799897E-2</c:v>
                </c:pt>
                <c:pt idx="18">
                  <c:v>-0.2565104921358744</c:v>
                </c:pt>
                <c:pt idx="19">
                  <c:v>-0.34928328908715461</c:v>
                </c:pt>
                <c:pt idx="20">
                  <c:v>-0.60808014688232759</c:v>
                </c:pt>
                <c:pt idx="21">
                  <c:v>-2.0880437771647515</c:v>
                </c:pt>
                <c:pt idx="22">
                  <c:v>-0.5397213489370003</c:v>
                </c:pt>
                <c:pt idx="23">
                  <c:v>0.14511452076092651</c:v>
                </c:pt>
                <c:pt idx="24">
                  <c:v>0.49633095542560107</c:v>
                </c:pt>
                <c:pt idx="25">
                  <c:v>3.0129249260537696</c:v>
                </c:pt>
                <c:pt idx="26">
                  <c:v>0.73648478182031019</c:v>
                </c:pt>
                <c:pt idx="27">
                  <c:v>-5.6080447887036491E-2</c:v>
                </c:pt>
                <c:pt idx="28">
                  <c:v>0.15052763981480349</c:v>
                </c:pt>
                <c:pt idx="29">
                  <c:v>-0.43513827220515988</c:v>
                </c:pt>
                <c:pt idx="30">
                  <c:v>-0.39420121684574316</c:v>
                </c:pt>
                <c:pt idx="31">
                  <c:v>-0.25494692912799488</c:v>
                </c:pt>
              </c:numCache>
            </c:numRef>
          </c:val>
          <c:extLst>
            <c:ext xmlns:c16="http://schemas.microsoft.com/office/drawing/2014/chart" uri="{C3380CC4-5D6E-409C-BE32-E72D297353CC}">
              <c16:uniqueId val="{00000003-5EBA-453B-9D1F-1EE109E2DCED}"/>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IPP'!$R$31:$AW$31</c:f>
              <c:numCache>
                <c:formatCode>0.0</c:formatCode>
                <c:ptCount val="32"/>
                <c:pt idx="0">
                  <c:v>0.10273275765267498</c:v>
                </c:pt>
                <c:pt idx="1">
                  <c:v>1.7022273503113715E-2</c:v>
                </c:pt>
                <c:pt idx="2">
                  <c:v>3.1451678515104962E-2</c:v>
                </c:pt>
                <c:pt idx="3">
                  <c:v>-6.7148299810871767E-2</c:v>
                </c:pt>
                <c:pt idx="4">
                  <c:v>-1.2685476667277843E-2</c:v>
                </c:pt>
                <c:pt idx="5">
                  <c:v>7.6588175669582967E-2</c:v>
                </c:pt>
                <c:pt idx="6">
                  <c:v>4.5204856094121497E-2</c:v>
                </c:pt>
                <c:pt idx="7">
                  <c:v>0.16194666355811346</c:v>
                </c:pt>
                <c:pt idx="8">
                  <c:v>0.16169573185966213</c:v>
                </c:pt>
                <c:pt idx="9">
                  <c:v>0.34034954986554078</c:v>
                </c:pt>
                <c:pt idx="10">
                  <c:v>0.22387493834902866</c:v>
                </c:pt>
                <c:pt idx="11">
                  <c:v>0.2347488357417308</c:v>
                </c:pt>
                <c:pt idx="12">
                  <c:v>0.37691682805498272</c:v>
                </c:pt>
                <c:pt idx="13">
                  <c:v>0.16170745152429084</c:v>
                </c:pt>
                <c:pt idx="14">
                  <c:v>0.63541368560223865</c:v>
                </c:pt>
                <c:pt idx="15">
                  <c:v>0.32151776055716935</c:v>
                </c:pt>
                <c:pt idx="16">
                  <c:v>-0.11432204894408443</c:v>
                </c:pt>
                <c:pt idx="17">
                  <c:v>-5.1757146500390386E-2</c:v>
                </c:pt>
                <c:pt idx="18">
                  <c:v>-0.58706510968263648</c:v>
                </c:pt>
                <c:pt idx="19">
                  <c:v>-0.35487188237441086</c:v>
                </c:pt>
                <c:pt idx="20">
                  <c:v>-8.5397778834990529E-2</c:v>
                </c:pt>
                <c:pt idx="21">
                  <c:v>-0.27817734072291866</c:v>
                </c:pt>
                <c:pt idx="22">
                  <c:v>-2.9065624151318075E-3</c:v>
                </c:pt>
                <c:pt idx="23">
                  <c:v>-5.9498285904227757E-3</c:v>
                </c:pt>
                <c:pt idx="24">
                  <c:v>0.12344573775217323</c:v>
                </c:pt>
                <c:pt idx="25">
                  <c:v>0.16503598968244643</c:v>
                </c:pt>
                <c:pt idx="26">
                  <c:v>0.21876908691427951</c:v>
                </c:pt>
                <c:pt idx="27">
                  <c:v>-0.21769009003114997</c:v>
                </c:pt>
                <c:pt idx="28">
                  <c:v>1.9919062957815682E-2</c:v>
                </c:pt>
                <c:pt idx="29">
                  <c:v>-9.7779772813260876E-3</c:v>
                </c:pt>
                <c:pt idx="30">
                  <c:v>6.4933152168677274E-2</c:v>
                </c:pt>
                <c:pt idx="31">
                  <c:v>0.43528438515827717</c:v>
                </c:pt>
              </c:numCache>
            </c:numRef>
          </c:val>
          <c:extLst>
            <c:ext xmlns:c16="http://schemas.microsoft.com/office/drawing/2014/chart" uri="{C3380CC4-5D6E-409C-BE32-E72D297353CC}">
              <c16:uniqueId val="{00000004-5EBA-453B-9D1F-1EE109E2DCED}"/>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IPP'!$R$32:$AW$32</c:f>
              <c:numCache>
                <c:formatCode>0.0</c:formatCode>
                <c:ptCount val="32"/>
                <c:pt idx="0">
                  <c:v>7.7208317080078304E-2</c:v>
                </c:pt>
                <c:pt idx="1">
                  <c:v>0.23592866818826699</c:v>
                </c:pt>
                <c:pt idx="2">
                  <c:v>-0.16336143877828871</c:v>
                </c:pt>
                <c:pt idx="3">
                  <c:v>-0.33439989501658013</c:v>
                </c:pt>
                <c:pt idx="4">
                  <c:v>-0.41779515285163221</c:v>
                </c:pt>
                <c:pt idx="5">
                  <c:v>-0.42569819359762051</c:v>
                </c:pt>
                <c:pt idx="6">
                  <c:v>-0.10788089066016887</c:v>
                </c:pt>
                <c:pt idx="7">
                  <c:v>0.23743965472329753</c:v>
                </c:pt>
                <c:pt idx="8">
                  <c:v>0.52311070740015453</c:v>
                </c:pt>
                <c:pt idx="9">
                  <c:v>0.82341422334347258</c:v>
                </c:pt>
                <c:pt idx="10">
                  <c:v>0.65076836480306144</c:v>
                </c:pt>
                <c:pt idx="11">
                  <c:v>0.50493978173151799</c:v>
                </c:pt>
                <c:pt idx="12">
                  <c:v>0.40295639892988111</c:v>
                </c:pt>
                <c:pt idx="13">
                  <c:v>8.0557374992047265E-2</c:v>
                </c:pt>
                <c:pt idx="14">
                  <c:v>-5.3154805616806716E-2</c:v>
                </c:pt>
                <c:pt idx="15">
                  <c:v>-6.7994611415210363E-2</c:v>
                </c:pt>
                <c:pt idx="16">
                  <c:v>0.10386183133359356</c:v>
                </c:pt>
                <c:pt idx="17">
                  <c:v>4.7610492592970489E-2</c:v>
                </c:pt>
                <c:pt idx="18">
                  <c:v>0.23071819932128149</c:v>
                </c:pt>
                <c:pt idx="19">
                  <c:v>3.0462943071166673E-2</c:v>
                </c:pt>
                <c:pt idx="20">
                  <c:v>-3.1218778316377285E-2</c:v>
                </c:pt>
                <c:pt idx="21">
                  <c:v>-0.54858975903434926</c:v>
                </c:pt>
                <c:pt idx="22">
                  <c:v>-0.21411469460909971</c:v>
                </c:pt>
                <c:pt idx="23">
                  <c:v>0.43233148897113949</c:v>
                </c:pt>
                <c:pt idx="24">
                  <c:v>0.28829426971776523</c:v>
                </c:pt>
                <c:pt idx="25">
                  <c:v>0.79933281321603367</c:v>
                </c:pt>
                <c:pt idx="26">
                  <c:v>0.31192170113272555</c:v>
                </c:pt>
                <c:pt idx="27">
                  <c:v>7.2471498351694669E-2</c:v>
                </c:pt>
                <c:pt idx="28">
                  <c:v>0.25226208715448517</c:v>
                </c:pt>
                <c:pt idx="29">
                  <c:v>0.17185604089715331</c:v>
                </c:pt>
                <c:pt idx="30">
                  <c:v>-8.9143418130066682E-2</c:v>
                </c:pt>
                <c:pt idx="31">
                  <c:v>-0.2677945907823418</c:v>
                </c:pt>
              </c:numCache>
            </c:numRef>
          </c:val>
          <c:extLst>
            <c:ext xmlns:c16="http://schemas.microsoft.com/office/drawing/2014/chart" uri="{C3380CC4-5D6E-409C-BE32-E72D297353CC}">
              <c16:uniqueId val="{00000005-5EBA-453B-9D1F-1EE109E2DCED}"/>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IPP'!$R$33:$AW$33</c:f>
              <c:numCache>
                <c:formatCode>0.0</c:formatCode>
                <c:ptCount val="32"/>
                <c:pt idx="0">
                  <c:v>0.98358746940884201</c:v>
                </c:pt>
                <c:pt idx="1">
                  <c:v>0.89923246363091303</c:v>
                </c:pt>
                <c:pt idx="2">
                  <c:v>1.0053837817799574</c:v>
                </c:pt>
                <c:pt idx="3">
                  <c:v>-0.19974639261354685</c:v>
                </c:pt>
                <c:pt idx="4">
                  <c:v>0.24329990001740046</c:v>
                </c:pt>
                <c:pt idx="5">
                  <c:v>-0.35930073634947668</c:v>
                </c:pt>
                <c:pt idx="6">
                  <c:v>5.4611870755817526E-2</c:v>
                </c:pt>
                <c:pt idx="7">
                  <c:v>0.57938738739229778</c:v>
                </c:pt>
                <c:pt idx="8">
                  <c:v>0.10796722998385255</c:v>
                </c:pt>
                <c:pt idx="9">
                  <c:v>1.4849667962274027</c:v>
                </c:pt>
                <c:pt idx="10">
                  <c:v>0.76494329225869195</c:v>
                </c:pt>
                <c:pt idx="11">
                  <c:v>0.92981101776031461</c:v>
                </c:pt>
                <c:pt idx="12">
                  <c:v>1.1595945228996394</c:v>
                </c:pt>
                <c:pt idx="13">
                  <c:v>0.67905455733759568</c:v>
                </c:pt>
                <c:pt idx="14">
                  <c:v>1.1071544502276862</c:v>
                </c:pt>
                <c:pt idx="15">
                  <c:v>0.4584448107077318</c:v>
                </c:pt>
                <c:pt idx="16">
                  <c:v>-4.2034374602800031E-2</c:v>
                </c:pt>
                <c:pt idx="17">
                  <c:v>4.7080538912348473E-2</c:v>
                </c:pt>
                <c:pt idx="18">
                  <c:v>-0.67715517865176977</c:v>
                </c:pt>
                <c:pt idx="19">
                  <c:v>-0.19783909206023401</c:v>
                </c:pt>
                <c:pt idx="20">
                  <c:v>7.5330777097780618E-2</c:v>
                </c:pt>
                <c:pt idx="21">
                  <c:v>-2.8438492263065807</c:v>
                </c:pt>
                <c:pt idx="22">
                  <c:v>8.8873578450232568E-2</c:v>
                </c:pt>
                <c:pt idx="23">
                  <c:v>0.13876281570829024</c:v>
                </c:pt>
                <c:pt idx="24">
                  <c:v>0.21014615403229506</c:v>
                </c:pt>
                <c:pt idx="25">
                  <c:v>5.1936386612240169</c:v>
                </c:pt>
                <c:pt idx="26">
                  <c:v>1.0321859362308046</c:v>
                </c:pt>
                <c:pt idx="27">
                  <c:v>0.89717493659966963</c:v>
                </c:pt>
                <c:pt idx="28">
                  <c:v>1.4488761025604118</c:v>
                </c:pt>
                <c:pt idx="29">
                  <c:v>0.43148107157606858</c:v>
                </c:pt>
                <c:pt idx="30">
                  <c:v>-0.5586959794592925</c:v>
                </c:pt>
                <c:pt idx="31">
                  <c:v>-0.67912238159015614</c:v>
                </c:pt>
              </c:numCache>
            </c:numRef>
          </c:val>
          <c:extLst>
            <c:ext xmlns:c16="http://schemas.microsoft.com/office/drawing/2014/chart" uri="{C3380CC4-5D6E-409C-BE32-E72D297353CC}">
              <c16:uniqueId val="{00000006-5EBA-453B-9D1F-1EE109E2DCED}"/>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IPP'!$R$34:$AW$34</c:f>
              <c:numCache>
                <c:formatCode>0.0</c:formatCode>
                <c:ptCount val="32"/>
                <c:pt idx="0">
                  <c:v>0.1453689780549717</c:v>
                </c:pt>
                <c:pt idx="1">
                  <c:v>-0.33983324755997296</c:v>
                </c:pt>
                <c:pt idx="2">
                  <c:v>-0.39725135811041795</c:v>
                </c:pt>
                <c:pt idx="3">
                  <c:v>-1.114644115487744</c:v>
                </c:pt>
                <c:pt idx="4">
                  <c:v>-0.64587487131351229</c:v>
                </c:pt>
                <c:pt idx="5">
                  <c:v>9.8834575359488239E-2</c:v>
                </c:pt>
                <c:pt idx="6">
                  <c:v>-0.47676721369922492</c:v>
                </c:pt>
                <c:pt idx="7">
                  <c:v>0.50385695934700236</c:v>
                </c:pt>
                <c:pt idx="8">
                  <c:v>0.66227118757014136</c:v>
                </c:pt>
                <c:pt idx="9">
                  <c:v>-0.18254891472265231</c:v>
                </c:pt>
                <c:pt idx="10">
                  <c:v>0.77170124339672352</c:v>
                </c:pt>
                <c:pt idx="11">
                  <c:v>0.73276064564397958</c:v>
                </c:pt>
                <c:pt idx="12">
                  <c:v>-0.53888499639537135</c:v>
                </c:pt>
                <c:pt idx="13">
                  <c:v>4.2147847309763065E-3</c:v>
                </c:pt>
                <c:pt idx="14">
                  <c:v>0.78783573859879152</c:v>
                </c:pt>
                <c:pt idx="15">
                  <c:v>0.33124933161720838</c:v>
                </c:pt>
                <c:pt idx="16">
                  <c:v>0.21326825173098607</c:v>
                </c:pt>
                <c:pt idx="17">
                  <c:v>4.5891627194929625E-2</c:v>
                </c:pt>
                <c:pt idx="18">
                  <c:v>-0.66559651426950006</c:v>
                </c:pt>
                <c:pt idx="19">
                  <c:v>-0.33090808889302392</c:v>
                </c:pt>
                <c:pt idx="20">
                  <c:v>-0.97342506810566554</c:v>
                </c:pt>
                <c:pt idx="21">
                  <c:v>-1.5875613971615934</c:v>
                </c:pt>
                <c:pt idx="22">
                  <c:v>-0.71564578738754903</c:v>
                </c:pt>
                <c:pt idx="23">
                  <c:v>-0.69506985368693874</c:v>
                </c:pt>
                <c:pt idx="24">
                  <c:v>0.48072477574831796</c:v>
                </c:pt>
                <c:pt idx="25">
                  <c:v>0.46331760076263334</c:v>
                </c:pt>
                <c:pt idx="26">
                  <c:v>0.22196846067872944</c:v>
                </c:pt>
                <c:pt idx="27">
                  <c:v>0.81349879426535543</c:v>
                </c:pt>
                <c:pt idx="28">
                  <c:v>-0.17502569401397033</c:v>
                </c:pt>
                <c:pt idx="29">
                  <c:v>0.27464113436568205</c:v>
                </c:pt>
                <c:pt idx="30">
                  <c:v>0.37981651547778411</c:v>
                </c:pt>
                <c:pt idx="31">
                  <c:v>-1.3730226786044635</c:v>
                </c:pt>
              </c:numCache>
            </c:numRef>
          </c:val>
          <c:extLst>
            <c:ext xmlns:c16="http://schemas.microsoft.com/office/drawing/2014/chart" uri="{C3380CC4-5D6E-409C-BE32-E72D297353CC}">
              <c16:uniqueId val="{00000007-5EBA-453B-9D1F-1EE109E2DCED}"/>
            </c:ext>
          </c:extLst>
        </c:ser>
        <c:dLbls>
          <c:showLegendKey val="0"/>
          <c:showVal val="0"/>
          <c:showCatName val="0"/>
          <c:showSerName val="0"/>
          <c:showPercent val="0"/>
          <c:showBubbleSize val="0"/>
        </c:dLbls>
        <c:gapWidth val="15"/>
        <c:overlap val="100"/>
        <c:axId val="75403264"/>
        <c:axId val="75404800"/>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IPP'!$R$35:$AW$35</c:f>
              <c:numCache>
                <c:formatCode>0.0</c:formatCode>
                <c:ptCount val="32"/>
                <c:pt idx="0">
                  <c:v>4.8516197114000095</c:v>
                </c:pt>
                <c:pt idx="1">
                  <c:v>5.3057646647000078</c:v>
                </c:pt>
                <c:pt idx="2">
                  <c:v>5.6509723288000355</c:v>
                </c:pt>
                <c:pt idx="3">
                  <c:v>2.4035243304999891</c:v>
                </c:pt>
                <c:pt idx="4">
                  <c:v>4.4795186778999661</c:v>
                </c:pt>
                <c:pt idx="5">
                  <c:v>2.5440704273000043</c:v>
                </c:pt>
                <c:pt idx="6">
                  <c:v>1.6941973048000019</c:v>
                </c:pt>
                <c:pt idx="7">
                  <c:v>3.5126955949999807</c:v>
                </c:pt>
                <c:pt idx="8">
                  <c:v>4.7458417446999954</c:v>
                </c:pt>
                <c:pt idx="9">
                  <c:v>8.0826593818000028</c:v>
                </c:pt>
                <c:pt idx="10">
                  <c:v>6.5865810428999945</c:v>
                </c:pt>
                <c:pt idx="11">
                  <c:v>7.4885543312999898</c:v>
                </c:pt>
                <c:pt idx="12">
                  <c:v>4.2941434987999925</c:v>
                </c:pt>
                <c:pt idx="13">
                  <c:v>2.4045915341999944</c:v>
                </c:pt>
                <c:pt idx="14">
                  <c:v>3.7412027468000102</c:v>
                </c:pt>
                <c:pt idx="15">
                  <c:v>1.9131264158999912</c:v>
                </c:pt>
                <c:pt idx="16">
                  <c:v>0.8599096020999486</c:v>
                </c:pt>
                <c:pt idx="17">
                  <c:v>0.98874527810000012</c:v>
                </c:pt>
                <c:pt idx="18">
                  <c:v>-1.2008161934000359</c:v>
                </c:pt>
                <c:pt idx="19">
                  <c:v>-2.0241899478999996</c:v>
                </c:pt>
                <c:pt idx="20">
                  <c:v>-4.408310722500012</c:v>
                </c:pt>
                <c:pt idx="21">
                  <c:v>-22.953075925300016</c:v>
                </c:pt>
                <c:pt idx="22">
                  <c:v>-2.7947559611999915</c:v>
                </c:pt>
                <c:pt idx="23">
                  <c:v>2.1023200511999853</c:v>
                </c:pt>
                <c:pt idx="24">
                  <c:v>4.2905022020000079</c:v>
                </c:pt>
                <c:pt idx="25">
                  <c:v>28.237467680700014</c:v>
                </c:pt>
                <c:pt idx="26">
                  <c:v>-8.5296171199999812E-2</c:v>
                </c:pt>
                <c:pt idx="27">
                  <c:v>-1.8844257684000061</c:v>
                </c:pt>
                <c:pt idx="28">
                  <c:v>0.26452096859999608</c:v>
                </c:pt>
                <c:pt idx="29">
                  <c:v>0.75685493780000046</c:v>
                </c:pt>
                <c:pt idx="30">
                  <c:v>6.0562154933000034</c:v>
                </c:pt>
                <c:pt idx="31">
                  <c:v>3.175847904399999</c:v>
                </c:pt>
              </c:numCache>
            </c:numRef>
          </c:val>
          <c:smooth val="0"/>
          <c:extLst>
            <c:ext xmlns:c16="http://schemas.microsoft.com/office/drawing/2014/chart" uri="{C3380CC4-5D6E-409C-BE32-E72D297353CC}">
              <c16:uniqueId val="{00000008-5EBA-453B-9D1F-1EE109E2DCED}"/>
            </c:ext>
          </c:extLst>
        </c:ser>
        <c:dLbls>
          <c:showLegendKey val="0"/>
          <c:showVal val="0"/>
          <c:showCatName val="0"/>
          <c:showSerName val="0"/>
          <c:showPercent val="0"/>
          <c:showBubbleSize val="0"/>
        </c:dLbls>
        <c:marker val="1"/>
        <c:smooth val="0"/>
        <c:axId val="75403264"/>
        <c:axId val="75404800"/>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IPP'!$R$36:$AW$36</c:f>
              <c:numCache>
                <c:formatCode>General</c:formatCode>
                <c:ptCount val="32"/>
              </c:numCache>
            </c:numRef>
          </c:val>
          <c:smooth val="0"/>
          <c:extLst>
            <c:ext xmlns:c16="http://schemas.microsoft.com/office/drawing/2014/chart" uri="{C3380CC4-5D6E-409C-BE32-E72D297353CC}">
              <c16:uniqueId val="{00000009-5EBA-453B-9D1F-1EE109E2DCED}"/>
            </c:ext>
          </c:extLst>
        </c:ser>
        <c:ser>
          <c:idx val="10"/>
          <c:order val="10"/>
          <c:tx>
            <c:strRef>
              <c:f>'GRAF příspěvky IPP'!$A$37</c:f>
              <c:strCache>
                <c:ptCount val="1"/>
                <c:pt idx="0">
                  <c:v>Produkce, prům. celkem (báze 2015=100)</c:v>
                </c:pt>
              </c:strCache>
            </c:strRef>
          </c:tx>
          <c:spPr>
            <a:ln w="15875">
              <a:solidFill>
                <a:schemeClr val="tx1">
                  <a:lumMod val="95000"/>
                  <a:lumOff val="5000"/>
                </a:schemeClr>
              </a:solidFill>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IPP'!$R$37:$AW$37</c:f>
              <c:numCache>
                <c:formatCode>##0.0</c:formatCode>
                <c:ptCount val="32"/>
                <c:pt idx="0">
                  <c:v>98.64560247999998</c:v>
                </c:pt>
                <c:pt idx="1">
                  <c:v>100.18242374</c:v>
                </c:pt>
                <c:pt idx="2">
                  <c:v>101.2850845633</c:v>
                </c:pt>
                <c:pt idx="3">
                  <c:v>100.52111345000006</c:v>
                </c:pt>
                <c:pt idx="4">
                  <c:v>103.0563593</c:v>
                </c:pt>
                <c:pt idx="5">
                  <c:v>102.59927942330008</c:v>
                </c:pt>
                <c:pt idx="6">
                  <c:v>102.83954233669988</c:v>
                </c:pt>
                <c:pt idx="7">
                  <c:v>104.07328304329998</c:v>
                </c:pt>
                <c:pt idx="8">
                  <c:v>107.56794223670001</c:v>
                </c:pt>
                <c:pt idx="9">
                  <c:v>110.67653847999991</c:v>
                </c:pt>
                <c:pt idx="10">
                  <c:v>109.9586102967</c:v>
                </c:pt>
                <c:pt idx="11">
                  <c:v>112.16043972999998</c:v>
                </c:pt>
                <c:pt idx="12">
                  <c:v>112.4788675433</c:v>
                </c:pt>
                <c:pt idx="13">
                  <c:v>113.5077588266999</c:v>
                </c:pt>
                <c:pt idx="14">
                  <c:v>114.2538401132999</c:v>
                </c:pt>
                <c:pt idx="15">
                  <c:v>113.8813012366999</c:v>
                </c:pt>
                <c:pt idx="16">
                  <c:v>113.38844283329988</c:v>
                </c:pt>
                <c:pt idx="17">
                  <c:v>115.08486213330001</c:v>
                </c:pt>
                <c:pt idx="18">
                  <c:v>112.53550211669985</c:v>
                </c:pt>
                <c:pt idx="19">
                  <c:v>111.44039929330008</c:v>
                </c:pt>
                <c:pt idx="20">
                  <c:v>108.6749157867</c:v>
                </c:pt>
                <c:pt idx="21">
                  <c:v>88.9758235133</c:v>
                </c:pt>
                <c:pt idx="22">
                  <c:v>109.4050159767</c:v>
                </c:pt>
                <c:pt idx="23">
                  <c:v>113.95534516999994</c:v>
                </c:pt>
                <c:pt idx="24">
                  <c:v>112.2920782132999</c:v>
                </c:pt>
                <c:pt idx="25">
                  <c:v>113.25779428000006</c:v>
                </c:pt>
                <c:pt idx="26">
                  <c:v>110.35191377330005</c:v>
                </c:pt>
                <c:pt idx="27">
                  <c:v>111.2413768733</c:v>
                </c:pt>
                <c:pt idx="28">
                  <c:v>113.30469189999998</c:v>
                </c:pt>
                <c:pt idx="29">
                  <c:v>114.2816303</c:v>
                </c:pt>
                <c:pt idx="30">
                  <c:v>116.43548958330005</c:v>
                </c:pt>
                <c:pt idx="31">
                  <c:v>115.1998627</c:v>
                </c:pt>
              </c:numCache>
            </c:numRef>
          </c:val>
          <c:smooth val="0"/>
          <c:extLst>
            <c:ext xmlns:c16="http://schemas.microsoft.com/office/drawing/2014/chart" uri="{C3380CC4-5D6E-409C-BE32-E72D297353CC}">
              <c16:uniqueId val="{0000000A-5EBA-453B-9D1F-1EE109E2DCED}"/>
            </c:ext>
          </c:extLst>
        </c:ser>
        <c:ser>
          <c:idx val="11"/>
          <c:order val="11"/>
          <c:tx>
            <c:strRef>
              <c:f>'GRAF příspěvky IPP'!$A$38</c:f>
              <c:strCache>
                <c:ptCount val="1"/>
                <c:pt idx="0">
                  <c:v>Tržby, prům. celkem (báze 2015=100)</c:v>
                </c:pt>
              </c:strCache>
            </c:strRef>
          </c:tx>
          <c:spPr>
            <a:ln w="15875">
              <a:solidFill>
                <a:schemeClr val="tx1">
                  <a:lumMod val="50000"/>
                  <a:lumOff val="50000"/>
                </a:schemeClr>
              </a:solidFill>
              <a:prstDash val="sysDash"/>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IPP'!$R$38:$AW$38</c:f>
              <c:numCache>
                <c:formatCode>##0.0</c:formatCode>
                <c:ptCount val="32"/>
                <c:pt idx="0">
                  <c:v>98.928647706699905</c:v>
                </c:pt>
                <c:pt idx="1">
                  <c:v>100.52995774670001</c:v>
                </c:pt>
                <c:pt idx="2">
                  <c:v>100.75502845</c:v>
                </c:pt>
                <c:pt idx="3">
                  <c:v>99.786366096699894</c:v>
                </c:pt>
                <c:pt idx="4">
                  <c:v>100.23325782000002</c:v>
                </c:pt>
                <c:pt idx="5">
                  <c:v>99.062532509999926</c:v>
                </c:pt>
                <c:pt idx="6">
                  <c:v>100.58475803669985</c:v>
                </c:pt>
                <c:pt idx="7">
                  <c:v>103.3260101132999</c:v>
                </c:pt>
                <c:pt idx="8">
                  <c:v>106.91453119329998</c:v>
                </c:pt>
                <c:pt idx="9">
                  <c:v>109.5325771032999</c:v>
                </c:pt>
                <c:pt idx="10">
                  <c:v>107.5092221533</c:v>
                </c:pt>
                <c:pt idx="11">
                  <c:v>109.11652482000002</c:v>
                </c:pt>
                <c:pt idx="12">
                  <c:v>110.0374085</c:v>
                </c:pt>
                <c:pt idx="13">
                  <c:v>110.9731715833</c:v>
                </c:pt>
                <c:pt idx="14">
                  <c:v>113.0288010532999</c:v>
                </c:pt>
                <c:pt idx="15">
                  <c:v>114.48280249</c:v>
                </c:pt>
                <c:pt idx="16">
                  <c:v>113.39006210999995</c:v>
                </c:pt>
                <c:pt idx="17">
                  <c:v>115.2735759566999</c:v>
                </c:pt>
                <c:pt idx="18">
                  <c:v>112.1540635667</c:v>
                </c:pt>
                <c:pt idx="19">
                  <c:v>111.52589050329991</c:v>
                </c:pt>
                <c:pt idx="20">
                  <c:v>109.6038404266999</c:v>
                </c:pt>
                <c:pt idx="21">
                  <c:v>88.713331716699855</c:v>
                </c:pt>
                <c:pt idx="22">
                  <c:v>110.6502057333</c:v>
                </c:pt>
                <c:pt idx="23">
                  <c:v>116.5514529133</c:v>
                </c:pt>
                <c:pt idx="24">
                  <c:v>116.5100608533</c:v>
                </c:pt>
                <c:pt idx="25">
                  <c:v>118.2855516467</c:v>
                </c:pt>
                <c:pt idx="26">
                  <c:v>115.0804897467</c:v>
                </c:pt>
                <c:pt idx="27">
                  <c:v>120.3196722533</c:v>
                </c:pt>
                <c:pt idx="28">
                  <c:v>128.94960383999998</c:v>
                </c:pt>
                <c:pt idx="29">
                  <c:v>134.39103933000015</c:v>
                </c:pt>
                <c:pt idx="30">
                  <c:v>142.03097292669997</c:v>
                </c:pt>
                <c:pt idx="31">
                  <c:v>140.65698159329997</c:v>
                </c:pt>
              </c:numCache>
            </c:numRef>
          </c:val>
          <c:smooth val="0"/>
          <c:extLst>
            <c:ext xmlns:c16="http://schemas.microsoft.com/office/drawing/2014/chart" uri="{C3380CC4-5D6E-409C-BE32-E72D297353CC}">
              <c16:uniqueId val="{0000000B-5EBA-453B-9D1F-1EE109E2DCED}"/>
            </c:ext>
          </c:extLst>
        </c:ser>
        <c:dLbls>
          <c:showLegendKey val="0"/>
          <c:showVal val="0"/>
          <c:showCatName val="0"/>
          <c:showSerName val="0"/>
          <c:showPercent val="0"/>
          <c:showBubbleSize val="0"/>
        </c:dLbls>
        <c:marker val="1"/>
        <c:smooth val="0"/>
        <c:axId val="76042624"/>
        <c:axId val="75859840"/>
      </c:lineChart>
      <c:catAx>
        <c:axId val="75403264"/>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75404800"/>
        <c:crosses val="autoZero"/>
        <c:auto val="1"/>
        <c:lblAlgn val="ctr"/>
        <c:lblOffset val="0"/>
        <c:noMultiLvlLbl val="0"/>
      </c:catAx>
      <c:valAx>
        <c:axId val="75404800"/>
        <c:scaling>
          <c:orientation val="minMax"/>
          <c:max val="31.5"/>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a:t>
                </a:r>
                <a:r>
                  <a:rPr lang="cs-CZ" sz="700" b="0" i="1" baseline="0">
                    <a:latin typeface="Arial" panose="020B0604020202020204" pitchFamily="34" charset="0"/>
                    <a:cs typeface="Arial" panose="020B0604020202020204" pitchFamily="34" charset="0"/>
                  </a:rPr>
                  <a:t> produkce v dílčích odvětvích (příspěvek k růstu)</a:t>
                </a:r>
                <a:endParaRPr lang="cs-CZ" sz="700" b="0" i="1">
                  <a:latin typeface="Arial" panose="020B0604020202020204" pitchFamily="34" charset="0"/>
                  <a:cs typeface="Arial" panose="020B0604020202020204" pitchFamily="34" charset="0"/>
                </a:endParaRPr>
              </a:p>
            </c:rich>
          </c:tx>
          <c:layout>
            <c:manualLayout>
              <c:xMode val="edge"/>
              <c:yMode val="edge"/>
              <c:x val="0"/>
              <c:y val="5.1905346109932297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75403264"/>
        <c:crosses val="autoZero"/>
        <c:crossBetween val="between"/>
        <c:majorUnit val="5"/>
      </c:valAx>
      <c:valAx>
        <c:axId val="75859840"/>
        <c:scaling>
          <c:orientation val="minMax"/>
          <c:max val="143"/>
          <c:min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tržby v celém průmyslu (báze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315"/>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76042624"/>
        <c:crosses val="max"/>
        <c:crossBetween val="between"/>
        <c:majorUnit val="10"/>
      </c:valAx>
      <c:catAx>
        <c:axId val="76042624"/>
        <c:scaling>
          <c:orientation val="minMax"/>
        </c:scaling>
        <c:delete val="1"/>
        <c:axPos val="b"/>
        <c:numFmt formatCode="General" sourceLinked="1"/>
        <c:majorTickMark val="out"/>
        <c:minorTickMark val="none"/>
        <c:tickLblPos val="none"/>
        <c:crossAx val="75859840"/>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31E-3"/>
          <c:y val="0.8254338599583817"/>
          <c:w val="0.98919860566585194"/>
          <c:h val="0.16756133452824229"/>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546"/>
          <c:h val="0.75063602214308589"/>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2'!$R$36:$AX$36</c:f>
              <c:numCache>
                <c:formatCode>##0.0</c:formatCode>
                <c:ptCount val="33"/>
                <c:pt idx="0">
                  <c:v>8.5353894548000024</c:v>
                </c:pt>
                <c:pt idx="1">
                  <c:v>6.3740032441999945</c:v>
                </c:pt>
                <c:pt idx="2">
                  <c:v>6.0540271236999956</c:v>
                </c:pt>
                <c:pt idx="3">
                  <c:v>5.2610868973000002</c:v>
                </c:pt>
                <c:pt idx="4">
                  <c:v>2.6398924800999999</c:v>
                </c:pt>
                <c:pt idx="5">
                  <c:v>7.5233833736999962</c:v>
                </c:pt>
                <c:pt idx="6">
                  <c:v>2.3667401951999931</c:v>
                </c:pt>
                <c:pt idx="7">
                  <c:v>6.6372980220999978</c:v>
                </c:pt>
                <c:pt idx="8">
                  <c:v>7.2642637417000095</c:v>
                </c:pt>
                <c:pt idx="9">
                  <c:v>8.2151073244999964</c:v>
                </c:pt>
                <c:pt idx="10">
                  <c:v>7.9541665196999913</c:v>
                </c:pt>
                <c:pt idx="11">
                  <c:v>7.3518853409999938</c:v>
                </c:pt>
                <c:pt idx="12">
                  <c:v>3.4479253911000001</c:v>
                </c:pt>
                <c:pt idx="13">
                  <c:v>3.7095478141000058</c:v>
                </c:pt>
                <c:pt idx="14">
                  <c:v>3.8047927777000012</c:v>
                </c:pt>
                <c:pt idx="15">
                  <c:v>3.0958525625999997</c:v>
                </c:pt>
                <c:pt idx="16">
                  <c:v>3.2186335616000012</c:v>
                </c:pt>
                <c:pt idx="17">
                  <c:v>1.4218114762000056</c:v>
                </c:pt>
                <c:pt idx="18">
                  <c:v>-0.25322037120000146</c:v>
                </c:pt>
                <c:pt idx="19">
                  <c:v>-3.8029715272000004</c:v>
                </c:pt>
                <c:pt idx="20">
                  <c:v>-2.0918519482000022</c:v>
                </c:pt>
                <c:pt idx="21">
                  <c:v>-27.667187618300005</c:v>
                </c:pt>
                <c:pt idx="22">
                  <c:v>-1.310591588500003</c:v>
                </c:pt>
                <c:pt idx="23">
                  <c:v>7.1560873368999944</c:v>
                </c:pt>
                <c:pt idx="24">
                  <c:v>8.4043556738999996</c:v>
                </c:pt>
                <c:pt idx="25">
                  <c:v>47.896596400900002</c:v>
                </c:pt>
                <c:pt idx="26">
                  <c:v>7.3132490553000089</c:v>
                </c:pt>
                <c:pt idx="27">
                  <c:v>3.5880299908999982</c:v>
                </c:pt>
                <c:pt idx="28">
                  <c:v>6.0548908874999876</c:v>
                </c:pt>
                <c:pt idx="29">
                  <c:v>9.8146200177000011</c:v>
                </c:pt>
                <c:pt idx="30">
                  <c:v>14.8892243215</c:v>
                </c:pt>
                <c:pt idx="31">
                  <c:v>12.496406793800015</c:v>
                </c:pt>
              </c:numCache>
            </c:numRef>
          </c:val>
          <c:extLst>
            <c:ext xmlns:c16="http://schemas.microsoft.com/office/drawing/2014/chart" uri="{C3380CC4-5D6E-409C-BE32-E72D297353CC}">
              <c16:uniqueId val="{00000000-6D5E-4E02-9229-586A0C1E7A98}"/>
            </c:ext>
          </c:extLst>
        </c:ser>
        <c:dLbls>
          <c:showLegendKey val="0"/>
          <c:showVal val="0"/>
          <c:showCatName val="0"/>
          <c:showSerName val="0"/>
          <c:showPercent val="0"/>
          <c:showBubbleSize val="0"/>
        </c:dLbls>
        <c:gapWidth val="30"/>
        <c:axId val="68608000"/>
        <c:axId val="68609920"/>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2'!$R$37:$AX$37</c:f>
              <c:numCache>
                <c:formatCode>#\ ##0.0</c:formatCode>
                <c:ptCount val="33"/>
                <c:pt idx="0">
                  <c:v>4.3678555677999977</c:v>
                </c:pt>
                <c:pt idx="1">
                  <c:v>9.9380074582000049</c:v>
                </c:pt>
                <c:pt idx="2">
                  <c:v>-2.8625917786000086</c:v>
                </c:pt>
                <c:pt idx="3">
                  <c:v>-0.24449638430000697</c:v>
                </c:pt>
                <c:pt idx="4">
                  <c:v>1.560855605599996</c:v>
                </c:pt>
                <c:pt idx="5">
                  <c:v>1.4530189575000059</c:v>
                </c:pt>
                <c:pt idx="6">
                  <c:v>0.19507191760000342</c:v>
                </c:pt>
                <c:pt idx="7">
                  <c:v>2.810568046100002</c:v>
                </c:pt>
                <c:pt idx="8">
                  <c:v>12.6195755233</c:v>
                </c:pt>
                <c:pt idx="9">
                  <c:v>15.740843176199999</c:v>
                </c:pt>
                <c:pt idx="10">
                  <c:v>15.881411785300003</c:v>
                </c:pt>
                <c:pt idx="11">
                  <c:v>15.4396235432</c:v>
                </c:pt>
                <c:pt idx="12">
                  <c:v>1.4059943362999952</c:v>
                </c:pt>
                <c:pt idx="13">
                  <c:v>2.5119296337000043</c:v>
                </c:pt>
                <c:pt idx="14">
                  <c:v>4.7248831052000071</c:v>
                </c:pt>
                <c:pt idx="15">
                  <c:v>3.527328847899998</c:v>
                </c:pt>
                <c:pt idx="16">
                  <c:v>8.0476176921000029</c:v>
                </c:pt>
                <c:pt idx="17">
                  <c:v>5.2936390825999986</c:v>
                </c:pt>
                <c:pt idx="18">
                  <c:v>0.41940306940000482</c:v>
                </c:pt>
                <c:pt idx="19">
                  <c:v>-1.3456257084999934</c:v>
                </c:pt>
                <c:pt idx="20">
                  <c:v>5.5521264895999956</c:v>
                </c:pt>
                <c:pt idx="21">
                  <c:v>-25.896794335699987</c:v>
                </c:pt>
                <c:pt idx="22">
                  <c:v>-3.0500801793999983</c:v>
                </c:pt>
                <c:pt idx="23">
                  <c:v>6.9104797819999995</c:v>
                </c:pt>
                <c:pt idx="24">
                  <c:v>-2.8581604621000025</c:v>
                </c:pt>
                <c:pt idx="25">
                  <c:v>43.475840820900011</c:v>
                </c:pt>
                <c:pt idx="26">
                  <c:v>9.2869426111000024</c:v>
                </c:pt>
                <c:pt idx="27">
                  <c:v>5.3976112146000048</c:v>
                </c:pt>
                <c:pt idx="28">
                  <c:v>7.1489622175999967</c:v>
                </c:pt>
                <c:pt idx="29">
                  <c:v>14.097792744900005</c:v>
                </c:pt>
                <c:pt idx="30">
                  <c:v>25.327159451300005</c:v>
                </c:pt>
                <c:pt idx="31">
                  <c:v>16.556125444499997</c:v>
                </c:pt>
              </c:numCache>
            </c:numRef>
          </c:val>
          <c:smooth val="0"/>
          <c:extLst>
            <c:ext xmlns:c16="http://schemas.microsoft.com/office/drawing/2014/chart" uri="{C3380CC4-5D6E-409C-BE32-E72D297353CC}">
              <c16:uniqueId val="{00000001-6D5E-4E02-9229-586A0C1E7A98}"/>
            </c:ext>
          </c:extLst>
        </c:ser>
        <c:dLbls>
          <c:showLegendKey val="0"/>
          <c:showVal val="0"/>
          <c:showCatName val="0"/>
          <c:showSerName val="0"/>
          <c:showPercent val="0"/>
          <c:showBubbleSize val="0"/>
        </c:dLbls>
        <c:marker val="1"/>
        <c:smooth val="0"/>
        <c:axId val="68608000"/>
        <c:axId val="68609920"/>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2'!$R$38:$AX$38</c:f>
              <c:numCache>
                <c:formatCode>##0.0</c:formatCode>
                <c:ptCount val="33"/>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pt idx="31">
                  <c:v>80.5</c:v>
                </c:pt>
                <c:pt idx="32">
                  <c:v>80.900000000000006</c:v>
                </c:pt>
              </c:numCache>
            </c:numRef>
          </c:val>
          <c:smooth val="0"/>
          <c:extLst>
            <c:ext xmlns:c16="http://schemas.microsoft.com/office/drawing/2014/chart" uri="{C3380CC4-5D6E-409C-BE32-E72D297353CC}">
              <c16:uniqueId val="{00000002-6D5E-4E02-9229-586A0C1E7A98}"/>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2'!$R$39:$AX$39</c:f>
              <c:numCache>
                <c:formatCode>##0.0</c:formatCode>
                <c:ptCount val="33"/>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numCache>
            </c:numRef>
          </c:val>
          <c:smooth val="0"/>
          <c:extLst>
            <c:ext xmlns:c16="http://schemas.microsoft.com/office/drawing/2014/chart" uri="{C3380CC4-5D6E-409C-BE32-E72D297353CC}">
              <c16:uniqueId val="{00000003-6D5E-4E02-9229-586A0C1E7A98}"/>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2'!$R$40:$AX$40</c:f>
              <c:numCache>
                <c:formatCode>#\ ##0.0</c:formatCode>
                <c:ptCount val="33"/>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numCache>
            </c:numRef>
          </c:val>
          <c:smooth val="0"/>
          <c:extLst>
            <c:ext xmlns:c16="http://schemas.microsoft.com/office/drawing/2014/chart" uri="{C3380CC4-5D6E-409C-BE32-E72D297353CC}">
              <c16:uniqueId val="{00000004-6D5E-4E02-9229-586A0C1E7A98}"/>
            </c:ext>
          </c:extLst>
        </c:ser>
        <c:ser>
          <c:idx val="5"/>
          <c:order val="5"/>
          <c:tx>
            <c:strRef>
              <c:f>'výkonnost odvětví 2'!$A$41</c:f>
              <c:strCache>
                <c:ptCount val="1"/>
                <c:pt idx="0">
                  <c:v>Bariéra růstu: nedostatek pracovníků</c:v>
                </c:pt>
              </c:strCache>
            </c:strRef>
          </c:tx>
          <c:spPr>
            <a:ln w="15875">
              <a:solidFill>
                <a:schemeClr val="accent3">
                  <a:lumMod val="75000"/>
                </a:schemeClr>
              </a:solidFill>
              <a:prstDash val="sys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2'!$R$41:$AX$41</c:f>
              <c:numCache>
                <c:formatCode>#\ ##0.0</c:formatCode>
                <c:ptCount val="33"/>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numCache>
            </c:numRef>
          </c:val>
          <c:smooth val="0"/>
          <c:extLst>
            <c:ext xmlns:c16="http://schemas.microsoft.com/office/drawing/2014/chart" uri="{C3380CC4-5D6E-409C-BE32-E72D297353CC}">
              <c16:uniqueId val="{00000005-6D5E-4E02-9229-586A0C1E7A98}"/>
            </c:ext>
          </c:extLst>
        </c:ser>
        <c:ser>
          <c:idx val="6"/>
          <c:order val="6"/>
          <c:tx>
            <c:strRef>
              <c:f>'výkonnost odvětví 2'!$A$42</c:f>
              <c:strCache>
                <c:ptCount val="1"/>
                <c:pt idx="0">
                  <c:v>Bariéra růstu: nedost. materiálu a zařízení</c:v>
                </c:pt>
              </c:strCache>
            </c:strRef>
          </c:tx>
          <c:spPr>
            <a:ln w="15875">
              <a:solidFill>
                <a:srgbClr val="1EB222"/>
              </a:solidFill>
              <a:prstDash val="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2'!$R$42:$AX$42</c:f>
              <c:numCache>
                <c:formatCode>#\ ##0.0</c:formatCode>
                <c:ptCount val="33"/>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numCache>
            </c:numRef>
          </c:val>
          <c:smooth val="0"/>
          <c:extLst>
            <c:ext xmlns:c16="http://schemas.microsoft.com/office/drawing/2014/chart" uri="{C3380CC4-5D6E-409C-BE32-E72D297353CC}">
              <c16:uniqueId val="{00000006-6D5E-4E02-9229-586A0C1E7A98}"/>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2'!$R$43:$AX$43</c:f>
              <c:numCache>
                <c:formatCode>#\ ##0.0</c:formatCode>
                <c:ptCount val="33"/>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0.30000000000000021</c:v>
                </c:pt>
                <c:pt idx="17">
                  <c:v>-2</c:v>
                </c:pt>
                <c:pt idx="18">
                  <c:v>-3</c:v>
                </c:pt>
                <c:pt idx="19">
                  <c:v>-6.7</c:v>
                </c:pt>
                <c:pt idx="20">
                  <c:v>-5</c:v>
                </c:pt>
                <c:pt idx="21">
                  <c:v>-25</c:v>
                </c:pt>
                <c:pt idx="22">
                  <c:v>-6.3</c:v>
                </c:pt>
                <c:pt idx="23">
                  <c:v>-10</c:v>
                </c:pt>
                <c:pt idx="24">
                  <c:v>-1.3</c:v>
                </c:pt>
                <c:pt idx="25">
                  <c:v>5.3</c:v>
                </c:pt>
                <c:pt idx="26">
                  <c:v>-1.3</c:v>
                </c:pt>
                <c:pt idx="27">
                  <c:v>-5.3</c:v>
                </c:pt>
                <c:pt idx="28">
                  <c:v>-0.30000000000000021</c:v>
                </c:pt>
                <c:pt idx="29">
                  <c:v>8.3000000000000007</c:v>
                </c:pt>
                <c:pt idx="30">
                  <c:v>-1.7</c:v>
                </c:pt>
                <c:pt idx="31">
                  <c:v>-8.3000000000000007</c:v>
                </c:pt>
                <c:pt idx="32">
                  <c:v>-10.1</c:v>
                </c:pt>
              </c:numCache>
            </c:numRef>
          </c:val>
          <c:smooth val="0"/>
          <c:extLst>
            <c:ext xmlns:c16="http://schemas.microsoft.com/office/drawing/2014/chart" uri="{C3380CC4-5D6E-409C-BE32-E72D297353CC}">
              <c16:uniqueId val="{00000007-6D5E-4E02-9229-586A0C1E7A98}"/>
            </c:ext>
          </c:extLst>
        </c:ser>
        <c:dLbls>
          <c:showLegendKey val="0"/>
          <c:showVal val="0"/>
          <c:showCatName val="0"/>
          <c:showSerName val="0"/>
          <c:showPercent val="0"/>
          <c:showBubbleSize val="0"/>
        </c:dLbls>
        <c:marker val="1"/>
        <c:smooth val="0"/>
        <c:axId val="68614016"/>
        <c:axId val="68612096"/>
      </c:lineChart>
      <c:catAx>
        <c:axId val="68608000"/>
        <c:scaling>
          <c:orientation val="minMax"/>
        </c:scaling>
        <c:delete val="0"/>
        <c:axPos val="b"/>
        <c:numFmt formatCode="General" sourceLinked="1"/>
        <c:majorTickMark val="out"/>
        <c:minorTickMark val="none"/>
        <c:tickLblPos val="low"/>
        <c:crossAx val="68609920"/>
        <c:crosses val="autoZero"/>
        <c:auto val="1"/>
        <c:lblAlgn val="ctr"/>
        <c:lblOffset val="0"/>
        <c:noMultiLvlLbl val="0"/>
      </c:catAx>
      <c:valAx>
        <c:axId val="68609920"/>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68608000"/>
        <c:crosses val="autoZero"/>
        <c:crossBetween val="between"/>
        <c:majorUnit val="10"/>
      </c:valAx>
      <c:valAx>
        <c:axId val="68612096"/>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68614016"/>
        <c:crosses val="max"/>
        <c:crossBetween val="between"/>
        <c:majorUnit val="10"/>
      </c:valAx>
      <c:catAx>
        <c:axId val="68614016"/>
        <c:scaling>
          <c:orientation val="minMax"/>
        </c:scaling>
        <c:delete val="1"/>
        <c:axPos val="b"/>
        <c:numFmt formatCode="General" sourceLinked="1"/>
        <c:majorTickMark val="out"/>
        <c:minorTickMark val="none"/>
        <c:tickLblPos val="none"/>
        <c:crossAx val="6861209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6E-2"/>
          <c:y val="0.85586448957034"/>
          <c:w val="0.983423274946082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293E-2"/>
          <c:w val="0.85237839893753009"/>
          <c:h val="0.7541319148337040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3'!$Y$31:$Y$63</c:f>
              <c:numCache>
                <c:formatCode>0.0</c:formatCode>
                <c:ptCount val="33"/>
                <c:pt idx="0">
                  <c:v>6.1561626309009005</c:v>
                </c:pt>
                <c:pt idx="1">
                  <c:v>5.2198061741317501</c:v>
                </c:pt>
                <c:pt idx="2">
                  <c:v>0.81121749109615049</c:v>
                </c:pt>
                <c:pt idx="3">
                  <c:v>-1.7822785638123877</c:v>
                </c:pt>
                <c:pt idx="4">
                  <c:v>-4.9474983218352611</c:v>
                </c:pt>
                <c:pt idx="5">
                  <c:v>-5.3410137900175894</c:v>
                </c:pt>
                <c:pt idx="6">
                  <c:v>0.85472628808719631</c:v>
                </c:pt>
                <c:pt idx="7">
                  <c:v>4.0254222391977077</c:v>
                </c:pt>
                <c:pt idx="8">
                  <c:v>2.017572625987365</c:v>
                </c:pt>
                <c:pt idx="9">
                  <c:v>10.474566164887008</c:v>
                </c:pt>
                <c:pt idx="10">
                  <c:v>3.5905235492018619</c:v>
                </c:pt>
                <c:pt idx="11">
                  <c:v>2.5447811488700287</c:v>
                </c:pt>
                <c:pt idx="12">
                  <c:v>13.855995105276014</c:v>
                </c:pt>
                <c:pt idx="13">
                  <c:v>6.2297897206962016</c:v>
                </c:pt>
                <c:pt idx="14">
                  <c:v>7.7185371709558845</c:v>
                </c:pt>
                <c:pt idx="15">
                  <c:v>2.6447791693670242</c:v>
                </c:pt>
                <c:pt idx="16">
                  <c:v>2.9154958090698768</c:v>
                </c:pt>
                <c:pt idx="17">
                  <c:v>2.5181773768727012</c:v>
                </c:pt>
                <c:pt idx="18">
                  <c:v>-0.93944398979144517</c:v>
                </c:pt>
                <c:pt idx="19">
                  <c:v>2.5303698836274942</c:v>
                </c:pt>
                <c:pt idx="20">
                  <c:v>-0.46960829875990717</c:v>
                </c:pt>
                <c:pt idx="21">
                  <c:v>-7.4218468389728374</c:v>
                </c:pt>
                <c:pt idx="22">
                  <c:v>-7.096270025046679</c:v>
                </c:pt>
                <c:pt idx="23">
                  <c:v>-8.6039821749857008</c:v>
                </c:pt>
                <c:pt idx="24">
                  <c:v>-5.1060484442398515</c:v>
                </c:pt>
                <c:pt idx="25">
                  <c:v>3.0894144911689372</c:v>
                </c:pt>
                <c:pt idx="26">
                  <c:v>3.0581483596865797</c:v>
                </c:pt>
                <c:pt idx="27">
                  <c:v>5.9641153438617955</c:v>
                </c:pt>
                <c:pt idx="28">
                  <c:v>7.6985733618147503</c:v>
                </c:pt>
                <c:pt idx="29">
                  <c:v>3.7816260772697343</c:v>
                </c:pt>
                <c:pt idx="30">
                  <c:v>-0.85167488545055614</c:v>
                </c:pt>
                <c:pt idx="31">
                  <c:v>-1.064293824011652</c:v>
                </c:pt>
              </c:numCache>
            </c:numRef>
          </c:val>
          <c:extLst>
            <c:ext xmlns:c16="http://schemas.microsoft.com/office/drawing/2014/chart" uri="{C3380CC4-5D6E-409C-BE32-E72D297353CC}">
              <c16:uniqueId val="{00000000-679E-49E6-8ED5-57CF2C2ACC39}"/>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3'!$Z$31:$Z$63</c:f>
              <c:numCache>
                <c:formatCode>0.0</c:formatCode>
                <c:ptCount val="33"/>
                <c:pt idx="0">
                  <c:v>3.0695976370766149</c:v>
                </c:pt>
                <c:pt idx="1">
                  <c:v>6.8687640563901562</c:v>
                </c:pt>
                <c:pt idx="2">
                  <c:v>7.0024284830594636</c:v>
                </c:pt>
                <c:pt idx="3">
                  <c:v>2.7837014139812042</c:v>
                </c:pt>
                <c:pt idx="4">
                  <c:v>-1.1579843374442889</c:v>
                </c:pt>
                <c:pt idx="5">
                  <c:v>-5.3321915124459931</c:v>
                </c:pt>
                <c:pt idx="6">
                  <c:v>-6.6730867722657479</c:v>
                </c:pt>
                <c:pt idx="7">
                  <c:v>-5.6953151664187196</c:v>
                </c:pt>
                <c:pt idx="8">
                  <c:v>-3.3415683870294464</c:v>
                </c:pt>
                <c:pt idx="9">
                  <c:v>-0.92513468206673821</c:v>
                </c:pt>
                <c:pt idx="10">
                  <c:v>-1.3825682431716371</c:v>
                </c:pt>
                <c:pt idx="11">
                  <c:v>0.15379376908864856</c:v>
                </c:pt>
                <c:pt idx="12">
                  <c:v>1.8552559317982529</c:v>
                </c:pt>
                <c:pt idx="13">
                  <c:v>1.1686216071454012</c:v>
                </c:pt>
                <c:pt idx="14">
                  <c:v>4.7418799981741344</c:v>
                </c:pt>
                <c:pt idx="15">
                  <c:v>1.6348281993667251</c:v>
                </c:pt>
                <c:pt idx="16">
                  <c:v>0.73841178948747288</c:v>
                </c:pt>
                <c:pt idx="17">
                  <c:v>1.9442793930587439</c:v>
                </c:pt>
                <c:pt idx="18">
                  <c:v>0.54106169015283734</c:v>
                </c:pt>
                <c:pt idx="19">
                  <c:v>0.95067687240436216</c:v>
                </c:pt>
                <c:pt idx="20">
                  <c:v>3.1447236799020808</c:v>
                </c:pt>
                <c:pt idx="21">
                  <c:v>1.2065846288621398</c:v>
                </c:pt>
                <c:pt idx="22">
                  <c:v>-1.801440216744884</c:v>
                </c:pt>
                <c:pt idx="23">
                  <c:v>0.40724127593117326</c:v>
                </c:pt>
                <c:pt idx="24">
                  <c:v>-3.7728807524338895E-2</c:v>
                </c:pt>
                <c:pt idx="25">
                  <c:v>0.87829300361278184</c:v>
                </c:pt>
                <c:pt idx="26">
                  <c:v>-0.16995879442567768</c:v>
                </c:pt>
                <c:pt idx="27">
                  <c:v>-0.94797535997122129</c:v>
                </c:pt>
                <c:pt idx="28">
                  <c:v>3.6282601585830592</c:v>
                </c:pt>
                <c:pt idx="29">
                  <c:v>0.20418944444674317</c:v>
                </c:pt>
                <c:pt idx="30">
                  <c:v>2.9660301568950578E-2</c:v>
                </c:pt>
                <c:pt idx="31">
                  <c:v>0.93183034570182299</c:v>
                </c:pt>
              </c:numCache>
            </c:numRef>
          </c:val>
          <c:extLst>
            <c:ext xmlns:c16="http://schemas.microsoft.com/office/drawing/2014/chart" uri="{C3380CC4-5D6E-409C-BE32-E72D297353CC}">
              <c16:uniqueId val="{00000001-679E-49E6-8ED5-57CF2C2ACC39}"/>
            </c:ext>
          </c:extLst>
        </c:ser>
        <c:dLbls>
          <c:showLegendKey val="0"/>
          <c:showVal val="0"/>
          <c:showCatName val="0"/>
          <c:showSerName val="0"/>
          <c:showPercent val="0"/>
          <c:showBubbleSize val="0"/>
        </c:dLbls>
        <c:gapWidth val="30"/>
        <c:overlap val="100"/>
        <c:axId val="69602304"/>
        <c:axId val="69608576"/>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3'!$X$31:$X$63</c:f>
              <c:numCache>
                <c:formatCode>0.0</c:formatCode>
                <c:ptCount val="33"/>
                <c:pt idx="0">
                  <c:v>9.225760267977499</c:v>
                </c:pt>
                <c:pt idx="1">
                  <c:v>12.088570230521924</c:v>
                </c:pt>
                <c:pt idx="2">
                  <c:v>7.8136459741555875</c:v>
                </c:pt>
                <c:pt idx="3">
                  <c:v>1.0014228501687938</c:v>
                </c:pt>
                <c:pt idx="4">
                  <c:v>-6.1054826592795273</c:v>
                </c:pt>
                <c:pt idx="5">
                  <c:v>-10.673205302463581</c:v>
                </c:pt>
                <c:pt idx="6">
                  <c:v>-5.8183604841785446</c:v>
                </c:pt>
                <c:pt idx="7">
                  <c:v>-1.6698929272209995</c:v>
                </c:pt>
                <c:pt idx="8">
                  <c:v>-1.3239957610420978</c:v>
                </c:pt>
                <c:pt idx="9">
                  <c:v>9.5494314828202391</c:v>
                </c:pt>
                <c:pt idx="10">
                  <c:v>2.2079553060302146</c:v>
                </c:pt>
                <c:pt idx="11">
                  <c:v>2.6985749179586662</c:v>
                </c:pt>
                <c:pt idx="12">
                  <c:v>15.71125103707427</c:v>
                </c:pt>
                <c:pt idx="13">
                  <c:v>7.3984113278415968</c:v>
                </c:pt>
                <c:pt idx="14">
                  <c:v>12.460417169130025</c:v>
                </c:pt>
                <c:pt idx="15">
                  <c:v>4.2796073687337399</c:v>
                </c:pt>
                <c:pt idx="16">
                  <c:v>3.6539075985573706</c:v>
                </c:pt>
                <c:pt idx="17">
                  <c:v>4.4624567699314603</c:v>
                </c:pt>
                <c:pt idx="18">
                  <c:v>-0.39838229963861294</c:v>
                </c:pt>
                <c:pt idx="19">
                  <c:v>3.4810467560318732</c:v>
                </c:pt>
                <c:pt idx="20">
                  <c:v>2.6751153811421782</c:v>
                </c:pt>
                <c:pt idx="21">
                  <c:v>-6.2152622101107093</c:v>
                </c:pt>
                <c:pt idx="22">
                  <c:v>-8.8977102417915539</c:v>
                </c:pt>
                <c:pt idx="23">
                  <c:v>-8.1967408990545607</c:v>
                </c:pt>
                <c:pt idx="24">
                  <c:v>-5.143777251764206</c:v>
                </c:pt>
                <c:pt idx="25">
                  <c:v>3.9677074947817061</c:v>
                </c:pt>
                <c:pt idx="26">
                  <c:v>2.8881895652609191</c:v>
                </c:pt>
                <c:pt idx="27">
                  <c:v>5.0161399838906124</c:v>
                </c:pt>
                <c:pt idx="28">
                  <c:v>11.3268335203978</c:v>
                </c:pt>
                <c:pt idx="29">
                  <c:v>3.9858155217164608</c:v>
                </c:pt>
                <c:pt idx="30">
                  <c:v>-0.82201458388159654</c:v>
                </c:pt>
                <c:pt idx="31">
                  <c:v>-0.1324634783098447</c:v>
                </c:pt>
              </c:numCache>
            </c:numRef>
          </c:val>
          <c:smooth val="0"/>
          <c:extLst>
            <c:ext xmlns:c16="http://schemas.microsoft.com/office/drawing/2014/chart" uri="{C3380CC4-5D6E-409C-BE32-E72D297353CC}">
              <c16:uniqueId val="{00000002-679E-49E6-8ED5-57CF2C2ACC39}"/>
            </c:ext>
          </c:extLst>
        </c:ser>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3'!$AA$31:$AA$63</c:f>
              <c:numCache>
                <c:formatCode>0.0</c:formatCode>
                <c:ptCount val="33"/>
                <c:pt idx="0">
                  <c:v>-3.1547956675580053</c:v>
                </c:pt>
                <c:pt idx="1">
                  <c:v>9.7504961091663276</c:v>
                </c:pt>
                <c:pt idx="2">
                  <c:v>-1.0976060227612559</c:v>
                </c:pt>
                <c:pt idx="3">
                  <c:v>-2.3987783410040464</c:v>
                </c:pt>
                <c:pt idx="4">
                  <c:v>-6.6406358945753805</c:v>
                </c:pt>
                <c:pt idx="5">
                  <c:v>-0.49977652269311085</c:v>
                </c:pt>
                <c:pt idx="6">
                  <c:v>-7.0322087253454839</c:v>
                </c:pt>
                <c:pt idx="7">
                  <c:v>10.122126124559955</c:v>
                </c:pt>
                <c:pt idx="8">
                  <c:v>16.177217458847451</c:v>
                </c:pt>
                <c:pt idx="9">
                  <c:v>9.5350878984013079</c:v>
                </c:pt>
                <c:pt idx="10">
                  <c:v>-1.2817324431350698</c:v>
                </c:pt>
                <c:pt idx="11">
                  <c:v>15.620806693503823</c:v>
                </c:pt>
                <c:pt idx="12">
                  <c:v>30.106973873688574</c:v>
                </c:pt>
                <c:pt idx="13">
                  <c:v>32.836878110611956</c:v>
                </c:pt>
                <c:pt idx="14">
                  <c:v>5.2768249907951237</c:v>
                </c:pt>
                <c:pt idx="15">
                  <c:v>1.894456581103229</c:v>
                </c:pt>
                <c:pt idx="16">
                  <c:v>14.157245632065782</c:v>
                </c:pt>
                <c:pt idx="17">
                  <c:v>-9.3849543241233224</c:v>
                </c:pt>
                <c:pt idx="18">
                  <c:v>17.407871000993993</c:v>
                </c:pt>
                <c:pt idx="19">
                  <c:v>5.8323004254463804</c:v>
                </c:pt>
                <c:pt idx="20">
                  <c:v>-12.441635069859252</c:v>
                </c:pt>
                <c:pt idx="21">
                  <c:v>7.4973457220286726</c:v>
                </c:pt>
                <c:pt idx="22">
                  <c:v>2.0599736606932861</c:v>
                </c:pt>
                <c:pt idx="23">
                  <c:v>7.5507850088630155</c:v>
                </c:pt>
                <c:pt idx="24">
                  <c:v>28.856340981154403</c:v>
                </c:pt>
                <c:pt idx="25">
                  <c:v>22.047871359987191</c:v>
                </c:pt>
                <c:pt idx="26">
                  <c:v>10.015015612184266</c:v>
                </c:pt>
                <c:pt idx="27">
                  <c:v>1.0053213537781134</c:v>
                </c:pt>
                <c:pt idx="28">
                  <c:v>13.067478460417863</c:v>
                </c:pt>
                <c:pt idx="29">
                  <c:v>17.619163607261132</c:v>
                </c:pt>
                <c:pt idx="30">
                  <c:v>12.421954480552532</c:v>
                </c:pt>
                <c:pt idx="31">
                  <c:v>13.031852753748723</c:v>
                </c:pt>
              </c:numCache>
            </c:numRef>
          </c:val>
          <c:smooth val="0"/>
          <c:extLst>
            <c:ext xmlns:c16="http://schemas.microsoft.com/office/drawing/2014/chart" uri="{C3380CC4-5D6E-409C-BE32-E72D297353CC}">
              <c16:uniqueId val="{00000003-679E-49E6-8ED5-57CF2C2ACC39}"/>
            </c:ext>
          </c:extLst>
        </c:ser>
        <c:dLbls>
          <c:showLegendKey val="0"/>
          <c:showVal val="0"/>
          <c:showCatName val="0"/>
          <c:showSerName val="0"/>
          <c:showPercent val="0"/>
          <c:showBubbleSize val="0"/>
        </c:dLbls>
        <c:marker val="1"/>
        <c:smooth val="0"/>
        <c:axId val="69602304"/>
        <c:axId val="69608576"/>
      </c:lineChart>
      <c:lineChart>
        <c:grouping val="standard"/>
        <c:varyColors val="0"/>
        <c:ser>
          <c:idx val="4"/>
          <c:order val="4"/>
          <c:tx>
            <c:strRef>
              <c:f>'výkonnost odvětví 3'!$AB$10</c:f>
              <c:strCache>
                <c:ptCount val="1"/>
                <c:pt idx="0">
                  <c:v>Bariéra růstu: nedostatečná poptávka</c:v>
                </c:pt>
              </c:strCache>
            </c:strRef>
          </c:tx>
          <c:spPr>
            <a:ln w="15875">
              <a:solidFill>
                <a:srgbClr val="92D050"/>
              </a:solidFill>
              <a:prstDash val="dash"/>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3'!$AB$31:$AB$63</c:f>
              <c:numCache>
                <c:formatCode>#\ ##0.0</c:formatCode>
                <c:ptCount val="33"/>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formatCode="#\ ##0.##########">
                  <c:v>19.5</c:v>
                </c:pt>
                <c:pt idx="28" formatCode="#\ ##0.##########">
                  <c:v>21.3</c:v>
                </c:pt>
                <c:pt idx="29" formatCode="#\ ##0.##########">
                  <c:v>21.1</c:v>
                </c:pt>
                <c:pt idx="30" formatCode="#\ ##0.##########">
                  <c:v>19.3</c:v>
                </c:pt>
                <c:pt idx="31" formatCode="#\ ##0.##########">
                  <c:v>20.6</c:v>
                </c:pt>
                <c:pt idx="32" formatCode="#\ ##0.##########">
                  <c:v>31.9</c:v>
                </c:pt>
              </c:numCache>
            </c:numRef>
          </c:val>
          <c:smooth val="0"/>
          <c:extLst>
            <c:ext xmlns:c16="http://schemas.microsoft.com/office/drawing/2014/chart" uri="{C3380CC4-5D6E-409C-BE32-E72D297353CC}">
              <c16:uniqueId val="{00000004-679E-49E6-8ED5-57CF2C2ACC39}"/>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3'!$AC$31:$AC$63</c:f>
              <c:numCache>
                <c:formatCode>#\ ##0.0</c:formatCode>
                <c:ptCount val="33"/>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35.300000000000004</c:v>
                </c:pt>
                <c:pt idx="23" formatCode="0.0">
                  <c:v>31.9</c:v>
                </c:pt>
                <c:pt idx="24">
                  <c:v>48.6</c:v>
                </c:pt>
                <c:pt idx="25">
                  <c:v>31.6</c:v>
                </c:pt>
                <c:pt idx="26">
                  <c:v>40.700000000000003</c:v>
                </c:pt>
                <c:pt idx="27">
                  <c:v>42</c:v>
                </c:pt>
                <c:pt idx="28">
                  <c:v>58</c:v>
                </c:pt>
                <c:pt idx="29" formatCode="#\ ##0.##########">
                  <c:v>44.4</c:v>
                </c:pt>
                <c:pt idx="30">
                  <c:v>39</c:v>
                </c:pt>
                <c:pt idx="31" formatCode="#\ ##0.##########">
                  <c:v>46.8</c:v>
                </c:pt>
                <c:pt idx="32" formatCode="#\ ##0.##########">
                  <c:v>40.1</c:v>
                </c:pt>
              </c:numCache>
            </c:numRef>
          </c:val>
          <c:smooth val="0"/>
          <c:extLst>
            <c:ext xmlns:c16="http://schemas.microsoft.com/office/drawing/2014/chart" uri="{C3380CC4-5D6E-409C-BE32-E72D297353CC}">
              <c16:uniqueId val="{00000005-679E-49E6-8ED5-57CF2C2ACC39}"/>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3'!$AD$31:$AD$63</c:f>
              <c:numCache>
                <c:formatCode>#\ ##0.0</c:formatCode>
                <c:ptCount val="33"/>
                <c:pt idx="0">
                  <c:v>0.1</c:v>
                </c:pt>
                <c:pt idx="1">
                  <c:v>0.4</c:v>
                </c:pt>
                <c:pt idx="2">
                  <c:v>4</c:v>
                </c:pt>
                <c:pt idx="3">
                  <c:v>0.5</c:v>
                </c:pt>
                <c:pt idx="4">
                  <c:v>0.4</c:v>
                </c:pt>
                <c:pt idx="5">
                  <c:v>0.5</c:v>
                </c:pt>
                <c:pt idx="6">
                  <c:v>0.5</c:v>
                </c:pt>
                <c:pt idx="7">
                  <c:v>1.5</c:v>
                </c:pt>
                <c:pt idx="8">
                  <c:v>0.30000000000000021</c:v>
                </c:pt>
                <c:pt idx="9">
                  <c:v>0.30000000000000021</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formatCode="#\ ##0.##########">
                  <c:v>22.8</c:v>
                </c:pt>
                <c:pt idx="28" formatCode="#\ ##0.##########">
                  <c:v>24.7</c:v>
                </c:pt>
                <c:pt idx="29" formatCode="#\ ##0.##########">
                  <c:v>41.3</c:v>
                </c:pt>
                <c:pt idx="30" formatCode="#\ ##0.##########">
                  <c:v>38.6</c:v>
                </c:pt>
                <c:pt idx="31" formatCode="#\ ##0.##########">
                  <c:v>23.4</c:v>
                </c:pt>
                <c:pt idx="32" formatCode="#\ ##0.##########">
                  <c:v>19.5</c:v>
                </c:pt>
              </c:numCache>
            </c:numRef>
          </c:val>
          <c:smooth val="0"/>
          <c:extLst>
            <c:ext xmlns:c16="http://schemas.microsoft.com/office/drawing/2014/chart" uri="{C3380CC4-5D6E-409C-BE32-E72D297353CC}">
              <c16:uniqueId val="{00000006-679E-49E6-8ED5-57CF2C2ACC39}"/>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3'!$AE$31:$AE$63</c:f>
              <c:numCache>
                <c:formatCode>0.0</c:formatCode>
                <c:ptCount val="33"/>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numCache>
            </c:numRef>
          </c:val>
          <c:smooth val="0"/>
          <c:extLst>
            <c:ext xmlns:c16="http://schemas.microsoft.com/office/drawing/2014/chart" uri="{C3380CC4-5D6E-409C-BE32-E72D297353CC}">
              <c16:uniqueId val="{00000007-679E-49E6-8ED5-57CF2C2ACC39}"/>
            </c:ext>
          </c:extLst>
        </c:ser>
        <c:dLbls>
          <c:showLegendKey val="0"/>
          <c:showVal val="0"/>
          <c:showCatName val="0"/>
          <c:showSerName val="0"/>
          <c:showPercent val="0"/>
          <c:showBubbleSize val="0"/>
        </c:dLbls>
        <c:marker val="1"/>
        <c:smooth val="0"/>
        <c:axId val="69612672"/>
        <c:axId val="69610496"/>
      </c:lineChart>
      <c:catAx>
        <c:axId val="69602304"/>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69608576"/>
        <c:crosses val="autoZero"/>
        <c:auto val="1"/>
        <c:lblAlgn val="ctr"/>
        <c:lblOffset val="0"/>
        <c:noMultiLvlLbl val="0"/>
      </c:catAx>
      <c:valAx>
        <c:axId val="69608576"/>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69602304"/>
        <c:crosses val="autoZero"/>
        <c:crossBetween val="between"/>
        <c:majorUnit val="10"/>
      </c:valAx>
      <c:valAx>
        <c:axId val="69610496"/>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69612672"/>
        <c:crosses val="max"/>
        <c:crossBetween val="between"/>
        <c:majorUnit val="20"/>
      </c:valAx>
      <c:catAx>
        <c:axId val="69612672"/>
        <c:scaling>
          <c:orientation val="minMax"/>
        </c:scaling>
        <c:delete val="1"/>
        <c:axPos val="b"/>
        <c:numFmt formatCode="General" sourceLinked="1"/>
        <c:majorTickMark val="out"/>
        <c:minorTickMark val="none"/>
        <c:tickLblPos val="none"/>
        <c:crossAx val="6961049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52"/>
          <c:w val="0.96925714241885441"/>
          <c:h val="0.13362821778942569"/>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26691729323407E-2"/>
          <c:y val="1.5803328678987472E-2"/>
          <c:w val="0.85048169060633572"/>
          <c:h val="0.69902590308489521"/>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růstu-4'!$D$46:$D$78</c:f>
              <c:numCache>
                <c:formatCode>0.0</c:formatCode>
                <c:ptCount val="33"/>
                <c:pt idx="0">
                  <c:v>0.17627373165999941</c:v>
                </c:pt>
                <c:pt idx="1">
                  <c:v>-4.1398260783598463E-2</c:v>
                </c:pt>
                <c:pt idx="2">
                  <c:v>0.20127676583260184</c:v>
                </c:pt>
                <c:pt idx="3">
                  <c:v>4.2331882175001882E-2</c:v>
                </c:pt>
                <c:pt idx="4">
                  <c:v>0.2604828945619988</c:v>
                </c:pt>
                <c:pt idx="5">
                  <c:v>0.20044719477909842</c:v>
                </c:pt>
                <c:pt idx="6">
                  <c:v>0.14004615678000049</c:v>
                </c:pt>
                <c:pt idx="7">
                  <c:v>0.86059283114800145</c:v>
                </c:pt>
                <c:pt idx="8">
                  <c:v>1.6559965627289979</c:v>
                </c:pt>
                <c:pt idx="9">
                  <c:v>1.0934548874629979</c:v>
                </c:pt>
                <c:pt idx="10">
                  <c:v>1.1374484601479997</c:v>
                </c:pt>
                <c:pt idx="11">
                  <c:v>0.6047080971790002</c:v>
                </c:pt>
                <c:pt idx="12">
                  <c:v>1.7518533558900002</c:v>
                </c:pt>
                <c:pt idx="13">
                  <c:v>1.9191714775479998</c:v>
                </c:pt>
                <c:pt idx="14">
                  <c:v>1.4689069805629977</c:v>
                </c:pt>
                <c:pt idx="15">
                  <c:v>0.49822211685500067</c:v>
                </c:pt>
                <c:pt idx="16">
                  <c:v>0.75210969494300184</c:v>
                </c:pt>
                <c:pt idx="17">
                  <c:v>-7.8943058121998602E-2</c:v>
                </c:pt>
                <c:pt idx="18">
                  <c:v>-0.6761559609970017</c:v>
                </c:pt>
                <c:pt idx="19">
                  <c:v>-0.53883087511919914</c:v>
                </c:pt>
                <c:pt idx="20">
                  <c:v>-1.7873099078691983</c:v>
                </c:pt>
                <c:pt idx="21">
                  <c:v>-6.8790162520431002</c:v>
                </c:pt>
                <c:pt idx="22">
                  <c:v>-4.215675848624997</c:v>
                </c:pt>
                <c:pt idx="23">
                  <c:v>-1.7596921701599983</c:v>
                </c:pt>
                <c:pt idx="24">
                  <c:v>-0.1501713878405998</c:v>
                </c:pt>
                <c:pt idx="25">
                  <c:v>6.9506599035744037</c:v>
                </c:pt>
                <c:pt idx="26">
                  <c:v>4.0996709945155994</c:v>
                </c:pt>
                <c:pt idx="27">
                  <c:v>4.5444705336066278</c:v>
                </c:pt>
                <c:pt idx="28">
                  <c:v>4.6409021990874102</c:v>
                </c:pt>
                <c:pt idx="29">
                  <c:v>4.7982665196474699</c:v>
                </c:pt>
                <c:pt idx="30">
                  <c:v>3.7712235020789051</c:v>
                </c:pt>
                <c:pt idx="31">
                  <c:v>-0.10353535826759964</c:v>
                </c:pt>
              </c:numCache>
            </c:numRef>
          </c:val>
          <c:extLst>
            <c:ext xmlns:c16="http://schemas.microsoft.com/office/drawing/2014/chart" uri="{C3380CC4-5D6E-409C-BE32-E72D297353CC}">
              <c16:uniqueId val="{00000000-3962-4907-BBF4-F202050585F3}"/>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růstu-4'!$E$46:$E$78</c:f>
              <c:numCache>
                <c:formatCode>0.0</c:formatCode>
                <c:ptCount val="33"/>
                <c:pt idx="0">
                  <c:v>0.23064326026020021</c:v>
                </c:pt>
                <c:pt idx="1">
                  <c:v>0.65490030172000013</c:v>
                </c:pt>
                <c:pt idx="2">
                  <c:v>0.65615704203699965</c:v>
                </c:pt>
                <c:pt idx="3">
                  <c:v>0.40198126828160052</c:v>
                </c:pt>
                <c:pt idx="4">
                  <c:v>0.47264498177679992</c:v>
                </c:pt>
                <c:pt idx="5">
                  <c:v>0.16809598308499987</c:v>
                </c:pt>
                <c:pt idx="6">
                  <c:v>0.5678502803826001</c:v>
                </c:pt>
                <c:pt idx="7">
                  <c:v>0.60026021753880121</c:v>
                </c:pt>
                <c:pt idx="8">
                  <c:v>0.90716175756749962</c:v>
                </c:pt>
                <c:pt idx="9">
                  <c:v>1.2351843183735998</c:v>
                </c:pt>
                <c:pt idx="10">
                  <c:v>0.55372633890920031</c:v>
                </c:pt>
                <c:pt idx="11">
                  <c:v>0.45414701226059939</c:v>
                </c:pt>
                <c:pt idx="12">
                  <c:v>0.20562277238639989</c:v>
                </c:pt>
                <c:pt idx="13">
                  <c:v>4.6481198053399876E-2</c:v>
                </c:pt>
                <c:pt idx="14">
                  <c:v>5.8790755202600173E-2</c:v>
                </c:pt>
                <c:pt idx="15">
                  <c:v>-3.8611122396599751E-2</c:v>
                </c:pt>
                <c:pt idx="16">
                  <c:v>0.19877668230760023</c:v>
                </c:pt>
                <c:pt idx="17">
                  <c:v>0.19106550885020049</c:v>
                </c:pt>
                <c:pt idx="18">
                  <c:v>-2.1031638824599935E-2</c:v>
                </c:pt>
                <c:pt idx="19">
                  <c:v>-1.8881872245599843E-2</c:v>
                </c:pt>
                <c:pt idx="20">
                  <c:v>-1.1578648579121602</c:v>
                </c:pt>
                <c:pt idx="21">
                  <c:v>-4.9674966649835008</c:v>
                </c:pt>
                <c:pt idx="22">
                  <c:v>-1.9520417393251039</c:v>
                </c:pt>
                <c:pt idx="23">
                  <c:v>-4.5017067627894276</c:v>
                </c:pt>
                <c:pt idx="24">
                  <c:v>-3.6933845036437498</c:v>
                </c:pt>
                <c:pt idx="25">
                  <c:v>1.3724082127149841</c:v>
                </c:pt>
                <c:pt idx="26">
                  <c:v>0.6361791628575002</c:v>
                </c:pt>
                <c:pt idx="27">
                  <c:v>2.8391165022808131</c:v>
                </c:pt>
                <c:pt idx="28">
                  <c:v>2.9560910977845003</c:v>
                </c:pt>
                <c:pt idx="29">
                  <c:v>2.6813527792266059</c:v>
                </c:pt>
                <c:pt idx="30">
                  <c:v>-0.42127815127457607</c:v>
                </c:pt>
                <c:pt idx="31">
                  <c:v>0.60069715770430021</c:v>
                </c:pt>
              </c:numCache>
            </c:numRef>
          </c:val>
          <c:extLst>
            <c:ext xmlns:c16="http://schemas.microsoft.com/office/drawing/2014/chart" uri="{C3380CC4-5D6E-409C-BE32-E72D297353CC}">
              <c16:uniqueId val="{00000001-3962-4907-BBF4-F202050585F3}"/>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růstu-4'!$F$46:$F$78</c:f>
              <c:numCache>
                <c:formatCode>0.0</c:formatCode>
                <c:ptCount val="33"/>
                <c:pt idx="0">
                  <c:v>1.4083798915137009</c:v>
                </c:pt>
                <c:pt idx="1">
                  <c:v>0.82540650715499952</c:v>
                </c:pt>
                <c:pt idx="2">
                  <c:v>0.80424272675400077</c:v>
                </c:pt>
                <c:pt idx="3">
                  <c:v>1.3174140502479983</c:v>
                </c:pt>
                <c:pt idx="4">
                  <c:v>0.35985664064800132</c:v>
                </c:pt>
                <c:pt idx="5">
                  <c:v>0.15751383681999892</c:v>
                </c:pt>
                <c:pt idx="6">
                  <c:v>0.32598498922400015</c:v>
                </c:pt>
                <c:pt idx="7">
                  <c:v>0.17761340848900078</c:v>
                </c:pt>
                <c:pt idx="8">
                  <c:v>0.76438636704000096</c:v>
                </c:pt>
                <c:pt idx="9">
                  <c:v>0.98207704425299891</c:v>
                </c:pt>
                <c:pt idx="10">
                  <c:v>0.77093881661000241</c:v>
                </c:pt>
                <c:pt idx="11">
                  <c:v>0.58294315828299859</c:v>
                </c:pt>
                <c:pt idx="12">
                  <c:v>1.4398200028309982</c:v>
                </c:pt>
                <c:pt idx="13">
                  <c:v>0.76531943813199965</c:v>
                </c:pt>
                <c:pt idx="14">
                  <c:v>1.415831001736001</c:v>
                </c:pt>
                <c:pt idx="15">
                  <c:v>0.98684323348800185</c:v>
                </c:pt>
                <c:pt idx="16">
                  <c:v>1.2348474246799996</c:v>
                </c:pt>
                <c:pt idx="17">
                  <c:v>1.1603884990620001</c:v>
                </c:pt>
                <c:pt idx="18">
                  <c:v>0.91591834325400012</c:v>
                </c:pt>
                <c:pt idx="19">
                  <c:v>1.1621880049516025</c:v>
                </c:pt>
                <c:pt idx="20">
                  <c:v>0.8191341781949999</c:v>
                </c:pt>
                <c:pt idx="21">
                  <c:v>1.3223529237600385E-2</c:v>
                </c:pt>
                <c:pt idx="22">
                  <c:v>-0.20840783961800002</c:v>
                </c:pt>
                <c:pt idx="23">
                  <c:v>-0.54142483054800206</c:v>
                </c:pt>
                <c:pt idx="24">
                  <c:v>0.71316924858200104</c:v>
                </c:pt>
                <c:pt idx="25">
                  <c:v>1.5486406955901642</c:v>
                </c:pt>
                <c:pt idx="26">
                  <c:v>1.4405780988855996</c:v>
                </c:pt>
                <c:pt idx="27">
                  <c:v>1.9065499671602741</c:v>
                </c:pt>
                <c:pt idx="28">
                  <c:v>1.4244171805708015</c:v>
                </c:pt>
                <c:pt idx="29">
                  <c:v>0.86601556785599998</c:v>
                </c:pt>
                <c:pt idx="30">
                  <c:v>0.69557852668386988</c:v>
                </c:pt>
                <c:pt idx="31">
                  <c:v>0.23404973529411641</c:v>
                </c:pt>
              </c:numCache>
            </c:numRef>
          </c:val>
          <c:extLst>
            <c:ext xmlns:c16="http://schemas.microsoft.com/office/drawing/2014/chart" uri="{C3380CC4-5D6E-409C-BE32-E72D297353CC}">
              <c16:uniqueId val="{00000002-3962-4907-BBF4-F202050585F3}"/>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růstu-4'!$G$46:$G$78</c:f>
              <c:numCache>
                <c:formatCode>0.0</c:formatCode>
                <c:ptCount val="33"/>
                <c:pt idx="0">
                  <c:v>4.7588818498199952E-2</c:v>
                </c:pt>
                <c:pt idx="1">
                  <c:v>-7.3007550905993838E-3</c:v>
                </c:pt>
                <c:pt idx="2">
                  <c:v>0.12810762983039936</c:v>
                </c:pt>
                <c:pt idx="3">
                  <c:v>2.4617916117599486E-2</c:v>
                </c:pt>
                <c:pt idx="4">
                  <c:v>0.25752090895740026</c:v>
                </c:pt>
                <c:pt idx="5">
                  <c:v>-4.2228184845005514E-3</c:v>
                </c:pt>
                <c:pt idx="6">
                  <c:v>0.14993183101380081</c:v>
                </c:pt>
                <c:pt idx="7">
                  <c:v>-6.6530028186599505E-2</c:v>
                </c:pt>
                <c:pt idx="8">
                  <c:v>0.20977398058900038</c:v>
                </c:pt>
                <c:pt idx="9">
                  <c:v>0.44953617213779962</c:v>
                </c:pt>
                <c:pt idx="10">
                  <c:v>-2.2338348474500516E-2</c:v>
                </c:pt>
                <c:pt idx="11">
                  <c:v>0.13984723093740006</c:v>
                </c:pt>
                <c:pt idx="12">
                  <c:v>2.6966101253399585E-2</c:v>
                </c:pt>
                <c:pt idx="13">
                  <c:v>-0.24884766500039987</c:v>
                </c:pt>
                <c:pt idx="14">
                  <c:v>-0.12645184379759991</c:v>
                </c:pt>
                <c:pt idx="15">
                  <c:v>-0.22378801642200064</c:v>
                </c:pt>
                <c:pt idx="16">
                  <c:v>0.14753986907940037</c:v>
                </c:pt>
                <c:pt idx="17">
                  <c:v>-7.3797086292003737E-3</c:v>
                </c:pt>
                <c:pt idx="18">
                  <c:v>-0.23287434101939941</c:v>
                </c:pt>
                <c:pt idx="19">
                  <c:v>-0.1014703732620004</c:v>
                </c:pt>
                <c:pt idx="20">
                  <c:v>0.42431890762080116</c:v>
                </c:pt>
                <c:pt idx="21">
                  <c:v>-0.29919163957060046</c:v>
                </c:pt>
                <c:pt idx="22">
                  <c:v>-0.26426338474666694</c:v>
                </c:pt>
                <c:pt idx="23">
                  <c:v>-0.23118426949069976</c:v>
                </c:pt>
                <c:pt idx="24">
                  <c:v>-0.20085438476490081</c:v>
                </c:pt>
                <c:pt idx="25">
                  <c:v>0.43434705815385066</c:v>
                </c:pt>
                <c:pt idx="26">
                  <c:v>2.9423998310004183E-3</c:v>
                </c:pt>
                <c:pt idx="27">
                  <c:v>0.23837123738399993</c:v>
                </c:pt>
                <c:pt idx="28">
                  <c:v>0.9322155451648001</c:v>
                </c:pt>
                <c:pt idx="29">
                  <c:v>0.47129681106399984</c:v>
                </c:pt>
                <c:pt idx="30">
                  <c:v>0.24123096528157922</c:v>
                </c:pt>
                <c:pt idx="31">
                  <c:v>0.36200260791666655</c:v>
                </c:pt>
              </c:numCache>
            </c:numRef>
          </c:val>
          <c:extLst>
            <c:ext xmlns:c16="http://schemas.microsoft.com/office/drawing/2014/chart" uri="{C3380CC4-5D6E-409C-BE32-E72D297353CC}">
              <c16:uniqueId val="{00000003-3962-4907-BBF4-F202050585F3}"/>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růstu-4'!$H$46:$H$78</c:f>
              <c:numCache>
                <c:formatCode>0.0</c:formatCode>
                <c:ptCount val="33"/>
                <c:pt idx="0">
                  <c:v>1.0468505532869989</c:v>
                </c:pt>
                <c:pt idx="1">
                  <c:v>0.72007462620000018</c:v>
                </c:pt>
                <c:pt idx="2">
                  <c:v>1.0906393004399992</c:v>
                </c:pt>
                <c:pt idx="3">
                  <c:v>-4.2990021238901457E-2</c:v>
                </c:pt>
                <c:pt idx="4">
                  <c:v>-0.43098075353700138</c:v>
                </c:pt>
                <c:pt idx="5">
                  <c:v>-1.3389465804999978</c:v>
                </c:pt>
                <c:pt idx="6">
                  <c:v>3.0728374200130306E-4</c:v>
                </c:pt>
                <c:pt idx="7">
                  <c:v>-0.31210716654949933</c:v>
                </c:pt>
                <c:pt idx="8">
                  <c:v>0.95807798756000062</c:v>
                </c:pt>
                <c:pt idx="9">
                  <c:v>0.5944783948877993</c:v>
                </c:pt>
                <c:pt idx="10">
                  <c:v>0.30863690562090024</c:v>
                </c:pt>
                <c:pt idx="11">
                  <c:v>0.42814590144940107</c:v>
                </c:pt>
                <c:pt idx="12">
                  <c:v>1.0521629274264996</c:v>
                </c:pt>
                <c:pt idx="13">
                  <c:v>0.5501113250554992</c:v>
                </c:pt>
                <c:pt idx="14">
                  <c:v>0.3596254694963989</c:v>
                </c:pt>
                <c:pt idx="15">
                  <c:v>-0.26680052765060164</c:v>
                </c:pt>
                <c:pt idx="16">
                  <c:v>0.7098884861869007</c:v>
                </c:pt>
                <c:pt idx="17">
                  <c:v>0.5915662586714</c:v>
                </c:pt>
                <c:pt idx="18">
                  <c:v>-0.7775404471821008</c:v>
                </c:pt>
                <c:pt idx="19">
                  <c:v>-0.56889162352000056</c:v>
                </c:pt>
                <c:pt idx="20">
                  <c:v>-0.86298756252779962</c:v>
                </c:pt>
                <c:pt idx="21">
                  <c:v>-3.1826786933129987</c:v>
                </c:pt>
                <c:pt idx="22">
                  <c:v>-1.4951268594295071</c:v>
                </c:pt>
                <c:pt idx="23">
                  <c:v>-1.5495215129057986</c:v>
                </c:pt>
                <c:pt idx="24">
                  <c:v>-1.5897570854689647</c:v>
                </c:pt>
                <c:pt idx="25">
                  <c:v>2.7177633580318035</c:v>
                </c:pt>
                <c:pt idx="26">
                  <c:v>1.7630975025485993</c:v>
                </c:pt>
                <c:pt idx="27">
                  <c:v>2.0930310136979391</c:v>
                </c:pt>
                <c:pt idx="28">
                  <c:v>2.2712332019112011</c:v>
                </c:pt>
                <c:pt idx="29">
                  <c:v>1.2345356208000011</c:v>
                </c:pt>
                <c:pt idx="30">
                  <c:v>1.0042919833478259</c:v>
                </c:pt>
                <c:pt idx="31">
                  <c:v>3.0320654721429776E-2</c:v>
                </c:pt>
              </c:numCache>
            </c:numRef>
          </c:val>
          <c:extLst>
            <c:ext xmlns:c16="http://schemas.microsoft.com/office/drawing/2014/chart" uri="{C3380CC4-5D6E-409C-BE32-E72D297353CC}">
              <c16:uniqueId val="{00000004-3962-4907-BBF4-F202050585F3}"/>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růstu-4'!$I$46:$I$78</c:f>
              <c:numCache>
                <c:formatCode>0.0</c:formatCode>
                <c:ptCount val="33"/>
                <c:pt idx="0">
                  <c:v>0.5155037038964998</c:v>
                </c:pt>
                <c:pt idx="1">
                  <c:v>0.62101310773750029</c:v>
                </c:pt>
                <c:pt idx="2">
                  <c:v>0.43506961802500066</c:v>
                </c:pt>
                <c:pt idx="3">
                  <c:v>0.50168865387909989</c:v>
                </c:pt>
                <c:pt idx="4">
                  <c:v>0.4550707532813994</c:v>
                </c:pt>
                <c:pt idx="5">
                  <c:v>0.16398578688570084</c:v>
                </c:pt>
                <c:pt idx="6">
                  <c:v>0.26977885261849965</c:v>
                </c:pt>
                <c:pt idx="7">
                  <c:v>0.51378188366290034</c:v>
                </c:pt>
                <c:pt idx="8">
                  <c:v>1.320133173034</c:v>
                </c:pt>
                <c:pt idx="9">
                  <c:v>1.0879288678140997</c:v>
                </c:pt>
                <c:pt idx="10">
                  <c:v>0.64134107873250035</c:v>
                </c:pt>
                <c:pt idx="11">
                  <c:v>0.30531118010650082</c:v>
                </c:pt>
                <c:pt idx="12">
                  <c:v>0.53332072309840062</c:v>
                </c:pt>
                <c:pt idx="13">
                  <c:v>0.37840292387820096</c:v>
                </c:pt>
                <c:pt idx="14">
                  <c:v>0.43569101400389965</c:v>
                </c:pt>
                <c:pt idx="15">
                  <c:v>-1.3079338160200678E-2</c:v>
                </c:pt>
                <c:pt idx="16">
                  <c:v>0.47288540072630031</c:v>
                </c:pt>
                <c:pt idx="17">
                  <c:v>0.12968213694649988</c:v>
                </c:pt>
                <c:pt idx="18">
                  <c:v>-0.12322397481159982</c:v>
                </c:pt>
                <c:pt idx="19">
                  <c:v>-0.21537552647130034</c:v>
                </c:pt>
                <c:pt idx="20">
                  <c:v>-1.1051686942919998</c:v>
                </c:pt>
                <c:pt idx="21">
                  <c:v>-4.3129281059486004</c:v>
                </c:pt>
                <c:pt idx="22">
                  <c:v>-4.4460675231578985</c:v>
                </c:pt>
                <c:pt idx="23">
                  <c:v>-2.3716048373777987</c:v>
                </c:pt>
                <c:pt idx="24">
                  <c:v>-1.4732703403763998</c:v>
                </c:pt>
                <c:pt idx="25">
                  <c:v>1.7697809683939403</c:v>
                </c:pt>
                <c:pt idx="26">
                  <c:v>1.8505450464600013</c:v>
                </c:pt>
                <c:pt idx="27">
                  <c:v>1.0498709638992363</c:v>
                </c:pt>
                <c:pt idx="28">
                  <c:v>1.8426107071999986</c:v>
                </c:pt>
                <c:pt idx="29">
                  <c:v>2.1450414215999998</c:v>
                </c:pt>
                <c:pt idx="30">
                  <c:v>1.8856484780316995</c:v>
                </c:pt>
                <c:pt idx="31">
                  <c:v>0.46921732515000031</c:v>
                </c:pt>
              </c:numCache>
            </c:numRef>
          </c:val>
          <c:extLst>
            <c:ext xmlns:c16="http://schemas.microsoft.com/office/drawing/2014/chart" uri="{C3380CC4-5D6E-409C-BE32-E72D297353CC}">
              <c16:uniqueId val="{00000005-3962-4907-BBF4-F202050585F3}"/>
            </c:ext>
          </c:extLst>
        </c:ser>
        <c:dLbls>
          <c:showLegendKey val="0"/>
          <c:showVal val="0"/>
          <c:showCatName val="0"/>
          <c:showSerName val="0"/>
          <c:showPercent val="0"/>
          <c:showBubbleSize val="0"/>
        </c:dLbls>
        <c:gapWidth val="20"/>
        <c:overlap val="100"/>
        <c:axId val="69651840"/>
        <c:axId val="69657728"/>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růstu-4'!$C$46:$C$78</c:f>
              <c:numCache>
                <c:formatCode>0.0</c:formatCode>
                <c:ptCount val="33"/>
                <c:pt idx="0">
                  <c:v>3.3387856580999942</c:v>
                </c:pt>
                <c:pt idx="1">
                  <c:v>2.7067375338999984</c:v>
                </c:pt>
                <c:pt idx="2">
                  <c:v>3.2734904207</c:v>
                </c:pt>
                <c:pt idx="3">
                  <c:v>2.2083913160000059</c:v>
                </c:pt>
                <c:pt idx="4">
                  <c:v>1.3295921479000015</c:v>
                </c:pt>
                <c:pt idx="5">
                  <c:v>-0.87633228709999855</c:v>
                </c:pt>
                <c:pt idx="6">
                  <c:v>1.4335470749000061</c:v>
                </c:pt>
                <c:pt idx="7">
                  <c:v>1.6242102724999938</c:v>
                </c:pt>
                <c:pt idx="8">
                  <c:v>5.6462151451000011</c:v>
                </c:pt>
                <c:pt idx="9">
                  <c:v>5.4476828922000093</c:v>
                </c:pt>
                <c:pt idx="10">
                  <c:v>3.4016118395999939</c:v>
                </c:pt>
                <c:pt idx="11">
                  <c:v>2.5063195031000021</c:v>
                </c:pt>
                <c:pt idx="12">
                  <c:v>5.0712886034999975</c:v>
                </c:pt>
                <c:pt idx="13">
                  <c:v>3.4823349595999975</c:v>
                </c:pt>
                <c:pt idx="14">
                  <c:v>3.6926675579999984</c:v>
                </c:pt>
                <c:pt idx="15">
                  <c:v>1.067151455499995</c:v>
                </c:pt>
                <c:pt idx="16">
                  <c:v>3.5777212416000062</c:v>
                </c:pt>
                <c:pt idx="17">
                  <c:v>1.9765133558999959</c:v>
                </c:pt>
                <c:pt idx="18">
                  <c:v>-0.81695782319999966</c:v>
                </c:pt>
                <c:pt idx="19">
                  <c:v>-0.15568719549999357</c:v>
                </c:pt>
                <c:pt idx="20">
                  <c:v>-3.6980250129000041</c:v>
                </c:pt>
                <c:pt idx="21">
                  <c:v>-19.645345248799977</c:v>
                </c:pt>
                <c:pt idx="22">
                  <c:v>-12.600965308100001</c:v>
                </c:pt>
                <c:pt idx="23">
                  <c:v>-10.912584080000009</c:v>
                </c:pt>
                <c:pt idx="24">
                  <c:v>-6.394268453512618</c:v>
                </c:pt>
                <c:pt idx="25">
                  <c:v>14.793600196459142</c:v>
                </c:pt>
                <c:pt idx="26">
                  <c:v>9.7930132050982976</c:v>
                </c:pt>
                <c:pt idx="27">
                  <c:v>12.671410218028896</c:v>
                </c:pt>
                <c:pt idx="28">
                  <c:v>14.067469931718719</c:v>
                </c:pt>
                <c:pt idx="29">
                  <c:v>12.196508720194069</c:v>
                </c:pt>
                <c:pt idx="30">
                  <c:v>7.1766953041493062</c:v>
                </c:pt>
                <c:pt idx="31">
                  <c:v>1.5927521225189143</c:v>
                </c:pt>
              </c:numCache>
            </c:numRef>
          </c:val>
          <c:smooth val="0"/>
          <c:extLst>
            <c:ext xmlns:c16="http://schemas.microsoft.com/office/drawing/2014/chart" uri="{C3380CC4-5D6E-409C-BE32-E72D297353CC}">
              <c16:uniqueId val="{00000006-3962-4907-BBF4-F202050585F3}"/>
            </c:ext>
          </c:extLst>
        </c:ser>
        <c:dLbls>
          <c:showLegendKey val="0"/>
          <c:showVal val="0"/>
          <c:showCatName val="0"/>
          <c:showSerName val="0"/>
          <c:showPercent val="0"/>
          <c:showBubbleSize val="0"/>
        </c:dLbls>
        <c:marker val="1"/>
        <c:smooth val="0"/>
        <c:axId val="69651840"/>
        <c:axId val="69657728"/>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růstu-4'!$J$46:$J$78</c:f>
              <c:numCache>
                <c:formatCode>0.0</c:formatCode>
                <c:ptCount val="33"/>
                <c:pt idx="0">
                  <c:v>29.7</c:v>
                </c:pt>
                <c:pt idx="1">
                  <c:v>28.7</c:v>
                </c:pt>
                <c:pt idx="2">
                  <c:v>31.3</c:v>
                </c:pt>
                <c:pt idx="3">
                  <c:v>32.700000000000003</c:v>
                </c:pt>
                <c:pt idx="4">
                  <c:v>32.300000000000004</c:v>
                </c:pt>
                <c:pt idx="5">
                  <c:v>33</c:v>
                </c:pt>
                <c:pt idx="6">
                  <c:v>33</c:v>
                </c:pt>
                <c:pt idx="7">
                  <c:v>37.700000000000003</c:v>
                </c:pt>
                <c:pt idx="8">
                  <c:v>35.300000000000004</c:v>
                </c:pt>
                <c:pt idx="9">
                  <c:v>37.700000000000003</c:v>
                </c:pt>
                <c:pt idx="10">
                  <c:v>37.300000000000004</c:v>
                </c:pt>
                <c:pt idx="11">
                  <c:v>35.700000000000003</c:v>
                </c:pt>
                <c:pt idx="12">
                  <c:v>38.300000000000004</c:v>
                </c:pt>
                <c:pt idx="13">
                  <c:v>37</c:v>
                </c:pt>
                <c:pt idx="14">
                  <c:v>38.300000000000004</c:v>
                </c:pt>
                <c:pt idx="15">
                  <c:v>40.700000000000003</c:v>
                </c:pt>
                <c:pt idx="16">
                  <c:v>39.300000000000004</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numCache>
            </c:numRef>
          </c:val>
          <c:smooth val="0"/>
          <c:extLst>
            <c:ext xmlns:c16="http://schemas.microsoft.com/office/drawing/2014/chart" uri="{C3380CC4-5D6E-409C-BE32-E72D297353CC}">
              <c16:uniqueId val="{00000007-3962-4907-BBF4-F202050585F3}"/>
            </c:ext>
          </c:extLst>
        </c:ser>
        <c:ser>
          <c:idx val="8"/>
          <c:order val="8"/>
          <c:tx>
            <c:strRef>
              <c:f>'Služby-příspěvkyk růstu-4'!$K$33</c:f>
              <c:strCache>
                <c:ptCount val="1"/>
                <c:pt idx="0">
                  <c:v>Bariéra růstu: nedostatečná poptávka</c:v>
                </c:pt>
              </c:strCache>
            </c:strRef>
          </c:tx>
          <c:spPr>
            <a:ln w="15875">
              <a:solidFill>
                <a:srgbClr val="C35D09"/>
              </a:solidFill>
              <a:prstDash val="sys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růstu-4'!$K$46:$K$78</c:f>
              <c:numCache>
                <c:formatCode>#\ ##0.0</c:formatCode>
                <c:ptCount val="33"/>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34.800000000000004</c:v>
                </c:pt>
                <c:pt idx="25">
                  <c:v>36.800000000000004</c:v>
                </c:pt>
                <c:pt idx="26">
                  <c:v>28.9</c:v>
                </c:pt>
                <c:pt idx="27">
                  <c:v>26.3</c:v>
                </c:pt>
                <c:pt idx="28">
                  <c:v>31.6</c:v>
                </c:pt>
                <c:pt idx="29">
                  <c:v>15</c:v>
                </c:pt>
                <c:pt idx="30">
                  <c:v>30.2</c:v>
                </c:pt>
                <c:pt idx="31">
                  <c:v>17.600000000000001</c:v>
                </c:pt>
                <c:pt idx="32">
                  <c:v>25.4</c:v>
                </c:pt>
              </c:numCache>
            </c:numRef>
          </c:val>
          <c:smooth val="0"/>
          <c:extLst>
            <c:ext xmlns:c16="http://schemas.microsoft.com/office/drawing/2014/chart" uri="{C3380CC4-5D6E-409C-BE32-E72D297353CC}">
              <c16:uniqueId val="{00000008-3962-4907-BBF4-F202050585F3}"/>
            </c:ext>
          </c:extLst>
        </c:ser>
        <c:ser>
          <c:idx val="9"/>
          <c:order val="9"/>
          <c:tx>
            <c:strRef>
              <c:f>'Služby-příspěvkyk růstu-4'!$L$33</c:f>
              <c:strCache>
                <c:ptCount val="1"/>
                <c:pt idx="0">
                  <c:v>Bariéra růstu: nedostatek pracovníků</c:v>
                </c:pt>
              </c:strCache>
            </c:strRef>
          </c:tx>
          <c:spPr>
            <a:ln w="15875">
              <a:solidFill>
                <a:srgbClr val="CA945E"/>
              </a:solidFill>
              <a:prstDash val="lg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růstu-4'!$L$46:$L$78</c:f>
              <c:numCache>
                <c:formatCode>#\ ##0.0</c:formatCode>
                <c:ptCount val="33"/>
                <c:pt idx="0">
                  <c:v>1.3</c:v>
                </c:pt>
                <c:pt idx="1">
                  <c:v>6</c:v>
                </c:pt>
                <c:pt idx="2">
                  <c:v>7.2</c:v>
                </c:pt>
                <c:pt idx="3">
                  <c:v>5.6</c:v>
                </c:pt>
                <c:pt idx="4">
                  <c:v>7.5</c:v>
                </c:pt>
                <c:pt idx="5">
                  <c:v>4.5</c:v>
                </c:pt>
                <c:pt idx="6">
                  <c:v>7.9</c:v>
                </c:pt>
                <c:pt idx="7">
                  <c:v>9.5</c:v>
                </c:pt>
                <c:pt idx="8">
                  <c:v>9.4</c:v>
                </c:pt>
                <c:pt idx="9">
                  <c:v>9.7000000000000011</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numCache>
            </c:numRef>
          </c:val>
          <c:smooth val="0"/>
          <c:extLst>
            <c:ext xmlns:c16="http://schemas.microsoft.com/office/drawing/2014/chart" uri="{C3380CC4-5D6E-409C-BE32-E72D297353CC}">
              <c16:uniqueId val="{00000009-3962-4907-BBF4-F202050585F3}"/>
            </c:ext>
          </c:extLst>
        </c:ser>
        <c:ser>
          <c:idx val="10"/>
          <c:order val="10"/>
          <c:tx>
            <c:strRef>
              <c:f>'Služby-příspěvkyk růstu-4'!$M$33</c:f>
              <c:strCache>
                <c:ptCount val="1"/>
                <c:pt idx="0">
                  <c:v>Tržby celkem (báze 2015=100, stálé ceny)</c:v>
                </c:pt>
              </c:strCache>
            </c:strRef>
          </c:tx>
          <c:spPr>
            <a:ln w="15875">
              <a:solidFill>
                <a:schemeClr val="tx1"/>
              </a:solidFill>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růstu-4'!$M$46:$M$78</c:f>
              <c:numCache>
                <c:formatCode>0.0</c:formatCode>
                <c:ptCount val="33"/>
                <c:pt idx="0">
                  <c:v>98.905869400000057</c:v>
                </c:pt>
                <c:pt idx="1">
                  <c:v>99.939744966700005</c:v>
                </c:pt>
                <c:pt idx="2">
                  <c:v>100.46069412999999</c:v>
                </c:pt>
                <c:pt idx="3">
                  <c:v>100.69369150670001</c:v>
                </c:pt>
                <c:pt idx="4">
                  <c:v>99.506269490000079</c:v>
                </c:pt>
                <c:pt idx="5">
                  <c:v>99.882932769999925</c:v>
                </c:pt>
                <c:pt idx="6">
                  <c:v>101.6454132667</c:v>
                </c:pt>
                <c:pt idx="7">
                  <c:v>103.1425757933</c:v>
                </c:pt>
                <c:pt idx="8">
                  <c:v>103.7536856167</c:v>
                </c:pt>
                <c:pt idx="9">
                  <c:v>105.1986778866999</c:v>
                </c:pt>
                <c:pt idx="10">
                  <c:v>105.3356622867</c:v>
                </c:pt>
                <c:pt idx="11">
                  <c:v>106.72097377670001</c:v>
                </c:pt>
                <c:pt idx="12">
                  <c:v>107.9153511366999</c:v>
                </c:pt>
                <c:pt idx="13">
                  <c:v>108.70616911330002</c:v>
                </c:pt>
                <c:pt idx="14">
                  <c:v>109.37278169669985</c:v>
                </c:pt>
                <c:pt idx="15">
                  <c:v>108.88805681669984</c:v>
                </c:pt>
                <c:pt idx="16">
                  <c:v>110.44627128330011</c:v>
                </c:pt>
                <c:pt idx="17">
                  <c:v>110.87756216</c:v>
                </c:pt>
                <c:pt idx="18">
                  <c:v>109.16473103669988</c:v>
                </c:pt>
                <c:pt idx="19">
                  <c:v>108.93584104999998</c:v>
                </c:pt>
                <c:pt idx="20">
                  <c:v>105.36793023669991</c:v>
                </c:pt>
                <c:pt idx="21">
                  <c:v>90.203880829999989</c:v>
                </c:pt>
                <c:pt idx="22">
                  <c:v>97.528267896699916</c:v>
                </c:pt>
                <c:pt idx="23">
                  <c:v>95.952761640000006</c:v>
                </c:pt>
                <c:pt idx="24">
                  <c:v>97.5220549533</c:v>
                </c:pt>
                <c:pt idx="25">
                  <c:v>102.23534626670001</c:v>
                </c:pt>
                <c:pt idx="26">
                  <c:v>106.43087342000005</c:v>
                </c:pt>
                <c:pt idx="27">
                  <c:v>109.40181647330006</c:v>
                </c:pt>
                <c:pt idx="28">
                  <c:v>111.6927019732999</c:v>
                </c:pt>
                <c:pt idx="29">
                  <c:v>113.62394018329989</c:v>
                </c:pt>
                <c:pt idx="30">
                  <c:v>113.26823950000002</c:v>
                </c:pt>
                <c:pt idx="31">
                  <c:v>112.2029968233</c:v>
                </c:pt>
              </c:numCache>
            </c:numRef>
          </c:val>
          <c:smooth val="0"/>
          <c:extLst>
            <c:ext xmlns:c16="http://schemas.microsoft.com/office/drawing/2014/chart" uri="{C3380CC4-5D6E-409C-BE32-E72D297353CC}">
              <c16:uniqueId val="{0000000A-3962-4907-BBF4-F202050585F3}"/>
            </c:ext>
          </c:extLst>
        </c:ser>
        <c:ser>
          <c:idx val="11"/>
          <c:order val="11"/>
          <c:tx>
            <c:strRef>
              <c:f>'Služby-příspěvkyk růstu-4'!$N$33</c:f>
              <c:strCache>
                <c:ptCount val="1"/>
                <c:pt idx="0">
                  <c:v>Tržby celkem (báze 2015=100, běžné ceny)</c:v>
                </c:pt>
              </c:strCache>
            </c:strRef>
          </c:tx>
          <c:spPr>
            <a:ln w="15875">
              <a:solidFill>
                <a:schemeClr val="bg2">
                  <a:lumMod val="25000"/>
                </a:schemeClr>
              </a:solidFill>
              <a:prstDash val="sys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růstu-4'!$N$46:$N$78</c:f>
              <c:numCache>
                <c:formatCode>0.0</c:formatCode>
                <c:ptCount val="33"/>
                <c:pt idx="0">
                  <c:v>98.878809526699854</c:v>
                </c:pt>
                <c:pt idx="1">
                  <c:v>99.932801119999894</c:v>
                </c:pt>
                <c:pt idx="2">
                  <c:v>100.47612456000006</c:v>
                </c:pt>
                <c:pt idx="3">
                  <c:v>100.71226479000011</c:v>
                </c:pt>
                <c:pt idx="4">
                  <c:v>99.601623460000098</c:v>
                </c:pt>
                <c:pt idx="5">
                  <c:v>100.2234790433</c:v>
                </c:pt>
                <c:pt idx="6">
                  <c:v>102.1359375799999</c:v>
                </c:pt>
                <c:pt idx="7">
                  <c:v>103.95381924330007</c:v>
                </c:pt>
                <c:pt idx="8">
                  <c:v>105.28339829999994</c:v>
                </c:pt>
                <c:pt idx="9">
                  <c:v>107.13280340670001</c:v>
                </c:pt>
                <c:pt idx="10">
                  <c:v>107.78245525</c:v>
                </c:pt>
                <c:pt idx="11">
                  <c:v>109.74135017</c:v>
                </c:pt>
                <c:pt idx="12">
                  <c:v>111.4458726133</c:v>
                </c:pt>
                <c:pt idx="13">
                  <c:v>112.96754313330005</c:v>
                </c:pt>
                <c:pt idx="14">
                  <c:v>114.3275498366999</c:v>
                </c:pt>
                <c:pt idx="15">
                  <c:v>114.67629783669985</c:v>
                </c:pt>
                <c:pt idx="16">
                  <c:v>116.72200621330001</c:v>
                </c:pt>
                <c:pt idx="17">
                  <c:v>118.4237964933</c:v>
                </c:pt>
                <c:pt idx="18">
                  <c:v>117.19000776670001</c:v>
                </c:pt>
                <c:pt idx="19">
                  <c:v>117.1905607767</c:v>
                </c:pt>
                <c:pt idx="20">
                  <c:v>113.2309142367</c:v>
                </c:pt>
                <c:pt idx="21">
                  <c:v>96.647774276699906</c:v>
                </c:pt>
                <c:pt idx="22">
                  <c:v>105.48850793</c:v>
                </c:pt>
                <c:pt idx="23">
                  <c:v>103.67207354999989</c:v>
                </c:pt>
                <c:pt idx="24">
                  <c:v>105.51279886669988</c:v>
                </c:pt>
                <c:pt idx="25">
                  <c:v>111.3587283799999</c:v>
                </c:pt>
                <c:pt idx="26">
                  <c:v>117.05419338670002</c:v>
                </c:pt>
                <c:pt idx="27">
                  <c:v>121.50671411669988</c:v>
                </c:pt>
                <c:pt idx="28">
                  <c:v>126.89412667000011</c:v>
                </c:pt>
                <c:pt idx="29">
                  <c:v>131.74343791000001</c:v>
                </c:pt>
                <c:pt idx="30">
                  <c:v>134.23996963999988</c:v>
                </c:pt>
                <c:pt idx="31">
                  <c:v>135.51628179669996</c:v>
                </c:pt>
              </c:numCache>
            </c:numRef>
          </c:val>
          <c:smooth val="0"/>
          <c:extLst>
            <c:ext xmlns:c16="http://schemas.microsoft.com/office/drawing/2014/chart" uri="{C3380CC4-5D6E-409C-BE32-E72D297353CC}">
              <c16:uniqueId val="{0000000B-3962-4907-BBF4-F202050585F3}"/>
            </c:ext>
          </c:extLst>
        </c:ser>
        <c:dLbls>
          <c:showLegendKey val="0"/>
          <c:showVal val="0"/>
          <c:showCatName val="0"/>
          <c:showSerName val="0"/>
          <c:showPercent val="0"/>
          <c:showBubbleSize val="0"/>
        </c:dLbls>
        <c:marker val="1"/>
        <c:smooth val="0"/>
        <c:axId val="69661824"/>
        <c:axId val="69659648"/>
      </c:lineChart>
      <c:catAx>
        <c:axId val="69651840"/>
        <c:scaling>
          <c:orientation val="minMax"/>
        </c:scaling>
        <c:delete val="0"/>
        <c:axPos val="b"/>
        <c:numFmt formatCode="General" sourceLinked="0"/>
        <c:majorTickMark val="out"/>
        <c:minorTickMark val="none"/>
        <c:tickLblPos val="low"/>
        <c:txPr>
          <a:bodyPr/>
          <a:lstStyle/>
          <a:p>
            <a:pPr>
              <a:defRPr sz="800"/>
            </a:pPr>
            <a:endParaRPr lang="cs-CZ"/>
          </a:p>
        </c:txPr>
        <c:crossAx val="69657728"/>
        <c:crosses val="autoZero"/>
        <c:auto val="1"/>
        <c:lblAlgn val="ctr"/>
        <c:lblOffset val="0"/>
        <c:noMultiLvlLbl val="0"/>
      </c:catAx>
      <c:valAx>
        <c:axId val="69657728"/>
        <c:scaling>
          <c:orientation val="minMax"/>
          <c:max val="25"/>
          <c:min val="-30"/>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69651840"/>
        <c:crosses val="autoZero"/>
        <c:crossBetween val="between"/>
        <c:majorUnit val="5"/>
      </c:valAx>
      <c:valAx>
        <c:axId val="69659648"/>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celkem (báze 2015=100)</a:t>
                </a:r>
                <a:r>
                  <a:rPr lang="cs-CZ" sz="700" b="0" i="1"/>
                  <a:t>,Saldo důvěry, bariéry růstu</a:t>
                </a:r>
              </a:p>
            </c:rich>
          </c:tx>
          <c:layout>
            <c:manualLayout>
              <c:xMode val="edge"/>
              <c:yMode val="edge"/>
              <c:x val="0.97059971540629864"/>
              <c:y val="1.8415267943787519E-2"/>
            </c:manualLayout>
          </c:layout>
          <c:overlay val="0"/>
        </c:title>
        <c:numFmt formatCode="0" sourceLinked="0"/>
        <c:majorTickMark val="out"/>
        <c:minorTickMark val="none"/>
        <c:tickLblPos val="nextTo"/>
        <c:txPr>
          <a:bodyPr/>
          <a:lstStyle/>
          <a:p>
            <a:pPr>
              <a:defRPr sz="800"/>
            </a:pPr>
            <a:endParaRPr lang="cs-CZ"/>
          </a:p>
        </c:txPr>
        <c:crossAx val="69661824"/>
        <c:crosses val="max"/>
        <c:crossBetween val="between"/>
        <c:majorUnit val="10"/>
      </c:valAx>
      <c:catAx>
        <c:axId val="69661824"/>
        <c:scaling>
          <c:orientation val="minMax"/>
        </c:scaling>
        <c:delete val="1"/>
        <c:axPos val="b"/>
        <c:numFmt formatCode="General" sourceLinked="1"/>
        <c:majorTickMark val="out"/>
        <c:minorTickMark val="none"/>
        <c:tickLblPos val="none"/>
        <c:crossAx val="69659648"/>
        <c:crosses val="autoZero"/>
        <c:auto val="1"/>
        <c:lblAlgn val="ctr"/>
        <c:lblOffset val="100"/>
        <c:noMultiLvlLbl val="0"/>
      </c:catAx>
      <c:spPr>
        <a:ln>
          <a:solidFill>
            <a:schemeClr val="tx1"/>
          </a:solidFill>
        </a:ln>
      </c:spPr>
    </c:plotArea>
    <c:legend>
      <c:legendPos val="r"/>
      <c:layout>
        <c:manualLayout>
          <c:xMode val="edge"/>
          <c:yMode val="edge"/>
          <c:x val="2.7894149438737284E-3"/>
          <c:y val="0.80683901693256166"/>
          <c:w val="0.99229354112782953"/>
          <c:h val="0.18952404020147046"/>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157E-2"/>
          <c:y val="1.5803328678987472E-2"/>
          <c:w val="0.85082101335719484"/>
          <c:h val="0.74167997750452386"/>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5a'!$E$67:$E$99</c:f>
              <c:numCache>
                <c:formatCode>#\ ##0.0</c:formatCode>
                <c:ptCount val="33"/>
                <c:pt idx="0">
                  <c:v>1.7954327905527792</c:v>
                </c:pt>
                <c:pt idx="1">
                  <c:v>1.1808546019719857</c:v>
                </c:pt>
                <c:pt idx="2">
                  <c:v>1.8980626361950701</c:v>
                </c:pt>
                <c:pt idx="3">
                  <c:v>1.45126392469867</c:v>
                </c:pt>
                <c:pt idx="4">
                  <c:v>1.7579883859404457</c:v>
                </c:pt>
                <c:pt idx="5">
                  <c:v>1.4597731408051358</c:v>
                </c:pt>
                <c:pt idx="6">
                  <c:v>0.98265625342777962</c:v>
                </c:pt>
                <c:pt idx="7">
                  <c:v>-8.365647432698825E-2</c:v>
                </c:pt>
                <c:pt idx="8">
                  <c:v>0.720624419136359</c:v>
                </c:pt>
                <c:pt idx="9">
                  <c:v>1.331624668965157</c:v>
                </c:pt>
                <c:pt idx="10">
                  <c:v>1.1433353439469673</c:v>
                </c:pt>
                <c:pt idx="11">
                  <c:v>0.89977373461403165</c:v>
                </c:pt>
                <c:pt idx="12">
                  <c:v>1.5115509798562705</c:v>
                </c:pt>
                <c:pt idx="13">
                  <c:v>0.54228532610479852</c:v>
                </c:pt>
                <c:pt idx="14">
                  <c:v>0.98484864986744458</c:v>
                </c:pt>
                <c:pt idx="15">
                  <c:v>0.4620082520491276</c:v>
                </c:pt>
                <c:pt idx="16">
                  <c:v>0.67301078642127365</c:v>
                </c:pt>
                <c:pt idx="17">
                  <c:v>1.1975749453062758</c:v>
                </c:pt>
                <c:pt idx="18">
                  <c:v>0.63652202044636153</c:v>
                </c:pt>
                <c:pt idx="19">
                  <c:v>0.62331153305833653</c:v>
                </c:pt>
                <c:pt idx="20">
                  <c:v>0.96372431228354627</c:v>
                </c:pt>
                <c:pt idx="21">
                  <c:v>-1.1892501751301241</c:v>
                </c:pt>
                <c:pt idx="22">
                  <c:v>-0.41434297088657107</c:v>
                </c:pt>
                <c:pt idx="23">
                  <c:v>0.25231592150964405</c:v>
                </c:pt>
                <c:pt idx="24">
                  <c:v>-0.45560759819109725</c:v>
                </c:pt>
                <c:pt idx="25">
                  <c:v>0.4367541962264474</c:v>
                </c:pt>
                <c:pt idx="26">
                  <c:v>-0.30064320672318329</c:v>
                </c:pt>
                <c:pt idx="27">
                  <c:v>-0.18775849051188631</c:v>
                </c:pt>
                <c:pt idx="28">
                  <c:v>-0.51549456327988841</c:v>
                </c:pt>
                <c:pt idx="29">
                  <c:v>-1.4600466044669602</c:v>
                </c:pt>
                <c:pt idx="30">
                  <c:v>-2.0321719074398343</c:v>
                </c:pt>
                <c:pt idx="31">
                  <c:v>-3.0175568399977597</c:v>
                </c:pt>
              </c:numCache>
            </c:numRef>
          </c:val>
          <c:extLst>
            <c:ext xmlns:c16="http://schemas.microsoft.com/office/drawing/2014/chart" uri="{C3380CC4-5D6E-409C-BE32-E72D297353CC}">
              <c16:uniqueId val="{00000000-56F6-410E-8ACA-DB89B068A11B}"/>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5a'!$F$67:$F$99</c:f>
              <c:numCache>
                <c:formatCode>#\ ##0.0</c:formatCode>
                <c:ptCount val="33"/>
                <c:pt idx="0">
                  <c:v>3.5348176440085197</c:v>
                </c:pt>
                <c:pt idx="1">
                  <c:v>4.0403927957890939</c:v>
                </c:pt>
                <c:pt idx="2">
                  <c:v>2.8491583908636717</c:v>
                </c:pt>
                <c:pt idx="3">
                  <c:v>3.7649034189564605</c:v>
                </c:pt>
                <c:pt idx="4">
                  <c:v>2.9159862756005075</c:v>
                </c:pt>
                <c:pt idx="5">
                  <c:v>2.6692840179601989</c:v>
                </c:pt>
                <c:pt idx="6">
                  <c:v>3.3517584585588138</c:v>
                </c:pt>
                <c:pt idx="7">
                  <c:v>3.6403131961317072</c:v>
                </c:pt>
                <c:pt idx="8">
                  <c:v>4.2755993300345985</c:v>
                </c:pt>
                <c:pt idx="9">
                  <c:v>4.6181656067499901</c:v>
                </c:pt>
                <c:pt idx="10">
                  <c:v>4.1974804776960726</c:v>
                </c:pt>
                <c:pt idx="11">
                  <c:v>4.8260964478037458</c:v>
                </c:pt>
                <c:pt idx="12">
                  <c:v>4.1871547212749967</c:v>
                </c:pt>
                <c:pt idx="13">
                  <c:v>3.5059801620938762</c:v>
                </c:pt>
                <c:pt idx="14">
                  <c:v>2.8195561267975404</c:v>
                </c:pt>
                <c:pt idx="15">
                  <c:v>3.9521324238296986</c:v>
                </c:pt>
                <c:pt idx="16">
                  <c:v>4.4423302425101463</c:v>
                </c:pt>
                <c:pt idx="17">
                  <c:v>3.3722130230140639</c:v>
                </c:pt>
                <c:pt idx="18">
                  <c:v>3.7144530757170515</c:v>
                </c:pt>
                <c:pt idx="19">
                  <c:v>3.4471029244431404</c:v>
                </c:pt>
                <c:pt idx="20">
                  <c:v>4.0056202134999983E-2</c:v>
                </c:pt>
                <c:pt idx="21">
                  <c:v>0.37119655070725932</c:v>
                </c:pt>
                <c:pt idx="22">
                  <c:v>1.756384174377116</c:v>
                </c:pt>
                <c:pt idx="23">
                  <c:v>-1.0635995175948723</c:v>
                </c:pt>
                <c:pt idx="24">
                  <c:v>1.05650696278897</c:v>
                </c:pt>
                <c:pt idx="25">
                  <c:v>5.718080658115845</c:v>
                </c:pt>
                <c:pt idx="26">
                  <c:v>3.8086850458419543</c:v>
                </c:pt>
                <c:pt idx="27">
                  <c:v>5.2451695472478281</c:v>
                </c:pt>
                <c:pt idx="28">
                  <c:v>5.4605957230962705</c:v>
                </c:pt>
                <c:pt idx="29">
                  <c:v>-1.0836129740522924</c:v>
                </c:pt>
                <c:pt idx="30">
                  <c:v>-3.8357602115722784</c:v>
                </c:pt>
                <c:pt idx="31">
                  <c:v>-5.4319509747093395</c:v>
                </c:pt>
              </c:numCache>
            </c:numRef>
          </c:val>
          <c:extLst>
            <c:ext xmlns:c16="http://schemas.microsoft.com/office/drawing/2014/chart" uri="{C3380CC4-5D6E-409C-BE32-E72D297353CC}">
              <c16:uniqueId val="{00000001-56F6-410E-8ACA-DB89B068A11B}"/>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5a'!$G$67:$G$99</c:f>
              <c:numCache>
                <c:formatCode>#\ ##0.0</c:formatCode>
                <c:ptCount val="33"/>
                <c:pt idx="0">
                  <c:v>0.75373799686577803</c:v>
                </c:pt>
                <c:pt idx="1">
                  <c:v>0.58821059894444716</c:v>
                </c:pt>
                <c:pt idx="2">
                  <c:v>0.79387895299348599</c:v>
                </c:pt>
                <c:pt idx="3">
                  <c:v>0.93965372963044991</c:v>
                </c:pt>
                <c:pt idx="4">
                  <c:v>0.67343888771248062</c:v>
                </c:pt>
                <c:pt idx="5">
                  <c:v>0.70462601902805855</c:v>
                </c:pt>
                <c:pt idx="6">
                  <c:v>0.62808372581017569</c:v>
                </c:pt>
                <c:pt idx="7">
                  <c:v>0.62560948668929295</c:v>
                </c:pt>
                <c:pt idx="8">
                  <c:v>0.53739987511050835</c:v>
                </c:pt>
                <c:pt idx="9">
                  <c:v>0.77313131276884284</c:v>
                </c:pt>
                <c:pt idx="10">
                  <c:v>0.84835732550660681</c:v>
                </c:pt>
                <c:pt idx="11">
                  <c:v>0.68455496519870951</c:v>
                </c:pt>
                <c:pt idx="12">
                  <c:v>0.67556451520783967</c:v>
                </c:pt>
                <c:pt idx="13">
                  <c:v>0.59080209268699768</c:v>
                </c:pt>
                <c:pt idx="14">
                  <c:v>0.37399638976140837</c:v>
                </c:pt>
                <c:pt idx="15">
                  <c:v>0.42680859486818884</c:v>
                </c:pt>
                <c:pt idx="16">
                  <c:v>0.55628133832534898</c:v>
                </c:pt>
                <c:pt idx="17">
                  <c:v>0.26290255761000081</c:v>
                </c:pt>
                <c:pt idx="18">
                  <c:v>0.19439517076933396</c:v>
                </c:pt>
                <c:pt idx="19">
                  <c:v>5.585559339908714E-2</c:v>
                </c:pt>
                <c:pt idx="20">
                  <c:v>-0.76759105911378112</c:v>
                </c:pt>
                <c:pt idx="21">
                  <c:v>-2.0525636652551777</c:v>
                </c:pt>
                <c:pt idx="22">
                  <c:v>-4.8190565938666122E-2</c:v>
                </c:pt>
                <c:pt idx="23">
                  <c:v>-1.2030433782358598</c:v>
                </c:pt>
                <c:pt idx="24">
                  <c:v>-0.80249013033675154</c:v>
                </c:pt>
                <c:pt idx="25">
                  <c:v>1.0345884225732012</c:v>
                </c:pt>
                <c:pt idx="26">
                  <c:v>0.39020781556166612</c:v>
                </c:pt>
                <c:pt idx="27">
                  <c:v>0.99376502890666729</c:v>
                </c:pt>
                <c:pt idx="28">
                  <c:v>1.4238597783800468</c:v>
                </c:pt>
                <c:pt idx="29">
                  <c:v>-0.42444319481434389</c:v>
                </c:pt>
                <c:pt idx="30">
                  <c:v>-1.2177131082280754</c:v>
                </c:pt>
                <c:pt idx="31">
                  <c:v>-0.2073618371637079</c:v>
                </c:pt>
              </c:numCache>
            </c:numRef>
          </c:val>
          <c:extLst>
            <c:ext xmlns:c16="http://schemas.microsoft.com/office/drawing/2014/chart" uri="{C3380CC4-5D6E-409C-BE32-E72D297353CC}">
              <c16:uniqueId val="{00000002-56F6-410E-8ACA-DB89B068A11B}"/>
            </c:ext>
          </c:extLst>
        </c:ser>
        <c:dLbls>
          <c:showLegendKey val="0"/>
          <c:showVal val="0"/>
          <c:showCatName val="0"/>
          <c:showSerName val="0"/>
          <c:showPercent val="0"/>
          <c:showBubbleSize val="0"/>
        </c:dLbls>
        <c:gapWidth val="31"/>
        <c:overlap val="100"/>
        <c:axId val="69972736"/>
        <c:axId val="69974656"/>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5a'!$D$67:$D$99</c:f>
              <c:numCache>
                <c:formatCode>#\ ##0.0</c:formatCode>
                <c:ptCount val="33"/>
                <c:pt idx="0">
                  <c:v>5.9629437730999904</c:v>
                </c:pt>
                <c:pt idx="1">
                  <c:v>5.5942049783999943</c:v>
                </c:pt>
                <c:pt idx="2">
                  <c:v>5.5012484798999992</c:v>
                </c:pt>
                <c:pt idx="3">
                  <c:v>6.0276233044999969</c:v>
                </c:pt>
                <c:pt idx="4">
                  <c:v>5.2867215003000076</c:v>
                </c:pt>
                <c:pt idx="5">
                  <c:v>4.7635779651999961</c:v>
                </c:pt>
                <c:pt idx="6">
                  <c:v>4.7795776032999981</c:v>
                </c:pt>
                <c:pt idx="7">
                  <c:v>3.896489932299998</c:v>
                </c:pt>
                <c:pt idx="8">
                  <c:v>5.2310555753000054</c:v>
                </c:pt>
                <c:pt idx="9">
                  <c:v>6.4725508764000033</c:v>
                </c:pt>
                <c:pt idx="10">
                  <c:v>5.9734111239999974</c:v>
                </c:pt>
                <c:pt idx="11">
                  <c:v>6.1682850682000021</c:v>
                </c:pt>
                <c:pt idx="12">
                  <c:v>6.34130978810001</c:v>
                </c:pt>
                <c:pt idx="13">
                  <c:v>4.6706928929999973</c:v>
                </c:pt>
                <c:pt idx="14">
                  <c:v>4.2011641704000064</c:v>
                </c:pt>
                <c:pt idx="15">
                  <c:v>4.8161828602999961</c:v>
                </c:pt>
                <c:pt idx="16">
                  <c:v>5.6537188417999946</c:v>
                </c:pt>
                <c:pt idx="17">
                  <c:v>4.8265636037999968</c:v>
                </c:pt>
                <c:pt idx="18">
                  <c:v>4.5452014837000023</c:v>
                </c:pt>
                <c:pt idx="19">
                  <c:v>4.1996486233999963</c:v>
                </c:pt>
                <c:pt idx="20">
                  <c:v>6.0491738300001471E-2</c:v>
                </c:pt>
                <c:pt idx="21">
                  <c:v>-2.8962995720000038</c:v>
                </c:pt>
                <c:pt idx="22">
                  <c:v>1.3291675252000061</c:v>
                </c:pt>
                <c:pt idx="23">
                  <c:v>-2.0263752827000019</c:v>
                </c:pt>
                <c:pt idx="24">
                  <c:v>-0.1841270346999978</c:v>
                </c:pt>
                <c:pt idx="25">
                  <c:v>7.2801836782000002</c:v>
                </c:pt>
                <c:pt idx="26">
                  <c:v>3.9051822130000033</c:v>
                </c:pt>
                <c:pt idx="27">
                  <c:v>6.1725521780000001</c:v>
                </c:pt>
                <c:pt idx="28">
                  <c:v>6.5221106164999929</c:v>
                </c:pt>
                <c:pt idx="29">
                  <c:v>-2.964924188599996</c:v>
                </c:pt>
                <c:pt idx="30">
                  <c:v>-7.4721003682000005</c:v>
                </c:pt>
                <c:pt idx="31">
                  <c:v>-9.1632942709000051</c:v>
                </c:pt>
              </c:numCache>
            </c:numRef>
          </c:val>
          <c:smooth val="0"/>
          <c:extLst>
            <c:ext xmlns:c16="http://schemas.microsoft.com/office/drawing/2014/chart" uri="{C3380CC4-5D6E-409C-BE32-E72D297353CC}">
              <c16:uniqueId val="{00000003-56F6-410E-8ACA-DB89B068A11B}"/>
            </c:ext>
          </c:extLst>
        </c:ser>
        <c:dLbls>
          <c:showLegendKey val="0"/>
          <c:showVal val="0"/>
          <c:showCatName val="0"/>
          <c:showSerName val="0"/>
          <c:showPercent val="0"/>
          <c:showBubbleSize val="0"/>
        </c:dLbls>
        <c:marker val="1"/>
        <c:smooth val="0"/>
        <c:axId val="69972736"/>
        <c:axId val="69974656"/>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5a'!$H$67:$H$99</c:f>
              <c:numCache>
                <c:formatCode>#\ ##0.0</c:formatCode>
                <c:ptCount val="33"/>
                <c:pt idx="0">
                  <c:v>98.182102983299941</c:v>
                </c:pt>
                <c:pt idx="1">
                  <c:v>99.137603143299998</c:v>
                </c:pt>
                <c:pt idx="2">
                  <c:v>100.1790029199999</c:v>
                </c:pt>
                <c:pt idx="3">
                  <c:v>102.50129096670005</c:v>
                </c:pt>
                <c:pt idx="4">
                  <c:v>103.13571403329991</c:v>
                </c:pt>
                <c:pt idx="5">
                  <c:v>103.9351803667</c:v>
                </c:pt>
                <c:pt idx="6">
                  <c:v>105.1890713999999</c:v>
                </c:pt>
                <c:pt idx="7">
                  <c:v>106.6400906667</c:v>
                </c:pt>
                <c:pt idx="8">
                  <c:v>108.29302090000006</c:v>
                </c:pt>
                <c:pt idx="9">
                  <c:v>110.5603038667</c:v>
                </c:pt>
                <c:pt idx="10">
                  <c:v>111.7185620333</c:v>
                </c:pt>
                <c:pt idx="11">
                  <c:v>113.10479650000001</c:v>
                </c:pt>
                <c:pt idx="12">
                  <c:v>114.79604070000002</c:v>
                </c:pt>
                <c:pt idx="13">
                  <c:v>115.93791803329998</c:v>
                </c:pt>
                <c:pt idx="14">
                  <c:v>116.7740435</c:v>
                </c:pt>
                <c:pt idx="15">
                  <c:v>118.44014076670005</c:v>
                </c:pt>
                <c:pt idx="16">
                  <c:v>120.8630658333</c:v>
                </c:pt>
                <c:pt idx="17">
                  <c:v>121.79026133000002</c:v>
                </c:pt>
                <c:pt idx="18">
                  <c:v>122.36688694670001</c:v>
                </c:pt>
                <c:pt idx="19">
                  <c:v>123.29103059329998</c:v>
                </c:pt>
                <c:pt idx="20">
                  <c:v>120.69862361000006</c:v>
                </c:pt>
                <c:pt idx="21">
                  <c:v>118.79257757000001</c:v>
                </c:pt>
                <c:pt idx="22">
                  <c:v>124.45742695000006</c:v>
                </c:pt>
                <c:pt idx="23">
                  <c:v>120.35418919999998</c:v>
                </c:pt>
                <c:pt idx="24">
                  <c:v>118.8138527566999</c:v>
                </c:pt>
                <c:pt idx="25">
                  <c:v>127.69453672669992</c:v>
                </c:pt>
                <c:pt idx="26">
                  <c:v>130.12631178000001</c:v>
                </c:pt>
                <c:pt idx="27">
                  <c:v>128.46986089329999</c:v>
                </c:pt>
                <c:pt idx="28">
                  <c:v>126.85609396330005</c:v>
                </c:pt>
                <c:pt idx="29">
                  <c:v>123.27142680670001</c:v>
                </c:pt>
                <c:pt idx="30">
                  <c:v>120.59046767330005</c:v>
                </c:pt>
                <c:pt idx="31">
                  <c:v>118.11222493330006</c:v>
                </c:pt>
              </c:numCache>
            </c:numRef>
          </c:val>
          <c:smooth val="0"/>
          <c:extLst>
            <c:ext xmlns:c16="http://schemas.microsoft.com/office/drawing/2014/chart" uri="{C3380CC4-5D6E-409C-BE32-E72D297353CC}">
              <c16:uniqueId val="{00000004-56F6-410E-8ACA-DB89B068A11B}"/>
            </c:ext>
          </c:extLst>
        </c:ser>
        <c:ser>
          <c:idx val="2"/>
          <c:order val="5"/>
          <c:tx>
            <c:strRef>
              <c:f>'výkonnost odvětví 5a'!$I$66</c:f>
              <c:strCache>
                <c:ptCount val="1"/>
                <c:pt idx="0">
                  <c:v>Maloobchodní prodej PHM (2015=100)</c:v>
                </c:pt>
              </c:strCache>
            </c:strRef>
          </c:tx>
          <c:spPr>
            <a:ln w="15875">
              <a:solidFill>
                <a:schemeClr val="bg2">
                  <a:lumMod val="50000"/>
                </a:schemeClr>
              </a:solidFill>
              <a:prstDash val="sysDash"/>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5a'!$I$67:$I$99</c:f>
              <c:numCache>
                <c:formatCode>#\ ##0.0</c:formatCode>
                <c:ptCount val="33"/>
                <c:pt idx="0">
                  <c:v>99.513139306699941</c:v>
                </c:pt>
                <c:pt idx="1">
                  <c:v>98.324028400000003</c:v>
                </c:pt>
                <c:pt idx="2">
                  <c:v>99.345746029999958</c:v>
                </c:pt>
                <c:pt idx="3">
                  <c:v>102.8170862667</c:v>
                </c:pt>
                <c:pt idx="4">
                  <c:v>104.40801960000007</c:v>
                </c:pt>
                <c:pt idx="5">
                  <c:v>103.76125656670006</c:v>
                </c:pt>
                <c:pt idx="6">
                  <c:v>103.8894186</c:v>
                </c:pt>
                <c:pt idx="7">
                  <c:v>108.06889986669992</c:v>
                </c:pt>
                <c:pt idx="8">
                  <c:v>108.91256546670006</c:v>
                </c:pt>
                <c:pt idx="9">
                  <c:v>110.0281492667</c:v>
                </c:pt>
                <c:pt idx="10">
                  <c:v>110.24816973330007</c:v>
                </c:pt>
                <c:pt idx="11">
                  <c:v>114.9077460667</c:v>
                </c:pt>
                <c:pt idx="12">
                  <c:v>115.15612109999998</c:v>
                </c:pt>
                <c:pt idx="13">
                  <c:v>115.32029416669992</c:v>
                </c:pt>
                <c:pt idx="14">
                  <c:v>113.3013183332999</c:v>
                </c:pt>
                <c:pt idx="15">
                  <c:v>118.5502795</c:v>
                </c:pt>
                <c:pt idx="16">
                  <c:v>120.6878189266999</c:v>
                </c:pt>
                <c:pt idx="17">
                  <c:v>117.99417203</c:v>
                </c:pt>
                <c:pt idx="18">
                  <c:v>114.4818178733</c:v>
                </c:pt>
                <c:pt idx="19">
                  <c:v>119.40882049330006</c:v>
                </c:pt>
                <c:pt idx="20">
                  <c:v>113.0155670067</c:v>
                </c:pt>
                <c:pt idx="21">
                  <c:v>97.645228860000003</c:v>
                </c:pt>
                <c:pt idx="22">
                  <c:v>113.35676879330001</c:v>
                </c:pt>
                <c:pt idx="23">
                  <c:v>105.9359390533</c:v>
                </c:pt>
                <c:pt idx="24">
                  <c:v>104.16116508670002</c:v>
                </c:pt>
                <c:pt idx="25">
                  <c:v>110.80961229</c:v>
                </c:pt>
                <c:pt idx="26">
                  <c:v>117.50596787000001</c:v>
                </c:pt>
                <c:pt idx="27">
                  <c:v>114.32534237329985</c:v>
                </c:pt>
                <c:pt idx="28">
                  <c:v>115.9798556667</c:v>
                </c:pt>
                <c:pt idx="29">
                  <c:v>106.77754146330005</c:v>
                </c:pt>
                <c:pt idx="30">
                  <c:v>106.47598888329991</c:v>
                </c:pt>
                <c:pt idx="31">
                  <c:v>112.12877881999979</c:v>
                </c:pt>
              </c:numCache>
            </c:numRef>
          </c:val>
          <c:smooth val="0"/>
          <c:extLst>
            <c:ext xmlns:c16="http://schemas.microsoft.com/office/drawing/2014/chart" uri="{C3380CC4-5D6E-409C-BE32-E72D297353CC}">
              <c16:uniqueId val="{00000005-56F6-410E-8ACA-DB89B068A11B}"/>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5a'!$J$67:$J$99</c:f>
              <c:numCache>
                <c:formatCode>#\ ##0.0</c:formatCode>
                <c:ptCount val="33"/>
                <c:pt idx="0">
                  <c:v>95.697367796699893</c:v>
                </c:pt>
                <c:pt idx="1">
                  <c:v>98.531720309999983</c:v>
                </c:pt>
                <c:pt idx="2">
                  <c:v>101.3260702666999</c:v>
                </c:pt>
                <c:pt idx="3">
                  <c:v>104.44484163330006</c:v>
                </c:pt>
                <c:pt idx="4">
                  <c:v>105.1626406667</c:v>
                </c:pt>
                <c:pt idx="5">
                  <c:v>106.8068112</c:v>
                </c:pt>
                <c:pt idx="6">
                  <c:v>108.91789203330002</c:v>
                </c:pt>
                <c:pt idx="7">
                  <c:v>109.8263580332999</c:v>
                </c:pt>
                <c:pt idx="8">
                  <c:v>111.08373136669985</c:v>
                </c:pt>
                <c:pt idx="9">
                  <c:v>111.3580627666999</c:v>
                </c:pt>
                <c:pt idx="10">
                  <c:v>109.57350293330001</c:v>
                </c:pt>
                <c:pt idx="11">
                  <c:v>112.03916993330006</c:v>
                </c:pt>
                <c:pt idx="12">
                  <c:v>110.5959055333</c:v>
                </c:pt>
                <c:pt idx="13">
                  <c:v>109.9283487666999</c:v>
                </c:pt>
                <c:pt idx="14">
                  <c:v>108.91076590000006</c:v>
                </c:pt>
                <c:pt idx="15">
                  <c:v>106.41696350000009</c:v>
                </c:pt>
                <c:pt idx="16">
                  <c:v>109.54775435329998</c:v>
                </c:pt>
                <c:pt idx="17">
                  <c:v>110.8073262667</c:v>
                </c:pt>
                <c:pt idx="18">
                  <c:v>109.5778583732999</c:v>
                </c:pt>
                <c:pt idx="19">
                  <c:v>110.06150255670001</c:v>
                </c:pt>
                <c:pt idx="20">
                  <c:v>96.457729993300077</c:v>
                </c:pt>
                <c:pt idx="21">
                  <c:v>77.460500006700002</c:v>
                </c:pt>
                <c:pt idx="22">
                  <c:v>100.49268490000006</c:v>
                </c:pt>
                <c:pt idx="23">
                  <c:v>102.1841167867</c:v>
                </c:pt>
                <c:pt idx="24">
                  <c:v>102.6393273066999</c:v>
                </c:pt>
                <c:pt idx="25">
                  <c:v>105.1354328999999</c:v>
                </c:pt>
                <c:pt idx="26">
                  <c:v>99.462158689999995</c:v>
                </c:pt>
                <c:pt idx="27">
                  <c:v>97.778743680000005</c:v>
                </c:pt>
                <c:pt idx="28">
                  <c:v>98.273929570000007</c:v>
                </c:pt>
                <c:pt idx="29">
                  <c:v>96.855290976699905</c:v>
                </c:pt>
                <c:pt idx="30">
                  <c:v>96.170951396699849</c:v>
                </c:pt>
                <c:pt idx="31">
                  <c:v>96.947600030000075</c:v>
                </c:pt>
              </c:numCache>
            </c:numRef>
          </c:val>
          <c:smooth val="0"/>
          <c:extLst>
            <c:ext xmlns:c16="http://schemas.microsoft.com/office/drawing/2014/chart" uri="{C3380CC4-5D6E-409C-BE32-E72D297353CC}">
              <c16:uniqueId val="{00000006-56F6-410E-8ACA-DB89B068A11B}"/>
            </c:ext>
          </c:extLst>
        </c:ser>
        <c:ser>
          <c:idx val="7"/>
          <c:order val="7"/>
          <c:tx>
            <c:strRef>
              <c:f>'výkonnost odvětví 5a'!$K$66</c:f>
              <c:strCache>
                <c:ptCount val="1"/>
              </c:strCache>
            </c:strRef>
          </c:tx>
          <c:spPr>
            <a:ln w="3175">
              <a:noFill/>
              <a:prstDash val="sysDash"/>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5a'!$K$67:$K$99</c:f>
              <c:numCache>
                <c:formatCode>General</c:formatCode>
                <c:ptCount val="33"/>
              </c:numCache>
            </c:numRef>
          </c:val>
          <c:smooth val="0"/>
          <c:extLst>
            <c:ext xmlns:c16="http://schemas.microsoft.com/office/drawing/2014/chart" uri="{C3380CC4-5D6E-409C-BE32-E72D297353CC}">
              <c16:uniqueId val="{00000007-56F6-410E-8ACA-DB89B068A11B}"/>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5a'!$L$67:$L$99</c:f>
              <c:numCache>
                <c:formatCode>0.0</c:formatCode>
                <c:ptCount val="33"/>
                <c:pt idx="0">
                  <c:v>-1.75</c:v>
                </c:pt>
                <c:pt idx="1">
                  <c:v>0.25</c:v>
                </c:pt>
                <c:pt idx="2">
                  <c:v>-3.75</c:v>
                </c:pt>
                <c:pt idx="3">
                  <c:v>-0.25</c:v>
                </c:pt>
                <c:pt idx="4">
                  <c:v>-1.5</c:v>
                </c:pt>
                <c:pt idx="5">
                  <c:v>0</c:v>
                </c:pt>
                <c:pt idx="6">
                  <c:v>-2.25</c:v>
                </c:pt>
                <c:pt idx="7">
                  <c:v>0.75000000000000044</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numCache>
            </c:numRef>
          </c:val>
          <c:smooth val="0"/>
          <c:extLst>
            <c:ext xmlns:c16="http://schemas.microsoft.com/office/drawing/2014/chart" uri="{C3380CC4-5D6E-409C-BE32-E72D297353CC}">
              <c16:uniqueId val="{00000008-56F6-410E-8ACA-DB89B068A11B}"/>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5a'!$M$67:$M$99</c:f>
              <c:numCache>
                <c:formatCode>0.0</c:formatCode>
                <c:ptCount val="33"/>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numCache>
            </c:numRef>
          </c:val>
          <c:smooth val="0"/>
          <c:extLst>
            <c:ext xmlns:c16="http://schemas.microsoft.com/office/drawing/2014/chart" uri="{C3380CC4-5D6E-409C-BE32-E72D297353CC}">
              <c16:uniqueId val="{00000009-56F6-410E-8ACA-DB89B068A11B}"/>
            </c:ext>
          </c:extLst>
        </c:ser>
        <c:dLbls>
          <c:showLegendKey val="0"/>
          <c:showVal val="0"/>
          <c:showCatName val="0"/>
          <c:showSerName val="0"/>
          <c:showPercent val="0"/>
          <c:showBubbleSize val="0"/>
        </c:dLbls>
        <c:marker val="1"/>
        <c:smooth val="0"/>
        <c:axId val="70191744"/>
        <c:axId val="70189824"/>
      </c:lineChart>
      <c:catAx>
        <c:axId val="69972736"/>
        <c:scaling>
          <c:orientation val="minMax"/>
        </c:scaling>
        <c:delete val="0"/>
        <c:axPos val="b"/>
        <c:numFmt formatCode="General" sourceLinked="0"/>
        <c:majorTickMark val="out"/>
        <c:minorTickMark val="none"/>
        <c:tickLblPos val="low"/>
        <c:txPr>
          <a:bodyPr/>
          <a:lstStyle/>
          <a:p>
            <a:pPr>
              <a:defRPr sz="800"/>
            </a:pPr>
            <a:endParaRPr lang="cs-CZ"/>
          </a:p>
        </c:txPr>
        <c:crossAx val="69974656"/>
        <c:crosses val="autoZero"/>
        <c:auto val="1"/>
        <c:lblAlgn val="ctr"/>
        <c:lblOffset val="0"/>
        <c:noMultiLvlLbl val="0"/>
      </c:catAx>
      <c:valAx>
        <c:axId val="69974656"/>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layout>
            <c:manualLayout>
              <c:xMode val="edge"/>
              <c:yMode val="edge"/>
              <c:x val="2.6087065478328985E-3"/>
              <c:y val="0.18186950815930628"/>
            </c:manualLayout>
          </c:layout>
          <c:overlay val="0"/>
        </c:title>
        <c:numFmt formatCode="0" sourceLinked="0"/>
        <c:majorTickMark val="out"/>
        <c:minorTickMark val="none"/>
        <c:tickLblPos val="nextTo"/>
        <c:txPr>
          <a:bodyPr/>
          <a:lstStyle/>
          <a:p>
            <a:pPr>
              <a:defRPr sz="800"/>
            </a:pPr>
            <a:endParaRPr lang="cs-CZ"/>
          </a:p>
        </c:txPr>
        <c:crossAx val="69972736"/>
        <c:crosses val="autoZero"/>
        <c:crossBetween val="between"/>
        <c:majorUnit val="2"/>
      </c:valAx>
      <c:valAx>
        <c:axId val="70189824"/>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důvěra domácností (p. b.)</a:t>
                </a:r>
                <a:endParaRPr lang="cs-CZ" sz="75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pPr>
            <a:endParaRPr lang="cs-CZ"/>
          </a:p>
        </c:txPr>
        <c:crossAx val="70191744"/>
        <c:crosses val="max"/>
        <c:crossBetween val="between"/>
        <c:majorUnit val="10"/>
      </c:valAx>
      <c:catAx>
        <c:axId val="70191744"/>
        <c:scaling>
          <c:orientation val="minMax"/>
        </c:scaling>
        <c:delete val="1"/>
        <c:axPos val="b"/>
        <c:numFmt formatCode="General" sourceLinked="1"/>
        <c:majorTickMark val="out"/>
        <c:minorTickMark val="none"/>
        <c:tickLblPos val="none"/>
        <c:crossAx val="70189824"/>
        <c:crosses val="autoZero"/>
        <c:auto val="1"/>
        <c:lblAlgn val="ctr"/>
        <c:lblOffset val="100"/>
        <c:noMultiLvlLbl val="0"/>
      </c:catAx>
      <c:spPr>
        <a:ln>
          <a:solidFill>
            <a:schemeClr val="tx1"/>
          </a:solidFill>
        </a:ln>
      </c:spPr>
    </c:plotArea>
    <c:legend>
      <c:legendPos val="r"/>
      <c:layout>
        <c:manualLayout>
          <c:xMode val="edge"/>
          <c:yMode val="edge"/>
          <c:x val="7.8026315789473683E-3"/>
          <c:y val="0.83721607601948345"/>
          <c:w val="0.981587510442773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4001E-2"/>
          <c:y val="4.1542453145792614E-2"/>
          <c:w val="0.88202003907252524"/>
          <c:h val="0.82832098852603697"/>
        </c:manualLayout>
      </c:layout>
      <c:barChart>
        <c:barDir val="col"/>
        <c:grouping val="clustered"/>
        <c:varyColors val="0"/>
        <c:ser>
          <c:idx val="2"/>
          <c:order val="2"/>
          <c:tx>
            <c:strRef>
              <c:f>'Vnější vztahy_a'!$D$4</c:f>
              <c:strCache>
                <c:ptCount val="1"/>
                <c:pt idx="0">
                  <c:v>Bilance</c:v>
                </c:pt>
              </c:strCache>
            </c:strRef>
          </c:tx>
          <c:spPr>
            <a:solidFill>
              <a:schemeClr val="bg1">
                <a:lumMod val="50000"/>
              </a:schemeClr>
            </a:solidFill>
            <a:ln>
              <a:noFill/>
            </a:ln>
            <a:effectLst/>
          </c:spPr>
          <c:invertIfNegative val="0"/>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vztahy_a'!$D$7:$D$21</c:f>
              <c:numCache>
                <c:formatCode>General</c:formatCode>
                <c:ptCount val="15"/>
                <c:pt idx="0">
                  <c:v>-44.332000000000001</c:v>
                </c:pt>
                <c:pt idx="1">
                  <c:v>31.067</c:v>
                </c:pt>
                <c:pt idx="2">
                  <c:v>-20.579000000000001</c:v>
                </c:pt>
                <c:pt idx="3">
                  <c:v>11.977</c:v>
                </c:pt>
                <c:pt idx="4">
                  <c:v>64.410000000000025</c:v>
                </c:pt>
                <c:pt idx="5">
                  <c:v>106.518</c:v>
                </c:pt>
                <c:pt idx="6">
                  <c:v>146.00899999999999</c:v>
                </c:pt>
                <c:pt idx="7">
                  <c:v>130.97677807700001</c:v>
                </c:pt>
                <c:pt idx="8">
                  <c:v>163.65449183600001</c:v>
                </c:pt>
                <c:pt idx="9">
                  <c:v>163.46634792600005</c:v>
                </c:pt>
                <c:pt idx="10">
                  <c:v>98.465823833000002</c:v>
                </c:pt>
                <c:pt idx="11">
                  <c:v>145.69471741100003</c:v>
                </c:pt>
                <c:pt idx="12">
                  <c:v>179.640176981</c:v>
                </c:pt>
                <c:pt idx="13">
                  <c:v>-9.204642837000014</c:v>
                </c:pt>
                <c:pt idx="14">
                  <c:v>-199.72240354200005</c:v>
                </c:pt>
              </c:numCache>
            </c:numRef>
          </c:val>
          <c:extLst>
            <c:ext xmlns:c16="http://schemas.microsoft.com/office/drawing/2014/chart" uri="{C3380CC4-5D6E-409C-BE32-E72D297353CC}">
              <c16:uniqueId val="{00000000-306D-4BC9-824D-3E6B26D36A1F}"/>
            </c:ext>
          </c:extLst>
        </c:ser>
        <c:dLbls>
          <c:showLegendKey val="0"/>
          <c:showVal val="0"/>
          <c:showCatName val="0"/>
          <c:showSerName val="0"/>
          <c:showPercent val="0"/>
          <c:showBubbleSize val="0"/>
        </c:dLbls>
        <c:gapWidth val="90"/>
        <c:axId val="97434624"/>
        <c:axId val="97433088"/>
      </c:barChart>
      <c:lineChart>
        <c:grouping val="standard"/>
        <c:varyColors val="0"/>
        <c:ser>
          <c:idx val="0"/>
          <c:order val="0"/>
          <c:tx>
            <c:strRef>
              <c:f>'Vnější vztahy_a'!$B$4</c:f>
              <c:strCache>
                <c:ptCount val="1"/>
                <c:pt idx="0">
                  <c:v>Vývoz</c:v>
                </c:pt>
              </c:strCache>
            </c:strRef>
          </c:tx>
          <c:spPr>
            <a:ln w="6350" cap="rnd">
              <a:noFill/>
              <a:prstDash val="sysDot"/>
              <a:round/>
            </a:ln>
            <a:effectLst/>
          </c:spPr>
          <c:marker>
            <c:symbol val="dash"/>
            <c:size val="10"/>
            <c:spPr>
              <a:solidFill>
                <a:schemeClr val="accent1"/>
              </a:solidFill>
              <a:ln w="9525">
                <a:solidFill>
                  <a:schemeClr val="accent1"/>
                </a:solidFill>
              </a:ln>
              <a:effectLst/>
            </c:spPr>
          </c:marker>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vztahy_a'!$B$7:$B$21</c:f>
              <c:numCache>
                <c:formatCode>General</c:formatCode>
                <c:ptCount val="15"/>
                <c:pt idx="0">
                  <c:v>-1.4825262579305296</c:v>
                </c:pt>
                <c:pt idx="1">
                  <c:v>-10.811895519442073</c:v>
                </c:pt>
                <c:pt idx="2">
                  <c:v>14.827022335007909</c:v>
                </c:pt>
                <c:pt idx="3">
                  <c:v>10.112037607700056</c:v>
                </c:pt>
                <c:pt idx="4">
                  <c:v>6.0251090942966021</c:v>
                </c:pt>
                <c:pt idx="5">
                  <c:v>2.2153513610284974</c:v>
                </c:pt>
                <c:pt idx="6">
                  <c:v>13.02720880903586</c:v>
                </c:pt>
                <c:pt idx="7">
                  <c:v>3.6127681635768907</c:v>
                </c:pt>
                <c:pt idx="8">
                  <c:v>1.1074296541764614</c:v>
                </c:pt>
                <c:pt idx="9">
                  <c:v>6.4802705295808369</c:v>
                </c:pt>
                <c:pt idx="10">
                  <c:v>2.9418083571864679</c:v>
                </c:pt>
                <c:pt idx="11">
                  <c:v>2.0884439685547518</c:v>
                </c:pt>
                <c:pt idx="12">
                  <c:v>-7.0747075448299643</c:v>
                </c:pt>
                <c:pt idx="13">
                  <c:v>13.140723420675531</c:v>
                </c:pt>
                <c:pt idx="14">
                  <c:v>13.717728059838299</c:v>
                </c:pt>
              </c:numCache>
            </c:numRef>
          </c:val>
          <c:smooth val="0"/>
          <c:extLst>
            <c:ext xmlns:c16="http://schemas.microsoft.com/office/drawing/2014/chart" uri="{C3380CC4-5D6E-409C-BE32-E72D297353CC}">
              <c16:uniqueId val="{00000001-306D-4BC9-824D-3E6B26D36A1F}"/>
            </c:ext>
          </c:extLst>
        </c:ser>
        <c:ser>
          <c:idx val="1"/>
          <c:order val="1"/>
          <c:tx>
            <c:strRef>
              <c:f>'Vnější vztahy_a'!$C$4</c:f>
              <c:strCache>
                <c:ptCount val="1"/>
                <c:pt idx="0">
                  <c:v>Dovoz</c:v>
                </c:pt>
              </c:strCache>
            </c:strRef>
          </c:tx>
          <c:spPr>
            <a:ln w="6350" cap="rnd">
              <a:noFill/>
              <a:prstDash val="sysDot"/>
              <a:round/>
            </a:ln>
            <a:effectLst/>
          </c:spPr>
          <c:marker>
            <c:symbol val="dash"/>
            <c:size val="10"/>
            <c:spPr>
              <a:solidFill>
                <a:schemeClr val="accent2"/>
              </a:solidFill>
              <a:ln w="9525">
                <a:solidFill>
                  <a:schemeClr val="accent2"/>
                </a:solidFill>
              </a:ln>
              <a:effectLst/>
            </c:spPr>
          </c:marker>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vztahy_a'!$C$7:$C$21</c:f>
              <c:numCache>
                <c:formatCode>General</c:formatCode>
                <c:ptCount val="15"/>
                <c:pt idx="0">
                  <c:v>-0.48030336572037596</c:v>
                </c:pt>
                <c:pt idx="1">
                  <c:v>-13.849775964188694</c:v>
                </c:pt>
                <c:pt idx="2">
                  <c:v>17.636423931022904</c:v>
                </c:pt>
                <c:pt idx="3">
                  <c:v>8.6415161627225672</c:v>
                </c:pt>
                <c:pt idx="4">
                  <c:v>4.0042767307394715</c:v>
                </c:pt>
                <c:pt idx="5">
                  <c:v>0.68681070942259681</c:v>
                </c:pt>
                <c:pt idx="6">
                  <c:v>12.071376353644107</c:v>
                </c:pt>
                <c:pt idx="7">
                  <c:v>4.2889556626306211</c:v>
                </c:pt>
                <c:pt idx="8">
                  <c:v>0.11038963287046216</c:v>
                </c:pt>
                <c:pt idx="9">
                  <c:v>6.8245079237178139</c:v>
                </c:pt>
                <c:pt idx="10">
                  <c:v>5.0260247733996906</c:v>
                </c:pt>
                <c:pt idx="11">
                  <c:v>0.80432261722676923</c:v>
                </c:pt>
                <c:pt idx="12">
                  <c:v>-8.3226511448622968</c:v>
                </c:pt>
                <c:pt idx="13">
                  <c:v>19.675778990593603</c:v>
                </c:pt>
                <c:pt idx="14">
                  <c:v>18.582160176921974</c:v>
                </c:pt>
              </c:numCache>
            </c:numRef>
          </c:val>
          <c:smooth val="0"/>
          <c:extLst>
            <c:ext xmlns:c16="http://schemas.microsoft.com/office/drawing/2014/chart" uri="{C3380CC4-5D6E-409C-BE32-E72D297353CC}">
              <c16:uniqueId val="{00000002-306D-4BC9-824D-3E6B26D36A1F}"/>
            </c:ext>
          </c:extLst>
        </c:ser>
        <c:dLbls>
          <c:showLegendKey val="0"/>
          <c:showVal val="0"/>
          <c:showCatName val="0"/>
          <c:showSerName val="0"/>
          <c:showPercent val="0"/>
          <c:showBubbleSize val="0"/>
        </c:dLbls>
        <c:marker val="1"/>
        <c:smooth val="0"/>
        <c:axId val="94003200"/>
        <c:axId val="94427776"/>
      </c:lineChart>
      <c:catAx>
        <c:axId val="940032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94427776"/>
        <c:crosses val="autoZero"/>
        <c:auto val="1"/>
        <c:lblAlgn val="ctr"/>
        <c:lblOffset val="100"/>
        <c:noMultiLvlLbl val="0"/>
      </c:catAx>
      <c:valAx>
        <c:axId val="94427776"/>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94003200"/>
        <c:crosses val="autoZero"/>
        <c:crossBetween val="between"/>
      </c:valAx>
      <c:valAx>
        <c:axId val="97433088"/>
        <c:scaling>
          <c:orientation val="minMax"/>
          <c:min val="-2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97434624"/>
        <c:crosses val="max"/>
        <c:crossBetween val="between"/>
      </c:valAx>
      <c:catAx>
        <c:axId val="97434624"/>
        <c:scaling>
          <c:orientation val="minMax"/>
        </c:scaling>
        <c:delete val="1"/>
        <c:axPos val="b"/>
        <c:numFmt formatCode="General" sourceLinked="1"/>
        <c:majorTickMark val="out"/>
        <c:minorTickMark val="none"/>
        <c:tickLblPos val="none"/>
        <c:crossAx val="97433088"/>
        <c:crosses val="autoZero"/>
        <c:auto val="1"/>
        <c:lblAlgn val="ctr"/>
        <c:lblOffset val="100"/>
        <c:noMultiLvlLbl val="0"/>
      </c:catAx>
      <c:spPr>
        <a:noFill/>
        <a:ln>
          <a:noFill/>
        </a:ln>
        <a:effectLst/>
      </c:spPr>
    </c:plotArea>
    <c:legend>
      <c:legendPos val="b"/>
      <c:layout>
        <c:manualLayout>
          <c:xMode val="edge"/>
          <c:yMode val="edge"/>
          <c:x val="5.1326213683763972E-2"/>
          <c:y val="0.92486185348631955"/>
          <c:w val="0.92928082460835815"/>
          <c:h val="5.60656590812783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30075E46-B04D-41F5-8C6A-84D308B1275D}">
  <ds:schemaRefs>
    <ds:schemaRef ds:uri="http://schemas.openxmlformats.org/officeDocument/2006/bibliography"/>
  </ds:schemaRefs>
</ds:datastoreItem>
</file>

<file path=customXml/itemProps4.xml><?xml version="1.0" encoding="utf-8"?>
<ds:datastoreItem xmlns:ds="http://schemas.openxmlformats.org/officeDocument/2006/customXml" ds:itemID="{77D090CF-62AF-4131-9322-2E648D49B256}">
  <ds:schemaRefs>
    <ds:schemaRef ds:uri="http://schemas.openxmlformats.org/officeDocument/2006/bibliography"/>
  </ds:schemaRefs>
</ds:datastoreItem>
</file>

<file path=customXml/itemProps5.xml><?xml version="1.0" encoding="utf-8"?>
<ds:datastoreItem xmlns:ds="http://schemas.openxmlformats.org/officeDocument/2006/customXml" ds:itemID="{1E238702-393C-4E0B-95FC-639749005827}">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eabc42bd-08fe-4a27-9645-04f6ad96d74a"/>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Q_analyza_Q12018</Template>
  <TotalTime>1</TotalTime>
  <Pages>46</Pages>
  <Words>19406</Words>
  <Characters>114496</Characters>
  <Application>Microsoft Office Word</Application>
  <DocSecurity>0</DocSecurity>
  <Lines>954</Lines>
  <Paragraphs>267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3</cp:revision>
  <cp:lastPrinted>2019-04-08T10:52:00Z</cp:lastPrinted>
  <dcterms:created xsi:type="dcterms:W3CDTF">2023-03-21T09:13:00Z</dcterms:created>
  <dcterms:modified xsi:type="dcterms:W3CDTF">2023-03-21T09:13:00Z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