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BCBF" w14:textId="77777777" w:rsidR="008C3A32" w:rsidRPr="009110F7" w:rsidRDefault="008C3A32" w:rsidP="008C3A32">
      <w:pPr>
        <w:pStyle w:val="Nadpis1"/>
      </w:pPr>
      <w:bookmarkStart w:id="0" w:name="_Toc114134047"/>
      <w:bookmarkStart w:id="1" w:name="_Toc114134048"/>
      <w:bookmarkStart w:id="2" w:name="_Toc97736119"/>
      <w:bookmarkStart w:id="3" w:name="_Toc74643859"/>
      <w:bookmarkStart w:id="4" w:name="_Toc90395915"/>
      <w:bookmarkStart w:id="5" w:name="_Toc98245446"/>
      <w:bookmarkStart w:id="6" w:name="_Toc74643860"/>
      <w:bookmarkStart w:id="7" w:name="_Toc130286017"/>
      <w:r w:rsidRPr="0077605B">
        <w:t>2</w:t>
      </w:r>
      <w:r>
        <w:t>. </w:t>
      </w:r>
      <w:r w:rsidRPr="0077605B">
        <w:t>Souhrnná výkonnost</w:t>
      </w:r>
      <w:bookmarkEnd w:id="7"/>
    </w:p>
    <w:tbl>
      <w:tblPr>
        <w:tblW w:w="963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6"/>
        <w:gridCol w:w="223"/>
        <w:gridCol w:w="7610"/>
      </w:tblGrid>
      <w:tr w:rsidR="008C3A32" w:rsidRPr="009110F7" w14:paraId="5933BC0A" w14:textId="77777777" w:rsidTr="5294493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0973E3BA" w14:textId="77777777" w:rsidR="008C3A32" w:rsidRDefault="008C3A32" w:rsidP="00163868">
            <w:pPr>
              <w:pStyle w:val="Marginlie"/>
            </w:pPr>
            <w:r>
              <w:t>Česká ekonomika si ve 4. čtvrtletí těsně udržela meziroční růst, mezičtvrtletně ale klesla podruhé v řadě.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DF3FF42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49452A7" w14:textId="77777777" w:rsidR="008C3A32" w:rsidRPr="00014ED0" w:rsidRDefault="008C3A32" w:rsidP="00163868">
            <w:pPr>
              <w:rPr>
                <w:spacing w:val="-2"/>
              </w:rPr>
            </w:pPr>
            <w:r>
              <w:rPr>
                <w:spacing w:val="-2"/>
              </w:rPr>
              <w:t>Hrubý domácí produkt (HDP) v roce 2022 vzrostl o 2,4 %</w:t>
            </w:r>
            <w:r w:rsidRPr="00014ED0">
              <w:rPr>
                <w:rStyle w:val="Znakapoznpodarou"/>
                <w:rFonts w:cs="Arial"/>
                <w:spacing w:val="-2"/>
              </w:rPr>
              <w:footnoteReference w:id="1"/>
            </w:r>
            <w:r>
              <w:rPr>
                <w:spacing w:val="-2"/>
              </w:rPr>
              <w:t xml:space="preserve">, což znamenalo zpomalení dynamiky oproti roku 2021. Růst HDP loni nejvíc podpořila tvorba hrubého kapitálu a zahraniční poptávka. Naopak domácí spotřeba brzdila ekonomický růst. Zejména domácnosti totiž v prostředí prudkého cenového růstu redukovaly výdaje. Reálná úroveň HDP (vyjádřená v cenách roku 2015) loni mírně překonala předpandemický rok 2019. V průběhu roku 2022 meziroční dynamika HDP postupně zpomalovala (přírůstky 4,7 %, 3,5 % a 1,5 % v 1., 2. a 3. čtvrtletí) a ve 4. kvartálu ekonomika meziročně stagnovala (0,2 %). Oproti 3. čtvrtletí se HDP snížil o 0,4 %, což byl druhý pokles v řadě. Meziroční růst HDP v závěru roku stál na pozitivním vývoji zahraniční poptávky. Oslabil ale příspěvek kapitálových výdajů a domácí spotřeba silně brzdila meziroční navýšení HDP. Zahraniční poptávka v pozitivním směru působila také na mezičtvrtletní dynamiku HDP, ale spotřeba i kapitálové výdaje klesaly.   </w:t>
            </w:r>
          </w:p>
        </w:tc>
      </w:tr>
      <w:tr w:rsidR="008C3A32" w:rsidRPr="009110F7" w14:paraId="0D61AD2E" w14:textId="77777777" w:rsidTr="5294493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30C1B0A3" w14:textId="77777777" w:rsidR="008C3A32" w:rsidRDefault="008C3A32" w:rsidP="00163868">
            <w:pPr>
              <w:pStyle w:val="Marginlie"/>
            </w:pPr>
            <w:r>
              <w:t>Ke zpomalování ekonomického růstu loni došlo i v EU.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1A2315D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64C6F97" w14:textId="77777777" w:rsidR="008C3A32" w:rsidRDefault="008C3A32" w:rsidP="00163868">
            <w:pPr>
              <w:rPr>
                <w:spacing w:val="-2"/>
              </w:rPr>
            </w:pPr>
            <w:r>
              <w:t>Meziroční růst HDP v Evropské unii v průběhu celého roku 2022 zpomaloval a ve 4. čtvrtletí dosáhl 1,7 %</w:t>
            </w:r>
            <w:r>
              <w:rPr>
                <w:rStyle w:val="Znakapoznpodarou"/>
              </w:rPr>
              <w:footnoteReference w:id="2"/>
            </w:r>
            <w:r>
              <w:t xml:space="preserve">. Také mezičtvrtletní dynamika se během roku postupně utlumovala a oproti 3. čtvrtletí HDP v unii klesl o 0,1 %. V závěru roku bylo v zemích EU patrné ochlazení spotřeby i kapitálových výdajů. Nejsilněji meziročně rostl HDP ve 4. čtvrtletí v Irsku (13,1 %), Řecku (5,2 %) a v Rumunsku (4,9 %). Pokles ve srovnání se stejným obdobím roku 2021 naopak zaznamenaly ekonomiky Estonska (−4,4 %), Litvy (−0,4 %) a Švédska (−0,1 %). Blízko meziroční stagnace se kromě Česka (0,2 %) pohyboval HDP i ve Finsku (0,1 %). Největší nárůst oproti 3. čtvrtletí měl HDP v Řecku (1,4 %), na Maltě (1,2 %) a na Kypru (1,1 %). Nejvíce se mezičtvrtletně propadl HDP v Polsku (−2,4 %) a nižší byl také v Estonsku (−1,6 %), ve Finsku (−0,6 %), Švédsku (−0,5 %), Litvě (−0,5 %), Maďarsku (−0,4 %), Německu (−0,4 %), Česku (−0,4 %) a v Itálii (−0,1 %).     </w:t>
            </w:r>
          </w:p>
        </w:tc>
      </w:tr>
      <w:tr w:rsidR="008C3A32" w:rsidRPr="009110F7" w14:paraId="69859CBE" w14:textId="77777777" w:rsidTr="52944939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773D6F76" w14:textId="77777777" w:rsidR="008C3A32" w:rsidRDefault="008C3A32" w:rsidP="00163868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0AE9F316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C1F5827" w14:textId="77777777" w:rsidR="008C3A32" w:rsidRPr="00D721B4" w:rsidRDefault="008C3A32" w:rsidP="00163868">
            <w:pPr>
              <w:spacing w:after="0"/>
              <w:rPr>
                <w:b/>
                <w:szCs w:val="20"/>
              </w:rPr>
            </w:pPr>
            <w:r w:rsidRPr="00D721B4">
              <w:rPr>
                <w:rFonts w:cs="Arial"/>
                <w:b/>
                <w:bCs/>
                <w:color w:val="000000"/>
                <w:szCs w:val="20"/>
              </w:rPr>
              <w:t>Graf č. 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HDP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očištěno o sezónní a kalendářní vlivy, v %)</w:t>
            </w:r>
          </w:p>
        </w:tc>
      </w:tr>
      <w:tr w:rsidR="008C3A32" w:rsidRPr="009110F7" w14:paraId="69E60004" w14:textId="77777777" w:rsidTr="52944939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</w:tcPr>
          <w:p w14:paraId="45DB174A" w14:textId="77777777" w:rsidR="008C3A32" w:rsidRPr="009110F7" w:rsidRDefault="008C3A32" w:rsidP="00163868">
            <w:pPr>
              <w:pStyle w:val="Marginlie"/>
            </w:pPr>
          </w:p>
        </w:tc>
        <w:tc>
          <w:tcPr>
            <w:tcW w:w="223" w:type="dxa"/>
            <w:vMerge/>
          </w:tcPr>
          <w:p w14:paraId="01194BCD" w14:textId="77777777" w:rsidR="008C3A32" w:rsidRPr="009110F7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427DA9C0" w14:textId="11F43DF8" w:rsidR="008C3A32" w:rsidRPr="009110F7" w:rsidRDefault="00E647C1" w:rsidP="00163868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1FA20F1" wp14:editId="53CEB330">
                  <wp:extent cx="4734425" cy="3375400"/>
                  <wp:effectExtent l="0" t="0" r="0" b="0"/>
                  <wp:docPr id="47" name="Graf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8C3A32" w:rsidRPr="009110F7" w14:paraId="0B9F6C7E" w14:textId="77777777" w:rsidTr="52944939">
        <w:trPr>
          <w:trHeight w:val="170"/>
        </w:trPr>
        <w:tc>
          <w:tcPr>
            <w:tcW w:w="1806" w:type="dxa"/>
            <w:vMerge/>
            <w:tcMar>
              <w:left w:w="0" w:type="dxa"/>
            </w:tcMar>
          </w:tcPr>
          <w:p w14:paraId="379B99E2" w14:textId="77777777" w:rsidR="008C3A32" w:rsidRPr="009110F7" w:rsidRDefault="008C3A32" w:rsidP="00163868">
            <w:pPr>
              <w:pStyle w:val="Marginlie"/>
            </w:pPr>
          </w:p>
        </w:tc>
        <w:tc>
          <w:tcPr>
            <w:tcW w:w="223" w:type="dxa"/>
            <w:vMerge/>
            <w:tcMar>
              <w:left w:w="0" w:type="dxa"/>
            </w:tcMar>
          </w:tcPr>
          <w:p w14:paraId="676B3350" w14:textId="77777777" w:rsidR="008C3A32" w:rsidRPr="009110F7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69C7774" w14:textId="77777777" w:rsidR="008C3A32" w:rsidRPr="009110F7" w:rsidRDefault="008C3A32" w:rsidP="00163868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Zdroj: ČSÚ, </w:t>
            </w:r>
            <w:proofErr w:type="spellStart"/>
            <w:r>
              <w:rPr>
                <w:sz w:val="14"/>
                <w:szCs w:val="14"/>
              </w:rPr>
              <w:t>Eurostat</w:t>
            </w:r>
            <w:proofErr w:type="spellEnd"/>
          </w:p>
        </w:tc>
      </w:tr>
      <w:tr w:rsidR="008C3A32" w:rsidRPr="009110F7" w14:paraId="0B5086D5" w14:textId="77777777" w:rsidTr="5294493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7E11DEF5" w14:textId="77777777" w:rsidR="008C3A32" w:rsidRDefault="008C3A32" w:rsidP="00163868">
            <w:pPr>
              <w:pStyle w:val="Marginlie"/>
            </w:pPr>
            <w:r>
              <w:lastRenderedPageBreak/>
              <w:t>Mzdy a platy se loni reálně propadly.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0EA35E42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C63CA31" w14:textId="3C7961AD" w:rsidR="008C3A32" w:rsidRPr="00014ED0" w:rsidRDefault="008C3A32" w:rsidP="00163868">
            <w:r>
              <w:rPr>
                <w:spacing w:val="-2"/>
              </w:rPr>
              <w:t>V roce 2022 celkový objem mezd a platů vzrostl o 8,8 % při růstu celkové zaměstnanosti o 1,7 %</w:t>
            </w:r>
            <w:r w:rsidRPr="00014ED0">
              <w:rPr>
                <w:rStyle w:val="Znakapoznpodarou"/>
                <w:spacing w:val="-2"/>
              </w:rPr>
              <w:footnoteReference w:id="3"/>
            </w:r>
            <w:r>
              <w:rPr>
                <w:spacing w:val="-2"/>
              </w:rPr>
              <w:t>. Nominální přírůstek mezd a platů tak zrychlil v porovnání s rokem 2021 a byl také vyšší než v předpandemickém roce 2019. Vzhledem k prudkému cenovému růstu ale výdělky domácností reálně klesaly. Reálně loni poklesly mzdy a platy o 6,4 %</w:t>
            </w:r>
            <w:r>
              <w:rPr>
                <w:rStyle w:val="Znakapoznpodarou"/>
                <w:spacing w:val="-2"/>
              </w:rPr>
              <w:footnoteReference w:id="4"/>
            </w:r>
            <w:r>
              <w:rPr>
                <w:spacing w:val="-2"/>
              </w:rPr>
              <w:t>. Největší nárůst objemu mezd a platů loni zaznamenaly činnosti v oblasti nemovitostí (19,5 % při růstu zaměstnanosti o 4,3 %), které navázaly na prudký přírůstek z roku 2021. Dále bylo vidět posílení růstu u odvětví silně zasažených pandemickým propadem. To byl případ obchodu, dopravy, ubytování a pohostinství (růst mezd a platů o 16,1 % při současném navýšení zaměstnanosti o 2,1 %) a ostatních činností</w:t>
            </w:r>
            <w:r>
              <w:rPr>
                <w:rStyle w:val="Znakapoznpodarou"/>
                <w:spacing w:val="-2"/>
              </w:rPr>
              <w:footnoteReference w:id="5"/>
            </w:r>
            <w:r>
              <w:rPr>
                <w:spacing w:val="-2"/>
              </w:rPr>
              <w:t xml:space="preserve"> (mzdy a platy 14,9 %, zaměstnanost 0,7 %). Posílení dynamiky mezd a platů doprovázené výrazným</w:t>
            </w:r>
            <w:r w:rsidR="00741F2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navýšením zaměstnanosti se dotklo informačních a komunikačních činností (13,3 % při růstu zaměstnanosti o 3,9 %) a stavebnictví (10,5 %, zaměstnanost se zvýšila o 3,4 %). Nadprůměrně se zvýšil objem vyplacených mezd a platů v profesních, vědeckých, technických </w:t>
            </w:r>
            <w:r w:rsidRPr="009A4568">
              <w:t>a</w:t>
            </w:r>
            <w:r>
              <w:t> </w:t>
            </w:r>
            <w:r w:rsidRPr="009A4568">
              <w:t>administrativních</w:t>
            </w:r>
            <w:r>
              <w:rPr>
                <w:spacing w:val="-2"/>
              </w:rPr>
              <w:t xml:space="preserve"> činnostech (9,6 %, zaměstnanost byla vyšší o 1,1 %) a v peněžnictví a pojišťovnictví (9,6 %, zaměstnanost rostla o 0,5 %). Pod průměrem byl loni růst mezd a platů ve zpracovatelském průmyslu (8,7 %, růst zaměstnanosti o 0,7 %), zemědělství</w:t>
            </w:r>
            <w:r w:rsidR="48038D4B">
              <w:rPr>
                <w:spacing w:val="-2"/>
              </w:rPr>
              <w:t>, lesnictví a rybářství</w:t>
            </w:r>
            <w:r>
              <w:rPr>
                <w:spacing w:val="-2"/>
              </w:rPr>
              <w:t xml:space="preserve"> (7,8 %, zaměstnanost 0,4 %) a odvětvích s převahou vládního sektoru (1,0 %, zaměstnanost rostla o 2,3 %)</w:t>
            </w:r>
            <w:r>
              <w:rPr>
                <w:rStyle w:val="Znakapoznpodarou"/>
                <w:spacing w:val="-2"/>
              </w:rPr>
              <w:footnoteReference w:id="6"/>
            </w:r>
            <w:r>
              <w:rPr>
                <w:spacing w:val="-2"/>
              </w:rPr>
              <w:t xml:space="preserve">. </w:t>
            </w:r>
          </w:p>
        </w:tc>
      </w:tr>
      <w:tr w:rsidR="008C3A32" w:rsidRPr="009110F7" w14:paraId="0193F77F" w14:textId="77777777" w:rsidTr="5294493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2B51425E" w14:textId="77777777" w:rsidR="008C3A32" w:rsidRDefault="008C3A32" w:rsidP="00163868">
            <w:pPr>
              <w:pStyle w:val="Marginlie"/>
            </w:pPr>
            <w:r>
              <w:t>Ke konci roku byl patrný tlak na růst nominálních mezd a platů.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76BD155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E4AAB22" w14:textId="649637BF" w:rsidR="008C3A32" w:rsidRDefault="008C3A32" w:rsidP="00163868">
            <w:r>
              <w:rPr>
                <w:spacing w:val="-2"/>
              </w:rPr>
              <w:t xml:space="preserve">Ve 4. čtvrtletí meziroční růst objemu vyplacených mezd a platů mírně zrychlil na 8,0 %. Mezičtvrtletně se mzdy a platy zvýšily o 2,2 %. Meziroční růst zaměstnanosti přitom zpomalil na 1,3 % a mezičtvrtletně zaměstnanost klesla o 0,4 %. Ve </w:t>
            </w:r>
            <w:proofErr w:type="spellStart"/>
            <w:r>
              <w:rPr>
                <w:spacing w:val="-2"/>
              </w:rPr>
              <w:t>vysokoinflačním</w:t>
            </w:r>
            <w:proofErr w:type="spellEnd"/>
            <w:r>
              <w:rPr>
                <w:spacing w:val="-2"/>
              </w:rPr>
              <w:t xml:space="preserve"> prostředí tedy pokračoval tlak na růst mezd navzdory celkovému ekonomickému zpomalení. Reálně ale mzdy a platy meziročně klesly o 8,5 %. Nejvíce ve 4. čtvrtletí meziročně rostly mzdy a platy v činnostech v oblasti nemovitostí (18,7 % při růstu zaměstnanosti o 2,1 %). Pokračoval výrazný růst u informačních a komunikačních činností (13,9 % při růstu zaměstnanosti o 5,5 %). Nadprůměrné bylo meziroční navýšení v případě peněžnictví a pojišťovnictví (10,8 %, zaměstnanost rostla o 0,7 %), obchodu, dopravy, ubytování a pohostinství (10,3 % při současném navýšení zaměstnanosti o 0,8 %), stavebnictví (9,8 %, zaměstnanost byla vyšší o 3,2 %), zpracovatelského průmyslu (9,6 %, zaměstnanost o 0,4 %), v profesních, vědeckých, technických a administrativních činnostech (9,6 %, zaměstnanost byla vyšší o 1,6 %) a v zemědělství</w:t>
            </w:r>
            <w:r w:rsidR="50A35788">
              <w:rPr>
                <w:spacing w:val="-2"/>
              </w:rPr>
              <w:t>, lesnictví a rybářství</w:t>
            </w:r>
            <w:r>
              <w:rPr>
                <w:spacing w:val="-2"/>
              </w:rPr>
              <w:t xml:space="preserve"> (8,5 %, zaměstnanost se meziročně snížila o 2,0 %). Za průměrným navýšením naopak zaostávaly mzdy a platy v odvětvích s převahou vládního sektoru (1,4</w:t>
            </w:r>
            <w:r w:rsidR="00E87D5B">
              <w:rPr>
                <w:spacing w:val="-2"/>
              </w:rPr>
              <w:t> </w:t>
            </w:r>
            <w:r>
              <w:rPr>
                <w:spacing w:val="-2"/>
              </w:rPr>
              <w:t>% při růstu zaměstnanosti o 2,7 %) a ostatních činnostech (5,8 %, zaměstnanost klesla o 1,8 %).</w:t>
            </w:r>
          </w:p>
        </w:tc>
      </w:tr>
      <w:tr w:rsidR="008C3A32" w:rsidRPr="009110F7" w14:paraId="73F9BB65" w14:textId="77777777" w:rsidTr="5294493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248A62D5" w14:textId="77777777" w:rsidR="008C3A32" w:rsidRDefault="008C3A32" w:rsidP="00163868">
            <w:pPr>
              <w:pStyle w:val="Marginlie"/>
            </w:pPr>
            <w:r>
              <w:t>Mzdy a platy se mezičtvrtletně zvýšily ve všech odvětvích.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BFE58D9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7A36F83" w14:textId="77777777" w:rsidR="008C3A32" w:rsidRDefault="008C3A32" w:rsidP="00163868">
            <w:pPr>
              <w:rPr>
                <w:spacing w:val="-2"/>
              </w:rPr>
            </w:pPr>
            <w:r>
              <w:rPr>
                <w:spacing w:val="-2"/>
              </w:rPr>
              <w:t xml:space="preserve">Posílení mezičtvrtletní dynamiky mezd a platů se ve 4. čtvrtletí týkalo většiny odvětví. Nejvíce mezičtvrtletně rostly výdělky v peněžnictví a pojišťovnictví (6,2 %), v profesních, vědeckých, technických a administrativních činnostech (5,0 %), činnostech v oblasti nemovitostí (4,8 %), ostatních činnostech (4,2 %), zemědělství, lesnictví a rybářství (4,0 %) a informačních a komunikačních činnostech (3,0 %). Mírnější byl přírůstek v uskupení obchod, doprava, ubytování a pohostinství (2,5 %), stavebnictví (2,1 %) a ve zpracovatelském průmyslu (1,9 %). Mzdy a platy stagnovaly v odvětvích s převahou vládního sektoru (0,1 %).  </w:t>
            </w:r>
          </w:p>
        </w:tc>
      </w:tr>
      <w:tr w:rsidR="008C3A32" w:rsidRPr="009110F7" w14:paraId="127E68C8" w14:textId="77777777" w:rsidTr="5294493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4E97047B" w14:textId="77777777" w:rsidR="008C3A32" w:rsidRDefault="008C3A32" w:rsidP="00163868">
            <w:pPr>
              <w:pStyle w:val="Marginlie"/>
            </w:pPr>
            <w:r>
              <w:t>Propadla se spotřeba domácností.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293C704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A46A03F" w14:textId="39BDBAEF" w:rsidR="008C3A32" w:rsidRDefault="008C3A32" w:rsidP="00163868">
            <w:pPr>
              <w:rPr>
                <w:spacing w:val="-2"/>
              </w:rPr>
            </w:pPr>
            <w:r>
              <w:rPr>
                <w:spacing w:val="-2"/>
              </w:rPr>
              <w:t xml:space="preserve">Domácí spotřeba v roce 2022 klesla o 0,4 %. Reálná úroveň spotřeby (v cenách roku 2019) tak po pandemickém propadu v roce 2020 stále nepřekonala rok 2019. Důvodem loňského poklesu byla jednoznačně redukce výdajů domácností (−0,9 %), které čelily </w:t>
            </w:r>
            <w:r>
              <w:rPr>
                <w:spacing w:val="-2"/>
              </w:rPr>
              <w:lastRenderedPageBreak/>
              <w:t>nebývalému propadu reálných výdělků. Reálná úroveň spotřeby domácností loni dokonce zaostávala i za rokem 2018. Spotřeba vládního sektoru byla naopak vyšší o 0,7 %. Výdaje na konečnou spotřebu působily ve směru poklesu HDP 0,5 p. b.</w:t>
            </w:r>
            <w:r w:rsidRPr="00014ED0">
              <w:rPr>
                <w:rStyle w:val="Znakapoznpodarou"/>
                <w:spacing w:val="-2"/>
              </w:rPr>
              <w:footnoteReference w:id="7"/>
            </w:r>
            <w:r w:rsidR="001C4D8C">
              <w:rPr>
                <w:spacing w:val="-2"/>
              </w:rPr>
              <w:t>.</w:t>
            </w:r>
            <w:r>
              <w:rPr>
                <w:spacing w:val="-2"/>
              </w:rPr>
              <w:t xml:space="preserve"> V samotném 4. čtvrtletí 2022 spotřeba podruhé v řadě meziročně klesla, a to o 3,4 %. Z toho se spotřeba domácností propadla o 5,5 %, zatímco u vládních institucí došlo k mírnému navýšení o 0,9 %. Mezičtvrtletně se spotřeba snížila o 0,6 %, popáté v řadě. U domácností se pokles oproti 3. kvartálu prohloubil na 2,8 %, naopak vládní instituce vykázaly výrazné navýšení o 3,9 %. </w:t>
            </w:r>
          </w:p>
        </w:tc>
      </w:tr>
      <w:tr w:rsidR="008C3A32" w:rsidRPr="009110F7" w14:paraId="0E6466F5" w14:textId="77777777" w:rsidTr="52944939">
        <w:trPr>
          <w:trHeight w:val="154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1686769C" w14:textId="77777777" w:rsidR="008C3A32" w:rsidRDefault="008C3A32" w:rsidP="00163868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3F80E9C2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F947BF6" w14:textId="77777777" w:rsidR="008C3A32" w:rsidRDefault="008C3A32" w:rsidP="00163868">
            <w:pPr>
              <w:spacing w:after="0"/>
            </w:pPr>
            <w:r w:rsidRPr="00D721B4">
              <w:rPr>
                <w:b/>
                <w:szCs w:val="20"/>
              </w:rPr>
              <w:t>Graf č. 2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výdajových složek k reálné změně HDP*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růst, příspěvky v p. b., HDP v %)</w:t>
            </w:r>
          </w:p>
        </w:tc>
      </w:tr>
      <w:tr w:rsidR="008C3A32" w:rsidRPr="009110F7" w14:paraId="60D37CA8" w14:textId="77777777" w:rsidTr="52944939">
        <w:trPr>
          <w:trHeight w:val="154"/>
        </w:trPr>
        <w:tc>
          <w:tcPr>
            <w:tcW w:w="1806" w:type="dxa"/>
            <w:vMerge/>
            <w:tcMar>
              <w:left w:w="0" w:type="dxa"/>
            </w:tcMar>
          </w:tcPr>
          <w:p w14:paraId="3CCE8FA2" w14:textId="77777777" w:rsidR="008C3A32" w:rsidRDefault="008C3A32" w:rsidP="00163868">
            <w:pPr>
              <w:pStyle w:val="Marginlie"/>
            </w:pPr>
          </w:p>
        </w:tc>
        <w:tc>
          <w:tcPr>
            <w:tcW w:w="223" w:type="dxa"/>
            <w:vMerge/>
            <w:tcMar>
              <w:left w:w="0" w:type="dxa"/>
            </w:tcMar>
          </w:tcPr>
          <w:p w14:paraId="5B691064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8A6C4A9" w14:textId="77777777" w:rsidR="008C3A32" w:rsidRDefault="008C3A32" w:rsidP="00163868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E19DD0D" wp14:editId="414247EA">
                  <wp:extent cx="4737600" cy="3553200"/>
                  <wp:effectExtent l="0" t="0" r="6350" b="0"/>
                  <wp:docPr id="8" name="Graf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8C3A32" w:rsidRPr="009110F7" w14:paraId="1170B150" w14:textId="77777777" w:rsidTr="52944939">
        <w:trPr>
          <w:trHeight w:val="154"/>
        </w:trPr>
        <w:tc>
          <w:tcPr>
            <w:tcW w:w="1806" w:type="dxa"/>
            <w:vMerge/>
            <w:tcMar>
              <w:left w:w="0" w:type="dxa"/>
            </w:tcMar>
          </w:tcPr>
          <w:p w14:paraId="2C621D23" w14:textId="77777777" w:rsidR="008C3A32" w:rsidRDefault="008C3A32" w:rsidP="00163868">
            <w:pPr>
              <w:pStyle w:val="Marginlie"/>
            </w:pPr>
          </w:p>
        </w:tc>
        <w:tc>
          <w:tcPr>
            <w:tcW w:w="223" w:type="dxa"/>
            <w:vMerge/>
            <w:tcMar>
              <w:left w:w="0" w:type="dxa"/>
            </w:tcMar>
          </w:tcPr>
          <w:p w14:paraId="4B0494F7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9D3ABFD" w14:textId="77777777" w:rsidR="008C3A32" w:rsidRDefault="008C3A32" w:rsidP="00163868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1879BDBD" w14:textId="77777777" w:rsidR="008C3A32" w:rsidRDefault="008C3A32" w:rsidP="00163868">
            <w:r>
              <w:rPr>
                <w:sz w:val="14"/>
                <w:szCs w:val="14"/>
              </w:rPr>
              <w:t>* po vyloučení dovozu pro konečné užití</w:t>
            </w:r>
          </w:p>
        </w:tc>
      </w:tr>
      <w:tr w:rsidR="008C3A32" w:rsidRPr="009110F7" w14:paraId="31E2C4F9" w14:textId="77777777" w:rsidTr="5294493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2B4EFFA3" w14:textId="77777777" w:rsidR="008C3A32" w:rsidRDefault="008C3A32" w:rsidP="00163868">
            <w:pPr>
              <w:pStyle w:val="Marginlie"/>
            </w:pPr>
            <w:r>
              <w:t>Spotřeba služeb si udržela meziroční růst.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0B1E530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3B2152B" w14:textId="77777777" w:rsidR="008C3A32" w:rsidRDefault="008C3A32" w:rsidP="00163868">
            <w:pPr>
              <w:rPr>
                <w:spacing w:val="-2"/>
              </w:rPr>
            </w:pPr>
            <w:r>
              <w:rPr>
                <w:spacing w:val="-2"/>
              </w:rPr>
              <w:t>Z hlediska trvanlivosti</w:t>
            </w:r>
            <w:r>
              <w:rPr>
                <w:rStyle w:val="Znakapoznpodarou"/>
              </w:rPr>
              <w:footnoteReference w:id="8"/>
            </w:r>
            <w:r>
              <w:rPr>
                <w:spacing w:val="-2"/>
              </w:rPr>
              <w:t xml:space="preserve"> loni nejvíce klesla poptávka po předmětech dlouhodobé spotřeby (−10,4 %). To odpovídá obvyklému chování spotřebitelů, kteří v období nejistoty právě v této oblasti omezují výdaje. Druhý největší pokles ale měla spotřeba netrvanlivého zboží (−5,6 %), což je velmi netypické a poukazuje to na omezování výdajů v oblasti nezbytných statků, jako jsou například potraviny. Spotřeba statků střednědobé trvanlivosti byla nižší o 1,6 %. Naopak u služeb loni posílil přírůstek spotřeby na 7,1 %. Ve 4. čtvrtletí se výdaje na předměty dlouhodobé spotřeby meziročně snížily o 16,4 %, střednědobé o 13,2 % a krátkodobé o 7,9 %. Spotřeba služeb si meziroční růst držela po celý rok a ve 4. kvartálu se zvýšila o 2,7 %. Oproti 3. čtvrtletí klesala pouze spotřeba netrvanlivých statků (−3,6 %), přičemž se propad prohluboval. Nejvíce mezičtvrtletně rostla spotřeba služeb (2,3 %) a dále předmětů dlouhodobé spotřeby (1,7 %). U střednědobé spotřeby došlo ke stagnaci (0,3 %) po sérii čtyř hlubokých propadů.</w:t>
            </w:r>
          </w:p>
        </w:tc>
      </w:tr>
      <w:tr w:rsidR="008C3A32" w:rsidRPr="009110F7" w14:paraId="5C5F7992" w14:textId="77777777" w:rsidTr="5294493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63AB60B1" w14:textId="77777777" w:rsidR="008C3A32" w:rsidRDefault="008C3A32" w:rsidP="00163868">
            <w:pPr>
              <w:pStyle w:val="Marginlie"/>
            </w:pPr>
            <w:r>
              <w:t>Investice loni rostly.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0A95725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B80EF0C" w14:textId="77777777" w:rsidR="008C3A32" w:rsidRDefault="008C3A32" w:rsidP="00163868">
            <w:r>
              <w:rPr>
                <w:spacing w:val="-2"/>
              </w:rPr>
              <w:t>Výdaje na tvorbu hrubého kapitálu loni reálně vzrostly o 8,4 %. Z toho výdaje na tvorbu hrubého fixního kapitálu (investice) byly vyšší o 6,2 %. Dále narůstaly i zásoby</w:t>
            </w:r>
            <w:r>
              <w:rPr>
                <w:rStyle w:val="Znakapoznpodarou"/>
              </w:rPr>
              <w:footnoteReference w:id="9"/>
            </w:r>
            <w:r>
              <w:rPr>
                <w:spacing w:val="-2"/>
              </w:rPr>
              <w:t xml:space="preserve"> – zatímco </w:t>
            </w:r>
            <w:r>
              <w:rPr>
                <w:spacing w:val="-2"/>
              </w:rPr>
              <w:lastRenderedPageBreak/>
              <w:t xml:space="preserve">v roce 2021 šlo hlavně o nedokončené výrobky v průmyslu, loni mělo vliv také zásobení se zemním plynem. K loňskému přírůstku HDP tvorba hrubého kapitálu přispěla 2,3 p. b., z toho fixní kapitál 1,4 p. b. Meziroční růst výdajů na tvorbu hrubého kapitálu během roku postupně slábnul – ve 4. čtvrtletí dosáhl přírůstek 2,6 %. Z toho ale investice vzrostly o 4,6 %. Mezičtvrtletně ale došlo k poklesu tvorby hrubého kapitálu o 1,3 % (druhé snížení v řadě). Investiční aktivita mezičtvrtletně klesla poprvé od 1. čtvrtletí, a to o 1,1 %.       </w:t>
            </w:r>
          </w:p>
        </w:tc>
      </w:tr>
      <w:tr w:rsidR="008C3A32" w:rsidRPr="009110F7" w14:paraId="1D0DFB42" w14:textId="77777777" w:rsidTr="5294493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55C7CA8D" w14:textId="77777777" w:rsidR="008C3A32" w:rsidRDefault="008C3A32" w:rsidP="00163868">
            <w:pPr>
              <w:pStyle w:val="Marginlie"/>
            </w:pPr>
            <w:r>
              <w:lastRenderedPageBreak/>
              <w:t>Klesaly investice do obydlí.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CB26E5E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441029D" w14:textId="332A8354" w:rsidR="008C3A32" w:rsidRDefault="008C3A32" w:rsidP="00163868">
            <w:r>
              <w:rPr>
                <w:spacing w:val="-2"/>
              </w:rPr>
              <w:t>Věcné členění tvorby hrubého fixního kapitálu dokládá obavy domácností a propad trhu s nemovitostmi související s nárůstem úrokových sazeb a zhoršením dostupnosti hypoték. Investice do obydlí se totiž loni snížily o 1,2 %. Vedle toho ale rostly investice do dopravních prostředků a zařízení (14,9 %), ostatních budov a staveb (8,9 %), produktů duševního vlastnictví (6,3 %) i ICT a ostatních strojů a zařízení (5,9 %). Meziroční vývoj ve 4. čtvrtletí se tomu celoročnímu podobal – investice do obydlí jako jediné klesly o</w:t>
            </w:r>
            <w:r w:rsidR="00F53917">
              <w:rPr>
                <w:spacing w:val="-2"/>
              </w:rPr>
              <w:t> </w:t>
            </w:r>
            <w:r>
              <w:rPr>
                <w:spacing w:val="-2"/>
              </w:rPr>
              <w:t>4,7 %, ale růst ostatních investičních položek trval. Výdaje na produkty duševního vlastnictví tak byly meziročně vyšší o 9,7 %, na ICT a ostatní stroje a zařízení o 7,6 %, na ostatní budovy a stavby o 4,7 % a dopravní prostředky a zařízení o 2,6 %. Mezičtvrtletní dynamika ale ukazuje, že v závěru roku výrazně zpomalily investice do ostatních budov a staveb (−7,3 %) i dopravních prostředků a zařízení (−4,0 %). Mírně nižší byly výdaje na obydlí (−0,7 %). Mezičtvrtletně rostly naopak investice do produktů duševního vlastnictví (5,5 %) a ICT a ostatních strojů a zařízení (0,6 %).</w:t>
            </w:r>
          </w:p>
        </w:tc>
      </w:tr>
      <w:tr w:rsidR="008C3A32" w:rsidRPr="009110F7" w14:paraId="648559DB" w14:textId="77777777" w:rsidTr="5294493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3C6CCB9F" w14:textId="77777777" w:rsidR="008C3A32" w:rsidRDefault="008C3A32" w:rsidP="00163868">
            <w:pPr>
              <w:pStyle w:val="Marginlie"/>
            </w:pPr>
            <w:r>
              <w:t>Zahraniční poptávka loni přispěla k růstu HDP.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4CC78E4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3468C69" w14:textId="77777777" w:rsidR="008C3A32" w:rsidRDefault="008C3A32" w:rsidP="00163868">
            <w:r>
              <w:t>Vývoz zboží a služeb v roce 2022 reálně vzrostl o 5,7 %</w:t>
            </w:r>
            <w:r w:rsidRPr="009110F7">
              <w:rPr>
                <w:rStyle w:val="Znakapoznpodarou"/>
              </w:rPr>
              <w:footnoteReference w:id="10"/>
            </w:r>
            <w:r>
              <w:t>. Z toho se export zboží zvýšil o 3,8 %, zatímco u služeb došlo k výraznému navýšení o 16,7 %. Dovoz byl loni také reálně vyšší o 5,7 %. Přírůstek importu zboží byl mírný (2,6 %), ale službám se dařilo dohánět pandemický propad (26,9 %). Zahraniční poptávka na reálný růst HDP loni působila pozitivně (příspěvek 0,6 p. b.). Celková bilance zahraničního obchodu se zbožím a službami v běžných cenách se loni zhoršila o 187,6 mld. korun a spadla do deficitu 8,3 mld., prvního od roku 2003. Stál za tím zejména obchod se zbožím (celkový deficit 100,4 mld. korun, zhoršení o 170,6 mld.), ale nepříznivým směrem se vyvíjelo také saldo obchodu se službami (zhoršení přebytku o 17,0 mld. korun na 92,1 mld.). Klíčový vliv na dramatické zhoršení bilance mělo prudké zvýšení cen ropy a zemního plynu i dalších surovin, které se dále přenášelo na ceny dalšího zboží.</w:t>
            </w:r>
          </w:p>
        </w:tc>
      </w:tr>
      <w:tr w:rsidR="008C3A32" w:rsidRPr="009110F7" w14:paraId="6956BC7C" w14:textId="77777777" w:rsidTr="5294493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6AD50BDC" w14:textId="77777777" w:rsidR="008C3A32" w:rsidRDefault="008C3A32" w:rsidP="00163868">
            <w:pPr>
              <w:pStyle w:val="Marginlie"/>
            </w:pPr>
            <w:r>
              <w:t>Bilance zahraničního obchodu se meziročně zhoršila.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0A34E6F1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A8C744F" w14:textId="3320898A" w:rsidR="008C3A32" w:rsidRDefault="008C3A32" w:rsidP="00163868">
            <w:r>
              <w:t xml:space="preserve">Ve 4. čtvrtletí se export zboží a služeb reálně meziročně zvýšil o 9,7 %. Z toho vývoz zboží rostl o 8,2 % a služeb o 18,4 %. Silný meziroční reálný růst exportu souvisel </w:t>
            </w:r>
            <w:r>
              <w:br/>
              <w:t xml:space="preserve">i se slabou srovnávací základnou druhé poloviny roku 2021, kdy exportérům komplikoval situaci vrcholící nedostatek součástek. Dovoz se ve 4. čtvrtletí meziročně zvýšil o 7,6 %. Import zboží byl reálně vyšší o 3,7 %, v případě služeb došlo k prudkému </w:t>
            </w:r>
            <w:r w:rsidR="001C4D8C">
              <w:t>nárůstu</w:t>
            </w:r>
            <w:r>
              <w:t xml:space="preserve"> o 33,3 %. Zahraniční poptávka působila na meziroční růst HDP ve 4. čtvrtletí pozitivně, příspěvek dosáhl 2,4 p. b. Mezičtvrtletně se export zboží </w:t>
            </w:r>
            <w:r>
              <w:br/>
              <w:t xml:space="preserve">a služeb ve 4. čtvrtletí reálně zvýšil o 0,5 % – u zboží vývoz klesl o 0,8 %, zatímco službám se dařilo (růst o 7,5 %). Import mezičtvrtletně stagnoval – dovoz zboží klesl </w:t>
            </w:r>
            <w:r>
              <w:br/>
              <w:t xml:space="preserve">o 1,5 %, naopak u služeb přírůstek dosáhl 8,1 %. Celková bilance zahraničního obchodu se zbožím a službami v běžných cenách se ve 4. čtvrtletí meziročně zhoršila o 4,9 mld. korun, zůstala ale přebytková (11,1 mld.). Bilance obchodu se zbožím skončila v deficitu 4,4 mld. korun (meziroční zlepšení o 10,6 mld.). V případě služeb se kladné saldo zhoršilo o 15,6 mld. korun na 15,4 mld.      </w:t>
            </w:r>
          </w:p>
        </w:tc>
      </w:tr>
      <w:tr w:rsidR="008C3A32" w:rsidRPr="009110F7" w14:paraId="064D4BEB" w14:textId="77777777" w:rsidTr="5294493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3F89CD52" w14:textId="77777777" w:rsidR="008C3A32" w:rsidRDefault="008C3A32" w:rsidP="00163868">
            <w:pPr>
              <w:pStyle w:val="Marginlie"/>
            </w:pPr>
            <w:r>
              <w:t>Hrubá přidaná hodnota loni rostla hlavně díky službám.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4968853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DF8A135" w14:textId="3BCE0A07" w:rsidR="008C3A32" w:rsidRPr="00F93F2C" w:rsidRDefault="008C3A32" w:rsidP="00000994">
            <w:r>
              <w:t xml:space="preserve">Hrubá přidaná hodnota (HPH) v roce 2022 vzrostla o 2,5 %. K růstu přispívaly hlavně služby, zatímco v průmyslu přetrvávaly různé problémy – přerušení dodávek součástek nebo růst cen energií a surovin. Nejvíce se HPH zvýšila v ostatních činnostech (9,5 %), </w:t>
            </w:r>
            <w:r>
              <w:lastRenderedPageBreak/>
              <w:t>kde se na přírůstku projevila nízká základna první poloviny roku 2021. Výrazné bylo navýšení v informačních a komunikačních činnostech (5,0 %), profesních, vědeckých, technických a administrativních činnostech (3,6 %) a v uskupení obchod, doprava, ubytování a pohostinství (3,4 %). Hrubá přidaná hodnota rostla i ve zpracovatelském průmyslu (2,9 %), průmysl jako celek ale rostl mírněji (1,6 %). Po dvou propadech loni rostly i činnosti v oblasti nemovitostí (2,9 %). Mírné bylo navýšení HPH ve stavebnictví (1,9 %), peněžnictví a pojišťovnictví (1,6 %) a odvětvích s převahou vládních institucí (1,2 %). Pokles zaznamenalo jen zemědělství, lesnictví a rybářství (</w:t>
            </w:r>
            <w:r w:rsidR="00000994">
              <w:t xml:space="preserve">−2,4 </w:t>
            </w:r>
            <w:r>
              <w:t xml:space="preserve">%).    </w:t>
            </w:r>
          </w:p>
        </w:tc>
      </w:tr>
      <w:tr w:rsidR="008C3A32" w:rsidRPr="009110F7" w14:paraId="7E78BA1B" w14:textId="77777777" w:rsidTr="5294493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5E662BCB" w14:textId="77777777" w:rsidR="008C3A32" w:rsidRDefault="008C3A32" w:rsidP="00163868">
            <w:pPr>
              <w:pStyle w:val="Marginlie"/>
            </w:pPr>
            <w:r>
              <w:lastRenderedPageBreak/>
              <w:t xml:space="preserve">Na konci roku se výrazně oživil růst HPH ve zpracovatelském průmyslu. 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0AAF825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9FE5E6A" w14:textId="77777777" w:rsidR="008C3A32" w:rsidRDefault="008C3A32" w:rsidP="00163868">
            <w:r>
              <w:t xml:space="preserve">Ve 4. čtvrtletí HPH meziročně vzrostla o 1,0 % a mezičtvrtletně se zvýšila o 0,3 %. Poměrně výrazný rozdíl mezi dynamikou HDP a HPH ve 4. čtvrtletí byl způsoben reálným poklesem vybraných daní z produktů, který souvisel s propadem spotřeby domácností. Efekt ve stejném směru mělo i zvýšení dotací. Meziročně nejvíce ve 4. čtvrtletí rostla HPH ve zpracovatelském průmyslu (6,0 %), v činnostech v oblasti nemovitostí (5,1 %), v ostatních činnostech (2,7 %) a v informačních a komunikačních činnostech (2,5 %). Jen mírně meziročně rostla HPH v odvětvích s převahou vládních institucí (0,7 %) a v peněžnictví a pojišťovnictví (0,6 %). Meziroční pokles HPH zaznamenalo uskupení obchod, doprava, ubytování a pohostinství (−2,9 %), stavebnictví (−2,8 %), zemědělství, lesnictví a rybářství (−1,4 %) a profesní, vědecké, technické a administrativní činnosti (−0,2 %). Největší nárůst HPH ve srovnání se 3. čtvrtletím měla HPH v peněžnictví a pojišťovnictví (3,6 %), činnostech v oblasti nemovitostí (2,4 %), zpracovatelském průmyslu (1,6 %) a v odvětvích s převahou vládních institucí (1,2 %). K oživení došlo také ve stavebnictví (0,9 %) a zemědělství, lesnictví a rybářství (0,8 %). Mírně rostly ostatní činnosti (0,3 %). Poprvé od 2. čtvrtletí 2020 mezičtvrtletně klesala HPH v informačních a komunikačních činnostech </w:t>
            </w:r>
            <w:r>
              <w:br/>
              <w:t xml:space="preserve">(−1,4 %) a nižší byla i v uskupení obchod, doprava, ubytování a pohostinství </w:t>
            </w:r>
            <w:r>
              <w:br/>
              <w:t>(−0,3 %).</w:t>
            </w:r>
          </w:p>
        </w:tc>
      </w:tr>
      <w:tr w:rsidR="008C3A32" w:rsidRPr="009110F7" w14:paraId="5A9C6CF8" w14:textId="77777777" w:rsidTr="52944939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7888A773" w14:textId="77777777" w:rsidR="008C3A32" w:rsidRDefault="008C3A32" w:rsidP="00163868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2D8CDA8B" w14:textId="77777777" w:rsidR="008C3A32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FA8D267" w14:textId="77777777" w:rsidR="008C3A32" w:rsidRPr="00D721B4" w:rsidRDefault="008C3A32" w:rsidP="00163868">
            <w:pPr>
              <w:spacing w:after="0"/>
              <w:rPr>
                <w:szCs w:val="20"/>
              </w:rPr>
            </w:pPr>
            <w:r w:rsidRPr="00D721B4">
              <w:rPr>
                <w:b/>
                <w:szCs w:val="20"/>
              </w:rPr>
              <w:t>Graf č. 3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odvětví k reálné změně HPH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příspěvky v p. b., HPH v %)</w:t>
            </w:r>
          </w:p>
        </w:tc>
      </w:tr>
      <w:tr w:rsidR="008C3A32" w:rsidRPr="009110F7" w14:paraId="179A3007" w14:textId="77777777" w:rsidTr="52944939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</w:tcPr>
          <w:p w14:paraId="3E0D3EBC" w14:textId="77777777" w:rsidR="008C3A32" w:rsidRPr="009110F7" w:rsidRDefault="008C3A32" w:rsidP="00163868">
            <w:pPr>
              <w:pStyle w:val="Marginlie"/>
            </w:pPr>
          </w:p>
        </w:tc>
        <w:tc>
          <w:tcPr>
            <w:tcW w:w="223" w:type="dxa"/>
            <w:vMerge/>
          </w:tcPr>
          <w:p w14:paraId="1D2C8791" w14:textId="77777777" w:rsidR="008C3A32" w:rsidRPr="009110F7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50599446" w14:textId="77777777" w:rsidR="008C3A32" w:rsidRPr="009110F7" w:rsidRDefault="008C3A32" w:rsidP="00163868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6CDB027" wp14:editId="3BEBA155">
                  <wp:extent cx="4737600" cy="3486525"/>
                  <wp:effectExtent l="0" t="0" r="6350" b="0"/>
                  <wp:docPr id="12" name="Graf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8C3A32" w:rsidRPr="009110F7" w14:paraId="15465E3F" w14:textId="77777777" w:rsidTr="52944939">
        <w:trPr>
          <w:trHeight w:val="170"/>
        </w:trPr>
        <w:tc>
          <w:tcPr>
            <w:tcW w:w="1806" w:type="dxa"/>
            <w:vMerge/>
            <w:tcMar>
              <w:left w:w="0" w:type="dxa"/>
            </w:tcMar>
          </w:tcPr>
          <w:p w14:paraId="113133EB" w14:textId="77777777" w:rsidR="008C3A32" w:rsidRPr="009110F7" w:rsidRDefault="008C3A32" w:rsidP="00163868">
            <w:pPr>
              <w:pStyle w:val="Marginlie"/>
            </w:pPr>
          </w:p>
        </w:tc>
        <w:tc>
          <w:tcPr>
            <w:tcW w:w="223" w:type="dxa"/>
            <w:vMerge/>
            <w:tcMar>
              <w:left w:w="0" w:type="dxa"/>
            </w:tcMar>
          </w:tcPr>
          <w:p w14:paraId="27A17AC4" w14:textId="77777777" w:rsidR="008C3A32" w:rsidRPr="009110F7" w:rsidRDefault="008C3A32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8EF741C" w14:textId="77777777" w:rsidR="008C3A32" w:rsidRPr="009110F7" w:rsidRDefault="008C3A32" w:rsidP="00163868">
            <w:pPr>
              <w:rPr>
                <w:sz w:val="14"/>
                <w:szCs w:val="14"/>
              </w:rPr>
            </w:pPr>
            <w:r w:rsidRPr="00A85DE1">
              <w:rPr>
                <w:sz w:val="14"/>
                <w:szCs w:val="14"/>
              </w:rPr>
              <w:t>Zdroj: ČSÚ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6D687C14" w14:textId="31BFB2FA" w:rsidR="001C3855" w:rsidRPr="001C3855" w:rsidRDefault="001C3855" w:rsidP="00C15537">
      <w:pPr>
        <w:pStyle w:val="Nadpis11"/>
        <w:rPr>
          <w:sz w:val="2"/>
          <w:szCs w:val="2"/>
        </w:rPr>
      </w:pPr>
    </w:p>
    <w:sectPr w:rsidR="001C3855" w:rsidRPr="001C3855" w:rsidSect="00AC602C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73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FBA8" w14:textId="77777777" w:rsidR="00C8019E" w:rsidRDefault="00C8019E" w:rsidP="00E71A58">
      <w:r>
        <w:separator/>
      </w:r>
    </w:p>
  </w:endnote>
  <w:endnote w:type="continuationSeparator" w:id="0">
    <w:p w14:paraId="3BF26E2A" w14:textId="77777777" w:rsidR="00C8019E" w:rsidRDefault="00C8019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60535B1F" w:rsidR="00C8019E" w:rsidRPr="00932443" w:rsidRDefault="00C8019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E3627">
      <w:rPr>
        <w:szCs w:val="16"/>
      </w:rPr>
      <w:t>26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2720A469" w:rsidR="00C8019E" w:rsidRPr="00932443" w:rsidRDefault="00C8019E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E3627">
      <w:rPr>
        <w:rStyle w:val="ZpatChar"/>
        <w:szCs w:val="16"/>
      </w:rPr>
      <w:t>25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19C3" w14:textId="77777777" w:rsidR="00C8019E" w:rsidRDefault="00C8019E" w:rsidP="00A21B4D">
      <w:pPr>
        <w:spacing w:after="0"/>
      </w:pPr>
      <w:r>
        <w:separator/>
      </w:r>
    </w:p>
  </w:footnote>
  <w:footnote w:type="continuationSeparator" w:id="0">
    <w:p w14:paraId="4094B28B" w14:textId="77777777" w:rsidR="00C8019E" w:rsidRDefault="00C8019E" w:rsidP="00E71A58">
      <w:r>
        <w:continuationSeparator/>
      </w:r>
    </w:p>
  </w:footnote>
  <w:footnote w:id="1">
    <w:p w14:paraId="59991990" w14:textId="77777777" w:rsidR="00C8019E" w:rsidRPr="000348AF" w:rsidRDefault="00C8019E" w:rsidP="008C3A32">
      <w:pPr>
        <w:pStyle w:val="Textpoznpodarou"/>
        <w:rPr>
          <w:sz w:val="16"/>
          <w:szCs w:val="16"/>
        </w:rPr>
      </w:pPr>
      <w:r w:rsidRPr="000348AF">
        <w:rPr>
          <w:rStyle w:val="Znakapoznpodarou"/>
          <w:sz w:val="16"/>
          <w:szCs w:val="16"/>
        </w:rPr>
        <w:footnoteRef/>
      </w:r>
      <w:r w:rsidRPr="000348AF">
        <w:rPr>
          <w:sz w:val="16"/>
          <w:szCs w:val="16"/>
        </w:rPr>
        <w:t xml:space="preserve"> Vývoj HDP, hrubé přidané hodnoty a jejich složek je vyjádřen prostřednictvím objemových indexů (tj. očištěn o vliv cen) a po očištění o sezónní a kalendářní vlivy. Údaje jsou platné k </w:t>
      </w:r>
      <w:r>
        <w:rPr>
          <w:sz w:val="16"/>
          <w:szCs w:val="16"/>
        </w:rPr>
        <w:t>3</w:t>
      </w:r>
      <w:r w:rsidRPr="000348AF">
        <w:rPr>
          <w:sz w:val="16"/>
          <w:szCs w:val="16"/>
        </w:rPr>
        <w:t>. </w:t>
      </w:r>
      <w:r>
        <w:rPr>
          <w:sz w:val="16"/>
          <w:szCs w:val="16"/>
        </w:rPr>
        <w:t>3</w:t>
      </w:r>
      <w:r w:rsidRPr="000348AF">
        <w:rPr>
          <w:sz w:val="16"/>
          <w:szCs w:val="16"/>
        </w:rPr>
        <w:t>. 202</w:t>
      </w:r>
      <w:r>
        <w:rPr>
          <w:sz w:val="16"/>
          <w:szCs w:val="16"/>
        </w:rPr>
        <w:t>3</w:t>
      </w:r>
      <w:r w:rsidRPr="000348AF">
        <w:rPr>
          <w:sz w:val="16"/>
          <w:szCs w:val="16"/>
        </w:rPr>
        <w:t>.</w:t>
      </w:r>
    </w:p>
  </w:footnote>
  <w:footnote w:id="2">
    <w:p w14:paraId="6176816D" w14:textId="77777777" w:rsidR="00C8019E" w:rsidRPr="001E74E3" w:rsidRDefault="00C8019E" w:rsidP="008C3A32">
      <w:pPr>
        <w:pStyle w:val="Textpoznpodarou"/>
        <w:rPr>
          <w:sz w:val="16"/>
          <w:szCs w:val="16"/>
        </w:rPr>
      </w:pPr>
      <w:r w:rsidRPr="001E74E3">
        <w:rPr>
          <w:rStyle w:val="Znakapoznpodarou"/>
          <w:sz w:val="16"/>
          <w:szCs w:val="16"/>
        </w:rPr>
        <w:footnoteRef/>
      </w:r>
      <w:r w:rsidRPr="001E74E3">
        <w:rPr>
          <w:sz w:val="16"/>
          <w:szCs w:val="16"/>
        </w:rPr>
        <w:t xml:space="preserve"> Data za </w:t>
      </w:r>
      <w:r>
        <w:rPr>
          <w:sz w:val="16"/>
          <w:szCs w:val="16"/>
        </w:rPr>
        <w:t xml:space="preserve">Lucembursko </w:t>
      </w:r>
      <w:r w:rsidRPr="001E74E3">
        <w:rPr>
          <w:sz w:val="16"/>
          <w:szCs w:val="16"/>
        </w:rPr>
        <w:t>nebyla dostupná.</w:t>
      </w:r>
    </w:p>
  </w:footnote>
  <w:footnote w:id="3">
    <w:p w14:paraId="1A5023D1" w14:textId="77777777" w:rsidR="00C8019E" w:rsidRDefault="00C8019E" w:rsidP="008C3A32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</w:t>
      </w:r>
      <w:r>
        <w:rPr>
          <w:sz w:val="16"/>
          <w:szCs w:val="16"/>
        </w:rPr>
        <w:t>Zaměstnanost v</w:t>
      </w:r>
      <w:r w:rsidRPr="009C6EA8">
        <w:rPr>
          <w:sz w:val="16"/>
          <w:szCs w:val="16"/>
        </w:rPr>
        <w:t> pojetí národních účtů</w:t>
      </w:r>
      <w:r>
        <w:rPr>
          <w:sz w:val="16"/>
          <w:szCs w:val="16"/>
        </w:rPr>
        <w:t xml:space="preserve"> (osoby)</w:t>
      </w:r>
      <w:r w:rsidRPr="009C6EA8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údaj je </w:t>
      </w:r>
      <w:r w:rsidRPr="009C6EA8">
        <w:rPr>
          <w:sz w:val="16"/>
          <w:szCs w:val="16"/>
        </w:rPr>
        <w:t>sezónně očištěn</w:t>
      </w:r>
      <w:r w:rsidRPr="00004BA8">
        <w:rPr>
          <w:sz w:val="16"/>
        </w:rPr>
        <w:t>.</w:t>
      </w:r>
    </w:p>
  </w:footnote>
  <w:footnote w:id="4">
    <w:p w14:paraId="0F7ACE03" w14:textId="77777777" w:rsidR="00C8019E" w:rsidRPr="005F75B1" w:rsidRDefault="00C8019E" w:rsidP="008C3A32">
      <w:pPr>
        <w:pStyle w:val="Textpoznpodarou"/>
        <w:rPr>
          <w:sz w:val="16"/>
          <w:szCs w:val="16"/>
        </w:rPr>
      </w:pPr>
      <w:r w:rsidRPr="005F75B1">
        <w:rPr>
          <w:rStyle w:val="Znakapoznpodarou"/>
          <w:sz w:val="16"/>
          <w:szCs w:val="16"/>
        </w:rPr>
        <w:footnoteRef/>
      </w:r>
      <w:r w:rsidRPr="005F75B1">
        <w:rPr>
          <w:sz w:val="16"/>
          <w:szCs w:val="16"/>
        </w:rPr>
        <w:t xml:space="preserve"> Do reálného vyjádření převedeno s pomocí deflátoru spotřeby domácností.</w:t>
      </w:r>
    </w:p>
  </w:footnote>
  <w:footnote w:id="5">
    <w:p w14:paraId="753E0EB2" w14:textId="77777777" w:rsidR="00C8019E" w:rsidRPr="0053191D" w:rsidRDefault="00C8019E" w:rsidP="008C3A32">
      <w:pPr>
        <w:pStyle w:val="Textpoznpodarou"/>
        <w:rPr>
          <w:sz w:val="16"/>
          <w:szCs w:val="16"/>
        </w:rPr>
      </w:pPr>
      <w:r w:rsidRPr="0053191D">
        <w:rPr>
          <w:rStyle w:val="Znakapoznpodarou"/>
          <w:sz w:val="16"/>
          <w:szCs w:val="16"/>
        </w:rPr>
        <w:footnoteRef/>
      </w:r>
      <w:r w:rsidRPr="0053191D">
        <w:rPr>
          <w:sz w:val="16"/>
          <w:szCs w:val="16"/>
        </w:rPr>
        <w:t xml:space="preserve"> Tato sekce zahrnuje činnosti organizací sdružujících osoby za účelem prosazování společných zájmů, opravy počítačů a výrobků pro osobní potřebu a převážně pro domácnost a řadu jiných osobních služeb</w:t>
      </w:r>
      <w:r>
        <w:rPr>
          <w:sz w:val="16"/>
          <w:szCs w:val="16"/>
        </w:rPr>
        <w:t xml:space="preserve"> (kosmetické, </w:t>
      </w:r>
      <w:proofErr w:type="gramStart"/>
      <w:r>
        <w:rPr>
          <w:sz w:val="16"/>
          <w:szCs w:val="16"/>
        </w:rPr>
        <w:t>kadeřnické,</w:t>
      </w:r>
      <w:proofErr w:type="gramEnd"/>
      <w:r>
        <w:rPr>
          <w:sz w:val="16"/>
          <w:szCs w:val="16"/>
        </w:rPr>
        <w:t xml:space="preserve"> apod.).</w:t>
      </w:r>
    </w:p>
  </w:footnote>
  <w:footnote w:id="6">
    <w:p w14:paraId="68C6B90C" w14:textId="77777777" w:rsidR="00C8019E" w:rsidRPr="00771972" w:rsidRDefault="00C8019E" w:rsidP="008C3A32">
      <w:pPr>
        <w:pStyle w:val="Textpoznpodarou"/>
        <w:rPr>
          <w:sz w:val="16"/>
          <w:szCs w:val="16"/>
        </w:rPr>
      </w:pPr>
      <w:r w:rsidRPr="00771972">
        <w:rPr>
          <w:rStyle w:val="Znakapoznpodarou"/>
          <w:sz w:val="16"/>
          <w:szCs w:val="16"/>
        </w:rPr>
        <w:footnoteRef/>
      </w:r>
      <w:r w:rsidRPr="00771972">
        <w:rPr>
          <w:sz w:val="16"/>
          <w:szCs w:val="16"/>
        </w:rPr>
        <w:t xml:space="preserve"> Veřejná správa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obrana, vzdělávání, zdravotní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sociální péče.</w:t>
      </w:r>
    </w:p>
  </w:footnote>
  <w:footnote w:id="7">
    <w:p w14:paraId="2AB60143" w14:textId="77777777" w:rsidR="00C8019E" w:rsidRPr="009C6EA8" w:rsidRDefault="00C8019E" w:rsidP="008C3A32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8">
    <w:p w14:paraId="235B4381" w14:textId="77777777" w:rsidR="00C8019E" w:rsidRPr="00954992" w:rsidRDefault="00C8019E" w:rsidP="008C3A32">
      <w:pPr>
        <w:pStyle w:val="Textpoznpodarou"/>
        <w:rPr>
          <w:sz w:val="16"/>
          <w:szCs w:val="16"/>
        </w:rPr>
      </w:pPr>
      <w:r w:rsidRPr="00954992">
        <w:rPr>
          <w:rStyle w:val="Znakapoznpodarou"/>
          <w:sz w:val="16"/>
          <w:szCs w:val="16"/>
        </w:rPr>
        <w:footnoteRef/>
      </w:r>
      <w:r w:rsidRPr="00954992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spotřebě dle trvanlivosti jsou v domácím pojetí</w:t>
      </w:r>
      <w:r>
        <w:rPr>
          <w:sz w:val="16"/>
          <w:szCs w:val="16"/>
        </w:rPr>
        <w:t>.</w:t>
      </w:r>
    </w:p>
  </w:footnote>
  <w:footnote w:id="9">
    <w:p w14:paraId="7F396F5F" w14:textId="77777777" w:rsidR="00C8019E" w:rsidRPr="004831F6" w:rsidRDefault="00C8019E" w:rsidP="008C3A32">
      <w:pPr>
        <w:pStyle w:val="Textpoznpodarou"/>
        <w:rPr>
          <w:sz w:val="16"/>
          <w:szCs w:val="16"/>
        </w:rPr>
      </w:pPr>
      <w:r w:rsidRPr="004831F6">
        <w:rPr>
          <w:rStyle w:val="Znakapoznpodarou"/>
          <w:sz w:val="16"/>
          <w:szCs w:val="16"/>
        </w:rPr>
        <w:footnoteRef/>
      </w:r>
      <w:r w:rsidRPr="004831F6">
        <w:rPr>
          <w:sz w:val="16"/>
          <w:szCs w:val="16"/>
        </w:rPr>
        <w:t xml:space="preserve"> Změna zásob</w:t>
      </w:r>
      <w:r>
        <w:rPr>
          <w:sz w:val="16"/>
          <w:szCs w:val="16"/>
        </w:rPr>
        <w:t xml:space="preserve"> (v běžných cenách a sezónně očištěná)</w:t>
      </w:r>
      <w:r w:rsidRPr="004831F6">
        <w:rPr>
          <w:sz w:val="16"/>
          <w:szCs w:val="16"/>
        </w:rPr>
        <w:t xml:space="preserve"> dosáhla</w:t>
      </w:r>
      <w:r>
        <w:rPr>
          <w:sz w:val="16"/>
          <w:szCs w:val="16"/>
        </w:rPr>
        <w:t xml:space="preserve"> loni 392,4 mld. korun a v samotném 4. čtvrtletí 104,9 mld. Ve stálých cenách ukazatel loni díky vývoji v 1. pololetí celkově rostl. Ve 4. čtvrtletí 2022 byla změna zásob reálně meziročně mírně nižší.</w:t>
      </w:r>
    </w:p>
  </w:footnote>
  <w:footnote w:id="10">
    <w:p w14:paraId="5972829A" w14:textId="77777777" w:rsidR="00C8019E" w:rsidRPr="00167B30" w:rsidRDefault="00C8019E" w:rsidP="008C3A32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 xml:space="preserve">. Bilance zahraničního obchodu v běžných cenách </w:t>
      </w:r>
      <w:r>
        <w:rPr>
          <w:sz w:val="16"/>
          <w:szCs w:val="16"/>
        </w:rPr>
        <w:br/>
        <w:t>a po sezónním očištění.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C8019E" w:rsidRDefault="00C8019E" w:rsidP="00937AE2">
    <w:pPr>
      <w:pStyle w:val="Zhlav"/>
    </w:pPr>
    <w:r>
      <w:t>Vývoj ekonomiky České republiky</w:t>
    </w:r>
  </w:p>
  <w:p w14:paraId="3E881AB3" w14:textId="77777777" w:rsidR="00C8019E" w:rsidRPr="006F5416" w:rsidRDefault="00C8019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C8019E" w:rsidRDefault="00C8019E" w:rsidP="00937AE2">
    <w:pPr>
      <w:pStyle w:val="Zhlav"/>
    </w:pPr>
    <w:r>
      <w:t>Vývoj ekonomiky České republiky</w:t>
    </w:r>
  </w:p>
  <w:p w14:paraId="57266714" w14:textId="77777777" w:rsidR="00C8019E" w:rsidRPr="006F5416" w:rsidRDefault="00C8019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9675651">
    <w:abstractNumId w:val="25"/>
  </w:num>
  <w:num w:numId="2" w16cid:durableId="42993069">
    <w:abstractNumId w:val="8"/>
  </w:num>
  <w:num w:numId="3" w16cid:durableId="1188448633">
    <w:abstractNumId w:val="3"/>
  </w:num>
  <w:num w:numId="4" w16cid:durableId="178853939">
    <w:abstractNumId w:val="2"/>
  </w:num>
  <w:num w:numId="5" w16cid:durableId="467431360">
    <w:abstractNumId w:val="1"/>
  </w:num>
  <w:num w:numId="6" w16cid:durableId="1323971648">
    <w:abstractNumId w:val="0"/>
  </w:num>
  <w:num w:numId="7" w16cid:durableId="1319113600">
    <w:abstractNumId w:val="9"/>
  </w:num>
  <w:num w:numId="8" w16cid:durableId="1380520353">
    <w:abstractNumId w:val="7"/>
  </w:num>
  <w:num w:numId="9" w16cid:durableId="1491631085">
    <w:abstractNumId w:val="6"/>
  </w:num>
  <w:num w:numId="10" w16cid:durableId="1311446643">
    <w:abstractNumId w:val="5"/>
  </w:num>
  <w:num w:numId="11" w16cid:durableId="1993364951">
    <w:abstractNumId w:val="4"/>
  </w:num>
  <w:num w:numId="12" w16cid:durableId="231276771">
    <w:abstractNumId w:val="15"/>
  </w:num>
  <w:num w:numId="13" w16cid:durableId="207644179">
    <w:abstractNumId w:val="27"/>
  </w:num>
  <w:num w:numId="14" w16cid:durableId="1218779089">
    <w:abstractNumId w:val="14"/>
  </w:num>
  <w:num w:numId="15" w16cid:durableId="1609242427">
    <w:abstractNumId w:val="20"/>
  </w:num>
  <w:num w:numId="16" w16cid:durableId="375545102">
    <w:abstractNumId w:val="16"/>
  </w:num>
  <w:num w:numId="17" w16cid:durableId="1211458968">
    <w:abstractNumId w:val="28"/>
  </w:num>
  <w:num w:numId="18" w16cid:durableId="482963397">
    <w:abstractNumId w:val="21"/>
  </w:num>
  <w:num w:numId="19" w16cid:durableId="836001720">
    <w:abstractNumId w:val="29"/>
  </w:num>
  <w:num w:numId="20" w16cid:durableId="979767753">
    <w:abstractNumId w:val="30"/>
  </w:num>
  <w:num w:numId="21" w16cid:durableId="862285838">
    <w:abstractNumId w:val="26"/>
  </w:num>
  <w:num w:numId="22" w16cid:durableId="582881778">
    <w:abstractNumId w:val="19"/>
  </w:num>
  <w:num w:numId="23" w16cid:durableId="526522376">
    <w:abstractNumId w:val="17"/>
  </w:num>
  <w:num w:numId="24" w16cid:durableId="386228362">
    <w:abstractNumId w:val="18"/>
  </w:num>
  <w:num w:numId="25" w16cid:durableId="1287664625">
    <w:abstractNumId w:val="13"/>
  </w:num>
  <w:num w:numId="26" w16cid:durableId="907227532">
    <w:abstractNumId w:val="23"/>
  </w:num>
  <w:num w:numId="27" w16cid:durableId="1723559017">
    <w:abstractNumId w:val="22"/>
  </w:num>
  <w:num w:numId="28" w16cid:durableId="1931085482">
    <w:abstractNumId w:val="10"/>
  </w:num>
  <w:num w:numId="29" w16cid:durableId="612982388">
    <w:abstractNumId w:val="30"/>
  </w:num>
  <w:num w:numId="30" w16cid:durableId="189496072">
    <w:abstractNumId w:val="24"/>
  </w:num>
  <w:num w:numId="31" w16cid:durableId="611744734">
    <w:abstractNumId w:val="12"/>
  </w:num>
  <w:num w:numId="32" w16cid:durableId="1852186949">
    <w:abstractNumId w:val="31"/>
  </w:num>
  <w:num w:numId="33" w16cid:durableId="698824509">
    <w:abstractNumId w:val="30"/>
  </w:num>
  <w:num w:numId="34" w16cid:durableId="6997447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C6C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71A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602C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302"/>
    <w:rsid w:val="00D95889"/>
    <w:rsid w:val="00D95C5D"/>
    <w:rsid w:val="00D95CBE"/>
    <w:rsid w:val="00D95E7F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3E22"/>
    <w:rsid w:val="00DE3E5D"/>
    <w:rsid w:val="00DE450F"/>
    <w:rsid w:val="00DE4865"/>
    <w:rsid w:val="00DE5CA6"/>
    <w:rsid w:val="00DE5E55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730A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  <w:rsid w:val="0523CDF2"/>
    <w:rsid w:val="06B1A837"/>
    <w:rsid w:val="12650F4E"/>
    <w:rsid w:val="1394E51D"/>
    <w:rsid w:val="2A0E9F3A"/>
    <w:rsid w:val="2A2A6298"/>
    <w:rsid w:val="38C72AFC"/>
    <w:rsid w:val="3E4A9713"/>
    <w:rsid w:val="48038D4B"/>
    <w:rsid w:val="49E8263C"/>
    <w:rsid w:val="50A35788"/>
    <w:rsid w:val="52944939"/>
    <w:rsid w:val="5CF587E8"/>
    <w:rsid w:val="6AEA4E8B"/>
    <w:rsid w:val="75B5B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2Q4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4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24257007767645E-2"/>
          <c:y val="2.3046636085626952E-2"/>
          <c:w val="0.92008633063154344"/>
          <c:h val="0.74192840256671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cat>
            <c:multiLvlStrRef>
              <c:f>'souhrnná výkonnost 1'!$A$25:$B$48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1'!$C$25:$C$48</c:f>
              <c:numCache>
                <c:formatCode>#\ ##0.0</c:formatCode>
                <c:ptCount val="24"/>
                <c:pt idx="0">
                  <c:v>3.695024939296502</c:v>
                </c:pt>
                <c:pt idx="1">
                  <c:v>5.9154748938585584</c:v>
                </c:pt>
                <c:pt idx="2">
                  <c:v>5.8516412927584582</c:v>
                </c:pt>
                <c:pt idx="3">
                  <c:v>5.8958110920111153</c:v>
                </c:pt>
                <c:pt idx="4">
                  <c:v>4.7409332982438741</c:v>
                </c:pt>
                <c:pt idx="5" formatCode="General">
                  <c:v>2.821338885097731</c:v>
                </c:pt>
                <c:pt idx="6" formatCode="General">
                  <c:v>2.6959141687858903</c:v>
                </c:pt>
                <c:pt idx="7">
                  <c:v>2.6197437017841025</c:v>
                </c:pt>
                <c:pt idx="8">
                  <c:v>2.9978799448777949</c:v>
                </c:pt>
                <c:pt idx="9" formatCode="General">
                  <c:v>3.0712313540949907</c:v>
                </c:pt>
                <c:pt idx="10" formatCode="General">
                  <c:v>3.0292239015638387</c:v>
                </c:pt>
                <c:pt idx="11" formatCode="General">
                  <c:v>2.7681270582493624</c:v>
                </c:pt>
                <c:pt idx="12" formatCode="General">
                  <c:v>-1.4629386956710846</c:v>
                </c:pt>
                <c:pt idx="13" formatCode="General">
                  <c:v>-10.78290466571336</c:v>
                </c:pt>
                <c:pt idx="14" formatCode="General">
                  <c:v>-5.2159569739525011</c:v>
                </c:pt>
                <c:pt idx="15" formatCode="General">
                  <c:v>-4.5960804470275178</c:v>
                </c:pt>
                <c:pt idx="16" formatCode="General">
                  <c:v>-1.8871144320826687</c:v>
                </c:pt>
                <c:pt idx="17" formatCode="General">
                  <c:v>9.1334269072149539</c:v>
                </c:pt>
                <c:pt idx="18" formatCode="General">
                  <c:v>3.7708183512418287</c:v>
                </c:pt>
                <c:pt idx="19" formatCode="General">
                  <c:v>3.4726640387638668</c:v>
                </c:pt>
                <c:pt idx="20" formatCode="General">
                  <c:v>4.6608438845384939</c:v>
                </c:pt>
                <c:pt idx="21" formatCode="General">
                  <c:v>3.510335140502491</c:v>
                </c:pt>
                <c:pt idx="22" formatCode="General">
                  <c:v>1.4589487053958976</c:v>
                </c:pt>
                <c:pt idx="23" formatCode="General">
                  <c:v>0.2381533010240986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1D-4FA6-9881-2D72CA1BB855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EU27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invertIfNegative val="0"/>
          <c:cat>
            <c:multiLvlStrRef>
              <c:f>'souhrnná výkonnost 1'!$A$25:$B$48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1'!$D$25:$D$48</c:f>
              <c:numCache>
                <c:formatCode>#\ ##0.##########</c:formatCode>
                <c:ptCount val="24"/>
                <c:pt idx="0">
                  <c:v>2.4</c:v>
                </c:pt>
                <c:pt idx="1">
                  <c:v>2.9</c:v>
                </c:pt>
                <c:pt idx="2">
                  <c:v>3.3</c:v>
                </c:pt>
                <c:pt idx="3">
                  <c:v>3.3</c:v>
                </c:pt>
                <c:pt idx="4">
                  <c:v>2.6</c:v>
                </c:pt>
                <c:pt idx="5">
                  <c:v>2.4</c:v>
                </c:pt>
                <c:pt idx="6">
                  <c:v>1.7</c:v>
                </c:pt>
                <c:pt idx="7">
                  <c:v>1.5</c:v>
                </c:pt>
                <c:pt idx="8">
                  <c:v>2.1</c:v>
                </c:pt>
                <c:pt idx="9">
                  <c:v>1.8</c:v>
                </c:pt>
                <c:pt idx="10" formatCode="#\ ##0.0">
                  <c:v>2</c:v>
                </c:pt>
                <c:pt idx="11">
                  <c:v>1.4</c:v>
                </c:pt>
                <c:pt idx="12">
                  <c:v>-2.2000000000000002</c:v>
                </c:pt>
                <c:pt idx="13">
                  <c:v>-13.4</c:v>
                </c:pt>
                <c:pt idx="14">
                  <c:v>-3.7</c:v>
                </c:pt>
                <c:pt idx="15">
                  <c:v>-3.8</c:v>
                </c:pt>
                <c:pt idx="16">
                  <c:v>-0.7</c:v>
                </c:pt>
                <c:pt idx="17">
                  <c:v>13.8</c:v>
                </c:pt>
                <c:pt idx="18">
                  <c:v>4.3</c:v>
                </c:pt>
                <c:pt idx="19">
                  <c:v>5.0999999999999996</c:v>
                </c:pt>
                <c:pt idx="20">
                  <c:v>5.7</c:v>
                </c:pt>
                <c:pt idx="21">
                  <c:v>4.4000000000000004</c:v>
                </c:pt>
                <c:pt idx="22">
                  <c:v>2.6</c:v>
                </c:pt>
                <c:pt idx="23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1D-4FA6-9881-2D72CA1BB8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7753344"/>
        <c:axId val="267767808"/>
      </c:barChart>
      <c:lineChart>
        <c:grouping val="standard"/>
        <c:varyColors val="0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1'!$A$25:$B$48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1'!$E$25:$E$48</c:f>
              <c:numCache>
                <c:formatCode>#\ ##0.0</c:formatCode>
                <c:ptCount val="24"/>
                <c:pt idx="0">
                  <c:v>1.6501768420245781</c:v>
                </c:pt>
                <c:pt idx="1">
                  <c:v>2.4798258472657153</c:v>
                </c:pt>
                <c:pt idx="2">
                  <c:v>0.83559458693113697</c:v>
                </c:pt>
                <c:pt idx="3">
                  <c:v>0.81343215586227302</c:v>
                </c:pt>
                <c:pt idx="4">
                  <c:v>0.54160105647851253</c:v>
                </c:pt>
                <c:pt idx="5">
                  <c:v>0.60167090858045924</c:v>
                </c:pt>
                <c:pt idx="6">
                  <c:v>0.71259214422481421</c:v>
                </c:pt>
                <c:pt idx="7">
                  <c:v>0.73865794240386151</c:v>
                </c:pt>
                <c:pt idx="8">
                  <c:v>0.91207969856712623</c:v>
                </c:pt>
                <c:pt idx="9" formatCode="General">
                  <c:v>0.67331582335634721</c:v>
                </c:pt>
                <c:pt idx="10" formatCode="General">
                  <c:v>0.67154597277419725</c:v>
                </c:pt>
                <c:pt idx="11" formatCode="General">
                  <c:v>0.4833658554360909</c:v>
                </c:pt>
                <c:pt idx="12" formatCode="General">
                  <c:v>-3.2425707440500986</c:v>
                </c:pt>
                <c:pt idx="13" formatCode="General">
                  <c:v>-8.8487042688318525</c:v>
                </c:pt>
                <c:pt idx="14" formatCode="General">
                  <c:v>6.9532258277307903</c:v>
                </c:pt>
                <c:pt idx="15" formatCode="General">
                  <c:v>1.1405152853573952</c:v>
                </c:pt>
                <c:pt idx="16" formatCode="General">
                  <c:v>-0.49517222231260405</c:v>
                </c:pt>
                <c:pt idx="17" formatCode="General">
                  <c:v>1.3898756783505632</c:v>
                </c:pt>
                <c:pt idx="18" formatCode="General">
                  <c:v>1.6977481966623031</c:v>
                </c:pt>
                <c:pt idx="19" formatCode="General">
                  <c:v>0.84991835957713135</c:v>
                </c:pt>
                <c:pt idx="20" formatCode="General">
                  <c:v>0.6474448352556692</c:v>
                </c:pt>
                <c:pt idx="21" formatCode="General">
                  <c:v>0.27532381544612861</c:v>
                </c:pt>
                <c:pt idx="22" formatCode="General">
                  <c:v>-0.31771606445079215</c:v>
                </c:pt>
                <c:pt idx="23" formatCode="General">
                  <c:v>-0.36354894355976342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A1D-4FA6-9881-2D72CA1BB855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EU27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1'!$A$25:$B$48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1'!$F$25:$F$48</c:f>
              <c:numCache>
                <c:formatCode>#\ ##0.##########</c:formatCode>
                <c:ptCount val="24"/>
                <c:pt idx="0">
                  <c:v>0.8</c:v>
                </c:pt>
                <c:pt idx="1">
                  <c:v>0.8</c:v>
                </c:pt>
                <c:pt idx="2">
                  <c:v>0.8</c:v>
                </c:pt>
                <c:pt idx="3">
                  <c:v>0.8</c:v>
                </c:pt>
                <c:pt idx="4">
                  <c:v>0.1</c:v>
                </c:pt>
                <c:pt idx="5">
                  <c:v>0.6</c:v>
                </c:pt>
                <c:pt idx="6">
                  <c:v>0.1</c:v>
                </c:pt>
                <c:pt idx="7">
                  <c:v>0.7</c:v>
                </c:pt>
                <c:pt idx="8">
                  <c:v>0.7</c:v>
                </c:pt>
                <c:pt idx="9">
                  <c:v>0.4</c:v>
                </c:pt>
                <c:pt idx="10">
                  <c:v>0.3</c:v>
                </c:pt>
                <c:pt idx="11">
                  <c:v>0.1</c:v>
                </c:pt>
                <c:pt idx="12">
                  <c:v>-2.9</c:v>
                </c:pt>
                <c:pt idx="13">
                  <c:v>-11.1</c:v>
                </c:pt>
                <c:pt idx="14">
                  <c:v>11.5</c:v>
                </c:pt>
                <c:pt idx="15">
                  <c:v>-0.1</c:v>
                </c:pt>
                <c:pt idx="16">
                  <c:v>0.2</c:v>
                </c:pt>
                <c:pt idx="17">
                  <c:v>1.9</c:v>
                </c:pt>
                <c:pt idx="18">
                  <c:v>2.2000000000000002</c:v>
                </c:pt>
                <c:pt idx="19">
                  <c:v>0.7</c:v>
                </c:pt>
                <c:pt idx="20">
                  <c:v>0.7</c:v>
                </c:pt>
                <c:pt idx="21">
                  <c:v>0.7</c:v>
                </c:pt>
                <c:pt idx="22">
                  <c:v>0.4</c:v>
                </c:pt>
                <c:pt idx="23">
                  <c:v>-0.1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A1D-4FA6-9881-2D72CA1BB8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753344"/>
        <c:axId val="267767808"/>
      </c:lineChart>
      <c:catAx>
        <c:axId val="26775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767808"/>
        <c:crosses val="autoZero"/>
        <c:auto val="1"/>
        <c:lblAlgn val="ctr"/>
        <c:lblOffset val="100"/>
        <c:noMultiLvlLbl val="0"/>
      </c:catAx>
      <c:valAx>
        <c:axId val="267767808"/>
        <c:scaling>
          <c:orientation val="minMax"/>
          <c:max val="15"/>
          <c:min val="-1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753344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8431906450523471E-2"/>
          <c:y val="0.89437255125717996"/>
          <c:w val="0.91838441404930771"/>
          <c:h val="9.0301755758791014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629137115839293E-2"/>
          <c:y val="2.8458510079622041E-2"/>
          <c:w val="0.93688386524822698"/>
          <c:h val="0.6497469886299676"/>
        </c:manualLayout>
      </c:layout>
      <c:barChart>
        <c:barDir val="col"/>
        <c:grouping val="stacked"/>
        <c:varyColors val="0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3'!$D$26:$D$49</c:f>
              <c:numCache>
                <c:formatCode>#\ ##0.0</c:formatCode>
                <c:ptCount val="24"/>
                <c:pt idx="0">
                  <c:v>1.1724461062125437</c:v>
                </c:pt>
                <c:pt idx="1">
                  <c:v>1.3838280833932579</c:v>
                </c:pt>
                <c:pt idx="2">
                  <c:v>1.3029633342515601</c:v>
                </c:pt>
                <c:pt idx="3">
                  <c:v>1.0570981809373126</c:v>
                </c:pt>
                <c:pt idx="4">
                  <c:v>1.5755125159315506</c:v>
                </c:pt>
                <c:pt idx="5">
                  <c:v>1.2433932618107362</c:v>
                </c:pt>
                <c:pt idx="6">
                  <c:v>0.98503190180886557</c:v>
                </c:pt>
                <c:pt idx="7">
                  <c:v>0.86242373693181462</c:v>
                </c:pt>
                <c:pt idx="8">
                  <c:v>0.9340536063309256</c:v>
                </c:pt>
                <c:pt idx="9">
                  <c:v>1.3264749570937773</c:v>
                </c:pt>
                <c:pt idx="10">
                  <c:v>1.0320858874492613</c:v>
                </c:pt>
                <c:pt idx="11">
                  <c:v>1.1072516380596777</c:v>
                </c:pt>
                <c:pt idx="12">
                  <c:v>-1.0200898881441898</c:v>
                </c:pt>
                <c:pt idx="13">
                  <c:v>-3.319130632152298</c:v>
                </c:pt>
                <c:pt idx="14">
                  <c:v>-1.7922184957520035</c:v>
                </c:pt>
                <c:pt idx="15">
                  <c:v>-4.4205469928881964</c:v>
                </c:pt>
                <c:pt idx="16">
                  <c:v>-2.9518338941199547</c:v>
                </c:pt>
                <c:pt idx="17">
                  <c:v>1.8968770554897822</c:v>
                </c:pt>
                <c:pt idx="18">
                  <c:v>1.8846956040757781</c:v>
                </c:pt>
                <c:pt idx="19">
                  <c:v>3.2917123189007609</c:v>
                </c:pt>
                <c:pt idx="20">
                  <c:v>3.1814812425400487</c:v>
                </c:pt>
                <c:pt idx="21">
                  <c:v>-7.4174055396546926E-3</c:v>
                </c:pt>
                <c:pt idx="22">
                  <c:v>-2.8088511245861616</c:v>
                </c:pt>
                <c:pt idx="23">
                  <c:v>-2.8634750896442864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67-4E6A-9FBF-59C71CE7C69F}"/>
            </c:ext>
          </c:extLst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3'!$E$26:$E$49</c:f>
              <c:numCache>
                <c:formatCode>#\ ##0.0</c:formatCode>
                <c:ptCount val="24"/>
                <c:pt idx="0">
                  <c:v>0.43568874146674741</c:v>
                </c:pt>
                <c:pt idx="1">
                  <c:v>0.31651507948948154</c:v>
                </c:pt>
                <c:pt idx="2">
                  <c:v>0.23074272942367355</c:v>
                </c:pt>
                <c:pt idx="3">
                  <c:v>0.28553793240162229</c:v>
                </c:pt>
                <c:pt idx="4">
                  <c:v>0.57412630446352575</c:v>
                </c:pt>
                <c:pt idx="5">
                  <c:v>0.65995211680089316</c:v>
                </c:pt>
                <c:pt idx="6">
                  <c:v>0.81778085262984679</c:v>
                </c:pt>
                <c:pt idx="7">
                  <c:v>0.8108648897803995</c:v>
                </c:pt>
                <c:pt idx="8">
                  <c:v>0.45281581800869158</c:v>
                </c:pt>
                <c:pt idx="9">
                  <c:v>0.47909637272946903</c:v>
                </c:pt>
                <c:pt idx="10">
                  <c:v>0.44460153705879729</c:v>
                </c:pt>
                <c:pt idx="11">
                  <c:v>0.3372657138378225</c:v>
                </c:pt>
                <c:pt idx="12">
                  <c:v>0.80451284992687988</c:v>
                </c:pt>
                <c:pt idx="13">
                  <c:v>0.70708681585804789</c:v>
                </c:pt>
                <c:pt idx="14">
                  <c:v>0.41395179326421994</c:v>
                </c:pt>
                <c:pt idx="15">
                  <c:v>1.2239863422317079</c:v>
                </c:pt>
                <c:pt idx="16">
                  <c:v>0.19935804269977092</c:v>
                </c:pt>
                <c:pt idx="17">
                  <c:v>0.11457182275232361</c:v>
                </c:pt>
                <c:pt idx="18">
                  <c:v>0.6666354240933543</c:v>
                </c:pt>
                <c:pt idx="19">
                  <c:v>-4.6599956234866978E-2</c:v>
                </c:pt>
                <c:pt idx="20">
                  <c:v>0.40070657657155367</c:v>
                </c:pt>
                <c:pt idx="21">
                  <c:v>0.32871201808462608</c:v>
                </c:pt>
                <c:pt idx="22">
                  <c:v>-0.43678326455502947</c:v>
                </c:pt>
                <c:pt idx="23">
                  <c:v>0.16650379577834051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67-4E6A-9FBF-59C71CE7C69F}"/>
            </c:ext>
          </c:extLst>
        </c:ser>
        <c:ser>
          <c:idx val="3"/>
          <c:order val="3"/>
          <c:tx>
            <c:strRef>
              <c:f>'souhrnná výkonnost 3'!$G$5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3'!$G$26:$G$49</c:f>
              <c:numCache>
                <c:formatCode>#\ ##0.0</c:formatCode>
                <c:ptCount val="24"/>
                <c:pt idx="0">
                  <c:v>-0.96460420103508726</c:v>
                </c:pt>
                <c:pt idx="1">
                  <c:v>0.50244635297633888</c:v>
                </c:pt>
                <c:pt idx="2">
                  <c:v>1.4868373962562362</c:v>
                </c:pt>
                <c:pt idx="3">
                  <c:v>2.3482189542959593</c:v>
                </c:pt>
                <c:pt idx="4">
                  <c:v>2.6506947871686042</c:v>
                </c:pt>
                <c:pt idx="5">
                  <c:v>1.7081773365114359</c:v>
                </c:pt>
                <c:pt idx="6">
                  <c:v>1.9279335844788141</c:v>
                </c:pt>
                <c:pt idx="7">
                  <c:v>0.67229902849734025</c:v>
                </c:pt>
                <c:pt idx="8">
                  <c:v>1.5906650874354968</c:v>
                </c:pt>
                <c:pt idx="9">
                  <c:v>-0.19146224798983871</c:v>
                </c:pt>
                <c:pt idx="10">
                  <c:v>0.25415698160207945</c:v>
                </c:pt>
                <c:pt idx="11">
                  <c:v>2.4122891717477368</c:v>
                </c:pt>
                <c:pt idx="12">
                  <c:v>0.69791730489126746</c:v>
                </c:pt>
                <c:pt idx="13">
                  <c:v>0.95595711935685235</c:v>
                </c:pt>
                <c:pt idx="14">
                  <c:v>-2.7554209500001341</c:v>
                </c:pt>
                <c:pt idx="15">
                  <c:v>-3.4824684565401767</c:v>
                </c:pt>
                <c:pt idx="16">
                  <c:v>1.0691356844743092</c:v>
                </c:pt>
                <c:pt idx="17">
                  <c:v>2.9229568698502404</c:v>
                </c:pt>
                <c:pt idx="18">
                  <c:v>6.9097346363336198</c:v>
                </c:pt>
                <c:pt idx="19">
                  <c:v>6.6616257432894885</c:v>
                </c:pt>
                <c:pt idx="20">
                  <c:v>4.0389782015964286</c:v>
                </c:pt>
                <c:pt idx="21">
                  <c:v>3.4613756239715827</c:v>
                </c:pt>
                <c:pt idx="22">
                  <c:v>1.4516124385714106</c:v>
                </c:pt>
                <c:pt idx="23">
                  <c:v>0.52701259461238459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67-4E6A-9FBF-59C71CE7C69F}"/>
            </c:ext>
          </c:extLst>
        </c:ser>
        <c:ser>
          <c:idx val="1"/>
          <c:order val="4"/>
          <c:tx>
            <c:strRef>
              <c:f>'souhrnná výkonnost 3'!$F$5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3'!$F$26:$F$49</c:f>
              <c:numCache>
                <c:formatCode>#\ ##0.0</c:formatCode>
                <c:ptCount val="24"/>
                <c:pt idx="0">
                  <c:v>2.9754675891551927</c:v>
                </c:pt>
                <c:pt idx="1">
                  <c:v>3.63036253408232</c:v>
                </c:pt>
                <c:pt idx="2">
                  <c:v>2.7474075811976975</c:v>
                </c:pt>
                <c:pt idx="3">
                  <c:v>2.1271051366721982</c:v>
                </c:pt>
                <c:pt idx="4">
                  <c:v>-0.181902759784416</c:v>
                </c:pt>
                <c:pt idx="5">
                  <c:v>-0.9011007424628219</c:v>
                </c:pt>
                <c:pt idx="6">
                  <c:v>-1.1419594143316307</c:v>
                </c:pt>
                <c:pt idx="7">
                  <c:v>0.16780244720397519</c:v>
                </c:pt>
                <c:pt idx="8">
                  <c:v>-3.048777072279623E-2</c:v>
                </c:pt>
                <c:pt idx="9">
                  <c:v>1.401018621045631</c:v>
                </c:pt>
                <c:pt idx="10">
                  <c:v>1.245438224612009</c:v>
                </c:pt>
                <c:pt idx="11">
                  <c:v>-1.1377389757832601</c:v>
                </c:pt>
                <c:pt idx="12">
                  <c:v>-1.982621142964861</c:v>
                </c:pt>
                <c:pt idx="13">
                  <c:v>-9.1465234127285484</c:v>
                </c:pt>
                <c:pt idx="14">
                  <c:v>-1.0987632014143376</c:v>
                </c:pt>
                <c:pt idx="15">
                  <c:v>2.0622607746427408</c:v>
                </c:pt>
                <c:pt idx="16">
                  <c:v>-0.24003125036630402</c:v>
                </c:pt>
                <c:pt idx="17">
                  <c:v>4.1602208095308058</c:v>
                </c:pt>
                <c:pt idx="18">
                  <c:v>-5.7225789847057085</c:v>
                </c:pt>
                <c:pt idx="19">
                  <c:v>-6.4629212214111327</c:v>
                </c:pt>
                <c:pt idx="20">
                  <c:v>-2.9496051495240838</c:v>
                </c:pt>
                <c:pt idx="21">
                  <c:v>-0.30173056024281764</c:v>
                </c:pt>
                <c:pt idx="22">
                  <c:v>3.2479556728103613</c:v>
                </c:pt>
                <c:pt idx="23">
                  <c:v>2.4287920620491343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67-4E6A-9FBF-59C71CE7C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08761472"/>
        <c:axId val="108763008"/>
      </c:barChart>
      <c:lineChart>
        <c:grouping val="standard"/>
        <c:varyColors val="0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3'!$A$26:$B$49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3'!$C$26:$C$49</c:f>
              <c:numCache>
                <c:formatCode>#\ ##0.0</c:formatCode>
                <c:ptCount val="24"/>
                <c:pt idx="0">
                  <c:v>3.6950522088079962</c:v>
                </c:pt>
                <c:pt idx="1">
                  <c:v>5.915497976835205</c:v>
                </c:pt>
                <c:pt idx="2">
                  <c:v>5.8516739490936533</c:v>
                </c:pt>
                <c:pt idx="3">
                  <c:v>5.8958373145450755</c:v>
                </c:pt>
                <c:pt idx="4">
                  <c:v>4.7409433615299719</c:v>
                </c:pt>
                <c:pt idx="5">
                  <c:v>2.8213141032059932</c:v>
                </c:pt>
                <c:pt idx="6">
                  <c:v>2.6958490566037767</c:v>
                </c:pt>
                <c:pt idx="7">
                  <c:v>2.6197232600124969</c:v>
                </c:pt>
                <c:pt idx="8">
                  <c:v>2.9978163782603557</c:v>
                </c:pt>
                <c:pt idx="9">
                  <c:v>3.0711985153536427</c:v>
                </c:pt>
                <c:pt idx="10">
                  <c:v>3.0292786172026638</c:v>
                </c:pt>
                <c:pt idx="11">
                  <c:v>2.7680914244993042</c:v>
                </c:pt>
                <c:pt idx="12">
                  <c:v>-1.4628912343715539</c:v>
                </c:pt>
                <c:pt idx="13">
                  <c:v>-10.782881996253849</c:v>
                </c:pt>
                <c:pt idx="14">
                  <c:v>-5.2160051898008994</c:v>
                </c:pt>
                <c:pt idx="15">
                  <c:v>-4.5960486594733538</c:v>
                </c:pt>
                <c:pt idx="16">
                  <c:v>-1.8871159314410617</c:v>
                </c:pt>
                <c:pt idx="17">
                  <c:v>9.1334019596629705</c:v>
                </c:pt>
                <c:pt idx="18">
                  <c:v>3.7708317820233979</c:v>
                </c:pt>
                <c:pt idx="19">
                  <c:v>3.4726638742077647</c:v>
                </c:pt>
                <c:pt idx="20">
                  <c:v>4.6607894840410893</c:v>
                </c:pt>
                <c:pt idx="21">
                  <c:v>3.5103450256849671</c:v>
                </c:pt>
                <c:pt idx="22">
                  <c:v>1.4589580267119415</c:v>
                </c:pt>
                <c:pt idx="23">
                  <c:v>0.23813308505727118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B67-4E6A-9FBF-59C71CE7C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761472"/>
        <c:axId val="108763008"/>
      </c:lineChart>
      <c:catAx>
        <c:axId val="108761472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8763008"/>
        <c:crosses val="autoZero"/>
        <c:auto val="1"/>
        <c:lblAlgn val="ctr"/>
        <c:lblOffset val="100"/>
        <c:noMultiLvlLbl val="0"/>
      </c:catAx>
      <c:valAx>
        <c:axId val="108763008"/>
        <c:scaling>
          <c:orientation val="minMax"/>
          <c:min val="-14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8761472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71766295170556E-2"/>
          <c:y val="0.79301446583361457"/>
          <c:w val="0.93781598277608913"/>
          <c:h val="0.19014325115388939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26857480580875E-2"/>
          <c:y val="2.9499886988623578E-2"/>
          <c:w val="0.9260266801756164"/>
          <c:h val="0.63445260610154264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4'!$C$26:$C$49</c:f>
              <c:numCache>
                <c:formatCode>#\ ##0.0</c:formatCode>
                <c:ptCount val="24"/>
                <c:pt idx="0">
                  <c:v>-1.3480202956280746E-2</c:v>
                </c:pt>
                <c:pt idx="1">
                  <c:v>-0.10834731479250063</c:v>
                </c:pt>
                <c:pt idx="2">
                  <c:v>-0.17283036507391236</c:v>
                </c:pt>
                <c:pt idx="3">
                  <c:v>-5.7499524058591989E-2</c:v>
                </c:pt>
                <c:pt idx="4">
                  <c:v>3.3101048510961691E-2</c:v>
                </c:pt>
                <c:pt idx="5">
                  <c:v>7.1756948575291107E-2</c:v>
                </c:pt>
                <c:pt idx="6">
                  <c:v>0.13149584386693988</c:v>
                </c:pt>
                <c:pt idx="7">
                  <c:v>0.13446361914513524</c:v>
                </c:pt>
                <c:pt idx="8">
                  <c:v>7.2918853884007803E-2</c:v>
                </c:pt>
                <c:pt idx="9">
                  <c:v>8.5676115253478527E-2</c:v>
                </c:pt>
                <c:pt idx="10">
                  <c:v>0.11352421571245842</c:v>
                </c:pt>
                <c:pt idx="11">
                  <c:v>0.1297955956354544</c:v>
                </c:pt>
                <c:pt idx="12">
                  <c:v>0.21206913343969164</c:v>
                </c:pt>
                <c:pt idx="13">
                  <c:v>0.23393026126693067</c:v>
                </c:pt>
                <c:pt idx="14">
                  <c:v>0.2444124398056049</c:v>
                </c:pt>
                <c:pt idx="15">
                  <c:v>0.21978387176272163</c:v>
                </c:pt>
                <c:pt idx="16">
                  <c:v>-0.18221441644720823</c:v>
                </c:pt>
                <c:pt idx="17">
                  <c:v>-0.33863410192001386</c:v>
                </c:pt>
                <c:pt idx="18">
                  <c:v>-0.3687497371739023</c:v>
                </c:pt>
                <c:pt idx="19">
                  <c:v>-0.39562426253164096</c:v>
                </c:pt>
                <c:pt idx="20">
                  <c:v>-0.12834998401418826</c:v>
                </c:pt>
                <c:pt idx="21">
                  <c:v>1.4145340295686521E-2</c:v>
                </c:pt>
                <c:pt idx="22">
                  <c:v>-5.0814027754783699E-2</c:v>
                </c:pt>
                <c:pt idx="23">
                  <c:v>-3.4747962203343197E-2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FE-4FC2-A589-235FC663EE76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4'!$D$26:$D$49</c:f>
              <c:numCache>
                <c:formatCode>#\ ##0.0</c:formatCode>
                <c:ptCount val="24"/>
                <c:pt idx="0">
                  <c:v>1.4029354561354288</c:v>
                </c:pt>
                <c:pt idx="1">
                  <c:v>3.0521121696167977</c:v>
                </c:pt>
                <c:pt idx="2">
                  <c:v>3.0689947409685301</c:v>
                </c:pt>
                <c:pt idx="3">
                  <c:v>2.3434131051105536</c:v>
                </c:pt>
                <c:pt idx="4">
                  <c:v>1.4988954552402798</c:v>
                </c:pt>
                <c:pt idx="5">
                  <c:v>0.14865466019918347</c:v>
                </c:pt>
                <c:pt idx="6">
                  <c:v>8.654884566406602E-3</c:v>
                </c:pt>
                <c:pt idx="7">
                  <c:v>0.32252729120432666</c:v>
                </c:pt>
                <c:pt idx="8">
                  <c:v>0.78403714445772887</c:v>
                </c:pt>
                <c:pt idx="9">
                  <c:v>1.3396178430313301</c:v>
                </c:pt>
                <c:pt idx="10">
                  <c:v>1.4312708537266536</c:v>
                </c:pt>
                <c:pt idx="11">
                  <c:v>0.95608213895270067</c:v>
                </c:pt>
                <c:pt idx="12">
                  <c:v>-1.2099063790338638</c:v>
                </c:pt>
                <c:pt idx="13">
                  <c:v>-5.9215879942171474</c:v>
                </c:pt>
                <c:pt idx="14">
                  <c:v>-2.4830139549614381</c:v>
                </c:pt>
                <c:pt idx="15">
                  <c:v>-1.8545602201995735</c:v>
                </c:pt>
                <c:pt idx="16">
                  <c:v>0.1466603459515349</c:v>
                </c:pt>
                <c:pt idx="17">
                  <c:v>4.832573256596727</c:v>
                </c:pt>
                <c:pt idx="18">
                  <c:v>0.13926978613968424</c:v>
                </c:pt>
                <c:pt idx="19">
                  <c:v>-0.37554863954723389</c:v>
                </c:pt>
                <c:pt idx="20">
                  <c:v>0.20241520363315191</c:v>
                </c:pt>
                <c:pt idx="21">
                  <c:v>0.2327770075015709</c:v>
                </c:pt>
                <c:pt idx="22">
                  <c:v>0.82455056608942667</c:v>
                </c:pt>
                <c:pt idx="23">
                  <c:v>1.3696951016894638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FE-4FC2-A589-235FC663EE76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 D, 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4'!$E$26:$E$49</c:f>
              <c:numCache>
                <c:formatCode>#\ ##0.0</c:formatCode>
                <c:ptCount val="24"/>
                <c:pt idx="0">
                  <c:v>0.20896030591717282</c:v>
                </c:pt>
                <c:pt idx="1">
                  <c:v>7.6093021703350014E-2</c:v>
                </c:pt>
                <c:pt idx="2">
                  <c:v>0.11363564757057368</c:v>
                </c:pt>
                <c:pt idx="3">
                  <c:v>-2.1455946351557592E-2</c:v>
                </c:pt>
                <c:pt idx="4">
                  <c:v>-7.5503829252544369E-2</c:v>
                </c:pt>
                <c:pt idx="5">
                  <c:v>-2.1457218474246834E-4</c:v>
                </c:pt>
                <c:pt idx="6" formatCode="General">
                  <c:v>0.11499031724354705</c:v>
                </c:pt>
                <c:pt idx="7" formatCode="General">
                  <c:v>-5.8063785050184724E-2</c:v>
                </c:pt>
                <c:pt idx="8" formatCode="General">
                  <c:v>-0.20753253585572437</c:v>
                </c:pt>
                <c:pt idx="9" formatCode="General">
                  <c:v>-0.39259990964881214</c:v>
                </c:pt>
                <c:pt idx="10" formatCode="General">
                  <c:v>-0.67997190068436875</c:v>
                </c:pt>
                <c:pt idx="11" formatCode="General">
                  <c:v>-0.47224783032630274</c:v>
                </c:pt>
                <c:pt idx="12" formatCode="General">
                  <c:v>-0.35554388462432995</c:v>
                </c:pt>
                <c:pt idx="13" formatCode="General">
                  <c:v>-0.29945450798864309</c:v>
                </c:pt>
                <c:pt idx="14" formatCode="General">
                  <c:v>8.9909890553687033E-2</c:v>
                </c:pt>
                <c:pt idx="15" formatCode="General">
                  <c:v>0.40350778052436731</c:v>
                </c:pt>
                <c:pt idx="16" formatCode="General">
                  <c:v>0.11506880670570308</c:v>
                </c:pt>
                <c:pt idx="17" formatCode="General">
                  <c:v>0.23206715280195506</c:v>
                </c:pt>
                <c:pt idx="18" formatCode="General">
                  <c:v>5.5257849303414486E-3</c:v>
                </c:pt>
                <c:pt idx="19" formatCode="General">
                  <c:v>-0.31062877330342575</c:v>
                </c:pt>
                <c:pt idx="20" formatCode="General">
                  <c:v>-0.32282656267220072</c:v>
                </c:pt>
                <c:pt idx="21" formatCode="General">
                  <c:v>-8.8081022051474028E-2</c:v>
                </c:pt>
                <c:pt idx="22" formatCode="General">
                  <c:v>7.4485683512276885E-2</c:v>
                </c:pt>
                <c:pt idx="23" formatCode="General">
                  <c:v>-0.50909898024723199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FE-4FC2-A589-235FC663EE76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val>
            <c:numRef>
              <c:f>'souhrnná výkonnost 4'!$F$26:$F$49</c:f>
              <c:numCache>
                <c:formatCode>#\ ##0.0</c:formatCode>
                <c:ptCount val="24"/>
                <c:pt idx="0">
                  <c:v>-0.11971252971432786</c:v>
                </c:pt>
                <c:pt idx="1">
                  <c:v>0.12513537674207531</c:v>
                </c:pt>
                <c:pt idx="2">
                  <c:v>7.5639144896938418E-2</c:v>
                </c:pt>
                <c:pt idx="3">
                  <c:v>0.16915702258933871</c:v>
                </c:pt>
                <c:pt idx="4">
                  <c:v>0.12251647468928524</c:v>
                </c:pt>
                <c:pt idx="5">
                  <c:v>4.4465884869504188E-3</c:v>
                </c:pt>
                <c:pt idx="6">
                  <c:v>-1.6359859988612918E-2</c:v>
                </c:pt>
                <c:pt idx="7">
                  <c:v>-0.12156128779443696</c:v>
                </c:pt>
                <c:pt idx="8">
                  <c:v>-0.15734451118480144</c:v>
                </c:pt>
                <c:pt idx="9">
                  <c:v>-4.5532361519053814E-2</c:v>
                </c:pt>
                <c:pt idx="10">
                  <c:v>-9.8757103245276756E-2</c:v>
                </c:pt>
                <c:pt idx="11">
                  <c:v>-0.10368709258279588</c:v>
                </c:pt>
                <c:pt idx="12">
                  <c:v>-0.34540850854541638</c:v>
                </c:pt>
                <c:pt idx="13">
                  <c:v>-0.70801073477756959</c:v>
                </c:pt>
                <c:pt idx="14">
                  <c:v>-0.63145687961935903</c:v>
                </c:pt>
                <c:pt idx="15">
                  <c:v>-0.60465596754463669</c:v>
                </c:pt>
                <c:pt idx="16">
                  <c:v>-0.56128430139034546</c:v>
                </c:pt>
                <c:pt idx="17">
                  <c:v>-0.11692747497662014</c:v>
                </c:pt>
                <c:pt idx="18">
                  <c:v>-2.3855020584604005E-2</c:v>
                </c:pt>
                <c:pt idx="19">
                  <c:v>6.4870256116827493E-2</c:v>
                </c:pt>
                <c:pt idx="20">
                  <c:v>0.44454598462250261</c:v>
                </c:pt>
                <c:pt idx="21">
                  <c:v>0.27568131307686183</c:v>
                </c:pt>
                <c:pt idx="22">
                  <c:v>-0.13143141765821154</c:v>
                </c:pt>
                <c:pt idx="23">
                  <c:v>-0.15387830255176782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FE-4FC2-A589-235FC663EE76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4'!$G$26:$G$49</c:f>
              <c:numCache>
                <c:formatCode>#\ ##0.0</c:formatCode>
                <c:ptCount val="24"/>
                <c:pt idx="0">
                  <c:v>2.2567846902239754</c:v>
                </c:pt>
                <c:pt idx="1">
                  <c:v>2.9186309791713847</c:v>
                </c:pt>
                <c:pt idx="2">
                  <c:v>2.9697548900570792</c:v>
                </c:pt>
                <c:pt idx="3">
                  <c:v>3.2819135077275594</c:v>
                </c:pt>
                <c:pt idx="4">
                  <c:v>3.1084812332896234</c:v>
                </c:pt>
                <c:pt idx="5">
                  <c:v>2.7563352038547313</c:v>
                </c:pt>
                <c:pt idx="6" formatCode="General">
                  <c:v>2.6924043929265342</c:v>
                </c:pt>
                <c:pt idx="7" formatCode="General">
                  <c:v>2.6316200146897137</c:v>
                </c:pt>
                <c:pt idx="8" formatCode="General">
                  <c:v>2.4919003926236427</c:v>
                </c:pt>
                <c:pt idx="9" formatCode="General">
                  <c:v>2.2093063938623412</c:v>
                </c:pt>
                <c:pt idx="10" formatCode="General">
                  <c:v>2.1316318226048487</c:v>
                </c:pt>
                <c:pt idx="11" formatCode="General">
                  <c:v>2.1602853151609636</c:v>
                </c:pt>
                <c:pt idx="12" formatCode="General">
                  <c:v>0.60230691969475514</c:v>
                </c:pt>
                <c:pt idx="13" formatCode="General">
                  <c:v>-4.2582563012779078</c:v>
                </c:pt>
                <c:pt idx="14" formatCode="General">
                  <c:v>-2.0902678469504199</c:v>
                </c:pt>
                <c:pt idx="15" formatCode="General">
                  <c:v>-2.3497385311278536</c:v>
                </c:pt>
                <c:pt idx="16" formatCode="General">
                  <c:v>-1.3407828493940885</c:v>
                </c:pt>
                <c:pt idx="17" formatCode="General">
                  <c:v>4.7541169059829826</c:v>
                </c:pt>
                <c:pt idx="18" formatCode="General">
                  <c:v>3.6648747973783964</c:v>
                </c:pt>
                <c:pt idx="19" formatCode="General">
                  <c:v>4.0483204326921998</c:v>
                </c:pt>
                <c:pt idx="20" formatCode="General">
                  <c:v>3.8504446532817904</c:v>
                </c:pt>
                <c:pt idx="21" formatCode="General">
                  <c:v>2.9747494036467965</c:v>
                </c:pt>
                <c:pt idx="22" formatCode="General">
                  <c:v>0.8079263971959757</c:v>
                </c:pt>
                <c:pt idx="23" formatCode="General">
                  <c:v>0.28999073719532831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FE-4FC2-A589-235FC663EE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108822912"/>
        <c:axId val="108824448"/>
      </c:barChart>
      <c:lineChart>
        <c:grouping val="standard"/>
        <c:varyColors val="0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4'!$A$26:$B$49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4'!$H$26:$H$49</c:f>
              <c:numCache>
                <c:formatCode>#\ ##0.0</c:formatCode>
                <c:ptCount val="24"/>
                <c:pt idx="0">
                  <c:v>3.7354703358596737</c:v>
                </c:pt>
                <c:pt idx="1">
                  <c:v>6.0635693129024588</c:v>
                </c:pt>
                <c:pt idx="2">
                  <c:v>6.0551704530576105</c:v>
                </c:pt>
                <c:pt idx="3">
                  <c:v>5.7157111017319409</c:v>
                </c:pt>
                <c:pt idx="4">
                  <c:v>4.7985438750560263</c:v>
                </c:pt>
                <c:pt idx="5">
                  <c:v>2.9808255360502329</c:v>
                </c:pt>
                <c:pt idx="6">
                  <c:v>2.9311807438003412</c:v>
                </c:pt>
                <c:pt idx="7">
                  <c:v>2.9093096332303503</c:v>
                </c:pt>
                <c:pt idx="8">
                  <c:v>2.9841391815935912</c:v>
                </c:pt>
                <c:pt idx="9">
                  <c:v>3.1966587652537259</c:v>
                </c:pt>
                <c:pt idx="10">
                  <c:v>2.8977411942901767</c:v>
                </c:pt>
                <c:pt idx="11">
                  <c:v>2.6699223236542764</c:v>
                </c:pt>
                <c:pt idx="12">
                  <c:v>-1.0965543495417918</c:v>
                </c:pt>
                <c:pt idx="13">
                  <c:v>-10.953400191597822</c:v>
                </c:pt>
                <c:pt idx="14">
                  <c:v>-4.8704580385287244</c:v>
                </c:pt>
                <c:pt idx="15">
                  <c:v>-4.1854633683910549</c:v>
                </c:pt>
                <c:pt idx="16">
                  <c:v>-1.8224490492609107</c:v>
                </c:pt>
                <c:pt idx="17">
                  <c:v>9.3633800591705967</c:v>
                </c:pt>
                <c:pt idx="18">
                  <c:v>3.4170911446025545</c:v>
                </c:pt>
                <c:pt idx="19">
                  <c:v>3.0307983564293011</c:v>
                </c:pt>
                <c:pt idx="20">
                  <c:v>4.0461035879015839</c:v>
                </c:pt>
                <c:pt idx="21">
                  <c:v>3.408966810641715</c:v>
                </c:pt>
                <c:pt idx="22">
                  <c:v>1.5248518351453979</c:v>
                </c:pt>
                <c:pt idx="23">
                  <c:v>0.96213654414856353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EFE-4FC2-A589-235FC663EE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822912"/>
        <c:axId val="108824448"/>
      </c:lineChart>
      <c:catAx>
        <c:axId val="108822912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8824448"/>
        <c:crosses val="autoZero"/>
        <c:auto val="1"/>
        <c:lblAlgn val="ctr"/>
        <c:lblOffset val="100"/>
        <c:noMultiLvlLbl val="0"/>
      </c:catAx>
      <c:valAx>
        <c:axId val="108824448"/>
        <c:scaling>
          <c:orientation val="minMax"/>
          <c:max val="10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8822912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144292468760548E-2"/>
          <c:y val="0.79016604750647301"/>
          <c:w val="0.92386482607227283"/>
          <c:h val="0.1946248452099492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0C5A8-E1D4-45B9-A6FC-B1B245DAB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abc42bd-08fe-4a27-9645-04f6ad96d74a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D090CF-62AF-4131-9322-2E648D49B2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075E46-B04D-41F5-8C6A-84D308B1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5</Pages>
  <Words>2115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4</cp:revision>
  <cp:lastPrinted>2019-04-08T10:52:00Z</cp:lastPrinted>
  <dcterms:created xsi:type="dcterms:W3CDTF">2023-03-21T09:13:00Z</dcterms:created>
  <dcterms:modified xsi:type="dcterms:W3CDTF">2023-03-21T09:18:00Z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