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537EA" w14:textId="77777777" w:rsidR="00E87D5B" w:rsidRPr="00ED0F73" w:rsidRDefault="00E87D5B" w:rsidP="00E87D5B">
      <w:pPr>
        <w:pStyle w:val="Nadpis11"/>
      </w:pPr>
      <w:bookmarkStart w:id="0" w:name="_Toc114134048"/>
      <w:bookmarkStart w:id="1" w:name="_Toc97736119"/>
      <w:bookmarkStart w:id="2" w:name="_Toc74643859"/>
      <w:bookmarkStart w:id="3" w:name="_Toc90395915"/>
      <w:bookmarkStart w:id="4" w:name="_Toc98245446"/>
      <w:bookmarkStart w:id="5" w:name="_Toc74643860"/>
      <w:bookmarkStart w:id="6" w:name="_Toc130286018"/>
      <w:r w:rsidRPr="00ED0F73">
        <w:rPr>
          <w:szCs w:val="32"/>
        </w:rPr>
        <w:t>3</w:t>
      </w:r>
      <w:r w:rsidRPr="00ED0F73">
        <w:t>. Výkonnost odvětví</w:t>
      </w:r>
      <w:bookmarkEnd w:id="6"/>
    </w:p>
    <w:p w14:paraId="3F8F0252" w14:textId="77777777" w:rsidR="00E87D5B" w:rsidRPr="00E42054" w:rsidRDefault="00E87D5B" w:rsidP="00E87D5B">
      <w:pPr>
        <w:pStyle w:val="Nadpis11"/>
        <w:rPr>
          <w:b w:val="0"/>
          <w:sz w:val="2"/>
          <w:szCs w:val="2"/>
        </w:rPr>
      </w:pPr>
    </w:p>
    <w:p w14:paraId="6C58D65C" w14:textId="77777777" w:rsidR="00E87D5B" w:rsidRPr="00E42054" w:rsidRDefault="00E87D5B" w:rsidP="00E87D5B">
      <w:pPr>
        <w:pStyle w:val="Nadpis11"/>
        <w:rPr>
          <w:b w:val="0"/>
          <w:sz w:val="2"/>
          <w:szCs w:val="2"/>
        </w:rPr>
      </w:pPr>
    </w:p>
    <w:tbl>
      <w:tblPr>
        <w:tblW w:w="9639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55"/>
        <w:gridCol w:w="203"/>
        <w:gridCol w:w="7681"/>
      </w:tblGrid>
      <w:tr w:rsidR="00E87D5B" w:rsidRPr="003D1D6D" w14:paraId="258C5719" w14:textId="77777777" w:rsidTr="008B1850">
        <w:trPr>
          <w:trHeight w:val="14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272467B5" w14:textId="77777777" w:rsidR="00E87D5B" w:rsidRDefault="00E87D5B" w:rsidP="00C8019E">
            <w:pPr>
              <w:pStyle w:val="Marginlie"/>
              <w:rPr>
                <w:color w:val="0D0D0D" w:themeColor="text1" w:themeTint="F2"/>
                <w:spacing w:val="-5"/>
              </w:rPr>
            </w:pPr>
            <w:proofErr w:type="spellStart"/>
            <w:r w:rsidRPr="007E6076">
              <w:rPr>
                <w:color w:val="0D0D0D" w:themeColor="text1" w:themeTint="F2"/>
                <w:spacing w:val="-5"/>
              </w:rPr>
              <w:t>Mezikvartální</w:t>
            </w:r>
            <w:proofErr w:type="spellEnd"/>
            <w:r w:rsidRPr="007E6076">
              <w:rPr>
                <w:color w:val="0D0D0D" w:themeColor="text1" w:themeTint="F2"/>
                <w:spacing w:val="-5"/>
              </w:rPr>
              <w:t xml:space="preserve"> růst celkové</w:t>
            </w:r>
            <w:r>
              <w:rPr>
                <w:color w:val="0D0D0D" w:themeColor="text1" w:themeTint="F2"/>
                <w:spacing w:val="-5"/>
              </w:rPr>
              <w:t xml:space="preserve"> HPH</w:t>
            </w:r>
            <w:r w:rsidRPr="007E6076">
              <w:rPr>
                <w:color w:val="0D0D0D" w:themeColor="text1" w:themeTint="F2"/>
                <w:spacing w:val="-5"/>
              </w:rPr>
              <w:t xml:space="preserve"> se</w:t>
            </w:r>
            <w:r>
              <w:rPr>
                <w:color w:val="0D0D0D" w:themeColor="text1" w:themeTint="F2"/>
                <w:spacing w:val="-5"/>
              </w:rPr>
              <w:t xml:space="preserve"> ve 3. čtvrtletí</w:t>
            </w:r>
            <w:r w:rsidRPr="007E6076">
              <w:rPr>
                <w:color w:val="0D0D0D" w:themeColor="text1" w:themeTint="F2"/>
                <w:spacing w:val="-5"/>
              </w:rPr>
              <w:t xml:space="preserve"> zastavil. Nižší spotřeba domácností poznamenala výkon řady tržních služeb i </w:t>
            </w:r>
            <w:r>
              <w:rPr>
                <w:color w:val="0D0D0D" w:themeColor="text1" w:themeTint="F2"/>
                <w:spacing w:val="-5"/>
              </w:rPr>
              <w:t xml:space="preserve">oblast </w:t>
            </w:r>
            <w:r w:rsidRPr="007E6076">
              <w:rPr>
                <w:color w:val="0D0D0D" w:themeColor="text1" w:themeTint="F2"/>
                <w:spacing w:val="-5"/>
              </w:rPr>
              <w:t xml:space="preserve">energetiky. </w:t>
            </w:r>
          </w:p>
          <w:p w14:paraId="3AAB4DF7" w14:textId="77777777" w:rsidR="00E87D5B" w:rsidRDefault="00E87D5B" w:rsidP="00C8019E">
            <w:pPr>
              <w:pStyle w:val="Marginlie"/>
              <w:rPr>
                <w:color w:val="0D0D0D" w:themeColor="text1" w:themeTint="F2"/>
                <w:spacing w:val="-5"/>
              </w:rPr>
            </w:pPr>
          </w:p>
          <w:p w14:paraId="58DAD3F2" w14:textId="77777777" w:rsidR="00E87D5B" w:rsidRDefault="00E87D5B" w:rsidP="00C8019E">
            <w:pPr>
              <w:pStyle w:val="Marginlie"/>
              <w:rPr>
                <w:color w:val="0D0D0D" w:themeColor="text1" w:themeTint="F2"/>
                <w:spacing w:val="-5"/>
              </w:rPr>
            </w:pPr>
          </w:p>
          <w:p w14:paraId="5E01D53C" w14:textId="77777777" w:rsidR="00E87D5B" w:rsidRDefault="00E87D5B" w:rsidP="00C8019E">
            <w:pPr>
              <w:pStyle w:val="Marginlie"/>
              <w:rPr>
                <w:color w:val="0D0D0D" w:themeColor="text1" w:themeTint="F2"/>
                <w:spacing w:val="-5"/>
              </w:rPr>
            </w:pPr>
          </w:p>
          <w:p w14:paraId="075E5556" w14:textId="77777777" w:rsidR="00E87D5B" w:rsidRDefault="00E87D5B" w:rsidP="00C8019E">
            <w:pPr>
              <w:pStyle w:val="Marginlie"/>
              <w:rPr>
                <w:color w:val="0D0D0D" w:themeColor="text1" w:themeTint="F2"/>
                <w:spacing w:val="-5"/>
              </w:rPr>
            </w:pPr>
          </w:p>
          <w:p w14:paraId="48FC855B" w14:textId="77777777" w:rsidR="00E87D5B" w:rsidRPr="007E6076" w:rsidRDefault="00E87D5B" w:rsidP="00C8019E">
            <w:pPr>
              <w:pStyle w:val="Marginlie"/>
              <w:rPr>
                <w:color w:val="0D0D0D" w:themeColor="text1" w:themeTint="F2"/>
                <w:spacing w:val="-5"/>
              </w:rPr>
            </w:pPr>
            <w:r>
              <w:rPr>
                <w:color w:val="0D0D0D" w:themeColor="text1" w:themeTint="F2"/>
                <w:spacing w:val="-5"/>
              </w:rPr>
              <w:t xml:space="preserve">Souhrnný výkon odvětví </w:t>
            </w:r>
            <w:r>
              <w:rPr>
                <w:color w:val="0D0D0D" w:themeColor="text1" w:themeTint="F2"/>
                <w:spacing w:val="-7"/>
              </w:rPr>
              <w:t>v ČR</w:t>
            </w:r>
            <w:r w:rsidRPr="00127A18">
              <w:rPr>
                <w:color w:val="0D0D0D" w:themeColor="text1" w:themeTint="F2"/>
                <w:spacing w:val="-7"/>
              </w:rPr>
              <w:t xml:space="preserve"> zůstával za vrcholem</w:t>
            </w:r>
            <w:r w:rsidRPr="00127A18">
              <w:rPr>
                <w:color w:val="0D0D0D" w:themeColor="text1" w:themeTint="F2"/>
                <w:spacing w:val="-6"/>
              </w:rPr>
              <w:t xml:space="preserve"> </w:t>
            </w:r>
            <w:r>
              <w:rPr>
                <w:color w:val="0D0D0D" w:themeColor="text1" w:themeTint="F2"/>
                <w:spacing w:val="-5"/>
              </w:rPr>
              <w:t>z předpandemické konjunktury.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1A94C7FB" w14:textId="77777777" w:rsidR="00E87D5B" w:rsidRDefault="00E87D5B" w:rsidP="00C8019E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58C8AC71" w14:textId="77777777" w:rsidR="00E87D5B" w:rsidRPr="003D1D6D" w:rsidRDefault="00E87D5B" w:rsidP="00C8019E">
            <w:pPr>
              <w:spacing w:after="180"/>
              <w:rPr>
                <w:spacing w:val="-5"/>
              </w:rPr>
            </w:pPr>
            <w:r w:rsidRPr="00487264">
              <w:rPr>
                <w:spacing w:val="-5"/>
              </w:rPr>
              <w:t>Údaje z nabídkové strany ekonomiky stvrzují, že v loňském roce se</w:t>
            </w:r>
            <w:r>
              <w:rPr>
                <w:spacing w:val="-5"/>
              </w:rPr>
              <w:t xml:space="preserve"> tuzemské hospodářství vlivem vnějších šoků nacházelo na sestupné fázi hospodářského cyklu.</w:t>
            </w:r>
            <w:r w:rsidRPr="003D1D6D">
              <w:rPr>
                <w:spacing w:val="-5"/>
              </w:rPr>
              <w:t xml:space="preserve"> </w:t>
            </w:r>
            <w:proofErr w:type="spellStart"/>
            <w:r w:rsidRPr="003D1D6D">
              <w:rPr>
                <w:spacing w:val="-5"/>
              </w:rPr>
              <w:t>Mezikvartální</w:t>
            </w:r>
            <w:proofErr w:type="spellEnd"/>
            <w:r w:rsidRPr="003D1D6D">
              <w:rPr>
                <w:spacing w:val="-5"/>
              </w:rPr>
              <w:t xml:space="preserve"> růst hrubé přidané hodnoty</w:t>
            </w:r>
            <w:r>
              <w:rPr>
                <w:spacing w:val="-5"/>
              </w:rPr>
              <w:t xml:space="preserve"> </w:t>
            </w:r>
            <w:r w:rsidRPr="003D1D6D">
              <w:rPr>
                <w:spacing w:val="-5"/>
              </w:rPr>
              <w:t>(HPH)</w:t>
            </w:r>
            <w:r w:rsidRPr="003D1D6D">
              <w:rPr>
                <w:rStyle w:val="Znakapoznpodarou"/>
                <w:color w:val="0D0D0D" w:themeColor="text1" w:themeTint="F2"/>
                <w:spacing w:val="-5"/>
              </w:rPr>
              <w:footnoteReference w:id="1"/>
            </w:r>
            <w:r w:rsidRPr="003D1D6D">
              <w:rPr>
                <w:spacing w:val="-5"/>
              </w:rPr>
              <w:t xml:space="preserve">, trvající pět čtvrtletí v řadě, se </w:t>
            </w:r>
            <w:r>
              <w:rPr>
                <w:spacing w:val="-5"/>
              </w:rPr>
              <w:t xml:space="preserve">ve 3. čtvrtletí zastavil (–0,2 %) a ani vývoj ve zbývající období roku nepřinesl zásadní pozitivní změnu (+0,3 %). </w:t>
            </w:r>
            <w:r w:rsidRPr="003D1D6D">
              <w:rPr>
                <w:spacing w:val="-5"/>
              </w:rPr>
              <w:t>Zřetelný pokles HPH</w:t>
            </w:r>
            <w:r>
              <w:rPr>
                <w:spacing w:val="-5"/>
              </w:rPr>
              <w:t xml:space="preserve"> </w:t>
            </w:r>
            <w:r w:rsidRPr="003D1D6D">
              <w:rPr>
                <w:spacing w:val="-5"/>
              </w:rPr>
              <w:t xml:space="preserve">postihl </w:t>
            </w:r>
            <w:r>
              <w:rPr>
                <w:spacing w:val="-5"/>
              </w:rPr>
              <w:t xml:space="preserve">loni ve 2. pololetí </w:t>
            </w:r>
            <w:r w:rsidRPr="003D1D6D">
              <w:rPr>
                <w:spacing w:val="-5"/>
              </w:rPr>
              <w:t xml:space="preserve">váhově významný segment služeb – obchod, doprava, ubytování a </w:t>
            </w:r>
            <w:r>
              <w:rPr>
                <w:spacing w:val="-5"/>
              </w:rPr>
              <w:t>pohostinství. To souviselo s prohlubujícím se útlum</w:t>
            </w:r>
            <w:r w:rsidRPr="003D1D6D">
              <w:rPr>
                <w:spacing w:val="-5"/>
              </w:rPr>
              <w:t>em spotřeby domácností</w:t>
            </w:r>
            <w:r>
              <w:rPr>
                <w:spacing w:val="-5"/>
              </w:rPr>
              <w:t xml:space="preserve">. </w:t>
            </w:r>
            <w:proofErr w:type="spellStart"/>
            <w:r>
              <w:rPr>
                <w:spacing w:val="-5"/>
              </w:rPr>
              <w:t>Mezikvartální</w:t>
            </w:r>
            <w:proofErr w:type="spellEnd"/>
            <w:r>
              <w:rPr>
                <w:spacing w:val="-5"/>
              </w:rPr>
              <w:t xml:space="preserve"> vývoj HPH po většinu roku negativně ovlivňovaly i nižší spotřební v</w:t>
            </w:r>
            <w:r w:rsidRPr="00C16CDB">
              <w:rPr>
                <w:spacing w:val="-5"/>
              </w:rPr>
              <w:t>ýdaje vládních institucí</w:t>
            </w:r>
            <w:r>
              <w:rPr>
                <w:spacing w:val="-5"/>
              </w:rPr>
              <w:t xml:space="preserve">. Postpandemické oživení se zastavilo také v řadě služeb pro podniky či ve stavebnictví. Úspory domácností i firem se na konci roku odrazily i ve sníženém výkonu v odvětví energetiky. Naopak zpracovatelský průmysl i přes kolísavý vývoj řady oborů po většinu loňského roku působil na celou ekonomiku </w:t>
            </w:r>
            <w:proofErr w:type="spellStart"/>
            <w:r>
              <w:rPr>
                <w:spacing w:val="-5"/>
              </w:rPr>
              <w:t>prorůstově</w:t>
            </w:r>
            <w:proofErr w:type="spellEnd"/>
            <w:r>
              <w:rPr>
                <w:spacing w:val="-5"/>
              </w:rPr>
              <w:t>, obdobné platilo i pro veřejné služby</w:t>
            </w:r>
            <w:r>
              <w:rPr>
                <w:rStyle w:val="Znakapoznpodarou"/>
                <w:spacing w:val="-4"/>
              </w:rPr>
              <w:footnoteReference w:id="2"/>
            </w:r>
            <w:r>
              <w:rPr>
                <w:spacing w:val="-5"/>
              </w:rPr>
              <w:t xml:space="preserve">. </w:t>
            </w:r>
            <w:r w:rsidRPr="003D1D6D">
              <w:rPr>
                <w:color w:val="0D0D0D" w:themeColor="text1" w:themeTint="F2"/>
                <w:spacing w:val="-5"/>
              </w:rPr>
              <w:t>Výk</w:t>
            </w:r>
            <w:r>
              <w:rPr>
                <w:color w:val="0D0D0D" w:themeColor="text1" w:themeTint="F2"/>
                <w:spacing w:val="-5"/>
              </w:rPr>
              <w:t>on všech</w:t>
            </w:r>
            <w:r w:rsidRPr="003D1D6D">
              <w:rPr>
                <w:color w:val="0D0D0D" w:themeColor="text1" w:themeTint="F2"/>
                <w:spacing w:val="-5"/>
              </w:rPr>
              <w:t xml:space="preserve"> odvětví </w:t>
            </w:r>
            <w:r>
              <w:rPr>
                <w:color w:val="0D0D0D" w:themeColor="text1" w:themeTint="F2"/>
                <w:spacing w:val="-5"/>
              </w:rPr>
              <w:t xml:space="preserve">tuzemské </w:t>
            </w:r>
            <w:r>
              <w:rPr>
                <w:color w:val="0D0D0D" w:themeColor="text1" w:themeTint="F2"/>
                <w:spacing w:val="-6"/>
              </w:rPr>
              <w:t>ekonomiky</w:t>
            </w:r>
            <w:r w:rsidRPr="00025BDC">
              <w:rPr>
                <w:color w:val="0D0D0D" w:themeColor="text1" w:themeTint="F2"/>
                <w:spacing w:val="-6"/>
              </w:rPr>
              <w:t xml:space="preserve"> </w:t>
            </w:r>
            <w:r>
              <w:rPr>
                <w:color w:val="0D0D0D" w:themeColor="text1" w:themeTint="F2"/>
                <w:spacing w:val="-6"/>
              </w:rPr>
              <w:t>dosud své</w:t>
            </w:r>
            <w:r w:rsidRPr="00025BDC">
              <w:rPr>
                <w:color w:val="0D0D0D" w:themeColor="text1" w:themeTint="F2"/>
                <w:spacing w:val="-6"/>
              </w:rPr>
              <w:t xml:space="preserve"> ma</w:t>
            </w:r>
            <w:r>
              <w:rPr>
                <w:color w:val="0D0D0D" w:themeColor="text1" w:themeTint="F2"/>
                <w:spacing w:val="-6"/>
              </w:rPr>
              <w:t>ximum (z konce roku 2019) nepřekonal</w:t>
            </w:r>
            <w:r>
              <w:rPr>
                <w:rStyle w:val="Znakapoznpodarou"/>
                <w:color w:val="0D0D0D" w:themeColor="text1" w:themeTint="F2"/>
                <w:spacing w:val="-6"/>
              </w:rPr>
              <w:footnoteReference w:id="3"/>
            </w:r>
            <w:r>
              <w:rPr>
                <w:color w:val="0D0D0D" w:themeColor="text1" w:themeTint="F2"/>
                <w:spacing w:val="-6"/>
              </w:rPr>
              <w:t xml:space="preserve"> a </w:t>
            </w:r>
            <w:r w:rsidRPr="00025BDC">
              <w:rPr>
                <w:color w:val="0D0D0D" w:themeColor="text1" w:themeTint="F2"/>
                <w:spacing w:val="-6"/>
              </w:rPr>
              <w:t xml:space="preserve">ve </w:t>
            </w:r>
            <w:r>
              <w:rPr>
                <w:color w:val="0D0D0D" w:themeColor="text1" w:themeTint="F2"/>
                <w:spacing w:val="-6"/>
              </w:rPr>
              <w:t>4</w:t>
            </w:r>
            <w:r w:rsidRPr="00025BDC">
              <w:rPr>
                <w:color w:val="0D0D0D" w:themeColor="text1" w:themeTint="F2"/>
                <w:spacing w:val="-6"/>
              </w:rPr>
              <w:t xml:space="preserve">. čtvrtletí za </w:t>
            </w:r>
            <w:r>
              <w:rPr>
                <w:color w:val="0D0D0D" w:themeColor="text1" w:themeTint="F2"/>
                <w:spacing w:val="-6"/>
              </w:rPr>
              <w:t>ním lehce zaostával (o 0,3</w:t>
            </w:r>
            <w:r w:rsidRPr="00025BDC">
              <w:rPr>
                <w:color w:val="0D0D0D" w:themeColor="text1" w:themeTint="F2"/>
                <w:spacing w:val="-6"/>
              </w:rPr>
              <w:t xml:space="preserve"> %).</w:t>
            </w:r>
          </w:p>
        </w:tc>
      </w:tr>
      <w:tr w:rsidR="00E87D5B" w:rsidRPr="003D1D6D" w14:paraId="3E3EBFCF" w14:textId="77777777" w:rsidTr="008B1850">
        <w:trPr>
          <w:trHeight w:val="14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13F63114" w14:textId="77777777" w:rsidR="00E87D5B" w:rsidRDefault="00E87D5B" w:rsidP="00C8019E">
            <w:pPr>
              <w:pStyle w:val="Marginlie"/>
              <w:rPr>
                <w:color w:val="0D0D0D" w:themeColor="text1" w:themeTint="F2"/>
                <w:spacing w:val="-4"/>
              </w:rPr>
            </w:pPr>
            <w:r>
              <w:rPr>
                <w:color w:val="0D0D0D" w:themeColor="text1" w:themeTint="F2"/>
                <w:spacing w:val="-4"/>
              </w:rPr>
              <w:t>I přes sílící problémy přispěl za celý loňský rok k růstu ekonomiky zásadně segment obchod, doprava ubytování a</w:t>
            </w:r>
            <w:r w:rsidRPr="00127A18">
              <w:rPr>
                <w:color w:val="0D0D0D" w:themeColor="text1" w:themeTint="F2"/>
                <w:spacing w:val="-7"/>
              </w:rPr>
              <w:t> </w:t>
            </w:r>
            <w:r>
              <w:rPr>
                <w:color w:val="0D0D0D" w:themeColor="text1" w:themeTint="F2"/>
                <w:spacing w:val="-4"/>
              </w:rPr>
              <w:t>pohostinství.</w:t>
            </w:r>
          </w:p>
          <w:p w14:paraId="66C57B52" w14:textId="77777777" w:rsidR="00E87D5B" w:rsidRDefault="00E87D5B" w:rsidP="00C8019E">
            <w:pPr>
              <w:pStyle w:val="Marginlie"/>
              <w:rPr>
                <w:color w:val="0D0D0D" w:themeColor="text1" w:themeTint="F2"/>
                <w:spacing w:val="-4"/>
              </w:rPr>
            </w:pPr>
          </w:p>
          <w:p w14:paraId="4118D553" w14:textId="77777777" w:rsidR="00E87D5B" w:rsidRDefault="00E87D5B" w:rsidP="00C8019E">
            <w:pPr>
              <w:pStyle w:val="Marginlie"/>
              <w:rPr>
                <w:color w:val="0D0D0D" w:themeColor="text1" w:themeTint="F2"/>
                <w:spacing w:val="-4"/>
              </w:rPr>
            </w:pPr>
          </w:p>
          <w:p w14:paraId="70BCB780" w14:textId="77777777" w:rsidR="00E87D5B" w:rsidRDefault="00E87D5B" w:rsidP="00C8019E">
            <w:pPr>
              <w:pStyle w:val="Marginlie"/>
              <w:rPr>
                <w:color w:val="0D0D0D" w:themeColor="text1" w:themeTint="F2"/>
                <w:spacing w:val="-4"/>
              </w:rPr>
            </w:pPr>
          </w:p>
          <w:p w14:paraId="12D8AE5A" w14:textId="77777777" w:rsidR="00E87D5B" w:rsidRDefault="00E87D5B" w:rsidP="00C8019E">
            <w:pPr>
              <w:pStyle w:val="Marginlie"/>
              <w:rPr>
                <w:color w:val="0D0D0D" w:themeColor="text1" w:themeTint="F2"/>
                <w:spacing w:val="-4"/>
              </w:rPr>
            </w:pPr>
          </w:p>
          <w:p w14:paraId="1DA5681F" w14:textId="77777777" w:rsidR="00E87D5B" w:rsidRDefault="00E87D5B" w:rsidP="00C8019E">
            <w:pPr>
              <w:pStyle w:val="Marginlie"/>
              <w:rPr>
                <w:color w:val="0D0D0D" w:themeColor="text1" w:themeTint="F2"/>
                <w:spacing w:val="-4"/>
              </w:rPr>
            </w:pPr>
            <w:r>
              <w:rPr>
                <w:color w:val="0D0D0D" w:themeColor="text1" w:themeTint="F2"/>
                <w:spacing w:val="-4"/>
              </w:rPr>
              <w:t>Dlouhodobý svižný růst HPH v oblasti ICT na konci roku zvolnil.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6D98344B" w14:textId="77777777" w:rsidR="00E87D5B" w:rsidRDefault="00E87D5B" w:rsidP="00C8019E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031B0295" w14:textId="627FD226" w:rsidR="00E87D5B" w:rsidRPr="003D1D6D" w:rsidRDefault="00E87D5B" w:rsidP="00C8019E">
            <w:pPr>
              <w:spacing w:after="180"/>
              <w:rPr>
                <w:spacing w:val="-5"/>
              </w:rPr>
            </w:pPr>
            <w:r>
              <w:rPr>
                <w:color w:val="0D0D0D" w:themeColor="text1" w:themeTint="F2"/>
                <w:spacing w:val="-4"/>
              </w:rPr>
              <w:t>V meziročním pohledu růst HPH slábl (až na rovné 1 % ve 4. kvartálu 2022), z</w:t>
            </w:r>
            <w:r>
              <w:rPr>
                <w:spacing w:val="-5"/>
              </w:rPr>
              <w:t>a celý rok činil 2,</w:t>
            </w:r>
            <w:r>
              <w:rPr>
                <w:color w:val="0D0D0D" w:themeColor="text1" w:themeTint="F2"/>
                <w:spacing w:val="-4"/>
              </w:rPr>
              <w:t>5 </w:t>
            </w:r>
            <w:r>
              <w:rPr>
                <w:spacing w:val="-5"/>
              </w:rPr>
              <w:t xml:space="preserve">% (po 3,4 % z roku 2021). I přes toto zpomalení přispěla loni k růstu ekonomiky všechna hlavní odvětvová uskupení služeb – nejvýrazněji segment </w:t>
            </w:r>
            <w:r>
              <w:rPr>
                <w:spacing w:val="-4"/>
              </w:rPr>
              <w:t>obchod, doprava, ubytování a </w:t>
            </w:r>
            <w:r w:rsidRPr="00385BD8">
              <w:rPr>
                <w:spacing w:val="-4"/>
              </w:rPr>
              <w:t>pohostinstv</w:t>
            </w:r>
            <w:r>
              <w:rPr>
                <w:spacing w:val="-4"/>
              </w:rPr>
              <w:t xml:space="preserve">í (+0,6 p. b.). </w:t>
            </w:r>
            <w:r w:rsidRPr="00EE408C">
              <w:rPr>
                <w:color w:val="0D0D0D" w:themeColor="text1" w:themeTint="F2"/>
                <w:spacing w:val="-4"/>
              </w:rPr>
              <w:t>Nejdynamičtěji se ovšem zvyšoval výkon v ostatních činnostech služeb</w:t>
            </w:r>
            <w:r w:rsidRPr="00EE408C">
              <w:rPr>
                <w:rStyle w:val="Znakapoznpodarou"/>
                <w:color w:val="0D0D0D" w:themeColor="text1" w:themeTint="F2"/>
                <w:spacing w:val="-4"/>
              </w:rPr>
              <w:footnoteReference w:id="4"/>
            </w:r>
            <w:r>
              <w:rPr>
                <w:color w:val="0D0D0D" w:themeColor="text1" w:themeTint="F2"/>
                <w:spacing w:val="-4"/>
              </w:rPr>
              <w:t xml:space="preserve"> (+9</w:t>
            </w:r>
            <w:r w:rsidRPr="00EE408C">
              <w:rPr>
                <w:color w:val="0D0D0D" w:themeColor="text1" w:themeTint="F2"/>
                <w:spacing w:val="-4"/>
              </w:rPr>
              <w:t xml:space="preserve">,5 %), zčásti vlivem </w:t>
            </w:r>
            <w:r>
              <w:rPr>
                <w:spacing w:val="-4"/>
              </w:rPr>
              <w:t>nízké srovnávací základny z počátku roku 2021, kdy byly tyto služby v důsledku vládních protipandemických restrikcí citelně omezeny. V dlouhodobě prosperujících informačních a komunikačních činnostech se loni HPH navýšila o rovných 5</w:t>
            </w:r>
            <w:r>
              <w:rPr>
                <w:color w:val="0D0D0D" w:themeColor="text1" w:themeTint="F2"/>
                <w:spacing w:val="-4"/>
              </w:rPr>
              <w:t> </w:t>
            </w:r>
            <w:r>
              <w:rPr>
                <w:spacing w:val="-4"/>
              </w:rPr>
              <w:t>% (v</w:t>
            </w:r>
            <w:r>
              <w:rPr>
                <w:color w:val="0D0D0D" w:themeColor="text1" w:themeTint="F2"/>
                <w:spacing w:val="-4"/>
              </w:rPr>
              <w:t> </w:t>
            </w:r>
            <w:r>
              <w:rPr>
                <w:spacing w:val="-4"/>
              </w:rPr>
              <w:t xml:space="preserve">samotném 4. čtvrtletí se růst ztenčil na 2,5 %, což bylo nejméně od konce roku 2016). To souviselo se slábnoucí poptávkou v širším spektru služeb pro podniky. Naopak rozvoj činností v oblasti nemovitostí navzdory útlumu hypotečního trhu po celý rok pokračoval, ve srovnání s rokem 2019 byl ovšem výkon tohoto odvětví na konci roku stále nižší (o 2 %). Mírný, avšak dlouhodobě stabilní růst HPH zaznamenávají veřejné služby (loni 1,2 %). </w:t>
            </w:r>
          </w:p>
        </w:tc>
      </w:tr>
      <w:tr w:rsidR="00E87D5B" w:rsidRPr="008A13E0" w14:paraId="3536519D" w14:textId="77777777" w:rsidTr="008B1850">
        <w:trPr>
          <w:trHeight w:val="14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08512C17" w14:textId="77777777" w:rsidR="00E87D5B" w:rsidRDefault="00E87D5B" w:rsidP="00C8019E">
            <w:pPr>
              <w:pStyle w:val="Marginlie"/>
              <w:rPr>
                <w:color w:val="0D0D0D" w:themeColor="text1" w:themeTint="F2"/>
                <w:spacing w:val="-4"/>
              </w:rPr>
            </w:pPr>
            <w:r>
              <w:rPr>
                <w:color w:val="0D0D0D" w:themeColor="text1" w:themeTint="F2"/>
                <w:spacing w:val="-4"/>
              </w:rPr>
              <w:t xml:space="preserve">Růst HPH ve zpracovatelském průmyslu se na rozdíl od energetiky i stavebnictví udržel i na konci roku 2022. </w:t>
            </w:r>
          </w:p>
          <w:p w14:paraId="2D152834" w14:textId="77777777" w:rsidR="00E87D5B" w:rsidRDefault="00E87D5B" w:rsidP="00C8019E">
            <w:pPr>
              <w:pStyle w:val="Marginlie"/>
              <w:rPr>
                <w:color w:val="0D0D0D" w:themeColor="text1" w:themeTint="F2"/>
                <w:spacing w:val="-4"/>
              </w:rPr>
            </w:pPr>
          </w:p>
          <w:p w14:paraId="1FB40F0F" w14:textId="77777777" w:rsidR="00E87D5B" w:rsidRDefault="00E87D5B" w:rsidP="00C8019E">
            <w:pPr>
              <w:pStyle w:val="Marginlie"/>
              <w:rPr>
                <w:color w:val="0D0D0D" w:themeColor="text1" w:themeTint="F2"/>
                <w:spacing w:val="-4"/>
              </w:rPr>
            </w:pPr>
          </w:p>
          <w:p w14:paraId="59B286D1" w14:textId="77777777" w:rsidR="00E87D5B" w:rsidRDefault="00E87D5B" w:rsidP="00C8019E">
            <w:pPr>
              <w:pStyle w:val="Marginlie"/>
              <w:rPr>
                <w:color w:val="0D0D0D" w:themeColor="text1" w:themeTint="F2"/>
                <w:spacing w:val="-4"/>
              </w:rPr>
            </w:pPr>
          </w:p>
          <w:p w14:paraId="30EAEDFF" w14:textId="77777777" w:rsidR="00E87D5B" w:rsidRDefault="00E87D5B" w:rsidP="00C8019E">
            <w:pPr>
              <w:pStyle w:val="Marginlie"/>
              <w:rPr>
                <w:color w:val="0D0D0D" w:themeColor="text1" w:themeTint="F2"/>
                <w:spacing w:val="-4"/>
              </w:rPr>
            </w:pPr>
            <w:r>
              <w:rPr>
                <w:color w:val="0D0D0D" w:themeColor="text1" w:themeTint="F2"/>
                <w:spacing w:val="-4"/>
              </w:rPr>
              <w:t xml:space="preserve">Pokles živelní těžby dřeva pokračoval druhým rokem v řadě. Úroda obilovin byla opět nadprůměrná. </w:t>
            </w:r>
          </w:p>
          <w:p w14:paraId="3FB922F5" w14:textId="77777777" w:rsidR="00E87D5B" w:rsidRDefault="00E87D5B" w:rsidP="00C8019E">
            <w:pPr>
              <w:pStyle w:val="Marginlie"/>
              <w:rPr>
                <w:color w:val="0D0D0D" w:themeColor="text1" w:themeTint="F2"/>
                <w:spacing w:val="-4"/>
              </w:rPr>
            </w:pPr>
          </w:p>
          <w:p w14:paraId="3C7EEA3E" w14:textId="77777777" w:rsidR="00E87D5B" w:rsidRDefault="00E87D5B" w:rsidP="00C8019E">
            <w:pPr>
              <w:pStyle w:val="Marginlie"/>
              <w:rPr>
                <w:color w:val="0D0D0D" w:themeColor="text1" w:themeTint="F2"/>
                <w:spacing w:val="-4"/>
              </w:rPr>
            </w:pPr>
          </w:p>
          <w:p w14:paraId="6BED332C" w14:textId="77777777" w:rsidR="00E87D5B" w:rsidRDefault="00E87D5B" w:rsidP="00C8019E">
            <w:pPr>
              <w:pStyle w:val="Marginlie"/>
              <w:rPr>
                <w:color w:val="0D0D0D" w:themeColor="text1" w:themeTint="F2"/>
                <w:spacing w:val="-4"/>
              </w:rPr>
            </w:pPr>
          </w:p>
          <w:p w14:paraId="05D11959" w14:textId="77777777" w:rsidR="00E87D5B" w:rsidRDefault="00E87D5B" w:rsidP="00C8019E">
            <w:pPr>
              <w:pStyle w:val="Marginlie"/>
              <w:rPr>
                <w:color w:val="0D0D0D" w:themeColor="text1" w:themeTint="F2"/>
                <w:spacing w:val="-4"/>
              </w:rPr>
            </w:pPr>
            <w:r>
              <w:rPr>
                <w:color w:val="0D0D0D" w:themeColor="text1" w:themeTint="F2"/>
                <w:spacing w:val="-4"/>
              </w:rPr>
              <w:t xml:space="preserve">K poklesu výroby masa přispěly sílící výrobní náklady i slabší zájem spotřebitelů. 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41C61046" w14:textId="77777777" w:rsidR="00E87D5B" w:rsidRDefault="00E87D5B" w:rsidP="00C8019E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666B15F5" w14:textId="172B871D" w:rsidR="00E87D5B" w:rsidRPr="008A13E0" w:rsidRDefault="00E87D5B" w:rsidP="00C8019E">
            <w:pPr>
              <w:rPr>
                <w:spacing w:val="-4"/>
              </w:rPr>
            </w:pPr>
            <w:r>
              <w:rPr>
                <w:color w:val="0D0D0D" w:themeColor="text1" w:themeTint="F2"/>
                <w:spacing w:val="-4"/>
              </w:rPr>
              <w:t xml:space="preserve">Z odvětví mimo sektor služeb vzrostla za loňský rok HPH nejvíce ve zpracovatelském průmyslu (+2,9 %, příspěvek k růstu celé ekonomiky +0,7 p. b.), jenž profitoval ze solidní domácí i zahraniční poptávky a udržel si tak růst i na konci roku. To neplatí pro další odvětví – energetiku či stavebnictví. </w:t>
            </w:r>
            <w:r>
              <w:rPr>
                <w:spacing w:val="-4"/>
              </w:rPr>
              <w:t>V z</w:t>
            </w:r>
            <w:r w:rsidRPr="00202D59">
              <w:rPr>
                <w:spacing w:val="-4"/>
              </w:rPr>
              <w:t>emědělství, lesnictví a rybářství</w:t>
            </w:r>
            <w:r>
              <w:rPr>
                <w:spacing w:val="-4"/>
              </w:rPr>
              <w:t xml:space="preserve"> klesla za loňský rok HPH o 2,4 % a zmírnila 15% propad z roku 2021. Pro vývoj celého primárního sektoru byla patrně stále zásadní situace v lesnictví, kde ustupující kůrovcová kalamita druhým rokem v řadě razantně snížila potřebu živelní těžby dřeva. Celková loňská úroda obilovin zaostala za nadprůměrnou loňskou sklizní jen nepatrně o 0,1 %</w:t>
            </w:r>
            <w:r>
              <w:rPr>
                <w:rStyle w:val="Znakapoznpodarou"/>
                <w:spacing w:val="-4"/>
              </w:rPr>
              <w:footnoteReference w:id="5"/>
            </w:r>
            <w:r>
              <w:rPr>
                <w:spacing w:val="-4"/>
              </w:rPr>
              <w:t>. Hlubší propad sklizně kukuřice na zrno byl kompenzován růstem u pšenice a ječmene. Dařilo se řepce a dalším technickým plodinám či ovocnářství. Mírný 2% meziroční pokles úrody ovšem nastal u brambor i cukrovky, hlubší pak u pícnin a většiny druhů zeleniny. K propadu sklizně došlo u chmele</w:t>
            </w:r>
            <w:r>
              <w:rPr>
                <w:rStyle w:val="Znakapoznpodarou"/>
                <w:spacing w:val="-4"/>
              </w:rPr>
              <w:footnoteReference w:id="6"/>
            </w:r>
            <w:r>
              <w:rPr>
                <w:spacing w:val="-4"/>
              </w:rPr>
              <w:t xml:space="preserve">, naopak dlouhodobý trend růstu sklizně z vinic pokračoval. Čtyři roky trvající růst fyzické výroby masa se vloni zastavil (její úroveň se vrátila k výši z roku 2018). Loňský meziroční pokles (4,2 %) byl nejvíce ovlivněn nižší výrobou vepřového masa, k poklesu došlo ale u všech dalších hlavních druhů masa. Projevil se vysoký růst výrobních nákladů (krmiv, energií) i nižší spotřeba v domácnostech. Pokles v rámci živočišné výroby byl zčásti tlumen mírně rostoucí produkcí mléka. HPH ve všech hlavních odvětvích primárního i sekundárního </w:t>
            </w:r>
            <w:r w:rsidRPr="001C3855">
              <w:rPr>
                <w:spacing w:val="-10"/>
              </w:rPr>
              <w:t>sektoru se ve 4. čtvrtletí 2019 nacházela pod úrovní roku 2019 (nejvíce ve stavebnictví – o 11 %).</w:t>
            </w:r>
          </w:p>
        </w:tc>
      </w:tr>
      <w:tr w:rsidR="00E87D5B" w:rsidRPr="008D3CD4" w14:paraId="241931F9" w14:textId="77777777" w:rsidTr="008B1850">
        <w:trPr>
          <w:trHeight w:val="14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7FE5C64E" w14:textId="77777777" w:rsidR="00E87D5B" w:rsidRDefault="00E87D5B" w:rsidP="00C8019E">
            <w:pPr>
              <w:pStyle w:val="Marginlie"/>
              <w:rPr>
                <w:color w:val="0D0D0D" w:themeColor="text1" w:themeTint="F2"/>
                <w:spacing w:val="-4"/>
              </w:rPr>
            </w:pPr>
            <w:r>
              <w:rPr>
                <w:color w:val="0D0D0D" w:themeColor="text1" w:themeTint="F2"/>
                <w:spacing w:val="-4"/>
              </w:rPr>
              <w:lastRenderedPageBreak/>
              <w:t xml:space="preserve">V období 1. a 3. čtvrtletí pokračoval </w:t>
            </w:r>
            <w:proofErr w:type="spellStart"/>
            <w:r>
              <w:rPr>
                <w:color w:val="0D0D0D" w:themeColor="text1" w:themeTint="F2"/>
                <w:spacing w:val="-4"/>
              </w:rPr>
              <w:t>mezikvartální</w:t>
            </w:r>
            <w:proofErr w:type="spellEnd"/>
            <w:r>
              <w:rPr>
                <w:color w:val="0D0D0D" w:themeColor="text1" w:themeTint="F2"/>
                <w:spacing w:val="-4"/>
              </w:rPr>
              <w:t xml:space="preserve"> růst průmyslové produkce. Její objem poprvé překonal maximální úroveň z roku 2019.</w:t>
            </w:r>
          </w:p>
          <w:p w14:paraId="2CF5891C" w14:textId="77777777" w:rsidR="00E87D5B" w:rsidRDefault="00E87D5B" w:rsidP="00C8019E">
            <w:pPr>
              <w:pStyle w:val="Marginlie"/>
              <w:rPr>
                <w:color w:val="0D0D0D" w:themeColor="text1" w:themeTint="F2"/>
                <w:spacing w:val="-4"/>
              </w:rPr>
            </w:pPr>
          </w:p>
          <w:p w14:paraId="6299CADD" w14:textId="77777777" w:rsidR="00E87D5B" w:rsidRDefault="00E87D5B" w:rsidP="00C8019E">
            <w:pPr>
              <w:pStyle w:val="Marginlie"/>
              <w:rPr>
                <w:color w:val="0D0D0D" w:themeColor="text1" w:themeTint="F2"/>
                <w:spacing w:val="-4"/>
              </w:rPr>
            </w:pPr>
          </w:p>
          <w:p w14:paraId="41087C5E" w14:textId="77777777" w:rsidR="00E87D5B" w:rsidRDefault="00E87D5B" w:rsidP="00C8019E">
            <w:pPr>
              <w:pStyle w:val="Marginlie"/>
              <w:rPr>
                <w:color w:val="0D0D0D" w:themeColor="text1" w:themeTint="F2"/>
                <w:spacing w:val="-4"/>
              </w:rPr>
            </w:pPr>
          </w:p>
          <w:p w14:paraId="7D97F431" w14:textId="77777777" w:rsidR="00E87D5B" w:rsidRDefault="00E87D5B" w:rsidP="00C8019E">
            <w:pPr>
              <w:pStyle w:val="Marginlie"/>
              <w:rPr>
                <w:color w:val="0D0D0D" w:themeColor="text1" w:themeTint="F2"/>
                <w:spacing w:val="-4"/>
              </w:rPr>
            </w:pPr>
          </w:p>
          <w:p w14:paraId="497FF808" w14:textId="77777777" w:rsidR="00E87D5B" w:rsidRDefault="00E87D5B" w:rsidP="00C8019E">
            <w:pPr>
              <w:pStyle w:val="Marginlie"/>
              <w:rPr>
                <w:color w:val="0D0D0D" w:themeColor="text1" w:themeTint="F2"/>
                <w:spacing w:val="-4"/>
              </w:rPr>
            </w:pPr>
          </w:p>
          <w:p w14:paraId="4D5B2B0A" w14:textId="77777777" w:rsidR="00E87D5B" w:rsidRDefault="00E87D5B" w:rsidP="00C8019E">
            <w:pPr>
              <w:pStyle w:val="Marginlie"/>
              <w:rPr>
                <w:color w:val="0D0D0D" w:themeColor="text1" w:themeTint="F2"/>
                <w:spacing w:val="-4"/>
              </w:rPr>
            </w:pPr>
          </w:p>
          <w:p w14:paraId="3D8EFA32" w14:textId="77777777" w:rsidR="00E87D5B" w:rsidRDefault="00E87D5B" w:rsidP="00C8019E">
            <w:pPr>
              <w:pStyle w:val="Marginlie"/>
              <w:rPr>
                <w:color w:val="0D0D0D" w:themeColor="text1" w:themeTint="F2"/>
                <w:spacing w:val="-4"/>
              </w:rPr>
            </w:pPr>
            <w:r>
              <w:rPr>
                <w:color w:val="0D0D0D" w:themeColor="text1" w:themeTint="F2"/>
                <w:spacing w:val="-4"/>
              </w:rPr>
              <w:t>Ve 4. čtvrtletí byla průmyslová produkce negativně ovlivněna dopady prudkého růstu cen vstupů, narůstajícími problémy s dodávkami výrobních komponent i zhoršeným výkonem ekonomiky v eurozóně.</w:t>
            </w:r>
          </w:p>
          <w:p w14:paraId="312128A8" w14:textId="77777777" w:rsidR="00E87D5B" w:rsidRDefault="00E87D5B" w:rsidP="00C8019E">
            <w:pPr>
              <w:pStyle w:val="Marginlie"/>
              <w:rPr>
                <w:color w:val="0D0D0D" w:themeColor="text1" w:themeTint="F2"/>
                <w:spacing w:val="-4"/>
              </w:rPr>
            </w:pPr>
            <w:r>
              <w:rPr>
                <w:color w:val="0D0D0D" w:themeColor="text1" w:themeTint="F2"/>
                <w:spacing w:val="-4"/>
              </w:rPr>
              <w:t xml:space="preserve"> 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60217C5D" w14:textId="77777777" w:rsidR="00E87D5B" w:rsidRDefault="00E87D5B" w:rsidP="00C8019E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7FACD2A0" w14:textId="395274EF" w:rsidR="00E87D5B" w:rsidRPr="008D3CD4" w:rsidRDefault="00E87D5B" w:rsidP="00C8019E">
            <w:pPr>
              <w:spacing w:after="220"/>
              <w:rPr>
                <w:spacing w:val="-4"/>
              </w:rPr>
            </w:pPr>
            <w:r>
              <w:rPr>
                <w:spacing w:val="-4"/>
              </w:rPr>
              <w:t>Také ú</w:t>
            </w:r>
            <w:r w:rsidRPr="008D3CD4">
              <w:rPr>
                <w:spacing w:val="-4"/>
              </w:rPr>
              <w:t xml:space="preserve">daje </w:t>
            </w:r>
            <w:r w:rsidRPr="008D3CD4">
              <w:rPr>
                <w:color w:val="0D0D0D" w:themeColor="text1" w:themeTint="F2"/>
                <w:spacing w:val="-4"/>
              </w:rPr>
              <w:t>z podnikových statistik potvrzují, že</w:t>
            </w:r>
            <w:r>
              <w:rPr>
                <w:color w:val="0D0D0D" w:themeColor="text1" w:themeTint="F2"/>
                <w:spacing w:val="-4"/>
              </w:rPr>
              <w:t xml:space="preserve"> tuzemský průmysl ve většině loňského roku pokračoval v mírném postpandemickém oživení. Na počátku roku stačil kompenzovat slabší výkon segmentu automobilového průmyslu a posléze i některých významných podniků v jiných odvětvích, které postihlo narušení dodavatelských řetězců vlivem nečekaného vzplanutí války na Ukrajině. Během 3. čtvrtletí, kdy se </w:t>
            </w:r>
            <w:proofErr w:type="spellStart"/>
            <w:r>
              <w:rPr>
                <w:color w:val="0D0D0D" w:themeColor="text1" w:themeTint="F2"/>
                <w:spacing w:val="-4"/>
              </w:rPr>
              <w:t>mezikvartální</w:t>
            </w:r>
            <w:proofErr w:type="spellEnd"/>
            <w:r>
              <w:rPr>
                <w:color w:val="0D0D0D" w:themeColor="text1" w:themeTint="F2"/>
                <w:spacing w:val="-4"/>
              </w:rPr>
              <w:t xml:space="preserve"> růst tuzemské ekonomiky zastavil, vzrostla průmyslová produkce</w:t>
            </w:r>
            <w:r w:rsidRPr="008D3CD4">
              <w:rPr>
                <w:rStyle w:val="Znakapoznpodarou"/>
                <w:color w:val="0D0D0D" w:themeColor="text1" w:themeTint="F2"/>
                <w:spacing w:val="-4"/>
              </w:rPr>
              <w:footnoteReference w:id="7"/>
            </w:r>
            <w:r>
              <w:rPr>
                <w:color w:val="0D0D0D" w:themeColor="text1" w:themeTint="F2"/>
                <w:spacing w:val="-4"/>
              </w:rPr>
              <w:t xml:space="preserve"> o 1,9 %, což bylo nejvíce od konce roku 2020. Přispělo k tomu i to, že investiční aktivita v ekonomice výrazně neoslabovala. Stejné platilo také pro hodnotu zahraničních zakázek, neboť eurozóna i samotná německá ekonomika stále odolávaly hrozbě recese. Důležitou roli sehrál fakt, že </w:t>
            </w:r>
            <w:r>
              <w:rPr>
                <w:spacing w:val="-5"/>
              </w:rPr>
              <w:t>se dočasně zlepšila situace s</w:t>
            </w:r>
            <w:r>
              <w:rPr>
                <w:color w:val="0D0D0D" w:themeColor="text1" w:themeTint="F2"/>
                <w:spacing w:val="-4"/>
              </w:rPr>
              <w:t> </w:t>
            </w:r>
            <w:r>
              <w:rPr>
                <w:spacing w:val="-5"/>
              </w:rPr>
              <w:t xml:space="preserve">dodávkami </w:t>
            </w:r>
            <w:r w:rsidRPr="003D1D6D">
              <w:rPr>
                <w:spacing w:val="-5"/>
              </w:rPr>
              <w:t>výrobních kompone</w:t>
            </w:r>
            <w:r>
              <w:rPr>
                <w:spacing w:val="-5"/>
              </w:rPr>
              <w:t xml:space="preserve">nt pro automobilový průmysl. </w:t>
            </w:r>
            <w:r>
              <w:rPr>
                <w:color w:val="0D0D0D" w:themeColor="text1" w:themeTint="F2"/>
                <w:spacing w:val="-4"/>
              </w:rPr>
              <w:t>Celková průmyslová produkce tak loni</w:t>
            </w:r>
            <w:r w:rsidRPr="008D3CD4">
              <w:rPr>
                <w:color w:val="0D0D0D" w:themeColor="text1" w:themeTint="F2"/>
                <w:spacing w:val="-4"/>
              </w:rPr>
              <w:t xml:space="preserve"> v létě poprvé překonala úroveň z předpandemické konjuktury</w:t>
            </w:r>
            <w:r w:rsidRPr="008D3CD4">
              <w:rPr>
                <w:rStyle w:val="Znakapoznpodarou"/>
                <w:color w:val="0D0D0D" w:themeColor="text1" w:themeTint="F2"/>
                <w:spacing w:val="-4"/>
              </w:rPr>
              <w:footnoteReference w:id="8"/>
            </w:r>
            <w:r w:rsidRPr="008D3CD4">
              <w:rPr>
                <w:color w:val="0D0D0D" w:themeColor="text1" w:themeTint="F2"/>
                <w:spacing w:val="-4"/>
              </w:rPr>
              <w:t>.</w:t>
            </w:r>
            <w:r>
              <w:rPr>
                <w:color w:val="0D0D0D" w:themeColor="text1" w:themeTint="F2"/>
                <w:spacing w:val="-4"/>
              </w:rPr>
              <w:t xml:space="preserve"> Loni v srpnu ovšem došlo v Evropě k eskalaci burzovních cen elektřiny i plynu, což se spolu s pokračujícím svižným růstem cen </w:t>
            </w:r>
            <w:r w:rsidRPr="008D3CD4">
              <w:rPr>
                <w:color w:val="0D0D0D" w:themeColor="text1" w:themeTint="F2"/>
                <w:spacing w:val="-4"/>
              </w:rPr>
              <w:t>dalších materiálových vstupů</w:t>
            </w:r>
            <w:r>
              <w:rPr>
                <w:color w:val="0D0D0D" w:themeColor="text1" w:themeTint="F2"/>
                <w:spacing w:val="-4"/>
              </w:rPr>
              <w:t xml:space="preserve"> </w:t>
            </w:r>
            <w:r w:rsidRPr="008D3CD4">
              <w:rPr>
                <w:color w:val="0D0D0D" w:themeColor="text1" w:themeTint="F2"/>
                <w:spacing w:val="-4"/>
              </w:rPr>
              <w:t xml:space="preserve">negativně odrazilo ve výkonu </w:t>
            </w:r>
            <w:r>
              <w:rPr>
                <w:color w:val="0D0D0D" w:themeColor="text1" w:themeTint="F2"/>
                <w:spacing w:val="-4"/>
              </w:rPr>
              <w:t>zejména</w:t>
            </w:r>
            <w:r w:rsidRPr="008D3CD4">
              <w:rPr>
                <w:color w:val="0D0D0D" w:themeColor="text1" w:themeTint="F2"/>
                <w:spacing w:val="-4"/>
              </w:rPr>
              <w:t xml:space="preserve"> energeticky náročnějších odvětví</w:t>
            </w:r>
            <w:r>
              <w:rPr>
                <w:color w:val="0D0D0D" w:themeColor="text1" w:themeTint="F2"/>
                <w:spacing w:val="-4"/>
              </w:rPr>
              <w:t xml:space="preserve"> (v první řadě hutnictví, kovovýroby, výroby skla či těžby a výroby stavebních hmot) a vlivem úspor na straně domácností i firem také ve významném odvětví energetiky. </w:t>
            </w:r>
            <w:r w:rsidRPr="008D3CD4">
              <w:rPr>
                <w:color w:val="0D0D0D" w:themeColor="text1" w:themeTint="F2"/>
                <w:spacing w:val="-4"/>
              </w:rPr>
              <w:t xml:space="preserve">Vedle toho začaly průmyslové podniky v Česku stále více pociťovat obavy související se zhoršující se ekonomickou situací v řadě významných exportních teritorií, která se projevovala i </w:t>
            </w:r>
            <w:r>
              <w:rPr>
                <w:color w:val="0D0D0D" w:themeColor="text1" w:themeTint="F2"/>
                <w:spacing w:val="-4"/>
              </w:rPr>
              <w:t xml:space="preserve">v negativních konjunkturálních očekáváních firem. Ve 4. čtvrtletí se tak </w:t>
            </w:r>
            <w:proofErr w:type="spellStart"/>
            <w:r>
              <w:rPr>
                <w:color w:val="0D0D0D" w:themeColor="text1" w:themeTint="F2"/>
                <w:spacing w:val="-4"/>
              </w:rPr>
              <w:t>mezikvartální</w:t>
            </w:r>
            <w:proofErr w:type="spellEnd"/>
            <w:r>
              <w:rPr>
                <w:color w:val="0D0D0D" w:themeColor="text1" w:themeTint="F2"/>
                <w:spacing w:val="-4"/>
              </w:rPr>
              <w:t xml:space="preserve"> růst produkce v průmyslu i v jejím klíčovém segmentu výroby motorových vozidel fakticky zastavil. </w:t>
            </w:r>
          </w:p>
        </w:tc>
      </w:tr>
      <w:tr w:rsidR="00E87D5B" w:rsidRPr="000D66E3" w14:paraId="3BF66136" w14:textId="77777777" w:rsidTr="008B1850">
        <w:trPr>
          <w:trHeight w:val="14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759EDC05" w14:textId="77777777" w:rsidR="00E87D5B" w:rsidRDefault="00E87D5B" w:rsidP="00C8019E">
            <w:pPr>
              <w:pStyle w:val="Marginlie"/>
              <w:rPr>
                <w:color w:val="0D0D0D" w:themeColor="text1" w:themeTint="F2"/>
                <w:spacing w:val="-4"/>
              </w:rPr>
            </w:pPr>
            <w:r>
              <w:rPr>
                <w:color w:val="0D0D0D" w:themeColor="text1" w:themeTint="F2"/>
                <w:spacing w:val="-4"/>
              </w:rPr>
              <w:t xml:space="preserve">Loňský růst průmyslové produkce byl tažen zejména výrobou motorových vozidel. </w:t>
            </w:r>
          </w:p>
          <w:p w14:paraId="6A6B9F5B" w14:textId="77777777" w:rsidR="00E87D5B" w:rsidRDefault="00E87D5B" w:rsidP="00C8019E">
            <w:pPr>
              <w:pStyle w:val="Marginlie"/>
              <w:rPr>
                <w:color w:val="0D0D0D" w:themeColor="text1" w:themeTint="F2"/>
                <w:spacing w:val="-4"/>
              </w:rPr>
            </w:pPr>
            <w:r>
              <w:rPr>
                <w:color w:val="0D0D0D" w:themeColor="text1" w:themeTint="F2"/>
                <w:spacing w:val="-4"/>
              </w:rPr>
              <w:t xml:space="preserve">I ta se však stále potýkala s problémy. 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3DCD437F" w14:textId="77777777" w:rsidR="00E87D5B" w:rsidRDefault="00E87D5B" w:rsidP="00C8019E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06A32606" w14:textId="77777777" w:rsidR="00E87D5B" w:rsidRPr="000D66E3" w:rsidRDefault="00E87D5B" w:rsidP="00C8019E">
            <w:pPr>
              <w:spacing w:after="220"/>
              <w:rPr>
                <w:spacing w:val="-4"/>
              </w:rPr>
            </w:pPr>
            <w:r>
              <w:rPr>
                <w:spacing w:val="-4"/>
              </w:rPr>
              <w:t>Přestože zhruba ve třetině</w:t>
            </w:r>
            <w:r w:rsidRPr="000D66E3">
              <w:rPr>
                <w:spacing w:val="-4"/>
              </w:rPr>
              <w:t xml:space="preserve"> průmyslových oborů produkce za loňský rok klesla, v úhrnu za </w:t>
            </w:r>
            <w:r>
              <w:rPr>
                <w:spacing w:val="-4"/>
              </w:rPr>
              <w:t xml:space="preserve">celý </w:t>
            </w:r>
            <w:r w:rsidRPr="000D66E3">
              <w:rPr>
                <w:spacing w:val="-4"/>
              </w:rPr>
              <w:t xml:space="preserve">průmysl se </w:t>
            </w:r>
            <w:r w:rsidRPr="00560B33">
              <w:rPr>
                <w:color w:val="0D0D0D" w:themeColor="text1" w:themeTint="F2"/>
                <w:spacing w:val="-4"/>
              </w:rPr>
              <w:t xml:space="preserve">mírně navýšila (+2,5 %). </w:t>
            </w:r>
            <w:r w:rsidRPr="000D66E3">
              <w:rPr>
                <w:spacing w:val="-4"/>
              </w:rPr>
              <w:t>Zasloužila se o to hlavně výroba motorových voz</w:t>
            </w:r>
            <w:r>
              <w:rPr>
                <w:spacing w:val="-4"/>
              </w:rPr>
              <w:t>idel, která i díky slabší</w:t>
            </w:r>
            <w:r w:rsidRPr="000D66E3">
              <w:rPr>
                <w:spacing w:val="-4"/>
              </w:rPr>
              <w:t xml:space="preserve"> základně (kvůli nuceným odstávkám výroby ve 3. čtvrtletí</w:t>
            </w:r>
            <w:r>
              <w:rPr>
                <w:spacing w:val="-4"/>
              </w:rPr>
              <w:t xml:space="preserve"> 2021</w:t>
            </w:r>
            <w:r w:rsidRPr="000D66E3">
              <w:rPr>
                <w:spacing w:val="-4"/>
              </w:rPr>
              <w:t xml:space="preserve">) </w:t>
            </w:r>
            <w:r>
              <w:rPr>
                <w:spacing w:val="-4"/>
              </w:rPr>
              <w:t xml:space="preserve">navýšila o 11,8 </w:t>
            </w:r>
            <w:r w:rsidRPr="000D66E3">
              <w:rPr>
                <w:spacing w:val="-4"/>
              </w:rPr>
              <w:t>%</w:t>
            </w:r>
            <w:r>
              <w:rPr>
                <w:spacing w:val="-4"/>
              </w:rPr>
              <w:t xml:space="preserve"> </w:t>
            </w:r>
            <w:r w:rsidRPr="000D66E3">
              <w:rPr>
                <w:spacing w:val="-4"/>
              </w:rPr>
              <w:t xml:space="preserve">a k růstu celého průmyslu přispěla rovnými 2 p. b. </w:t>
            </w:r>
            <w:r w:rsidRPr="000D66E3">
              <w:rPr>
                <w:color w:val="0D0D0D" w:themeColor="text1" w:themeTint="F2"/>
                <w:spacing w:val="-4"/>
              </w:rPr>
              <w:t>Pomohla tomu silná poptávka související s obnovou firemního vozového parku (přerušená</w:t>
            </w:r>
            <w:r>
              <w:rPr>
                <w:color w:val="0D0D0D" w:themeColor="text1" w:themeTint="F2"/>
                <w:spacing w:val="-4"/>
              </w:rPr>
              <w:t xml:space="preserve"> během pandemie) i </w:t>
            </w:r>
            <w:r w:rsidRPr="000D66E3">
              <w:rPr>
                <w:color w:val="0D0D0D" w:themeColor="text1" w:themeTint="F2"/>
                <w:spacing w:val="-4"/>
              </w:rPr>
              <w:t>postupně se rozvíjející segment elektromobility – což dokládají i údaje o fyzické produkci</w:t>
            </w:r>
            <w:r w:rsidRPr="000D66E3">
              <w:rPr>
                <w:rStyle w:val="Znakapoznpodarou"/>
                <w:color w:val="0D0D0D" w:themeColor="text1" w:themeTint="F2"/>
                <w:spacing w:val="-4"/>
              </w:rPr>
              <w:footnoteReference w:id="9"/>
            </w:r>
            <w:r w:rsidRPr="000D66E3">
              <w:rPr>
                <w:color w:val="0D0D0D" w:themeColor="text1" w:themeTint="F2"/>
                <w:spacing w:val="-4"/>
              </w:rPr>
              <w:t xml:space="preserve">. Navzdory tomu zůstává situace v automobilovém průmyslu komplikovaná. Využití výrobních kapacit se zde </w:t>
            </w:r>
            <w:r>
              <w:rPr>
                <w:color w:val="0D0D0D" w:themeColor="text1" w:themeTint="F2"/>
                <w:spacing w:val="-4"/>
              </w:rPr>
              <w:t xml:space="preserve">téměř </w:t>
            </w:r>
            <w:r w:rsidRPr="000D66E3">
              <w:rPr>
                <w:color w:val="0D0D0D" w:themeColor="text1" w:themeTint="F2"/>
                <w:spacing w:val="-4"/>
              </w:rPr>
              <w:t>po celý loňský rok pohybovalo pod 80 % (dlouhodobý průměr přitom mírně přesahuje 90 %). Navíc nedostatek materiálu a zařízení deklarovalo letos v lednu 85 %</w:t>
            </w:r>
            <w:r w:rsidRPr="000D66E3">
              <w:rPr>
                <w:rStyle w:val="Znakapoznpodarou"/>
                <w:color w:val="0D0D0D" w:themeColor="text1" w:themeTint="F2"/>
                <w:spacing w:val="-4"/>
              </w:rPr>
              <w:footnoteReference w:id="10"/>
            </w:r>
            <w:r w:rsidRPr="000D66E3">
              <w:rPr>
                <w:color w:val="0D0D0D" w:themeColor="text1" w:themeTint="F2"/>
                <w:spacing w:val="-4"/>
              </w:rPr>
              <w:t xml:space="preserve"> podniků ve </w:t>
            </w:r>
            <w:r>
              <w:rPr>
                <w:color w:val="0D0D0D" w:themeColor="text1" w:themeTint="F2"/>
                <w:spacing w:val="-4"/>
              </w:rPr>
              <w:t xml:space="preserve">výrobě </w:t>
            </w:r>
            <w:r w:rsidRPr="000D66E3">
              <w:rPr>
                <w:color w:val="0D0D0D" w:themeColor="text1" w:themeTint="F2"/>
                <w:spacing w:val="-4"/>
              </w:rPr>
              <w:t xml:space="preserve">motorových vozidel (jejich podíl se na rozdíl od ostatních odvětví průmyslu za poslední pololetí nesnížil). </w:t>
            </w:r>
          </w:p>
        </w:tc>
      </w:tr>
      <w:tr w:rsidR="00E87D5B" w:rsidRPr="006C48B7" w14:paraId="0CB53B7A" w14:textId="77777777" w:rsidTr="008B1850">
        <w:trPr>
          <w:trHeight w:val="14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75FC34D2" w14:textId="77777777" w:rsidR="00E87D5B" w:rsidRDefault="00E87D5B" w:rsidP="00C8019E">
            <w:pPr>
              <w:pStyle w:val="Marginlie"/>
              <w:rPr>
                <w:color w:val="0D0D0D" w:themeColor="text1" w:themeTint="F2"/>
                <w:spacing w:val="-4"/>
              </w:rPr>
            </w:pPr>
            <w:r>
              <w:rPr>
                <w:color w:val="0D0D0D" w:themeColor="text1" w:themeTint="F2"/>
                <w:spacing w:val="-4"/>
              </w:rPr>
              <w:t xml:space="preserve">Dařilo se i výrobě elektrických zařízení, počítačů či strojírenství. </w:t>
            </w:r>
          </w:p>
          <w:p w14:paraId="6783652E" w14:textId="77777777" w:rsidR="00E87D5B" w:rsidRDefault="00E87D5B" w:rsidP="00C8019E">
            <w:pPr>
              <w:pStyle w:val="Marginlie"/>
              <w:rPr>
                <w:color w:val="0D0D0D" w:themeColor="text1" w:themeTint="F2"/>
                <w:spacing w:val="-4"/>
              </w:rPr>
            </w:pPr>
            <w:r>
              <w:rPr>
                <w:color w:val="0D0D0D" w:themeColor="text1" w:themeTint="F2"/>
                <w:spacing w:val="-4"/>
              </w:rPr>
              <w:t xml:space="preserve">Některé menší obory silně zasažené útlumem poptávky za pandemie výrazně ožily. 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36CD9085" w14:textId="77777777" w:rsidR="00E87D5B" w:rsidRDefault="00E87D5B" w:rsidP="00C8019E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072E0CFF" w14:textId="6716512D" w:rsidR="00E87D5B" w:rsidRPr="006C48B7" w:rsidRDefault="00E87D5B" w:rsidP="00C8019E">
            <w:pPr>
              <w:spacing w:after="200"/>
              <w:rPr>
                <w:color w:val="0D0D0D" w:themeColor="text1" w:themeTint="F2"/>
                <w:spacing w:val="-6"/>
              </w:rPr>
            </w:pPr>
            <w:r>
              <w:rPr>
                <w:color w:val="0D0D0D" w:themeColor="text1" w:themeTint="F2"/>
                <w:spacing w:val="-6"/>
              </w:rPr>
              <w:t xml:space="preserve">Vedle výroby automobilů přispělo </w:t>
            </w:r>
            <w:r w:rsidRPr="00233337">
              <w:rPr>
                <w:color w:val="0D0D0D" w:themeColor="text1" w:themeTint="F2"/>
                <w:spacing w:val="-6"/>
              </w:rPr>
              <w:t>loni významněji k růstu průmyslu i diverzifikované odvětví výr</w:t>
            </w:r>
            <w:r>
              <w:rPr>
                <w:color w:val="0D0D0D" w:themeColor="text1" w:themeTint="F2"/>
                <w:spacing w:val="-6"/>
              </w:rPr>
              <w:t xml:space="preserve">oby elektrických zařízení (+0,5 </w:t>
            </w:r>
            <w:r w:rsidR="00DE3E22">
              <w:rPr>
                <w:color w:val="0D0D0D" w:themeColor="text1" w:themeTint="F2"/>
                <w:spacing w:val="-6"/>
              </w:rPr>
              <w:t xml:space="preserve">p. </w:t>
            </w:r>
            <w:r w:rsidRPr="00233337">
              <w:rPr>
                <w:color w:val="0D0D0D" w:themeColor="text1" w:themeTint="F2"/>
                <w:spacing w:val="-6"/>
              </w:rPr>
              <w:t>b., při růstu odvětví o</w:t>
            </w:r>
            <w:r w:rsidRPr="00E4073A">
              <w:rPr>
                <w:color w:val="0D0D0D" w:themeColor="text1" w:themeTint="F2"/>
                <w:spacing w:val="-6"/>
              </w:rPr>
              <w:t> </w:t>
            </w:r>
            <w:r w:rsidRPr="00233337">
              <w:rPr>
                <w:color w:val="0D0D0D" w:themeColor="text1" w:themeTint="F2"/>
                <w:spacing w:val="-6"/>
              </w:rPr>
              <w:t>6</w:t>
            </w:r>
            <w:r>
              <w:rPr>
                <w:color w:val="0D0D0D" w:themeColor="text1" w:themeTint="F2"/>
                <w:spacing w:val="-6"/>
              </w:rPr>
              <w:t>,7</w:t>
            </w:r>
            <w:r w:rsidRPr="00E4073A">
              <w:rPr>
                <w:color w:val="0D0D0D" w:themeColor="text1" w:themeTint="F2"/>
                <w:spacing w:val="-6"/>
              </w:rPr>
              <w:t> </w:t>
            </w:r>
            <w:r>
              <w:rPr>
                <w:color w:val="0D0D0D" w:themeColor="text1" w:themeTint="F2"/>
                <w:spacing w:val="-6"/>
              </w:rPr>
              <w:t>%), neboť</w:t>
            </w:r>
            <w:r w:rsidRPr="00233337">
              <w:rPr>
                <w:color w:val="0D0D0D" w:themeColor="text1" w:themeTint="F2"/>
                <w:spacing w:val="-6"/>
              </w:rPr>
              <w:t xml:space="preserve"> byl</w:t>
            </w:r>
            <w:r>
              <w:rPr>
                <w:color w:val="0D0D0D" w:themeColor="text1" w:themeTint="F2"/>
                <w:spacing w:val="-6"/>
              </w:rPr>
              <w:t>o</w:t>
            </w:r>
            <w:r w:rsidRPr="00233337">
              <w:rPr>
                <w:color w:val="0D0D0D" w:themeColor="text1" w:themeTint="F2"/>
                <w:spacing w:val="-6"/>
              </w:rPr>
              <w:t xml:space="preserve"> podporován</w:t>
            </w:r>
            <w:r>
              <w:rPr>
                <w:color w:val="0D0D0D" w:themeColor="text1" w:themeTint="F2"/>
                <w:spacing w:val="-6"/>
              </w:rPr>
              <w:t>o</w:t>
            </w:r>
            <w:r w:rsidRPr="00233337">
              <w:rPr>
                <w:color w:val="0D0D0D" w:themeColor="text1" w:themeTint="F2"/>
                <w:spacing w:val="-6"/>
              </w:rPr>
              <w:t xml:space="preserve"> solidní poptávkou z tuzemska i zahraničí.</w:t>
            </w:r>
            <w:r>
              <w:rPr>
                <w:color w:val="0D0D0D" w:themeColor="text1" w:themeTint="F2"/>
                <w:spacing w:val="-6"/>
              </w:rPr>
              <w:t xml:space="preserve"> Výkon ve váhově významném odvětví strojírenství vzrostl o 5 %, jeho p</w:t>
            </w:r>
            <w:r w:rsidRPr="00E4073A">
              <w:rPr>
                <w:color w:val="0D0D0D" w:themeColor="text1" w:themeTint="F2"/>
                <w:spacing w:val="-6"/>
              </w:rPr>
              <w:t xml:space="preserve">rodukce </w:t>
            </w:r>
            <w:r>
              <w:rPr>
                <w:color w:val="0D0D0D" w:themeColor="text1" w:themeTint="F2"/>
                <w:spacing w:val="-6"/>
              </w:rPr>
              <w:t>tak ve 4. čtvrtletí dorovnala úroveň</w:t>
            </w:r>
            <w:r w:rsidRPr="00E4073A">
              <w:rPr>
                <w:color w:val="0D0D0D" w:themeColor="text1" w:themeTint="F2"/>
                <w:spacing w:val="-6"/>
              </w:rPr>
              <w:t xml:space="preserve"> z vrcholu předpandemické konjunktury</w:t>
            </w:r>
            <w:r>
              <w:rPr>
                <w:color w:val="0D0D0D" w:themeColor="text1" w:themeTint="F2"/>
                <w:spacing w:val="-6"/>
              </w:rPr>
              <w:t xml:space="preserve">. Ve výrobě počítačů, elektronických a optických přístrojů byl loňský růst produkce (+4 %) podporován sílící tuzemskou poptávkou. Z menších oborů se loni dařilo především kožedělnému a obuvnickému průmyslu (růst produkce o rekordních 20,7 %) či oděvnímu průmyslu (+13,0 %), jimž rovněž pomáhala domácí poptávka. </w:t>
            </w:r>
            <w:r>
              <w:rPr>
                <w:color w:val="0D0D0D" w:themeColor="text1" w:themeTint="F2"/>
                <w:spacing w:val="-4"/>
              </w:rPr>
              <w:t>P</w:t>
            </w:r>
            <w:r w:rsidRPr="00E4073A">
              <w:rPr>
                <w:color w:val="0D0D0D" w:themeColor="text1" w:themeTint="F2"/>
                <w:spacing w:val="-4"/>
              </w:rPr>
              <w:t xml:space="preserve">ostupně rostoucí počty zahraničních </w:t>
            </w:r>
            <w:r>
              <w:rPr>
                <w:color w:val="0D0D0D" w:themeColor="text1" w:themeTint="F2"/>
                <w:spacing w:val="-4"/>
              </w:rPr>
              <w:t xml:space="preserve">turistů v Česku podpořily výrobu nápojů, jejichž produkce vzrostla loni </w:t>
            </w:r>
            <w:r>
              <w:rPr>
                <w:color w:val="0D0D0D" w:themeColor="text1" w:themeTint="F2"/>
                <w:spacing w:val="-4"/>
              </w:rPr>
              <w:br/>
            </w:r>
            <w:r>
              <w:rPr>
                <w:color w:val="0D0D0D" w:themeColor="text1" w:themeTint="F2"/>
                <w:spacing w:val="-4"/>
              </w:rPr>
              <w:lastRenderedPageBreak/>
              <w:t>o 7,8 % (nejvíce po roce 2006). Dařilo se dlouhodobě rozvíjejícímu a výrazně proexportně zaměřenému farmaceutickému průmyslu (+8,0 %).</w:t>
            </w:r>
          </w:p>
        </w:tc>
      </w:tr>
      <w:tr w:rsidR="00E87D5B" w:rsidRPr="008D3CD4" w14:paraId="475C51E5" w14:textId="77777777" w:rsidTr="008B1850">
        <w:trPr>
          <w:trHeight w:val="14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1FB76A93" w14:textId="77777777" w:rsidR="00E87D5B" w:rsidRDefault="00E87D5B" w:rsidP="00C8019E">
            <w:pPr>
              <w:pStyle w:val="Marginlie"/>
              <w:rPr>
                <w:color w:val="0D0D0D" w:themeColor="text1" w:themeTint="F2"/>
                <w:spacing w:val="-4"/>
              </w:rPr>
            </w:pPr>
            <w:r>
              <w:rPr>
                <w:color w:val="0D0D0D" w:themeColor="text1" w:themeTint="F2"/>
                <w:spacing w:val="-4"/>
              </w:rPr>
              <w:lastRenderedPageBreak/>
              <w:t>Pokles produkce ve většině energeticky náročných průmyslových oborů se ve 2. pololetí prohluboval.</w:t>
            </w:r>
          </w:p>
          <w:p w14:paraId="5A80462B" w14:textId="77777777" w:rsidR="00E87D5B" w:rsidRDefault="00E87D5B" w:rsidP="00C8019E">
            <w:pPr>
              <w:pStyle w:val="Marginlie"/>
              <w:rPr>
                <w:color w:val="0D0D0D" w:themeColor="text1" w:themeTint="F2"/>
                <w:spacing w:val="-4"/>
              </w:rPr>
            </w:pPr>
          </w:p>
          <w:p w14:paraId="0610C561" w14:textId="77777777" w:rsidR="00E87D5B" w:rsidRDefault="00E87D5B" w:rsidP="00C8019E">
            <w:pPr>
              <w:pStyle w:val="Marginlie"/>
              <w:rPr>
                <w:color w:val="0D0D0D" w:themeColor="text1" w:themeTint="F2"/>
                <w:spacing w:val="-4"/>
              </w:rPr>
            </w:pPr>
          </w:p>
          <w:p w14:paraId="4C70C0FA" w14:textId="77777777" w:rsidR="00E87D5B" w:rsidRDefault="00E87D5B" w:rsidP="00C8019E">
            <w:pPr>
              <w:pStyle w:val="Marginlie"/>
              <w:rPr>
                <w:color w:val="0D0D0D" w:themeColor="text1" w:themeTint="F2"/>
                <w:spacing w:val="-4"/>
              </w:rPr>
            </w:pPr>
          </w:p>
          <w:p w14:paraId="1CA80D24" w14:textId="77777777" w:rsidR="00E87D5B" w:rsidRDefault="00E87D5B" w:rsidP="00C8019E">
            <w:pPr>
              <w:pStyle w:val="Marginlie"/>
              <w:rPr>
                <w:color w:val="0D0D0D" w:themeColor="text1" w:themeTint="F2"/>
                <w:spacing w:val="-4"/>
              </w:rPr>
            </w:pPr>
          </w:p>
          <w:p w14:paraId="760CDB24" w14:textId="77777777" w:rsidR="00E87D5B" w:rsidRDefault="00E87D5B" w:rsidP="00C8019E">
            <w:pPr>
              <w:pStyle w:val="Marginlie"/>
              <w:rPr>
                <w:color w:val="0D0D0D" w:themeColor="text1" w:themeTint="F2"/>
                <w:spacing w:val="-4"/>
              </w:rPr>
            </w:pPr>
          </w:p>
          <w:p w14:paraId="663FF5B4" w14:textId="77777777" w:rsidR="00E87D5B" w:rsidRDefault="00E87D5B" w:rsidP="00C8019E">
            <w:pPr>
              <w:pStyle w:val="Marginlie"/>
              <w:rPr>
                <w:color w:val="0D0D0D" w:themeColor="text1" w:themeTint="F2"/>
                <w:spacing w:val="-4"/>
              </w:rPr>
            </w:pPr>
            <w:r>
              <w:rPr>
                <w:color w:val="0D0D0D" w:themeColor="text1" w:themeTint="F2"/>
                <w:spacing w:val="-4"/>
              </w:rPr>
              <w:t>Útlum spotřeby domácností i sílící výrobní náklady vedly k poklesu výkonu v dlouhodobě rostoucím oboru potravinářství.</w:t>
            </w:r>
          </w:p>
          <w:p w14:paraId="3EC1DD85" w14:textId="77777777" w:rsidR="00E87D5B" w:rsidRPr="003B6934" w:rsidRDefault="00E87D5B" w:rsidP="00C8019E">
            <w:pPr>
              <w:pStyle w:val="Marginlie"/>
              <w:rPr>
                <w:color w:val="0D0D0D" w:themeColor="text1" w:themeTint="F2"/>
                <w:spacing w:val="-4"/>
              </w:rPr>
            </w:pPr>
            <w:r>
              <w:rPr>
                <w:color w:val="0D0D0D" w:themeColor="text1" w:themeTint="F2"/>
                <w:spacing w:val="-4"/>
              </w:rPr>
              <w:t xml:space="preserve"> 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2E5C1D12" w14:textId="77777777" w:rsidR="00E87D5B" w:rsidRDefault="00E87D5B" w:rsidP="00C8019E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1ED408A5" w14:textId="7F2DB4AC" w:rsidR="00E87D5B" w:rsidRPr="008D3CD4" w:rsidRDefault="00E87D5B" w:rsidP="00C8019E">
            <w:pPr>
              <w:spacing w:after="200"/>
              <w:rPr>
                <w:color w:val="0D0D0D" w:themeColor="text1" w:themeTint="F2"/>
                <w:spacing w:val="-4"/>
              </w:rPr>
            </w:pPr>
            <w:r>
              <w:rPr>
                <w:color w:val="0D0D0D" w:themeColor="text1" w:themeTint="F2"/>
                <w:spacing w:val="-4"/>
              </w:rPr>
              <w:t>Do stále složitější situace se naopak propadala</w:t>
            </w:r>
            <w:r w:rsidRPr="009E1798">
              <w:rPr>
                <w:color w:val="0D0D0D" w:themeColor="text1" w:themeTint="F2"/>
                <w:spacing w:val="-4"/>
              </w:rPr>
              <w:t xml:space="preserve"> energeticky náročná odvětví chemického, hutnického a kovodělného průmyslu</w:t>
            </w:r>
            <w:r>
              <w:rPr>
                <w:color w:val="0D0D0D" w:themeColor="text1" w:themeTint="F2"/>
                <w:spacing w:val="-4"/>
              </w:rPr>
              <w:t xml:space="preserve"> či výroby skla a stavebních hmot</w:t>
            </w:r>
            <w:r w:rsidRPr="009E1798">
              <w:rPr>
                <w:color w:val="0D0D0D" w:themeColor="text1" w:themeTint="F2"/>
                <w:spacing w:val="-4"/>
              </w:rPr>
              <w:t xml:space="preserve">. Po rychlém </w:t>
            </w:r>
            <w:r>
              <w:rPr>
                <w:color w:val="0D0D0D" w:themeColor="text1" w:themeTint="F2"/>
                <w:spacing w:val="-4"/>
              </w:rPr>
              <w:t xml:space="preserve">zotavení v roce 2021, kdy výkon těchto oborů pod vlivem svižné poptávky z tuzemska </w:t>
            </w:r>
            <w:r>
              <w:rPr>
                <w:color w:val="0D0D0D" w:themeColor="text1" w:themeTint="F2"/>
                <w:spacing w:val="-4"/>
              </w:rPr>
              <w:br/>
              <w:t xml:space="preserve">i zahraničí vystoupal nad úroveň z předkrizového roku 2019, docházelo vlivem prudkého růstu cen vstupů k útlumu, jenž se během 2. pololetí prohluboval. Nejvyšší propad přitom postihl hutnictví, v němž vinou oslabení zahraniční poptávky produkce loni klesla o 8,3 % (hlubší útlum zaznamenal naposledy za recese v roce 2009). Mírnější, ale z pohledu celého průmyslu stále významný pokles produkce postihl chemický a také kovodělný průmysl, jemuž příliš nepomohla ani rostoucí poptávka v malém segmentu zbrojní výroby. S vysokým růstem výrobních nákladů spolu se slábnoucí spotřebitelskou poptávkou se potýkalo i potravinářství, jehož produkce se poprvé po roce 2013 snížila (o 1,5 %). Odlišné pozadí měl naopak útlum </w:t>
            </w:r>
            <w:r w:rsidRPr="00D5632B">
              <w:rPr>
                <w:color w:val="0D0D0D" w:themeColor="text1" w:themeTint="F2"/>
                <w:spacing w:val="-4"/>
              </w:rPr>
              <w:t xml:space="preserve">v dřevozpracujícím průmyslu, </w:t>
            </w:r>
            <w:r w:rsidR="00DE3E22" w:rsidRPr="00D5632B">
              <w:rPr>
                <w:color w:val="0D0D0D" w:themeColor="text1" w:themeTint="F2"/>
                <w:spacing w:val="-4"/>
              </w:rPr>
              <w:t>k němu</w:t>
            </w:r>
            <w:r w:rsidRPr="00D5632B">
              <w:rPr>
                <w:color w:val="0D0D0D" w:themeColor="text1" w:themeTint="F2"/>
                <w:spacing w:val="-4"/>
              </w:rPr>
              <w:t xml:space="preserve"> došlo druhým rokem v</w:t>
            </w:r>
            <w:r>
              <w:rPr>
                <w:color w:val="0D0D0D" w:themeColor="text1" w:themeTint="F2"/>
                <w:spacing w:val="-4"/>
              </w:rPr>
              <w:t> </w:t>
            </w:r>
            <w:r w:rsidRPr="00D5632B">
              <w:rPr>
                <w:color w:val="0D0D0D" w:themeColor="text1" w:themeTint="F2"/>
                <w:spacing w:val="-4"/>
              </w:rPr>
              <w:t>řadě</w:t>
            </w:r>
            <w:r>
              <w:rPr>
                <w:color w:val="0D0D0D" w:themeColor="text1" w:themeTint="F2"/>
                <w:spacing w:val="-4"/>
              </w:rPr>
              <w:t xml:space="preserve"> (loni o 7 %)</w:t>
            </w:r>
            <w:r w:rsidRPr="00D5632B">
              <w:rPr>
                <w:color w:val="0D0D0D" w:themeColor="text1" w:themeTint="F2"/>
                <w:spacing w:val="-4"/>
              </w:rPr>
              <w:t xml:space="preserve">. </w:t>
            </w:r>
            <w:r>
              <w:rPr>
                <w:color w:val="0D0D0D" w:themeColor="text1" w:themeTint="F2"/>
                <w:spacing w:val="-4"/>
              </w:rPr>
              <w:t>Výkon návazných oborů (</w:t>
            </w:r>
            <w:r w:rsidRPr="00D5632B">
              <w:rPr>
                <w:color w:val="0D0D0D" w:themeColor="text1" w:themeTint="F2"/>
                <w:spacing w:val="-4"/>
              </w:rPr>
              <w:t>papírenství a</w:t>
            </w:r>
            <w:r w:rsidRPr="00D5632B">
              <w:rPr>
                <w:color w:val="0D0D0D" w:themeColor="text1" w:themeTint="F2"/>
                <w:spacing w:val="-5"/>
              </w:rPr>
              <w:t> </w:t>
            </w:r>
            <w:r w:rsidRPr="00D5632B">
              <w:rPr>
                <w:color w:val="0D0D0D" w:themeColor="text1" w:themeTint="F2"/>
                <w:spacing w:val="-4"/>
              </w:rPr>
              <w:t>nábytkářství</w:t>
            </w:r>
            <w:r>
              <w:rPr>
                <w:color w:val="0D0D0D" w:themeColor="text1" w:themeTint="F2"/>
                <w:spacing w:val="-4"/>
              </w:rPr>
              <w:t>) stagnoval, ve 2. pololetí se i </w:t>
            </w:r>
            <w:r w:rsidRPr="00D5632B">
              <w:rPr>
                <w:color w:val="0D0D0D" w:themeColor="text1" w:themeTint="F2"/>
                <w:spacing w:val="-4"/>
              </w:rPr>
              <w:t>zde začala projevovat slábnoucí poptávka.</w:t>
            </w:r>
            <w:r>
              <w:rPr>
                <w:color w:val="0D0D0D" w:themeColor="text1" w:themeTint="F2"/>
                <w:spacing w:val="-4"/>
              </w:rPr>
              <w:t xml:space="preserve"> Ve výrobě</w:t>
            </w:r>
            <w:r w:rsidRPr="00D5632B">
              <w:rPr>
                <w:color w:val="0D0D0D" w:themeColor="text1" w:themeTint="F2"/>
                <w:spacing w:val="-4"/>
              </w:rPr>
              <w:t xml:space="preserve"> ostatních </w:t>
            </w:r>
            <w:r>
              <w:rPr>
                <w:color w:val="0D0D0D" w:themeColor="text1" w:themeTint="F2"/>
                <w:spacing w:val="-4"/>
              </w:rPr>
              <w:t xml:space="preserve">(zejména kolejových) </w:t>
            </w:r>
            <w:r w:rsidRPr="00D5632B">
              <w:rPr>
                <w:color w:val="0D0D0D" w:themeColor="text1" w:themeTint="F2"/>
                <w:spacing w:val="-4"/>
              </w:rPr>
              <w:t>dopravních prostředků</w:t>
            </w:r>
            <w:r>
              <w:rPr>
                <w:color w:val="0D0D0D" w:themeColor="text1" w:themeTint="F2"/>
                <w:spacing w:val="-4"/>
              </w:rPr>
              <w:t xml:space="preserve"> má produkce tradičně kolísavý charakter. Loni propadla hlavně vlivem vysoké srovnávací základny o 7,5</w:t>
            </w:r>
            <w:r w:rsidRPr="00D5632B">
              <w:rPr>
                <w:color w:val="0D0D0D" w:themeColor="text1" w:themeTint="F2"/>
                <w:spacing w:val="-4"/>
              </w:rPr>
              <w:t> </w:t>
            </w:r>
            <w:r>
              <w:rPr>
                <w:color w:val="0D0D0D" w:themeColor="text1" w:themeTint="F2"/>
                <w:spacing w:val="-4"/>
              </w:rPr>
              <w:t>%</w:t>
            </w:r>
            <w:r>
              <w:rPr>
                <w:rStyle w:val="Znakapoznpodarou"/>
                <w:color w:val="0D0D0D" w:themeColor="text1" w:themeTint="F2"/>
                <w:spacing w:val="-4"/>
              </w:rPr>
              <w:footnoteReference w:id="11"/>
            </w:r>
            <w:r>
              <w:rPr>
                <w:color w:val="0D0D0D" w:themeColor="text1" w:themeTint="F2"/>
                <w:spacing w:val="-4"/>
              </w:rPr>
              <w:t xml:space="preserve">. </w:t>
            </w:r>
          </w:p>
        </w:tc>
      </w:tr>
      <w:tr w:rsidR="00E87D5B" w:rsidRPr="00A92514" w14:paraId="3C6C8DB6" w14:textId="77777777" w:rsidTr="008B1850">
        <w:trPr>
          <w:trHeight w:val="170"/>
        </w:trPr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3BBEA19F" w14:textId="77777777" w:rsidR="00E87D5B" w:rsidRDefault="00E87D5B" w:rsidP="00C8019E">
            <w:pPr>
              <w:pStyle w:val="Marginlie"/>
            </w:pPr>
          </w:p>
        </w:tc>
        <w:tc>
          <w:tcPr>
            <w:tcW w:w="2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1B4B2C07" w14:textId="77777777" w:rsidR="00E87D5B" w:rsidRDefault="00E87D5B" w:rsidP="00C8019E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2DE4C529" w14:textId="77777777" w:rsidR="00E87D5B" w:rsidRPr="00A92514" w:rsidRDefault="00E87D5B" w:rsidP="00C8019E">
            <w:pPr>
              <w:spacing w:after="0"/>
              <w:rPr>
                <w:spacing w:val="-4"/>
              </w:rPr>
            </w:pPr>
            <w:r w:rsidRPr="008E64D7">
              <w:rPr>
                <w:rFonts w:cs="Arial"/>
                <w:b/>
                <w:bCs/>
                <w:color w:val="000000"/>
                <w:szCs w:val="20"/>
              </w:rPr>
              <w:t xml:space="preserve">Graf č. 4 </w:t>
            </w:r>
            <w:r w:rsidRPr="008E64D7">
              <w:rPr>
                <w:b/>
              </w:rPr>
              <w:t>Příspěvky dílčích odvětví k meziroční změně průmyslové produkce</w:t>
            </w:r>
            <w:r w:rsidRPr="008E64D7">
              <w:rPr>
                <w:b/>
              </w:rPr>
              <w:br/>
            </w:r>
            <w:r w:rsidRPr="008E64D7">
              <w:t xml:space="preserve">(očištěno o kalendářní vlivy, reálně, v p. b.) </w:t>
            </w:r>
            <w:r w:rsidRPr="008E64D7">
              <w:rPr>
                <w:b/>
              </w:rPr>
              <w:t xml:space="preserve">a tržby* i produkce v celém průmyslu </w:t>
            </w:r>
            <w:r w:rsidRPr="008E64D7">
              <w:t>(sezónně očištěno, úroveň roku 2015=100, pravá osa)</w:t>
            </w:r>
          </w:p>
        </w:tc>
      </w:tr>
      <w:tr w:rsidR="00E87D5B" w:rsidRPr="0067514E" w14:paraId="65539438" w14:textId="77777777" w:rsidTr="008B1850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55476" w14:textId="77777777" w:rsidR="00E87D5B" w:rsidRDefault="00E87D5B" w:rsidP="00C8019E">
            <w:pPr>
              <w:pStyle w:val="Marginlie"/>
            </w:pPr>
          </w:p>
        </w:tc>
        <w:tc>
          <w:tcPr>
            <w:tcW w:w="2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60870" w14:textId="77777777" w:rsidR="00E87D5B" w:rsidRDefault="00E87D5B" w:rsidP="00C8019E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E74CC" w14:textId="77777777" w:rsidR="00E87D5B" w:rsidRPr="0067514E" w:rsidRDefault="00E87D5B" w:rsidP="00C8019E">
            <w:pPr>
              <w:spacing w:after="0"/>
              <w:rPr>
                <w:spacing w:val="-6"/>
              </w:rPr>
            </w:pPr>
            <w:r>
              <w:rPr>
                <w:noProof/>
              </w:rPr>
              <w:drawing>
                <wp:inline distT="0" distB="0" distL="0" distR="0" wp14:anchorId="05C47DD6" wp14:editId="5E1C39AE">
                  <wp:extent cx="4599940" cy="3403600"/>
                  <wp:effectExtent l="0" t="0" r="0" b="6350"/>
                  <wp:docPr id="9" name="Graf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E87D5B" w:rsidRPr="00E52D45" w14:paraId="32278D1E" w14:textId="77777777" w:rsidTr="008B1850">
        <w:trPr>
          <w:trHeight w:val="170"/>
        </w:trPr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526A0794" w14:textId="77777777" w:rsidR="00E87D5B" w:rsidRDefault="00E87D5B" w:rsidP="00C8019E">
            <w:pPr>
              <w:pStyle w:val="Marginlie"/>
            </w:pPr>
          </w:p>
        </w:tc>
        <w:tc>
          <w:tcPr>
            <w:tcW w:w="2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48B18D6F" w14:textId="77777777" w:rsidR="00E87D5B" w:rsidRDefault="00E87D5B" w:rsidP="00C8019E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5E8BBEE7" w14:textId="77777777" w:rsidR="00E87D5B" w:rsidRPr="00E52D45" w:rsidRDefault="00E87D5B" w:rsidP="00C8019E">
            <w:pPr>
              <w:tabs>
                <w:tab w:val="right" w:pos="7683"/>
              </w:tabs>
              <w:spacing w:after="200" w:line="240" w:lineRule="auto"/>
              <w:jc w:val="left"/>
              <w:rPr>
                <w:spacing w:val="-2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Poznámka: Tržby jsou uvedeny v běžných cenách. </w:t>
            </w:r>
            <w:r>
              <w:rPr>
                <w:rFonts w:cs="Arial"/>
                <w:sz w:val="14"/>
                <w:szCs w:val="14"/>
              </w:rPr>
              <w:tab/>
              <w:t xml:space="preserve"> </w:t>
            </w:r>
            <w:r w:rsidRPr="00883202">
              <w:rPr>
                <w:rFonts w:cs="Arial"/>
                <w:sz w:val="14"/>
                <w:szCs w:val="14"/>
              </w:rPr>
              <w:t>Zdroj: ČSÚ</w:t>
            </w:r>
          </w:p>
        </w:tc>
      </w:tr>
      <w:tr w:rsidR="00E87D5B" w:rsidRPr="00823342" w14:paraId="435D2229" w14:textId="77777777" w:rsidTr="008B1850">
        <w:trPr>
          <w:trHeight w:val="17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325D92A3" w14:textId="77777777" w:rsidR="00E87D5B" w:rsidRDefault="00E87D5B" w:rsidP="00C8019E">
            <w:pPr>
              <w:pStyle w:val="Marginlie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Růst produkce v těžbě uhlí byl loni rekordní, těžba stavebních materiálů se naopak snižovala.</w:t>
            </w:r>
          </w:p>
          <w:p w14:paraId="4ACF4FC8" w14:textId="77777777" w:rsidR="00E87D5B" w:rsidRDefault="00E87D5B" w:rsidP="00C8019E">
            <w:pPr>
              <w:pStyle w:val="Marginlie"/>
              <w:rPr>
                <w:color w:val="0D0D0D" w:themeColor="text1" w:themeTint="F2"/>
              </w:rPr>
            </w:pPr>
          </w:p>
          <w:p w14:paraId="0E3479F6" w14:textId="77777777" w:rsidR="00E87D5B" w:rsidRDefault="00E87D5B" w:rsidP="00C8019E">
            <w:pPr>
              <w:pStyle w:val="Marginlie"/>
              <w:rPr>
                <w:color w:val="0D0D0D" w:themeColor="text1" w:themeTint="F2"/>
              </w:rPr>
            </w:pPr>
          </w:p>
          <w:p w14:paraId="0E377EBA" w14:textId="77777777" w:rsidR="00E87D5B" w:rsidRDefault="00E87D5B" w:rsidP="00C8019E">
            <w:pPr>
              <w:pStyle w:val="Marginlie"/>
              <w:rPr>
                <w:color w:val="0D0D0D" w:themeColor="text1" w:themeTint="F2"/>
              </w:rPr>
            </w:pPr>
          </w:p>
          <w:p w14:paraId="02056D6E" w14:textId="77777777" w:rsidR="00E87D5B" w:rsidRDefault="00E87D5B" w:rsidP="00C8019E">
            <w:pPr>
              <w:pStyle w:val="Marginlie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Za poklesem produkce energetiky stály loni </w:t>
            </w:r>
            <w:r>
              <w:rPr>
                <w:color w:val="0D0D0D" w:themeColor="text1" w:themeTint="F2"/>
              </w:rPr>
              <w:lastRenderedPageBreak/>
              <w:t>teplejší počasí i úspory u odběratelů, zejména na konci roku.</w:t>
            </w:r>
          </w:p>
          <w:p w14:paraId="2543CFDB" w14:textId="77777777" w:rsidR="00E87D5B" w:rsidRPr="00B51DC6" w:rsidRDefault="00E87D5B" w:rsidP="00C8019E">
            <w:pPr>
              <w:pStyle w:val="Marginlie"/>
              <w:rPr>
                <w:color w:val="0D0D0D" w:themeColor="text1" w:themeTint="F2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3589D58F" w14:textId="77777777" w:rsidR="00E87D5B" w:rsidRPr="00B51DC6" w:rsidRDefault="00E87D5B" w:rsidP="00C8019E">
            <w:pPr>
              <w:pStyle w:val="Textpoznpodarou"/>
              <w:jc w:val="both"/>
              <w:rPr>
                <w:color w:val="0D0D0D" w:themeColor="text1" w:themeTint="F2"/>
                <w:spacing w:val="-4"/>
              </w:rPr>
            </w:pPr>
          </w:p>
        </w:tc>
        <w:tc>
          <w:tcPr>
            <w:tcW w:w="7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03D2A6FE" w14:textId="77B4A2BB" w:rsidR="00E87D5B" w:rsidRPr="00823342" w:rsidRDefault="00E87D5B" w:rsidP="00C8019E">
            <w:pPr>
              <w:spacing w:after="200"/>
              <w:rPr>
                <w:color w:val="0D0D0D" w:themeColor="text1" w:themeTint="F2"/>
                <w:spacing w:val="-4"/>
              </w:rPr>
            </w:pPr>
            <w:r w:rsidRPr="00823342">
              <w:rPr>
                <w:color w:val="0D0D0D" w:themeColor="text1" w:themeTint="F2"/>
                <w:spacing w:val="-4"/>
              </w:rPr>
              <w:t xml:space="preserve">Situaci v nezpracovatelských průmyslových odvětvích loni výrazně ovlivnil energetický šok, jenž otřásl do té doby relativně ustáleným energetickým mixem v řadě evropských ekonomik a přerušil některé dlouhodobé trendy v poptávce po důležitých komoditách. Produkce v těžbě a dobývání mírně rostla druhým rokem v řadě. Z toho v segmentu těžby uhlí se výkon meziročně zvýšil skoro o desetinu, když rostl poprvé od roku 2011 a jeho tempo bylo nejvyšší ve srovnatelné časové řadě (od roku 2000). Naopak v těžbě stavebních materiálů se loni produkce </w:t>
            </w:r>
            <w:r>
              <w:rPr>
                <w:color w:val="0D0D0D" w:themeColor="text1" w:themeTint="F2"/>
                <w:spacing w:val="-4"/>
              </w:rPr>
              <w:t xml:space="preserve">mírně </w:t>
            </w:r>
            <w:r w:rsidRPr="00823342">
              <w:rPr>
                <w:color w:val="0D0D0D" w:themeColor="text1" w:themeTint="F2"/>
                <w:spacing w:val="-4"/>
              </w:rPr>
              <w:t>sníži</w:t>
            </w:r>
            <w:r>
              <w:rPr>
                <w:color w:val="0D0D0D" w:themeColor="text1" w:themeTint="F2"/>
                <w:spacing w:val="-4"/>
              </w:rPr>
              <w:t>la (o 1,6</w:t>
            </w:r>
            <w:r w:rsidRPr="00823342">
              <w:rPr>
                <w:color w:val="0D0D0D" w:themeColor="text1" w:themeTint="F2"/>
                <w:spacing w:val="-4"/>
              </w:rPr>
              <w:t xml:space="preserve"> %), což souviselo s oslabením poptávky ze strany stavebníků</w:t>
            </w:r>
            <w:r>
              <w:rPr>
                <w:color w:val="0D0D0D" w:themeColor="text1" w:themeTint="F2"/>
                <w:spacing w:val="-4"/>
              </w:rPr>
              <w:t xml:space="preserve"> i vyšší energetickou náročností tohoto oboru</w:t>
            </w:r>
            <w:r w:rsidRPr="00823342">
              <w:rPr>
                <w:color w:val="0D0D0D" w:themeColor="text1" w:themeTint="F2"/>
                <w:spacing w:val="-4"/>
              </w:rPr>
              <w:t>.</w:t>
            </w:r>
            <w:r>
              <w:rPr>
                <w:color w:val="0D0D0D" w:themeColor="text1" w:themeTint="F2"/>
                <w:spacing w:val="-4"/>
              </w:rPr>
              <w:t xml:space="preserve"> K </w:t>
            </w:r>
            <w:r w:rsidRPr="00823342">
              <w:rPr>
                <w:color w:val="0D0D0D" w:themeColor="text1" w:themeTint="F2"/>
                <w:spacing w:val="-4"/>
              </w:rPr>
              <w:t xml:space="preserve">poklesu produkce </w:t>
            </w:r>
            <w:r>
              <w:rPr>
                <w:color w:val="0D0D0D" w:themeColor="text1" w:themeTint="F2"/>
                <w:spacing w:val="-4"/>
              </w:rPr>
              <w:t xml:space="preserve">došlo rovněž </w:t>
            </w:r>
            <w:r>
              <w:rPr>
                <w:color w:val="0D0D0D" w:themeColor="text1" w:themeTint="F2"/>
                <w:spacing w:val="-4"/>
              </w:rPr>
              <w:lastRenderedPageBreak/>
              <w:t>v energetice (o 2,9</w:t>
            </w:r>
            <w:r w:rsidRPr="00823342">
              <w:rPr>
                <w:color w:val="0D0D0D" w:themeColor="text1" w:themeTint="F2"/>
                <w:spacing w:val="-4"/>
              </w:rPr>
              <w:t xml:space="preserve"> %), primárně vlivem vývoje ve 4. čtvrtletí, kdy se projevilo citelné omeze</w:t>
            </w:r>
            <w:r>
              <w:rPr>
                <w:color w:val="0D0D0D" w:themeColor="text1" w:themeTint="F2"/>
                <w:spacing w:val="-4"/>
              </w:rPr>
              <w:t>ní spotřeby vlivem</w:t>
            </w:r>
            <w:r w:rsidRPr="00823342">
              <w:rPr>
                <w:color w:val="0D0D0D" w:themeColor="text1" w:themeTint="F2"/>
                <w:spacing w:val="-4"/>
              </w:rPr>
              <w:t xml:space="preserve"> </w:t>
            </w:r>
            <w:r>
              <w:rPr>
                <w:color w:val="0D0D0D" w:themeColor="text1" w:themeTint="F2"/>
                <w:spacing w:val="-4"/>
              </w:rPr>
              <w:t>teplejšího</w:t>
            </w:r>
            <w:r w:rsidRPr="00823342">
              <w:rPr>
                <w:color w:val="0D0D0D" w:themeColor="text1" w:themeTint="F2"/>
                <w:spacing w:val="-4"/>
              </w:rPr>
              <w:t xml:space="preserve"> počasí i </w:t>
            </w:r>
            <w:r>
              <w:rPr>
                <w:color w:val="0D0D0D" w:themeColor="text1" w:themeTint="F2"/>
                <w:spacing w:val="-4"/>
              </w:rPr>
              <w:t>očekávaných</w:t>
            </w:r>
            <w:r w:rsidRPr="00823342">
              <w:rPr>
                <w:color w:val="0D0D0D" w:themeColor="text1" w:themeTint="F2"/>
                <w:spacing w:val="-4"/>
              </w:rPr>
              <w:t xml:space="preserve"> </w:t>
            </w:r>
            <w:r>
              <w:rPr>
                <w:color w:val="0D0D0D" w:themeColor="text1" w:themeTint="F2"/>
                <w:spacing w:val="-4"/>
              </w:rPr>
              <w:t xml:space="preserve">provozních </w:t>
            </w:r>
            <w:r w:rsidRPr="00823342">
              <w:rPr>
                <w:color w:val="0D0D0D" w:themeColor="text1" w:themeTint="F2"/>
                <w:spacing w:val="-4"/>
              </w:rPr>
              <w:t xml:space="preserve">úspor v podnicích </w:t>
            </w:r>
            <w:r>
              <w:rPr>
                <w:color w:val="0D0D0D" w:themeColor="text1" w:themeTint="F2"/>
                <w:spacing w:val="-4"/>
              </w:rPr>
              <w:t>a </w:t>
            </w:r>
            <w:r w:rsidRPr="00823342">
              <w:rPr>
                <w:color w:val="0D0D0D" w:themeColor="text1" w:themeTint="F2"/>
                <w:spacing w:val="-4"/>
              </w:rPr>
              <w:t xml:space="preserve">domácnostech. Spotřeba zemního plynu v ČR se za loňský </w:t>
            </w:r>
            <w:r>
              <w:rPr>
                <w:color w:val="0D0D0D" w:themeColor="text1" w:themeTint="F2"/>
                <w:spacing w:val="-4"/>
              </w:rPr>
              <w:t xml:space="preserve">rok </w:t>
            </w:r>
            <w:r w:rsidRPr="00823342">
              <w:rPr>
                <w:color w:val="0D0D0D" w:themeColor="text1" w:themeTint="F2"/>
                <w:spacing w:val="-4"/>
              </w:rPr>
              <w:t>snížila o </w:t>
            </w:r>
            <w:r>
              <w:rPr>
                <w:color w:val="0D0D0D" w:themeColor="text1" w:themeTint="F2"/>
                <w:spacing w:val="-4"/>
              </w:rPr>
              <w:t>rekordních 20 % a </w:t>
            </w:r>
            <w:r w:rsidRPr="00823342">
              <w:rPr>
                <w:color w:val="0D0D0D" w:themeColor="text1" w:themeTint="F2"/>
                <w:spacing w:val="-4"/>
              </w:rPr>
              <w:t>byla nejnižší za posledních osm let</w:t>
            </w:r>
            <w:r w:rsidRPr="00823342">
              <w:rPr>
                <w:rStyle w:val="Znakapoznpodarou"/>
                <w:color w:val="0D0D0D" w:themeColor="text1" w:themeTint="F2"/>
                <w:spacing w:val="-4"/>
              </w:rPr>
              <w:footnoteReference w:id="12"/>
            </w:r>
            <w:r w:rsidRPr="00823342">
              <w:rPr>
                <w:color w:val="0D0D0D" w:themeColor="text1" w:themeTint="F2"/>
                <w:spacing w:val="-4"/>
              </w:rPr>
              <w:t xml:space="preserve">. K poklesu došlo i u vyrobeného </w:t>
            </w:r>
            <w:r w:rsidRPr="004665C6">
              <w:rPr>
                <w:color w:val="0D0D0D" w:themeColor="text1" w:themeTint="F2"/>
                <w:spacing w:val="-6"/>
              </w:rPr>
              <w:t>tepla</w:t>
            </w:r>
            <w:r w:rsidRPr="004665C6">
              <w:rPr>
                <w:rStyle w:val="Znakapoznpodarou"/>
                <w:color w:val="0D0D0D" w:themeColor="text1" w:themeTint="F2"/>
                <w:spacing w:val="-6"/>
              </w:rPr>
              <w:footnoteReference w:id="13"/>
            </w:r>
            <w:r w:rsidRPr="004665C6">
              <w:rPr>
                <w:color w:val="0D0D0D" w:themeColor="text1" w:themeTint="F2"/>
                <w:spacing w:val="-6"/>
              </w:rPr>
              <w:t>. Množství vyrobené elektřiny se meziročně snížilo jen o nepatrných 0,4 %</w:t>
            </w:r>
            <w:r w:rsidRPr="004665C6">
              <w:rPr>
                <w:rStyle w:val="Znakapoznpodarou"/>
                <w:color w:val="0D0D0D" w:themeColor="text1" w:themeTint="F2"/>
                <w:spacing w:val="-6"/>
              </w:rPr>
              <w:footnoteReference w:id="14"/>
            </w:r>
            <w:r w:rsidRPr="004665C6">
              <w:rPr>
                <w:color w:val="0D0D0D" w:themeColor="text1" w:themeTint="F2"/>
                <w:spacing w:val="-6"/>
              </w:rPr>
              <w:t xml:space="preserve"> (oproti roku 2019 bylo </w:t>
            </w:r>
            <w:r>
              <w:rPr>
                <w:color w:val="0D0D0D" w:themeColor="text1" w:themeTint="F2"/>
                <w:spacing w:val="-6"/>
              </w:rPr>
              <w:t xml:space="preserve">však </w:t>
            </w:r>
            <w:r w:rsidR="0048399F">
              <w:rPr>
                <w:color w:val="0D0D0D" w:themeColor="text1" w:themeTint="F2"/>
                <w:spacing w:val="-6"/>
              </w:rPr>
              <w:t>nižší o 2,9</w:t>
            </w:r>
            <w:r w:rsidRPr="004665C6">
              <w:rPr>
                <w:color w:val="0D0D0D" w:themeColor="text1" w:themeTint="F2"/>
                <w:spacing w:val="-6"/>
              </w:rPr>
              <w:t xml:space="preserve"> %). Protože tuzemská spotřeba elektřiny klesla loni výrazněji (</w:t>
            </w:r>
            <w:proofErr w:type="gramStart"/>
            <w:r w:rsidRPr="004665C6">
              <w:rPr>
                <w:color w:val="0D0D0D" w:themeColor="text1" w:themeTint="F2"/>
                <w:spacing w:val="-6"/>
              </w:rPr>
              <w:t>o  3</w:t>
            </w:r>
            <w:proofErr w:type="gramEnd"/>
            <w:r w:rsidRPr="004665C6">
              <w:rPr>
                <w:color w:val="0D0D0D" w:themeColor="text1" w:themeTint="F2"/>
                <w:spacing w:val="-6"/>
              </w:rPr>
              <w:t>,9 %), dlouhodobý přebytek zahraničního obchodu ČR s touto komoditou se dále navyšoval</w:t>
            </w:r>
            <w:r w:rsidRPr="004665C6">
              <w:rPr>
                <w:rStyle w:val="Znakapoznpodarou"/>
                <w:color w:val="0D0D0D" w:themeColor="text1" w:themeTint="F2"/>
                <w:spacing w:val="-6"/>
              </w:rPr>
              <w:footnoteReference w:id="15"/>
            </w:r>
            <w:r w:rsidRPr="004665C6">
              <w:rPr>
                <w:color w:val="0D0D0D" w:themeColor="text1" w:themeTint="F2"/>
                <w:spacing w:val="-6"/>
              </w:rPr>
              <w:t>.</w:t>
            </w:r>
          </w:p>
        </w:tc>
      </w:tr>
      <w:tr w:rsidR="00E87D5B" w:rsidRPr="00823342" w14:paraId="78BBC85C" w14:textId="77777777" w:rsidTr="008B1850">
        <w:trPr>
          <w:trHeight w:val="17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66F44819" w14:textId="77777777" w:rsidR="00E87D5B" w:rsidRDefault="00E87D5B" w:rsidP="00C8019E">
            <w:pPr>
              <w:pStyle w:val="Marginlie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lastRenderedPageBreak/>
              <w:t>Průmyslovým podnikům rostly meziročně domácí tržby svižněji než tržby z přímého vývozu.</w:t>
            </w:r>
          </w:p>
          <w:p w14:paraId="447ED2AE" w14:textId="77777777" w:rsidR="00E87D5B" w:rsidRDefault="00E87D5B" w:rsidP="00C8019E">
            <w:pPr>
              <w:pStyle w:val="Marginlie"/>
              <w:rPr>
                <w:color w:val="0D0D0D" w:themeColor="text1" w:themeTint="F2"/>
              </w:rPr>
            </w:pPr>
          </w:p>
          <w:p w14:paraId="506530C1" w14:textId="77777777" w:rsidR="00E87D5B" w:rsidRDefault="00E87D5B" w:rsidP="00C8019E">
            <w:pPr>
              <w:pStyle w:val="Marginlie"/>
              <w:rPr>
                <w:color w:val="0D0D0D" w:themeColor="text1" w:themeTint="F2"/>
              </w:rPr>
            </w:pPr>
          </w:p>
          <w:p w14:paraId="550C4A42" w14:textId="77777777" w:rsidR="00E87D5B" w:rsidRDefault="00E87D5B" w:rsidP="00C8019E">
            <w:pPr>
              <w:pStyle w:val="Marginlie"/>
              <w:rPr>
                <w:color w:val="0D0D0D" w:themeColor="text1" w:themeTint="F2"/>
              </w:rPr>
            </w:pPr>
          </w:p>
          <w:p w14:paraId="5389A044" w14:textId="77777777" w:rsidR="00E87D5B" w:rsidRDefault="00E87D5B" w:rsidP="00C8019E">
            <w:pPr>
              <w:pStyle w:val="Marginlie"/>
              <w:rPr>
                <w:color w:val="0D0D0D" w:themeColor="text1" w:themeTint="F2"/>
              </w:rPr>
            </w:pPr>
          </w:p>
          <w:p w14:paraId="61D625D2" w14:textId="77777777" w:rsidR="00E87D5B" w:rsidRDefault="00E87D5B" w:rsidP="00C8019E">
            <w:pPr>
              <w:pStyle w:val="Marginlie"/>
              <w:rPr>
                <w:color w:val="0D0D0D" w:themeColor="text1" w:themeTint="F2"/>
              </w:rPr>
            </w:pPr>
          </w:p>
          <w:p w14:paraId="6F75D050" w14:textId="77777777" w:rsidR="00E87D5B" w:rsidRDefault="00E87D5B" w:rsidP="00C8019E">
            <w:pPr>
              <w:pStyle w:val="Marginlie"/>
              <w:rPr>
                <w:color w:val="0D0D0D" w:themeColor="text1" w:themeTint="F2"/>
              </w:rPr>
            </w:pPr>
            <w:proofErr w:type="spellStart"/>
            <w:r>
              <w:rPr>
                <w:color w:val="0D0D0D" w:themeColor="text1" w:themeTint="F2"/>
              </w:rPr>
              <w:t>Mezikvartální</w:t>
            </w:r>
            <w:proofErr w:type="spellEnd"/>
            <w:r>
              <w:rPr>
                <w:color w:val="0D0D0D" w:themeColor="text1" w:themeTint="F2"/>
              </w:rPr>
              <w:t xml:space="preserve"> růst tržeb se na konci roku zastavil.</w:t>
            </w:r>
          </w:p>
          <w:p w14:paraId="15C583E7" w14:textId="77777777" w:rsidR="00E87D5B" w:rsidRPr="00823342" w:rsidRDefault="00E87D5B" w:rsidP="00C8019E">
            <w:pPr>
              <w:pStyle w:val="Marginlie"/>
              <w:rPr>
                <w:color w:val="0D0D0D" w:themeColor="text1" w:themeTint="F2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5561EBB1" w14:textId="77777777" w:rsidR="00E87D5B" w:rsidRPr="00823342" w:rsidRDefault="00E87D5B" w:rsidP="00C8019E">
            <w:pPr>
              <w:pStyle w:val="Textpoznpodarou"/>
              <w:jc w:val="both"/>
              <w:rPr>
                <w:color w:val="0D0D0D" w:themeColor="text1" w:themeTint="F2"/>
                <w:spacing w:val="-4"/>
              </w:rPr>
            </w:pPr>
          </w:p>
        </w:tc>
        <w:tc>
          <w:tcPr>
            <w:tcW w:w="7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289BB6AD" w14:textId="77777777" w:rsidR="00E87D5B" w:rsidRPr="00823342" w:rsidRDefault="00E87D5B" w:rsidP="00C8019E">
            <w:pPr>
              <w:spacing w:after="200"/>
              <w:rPr>
                <w:rFonts w:cs="Arial"/>
                <w:bCs/>
                <w:color w:val="0D0D0D" w:themeColor="text1" w:themeTint="F2"/>
                <w:spacing w:val="-5"/>
                <w:szCs w:val="20"/>
              </w:rPr>
            </w:pPr>
            <w:r w:rsidRPr="00044F9E">
              <w:rPr>
                <w:rFonts w:cs="Arial"/>
                <w:bCs/>
                <w:color w:val="0D0D0D" w:themeColor="text1" w:themeTint="F2"/>
                <w:spacing w:val="-5"/>
                <w:szCs w:val="20"/>
              </w:rPr>
              <w:t xml:space="preserve">Nominální tržby průmyslových </w:t>
            </w:r>
            <w:r w:rsidRPr="00030362">
              <w:rPr>
                <w:rFonts w:cs="Arial"/>
                <w:bCs/>
                <w:color w:val="0D0D0D" w:themeColor="text1" w:themeTint="F2"/>
                <w:spacing w:val="-5"/>
                <w:szCs w:val="20"/>
              </w:rPr>
              <w:t>podniků</w:t>
            </w:r>
            <w:r w:rsidRPr="00030362">
              <w:rPr>
                <w:rStyle w:val="Znakapoznpodarou"/>
                <w:bCs/>
                <w:color w:val="0D0D0D" w:themeColor="text1" w:themeTint="F2"/>
                <w:spacing w:val="-5"/>
                <w:szCs w:val="20"/>
              </w:rPr>
              <w:footnoteReference w:id="16"/>
            </w:r>
            <w:r>
              <w:rPr>
                <w:rFonts w:cs="Arial"/>
                <w:bCs/>
                <w:color w:val="0D0D0D" w:themeColor="text1" w:themeTint="F2"/>
                <w:spacing w:val="-5"/>
                <w:szCs w:val="20"/>
              </w:rPr>
              <w:t xml:space="preserve"> se v roce 2022 zvýšily o 16,1 %, když rostly ve všech jeho hlavních oborech. Tuzemské tržby posílily meziročně o více než pětinu, skoro dvojnásobným tempem než tržby z přímého vývozu. Řada oborů tradičně se orientujících na domácí trh čelila silným nákladovým tlakům, které se promítaly do realizovaných tržeb – ty proto např. v těžbě uhlí či energetice celkově stouply téměř o třetinu, v potravinářství skoro o</w:t>
            </w:r>
            <w:r>
              <w:rPr>
                <w:color w:val="0D0D0D" w:themeColor="text1" w:themeTint="F2"/>
                <w:spacing w:val="-4"/>
              </w:rPr>
              <w:t> </w:t>
            </w:r>
            <w:r>
              <w:rPr>
                <w:rFonts w:cs="Arial"/>
                <w:bCs/>
                <w:color w:val="0D0D0D" w:themeColor="text1" w:themeTint="F2"/>
                <w:spacing w:val="-5"/>
                <w:szCs w:val="20"/>
              </w:rPr>
              <w:t>pětinu. Naopak ve výrazně proexportní výrobě</w:t>
            </w:r>
            <w:r w:rsidRPr="00271075">
              <w:rPr>
                <w:rFonts w:cs="Arial"/>
                <w:bCs/>
                <w:color w:val="0D0D0D" w:themeColor="text1" w:themeTint="F2"/>
                <w:spacing w:val="-5"/>
                <w:szCs w:val="20"/>
              </w:rPr>
              <w:t xml:space="preserve"> počítačů, elektronických a optických přístroj</w:t>
            </w:r>
            <w:r>
              <w:rPr>
                <w:rFonts w:cs="Arial"/>
                <w:bCs/>
                <w:color w:val="0D0D0D" w:themeColor="text1" w:themeTint="F2"/>
                <w:spacing w:val="-5"/>
                <w:szCs w:val="20"/>
              </w:rPr>
              <w:t xml:space="preserve">ů byly tržby vyšší jen o 5,4 % a cenový růst zde patřil k mírnějším. Ve 4. čtvrtletí 2022 se ale </w:t>
            </w:r>
            <w:proofErr w:type="spellStart"/>
            <w:r>
              <w:rPr>
                <w:rFonts w:cs="Arial"/>
                <w:bCs/>
                <w:color w:val="0D0D0D" w:themeColor="text1" w:themeTint="F2"/>
                <w:spacing w:val="-5"/>
                <w:szCs w:val="20"/>
              </w:rPr>
              <w:t>mezikvartální</w:t>
            </w:r>
            <w:proofErr w:type="spellEnd"/>
            <w:r>
              <w:rPr>
                <w:rFonts w:cs="Arial"/>
                <w:bCs/>
                <w:color w:val="0D0D0D" w:themeColor="text1" w:themeTint="F2"/>
                <w:spacing w:val="-5"/>
                <w:szCs w:val="20"/>
              </w:rPr>
              <w:t xml:space="preserve"> růst tržeb v průmyslu zastavil (poprvé od léta 2021), což souviselo s</w:t>
            </w:r>
            <w:r>
              <w:rPr>
                <w:color w:val="0D0D0D" w:themeColor="text1" w:themeTint="F2"/>
                <w:spacing w:val="-4"/>
              </w:rPr>
              <w:t> </w:t>
            </w:r>
            <w:r>
              <w:rPr>
                <w:rFonts w:cs="Arial"/>
                <w:bCs/>
                <w:color w:val="0D0D0D" w:themeColor="text1" w:themeTint="F2"/>
                <w:spacing w:val="-5"/>
                <w:szCs w:val="20"/>
              </w:rPr>
              <w:t>oslabováním ekonomiky i tím, že cenový růst řady vstupů již od loňského léta slábnul. Ve srovnání s 3. čtvrtletím tak loni klesaly tržby zejména v energetice (o 19 %), řádově méně pak v hutnictví či chemickém a papírenském průmyslu.</w:t>
            </w:r>
          </w:p>
        </w:tc>
      </w:tr>
      <w:tr w:rsidR="00E87D5B" w:rsidRPr="00044F9E" w14:paraId="6FC6EAE8" w14:textId="77777777" w:rsidTr="008B1850">
        <w:trPr>
          <w:trHeight w:val="17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5702767E" w14:textId="77777777" w:rsidR="00E87D5B" w:rsidRDefault="00E87D5B" w:rsidP="00C8019E">
            <w:pPr>
              <w:pStyle w:val="Marginlie"/>
            </w:pPr>
            <w:r>
              <w:t xml:space="preserve">Růst hodnoty nových průmyslových zakázek od počátku roku za dynamikou tržeb zaostával. </w:t>
            </w:r>
          </w:p>
          <w:p w14:paraId="1488B065" w14:textId="77777777" w:rsidR="00E87D5B" w:rsidRDefault="00E87D5B" w:rsidP="00C8019E">
            <w:pPr>
              <w:pStyle w:val="Marginlie"/>
            </w:pPr>
          </w:p>
          <w:p w14:paraId="5AE3C664" w14:textId="77777777" w:rsidR="00E87D5B" w:rsidRDefault="00E87D5B" w:rsidP="00C8019E">
            <w:pPr>
              <w:pStyle w:val="Marginlie"/>
            </w:pPr>
          </w:p>
          <w:p w14:paraId="6F3ED0E7" w14:textId="77777777" w:rsidR="00E87D5B" w:rsidRDefault="00E87D5B" w:rsidP="00C8019E">
            <w:pPr>
              <w:pStyle w:val="Marginlie"/>
              <w:rPr>
                <w:color w:val="0D0D0D" w:themeColor="text1" w:themeTint="F2"/>
              </w:rPr>
            </w:pPr>
            <w:r>
              <w:t>Poptávka v energeticky nejnáročnějších oborech se snižovala.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57E1214E" w14:textId="77777777" w:rsidR="00E87D5B" w:rsidRPr="00823342" w:rsidRDefault="00E87D5B" w:rsidP="00C8019E">
            <w:pPr>
              <w:pStyle w:val="Textpoznpodarou"/>
              <w:jc w:val="both"/>
              <w:rPr>
                <w:color w:val="0D0D0D" w:themeColor="text1" w:themeTint="F2"/>
                <w:spacing w:val="-4"/>
              </w:rPr>
            </w:pPr>
          </w:p>
        </w:tc>
        <w:tc>
          <w:tcPr>
            <w:tcW w:w="7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72C7A30C" w14:textId="1C1A2E46" w:rsidR="00E87D5B" w:rsidRPr="00044F9E" w:rsidRDefault="00E87D5B" w:rsidP="00C8019E">
            <w:pPr>
              <w:spacing w:after="200"/>
              <w:rPr>
                <w:rFonts w:cs="Arial"/>
                <w:bCs/>
                <w:color w:val="0D0D0D" w:themeColor="text1" w:themeTint="F2"/>
                <w:spacing w:val="-5"/>
                <w:szCs w:val="20"/>
              </w:rPr>
            </w:pPr>
            <w:r>
              <w:rPr>
                <w:color w:val="0D0D0D" w:themeColor="text1" w:themeTint="F2"/>
                <w:spacing w:val="-5"/>
              </w:rPr>
              <w:t>R</w:t>
            </w:r>
            <w:r w:rsidRPr="00030362">
              <w:rPr>
                <w:color w:val="0D0D0D" w:themeColor="text1" w:themeTint="F2"/>
                <w:spacing w:val="-5"/>
              </w:rPr>
              <w:t xml:space="preserve">ůst </w:t>
            </w:r>
            <w:r w:rsidRPr="00485344">
              <w:rPr>
                <w:color w:val="0D0D0D" w:themeColor="text1" w:themeTint="F2"/>
                <w:spacing w:val="-5"/>
              </w:rPr>
              <w:t xml:space="preserve">nominální hodnoty nových zakázek ve vybraných </w:t>
            </w:r>
            <w:r w:rsidRPr="00030362">
              <w:rPr>
                <w:color w:val="0D0D0D" w:themeColor="text1" w:themeTint="F2"/>
                <w:spacing w:val="-5"/>
              </w:rPr>
              <w:t>průmyslových odvětvích</w:t>
            </w:r>
            <w:r w:rsidRPr="00030362">
              <w:rPr>
                <w:rStyle w:val="Znakapoznpodarou"/>
                <w:color w:val="0D0D0D" w:themeColor="text1" w:themeTint="F2"/>
                <w:spacing w:val="-5"/>
              </w:rPr>
              <w:footnoteReference w:id="17"/>
            </w:r>
            <w:r>
              <w:rPr>
                <w:color w:val="0D0D0D" w:themeColor="text1" w:themeTint="F2"/>
                <w:spacing w:val="-5"/>
              </w:rPr>
              <w:t xml:space="preserve"> byl po celý loňský rok citelně ovlivněn cenovými vlivy. Za</w:t>
            </w:r>
            <w:r w:rsidRPr="00030362">
              <w:rPr>
                <w:color w:val="0D0D0D" w:themeColor="text1" w:themeTint="F2"/>
                <w:spacing w:val="-5"/>
              </w:rPr>
              <w:t xml:space="preserve"> dynamikou tržeb i růstem cen průmyslových výrobců</w:t>
            </w:r>
            <w:r>
              <w:rPr>
                <w:color w:val="0D0D0D" w:themeColor="text1" w:themeTint="F2"/>
                <w:spacing w:val="-5"/>
              </w:rPr>
              <w:t xml:space="preserve"> navíc stále zaostával. Ve 4. </w:t>
            </w:r>
            <w:r w:rsidRPr="00030362">
              <w:rPr>
                <w:color w:val="0D0D0D" w:themeColor="text1" w:themeTint="F2"/>
                <w:spacing w:val="-5"/>
              </w:rPr>
              <w:t>čtv</w:t>
            </w:r>
            <w:r>
              <w:rPr>
                <w:color w:val="0D0D0D" w:themeColor="text1" w:themeTint="F2"/>
                <w:spacing w:val="-5"/>
              </w:rPr>
              <w:t xml:space="preserve">rtletí zakázky meziročně vzrostly o 12,5 %, k čemuž více než ze dvou třetin přispěla poptávka v automobilovém průmyslu. Ta byla zčásti ovlivněna </w:t>
            </w:r>
            <w:r w:rsidRPr="004665C6">
              <w:rPr>
                <w:color w:val="0D0D0D" w:themeColor="text1" w:themeTint="F2"/>
                <w:spacing w:val="-7"/>
              </w:rPr>
              <w:t>nižší srovnávací základnou. Pozitivní je, že výše zakázek zde rostla i ve srovnání se 3. čtvrtletím</w:t>
            </w:r>
            <w:r>
              <w:rPr>
                <w:color w:val="0D0D0D" w:themeColor="text1" w:themeTint="F2"/>
                <w:spacing w:val="-5"/>
              </w:rPr>
              <w:t xml:space="preserve"> 2022. To nelze tvrdit o většině energeticky nejnáročnějších průmyslových oborů (hutnictví, chemie), kde poptávka mezikvartálně klesala již letos v létě. S ohledem na růst cen </w:t>
            </w:r>
            <w:proofErr w:type="spellStart"/>
            <w:r>
              <w:rPr>
                <w:color w:val="0D0D0D" w:themeColor="text1" w:themeTint="F2"/>
                <w:spacing w:val="-5"/>
              </w:rPr>
              <w:t>mezivstupů</w:t>
            </w:r>
            <w:proofErr w:type="spellEnd"/>
            <w:r>
              <w:rPr>
                <w:color w:val="0D0D0D" w:themeColor="text1" w:themeTint="F2"/>
                <w:spacing w:val="-5"/>
              </w:rPr>
              <w:t xml:space="preserve"> lze příznivě hodnotit dynamiku zakázek v oděvnictví, farmacii a díky sílící tuzemské poptávce rovněž ve výrobě počítačů, elektronických a optických přístrojů. </w:t>
            </w:r>
          </w:p>
        </w:tc>
      </w:tr>
      <w:tr w:rsidR="00E87D5B" w:rsidRPr="00044F9E" w14:paraId="141656E4" w14:textId="77777777" w:rsidTr="008B1850">
        <w:trPr>
          <w:trHeight w:val="17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3D2EC7AF" w14:textId="77777777" w:rsidR="00E87D5B" w:rsidRDefault="00E87D5B" w:rsidP="00C8019E">
            <w:pPr>
              <w:pStyle w:val="Marginlie"/>
              <w:rPr>
                <w:spacing w:val="-4"/>
              </w:rPr>
            </w:pPr>
            <w:r w:rsidRPr="00D85AE5">
              <w:rPr>
                <w:spacing w:val="-4"/>
              </w:rPr>
              <w:t>D</w:t>
            </w:r>
            <w:r>
              <w:rPr>
                <w:spacing w:val="-4"/>
              </w:rPr>
              <w:t xml:space="preserve">ůvěra podnikatelů v průmyslu od loňského jara </w:t>
            </w:r>
            <w:r w:rsidRPr="00D85AE5">
              <w:rPr>
                <w:spacing w:val="-4"/>
              </w:rPr>
              <w:t>znatelně poklesla</w:t>
            </w:r>
            <w:r>
              <w:rPr>
                <w:spacing w:val="-4"/>
              </w:rPr>
              <w:t>.</w:t>
            </w:r>
          </w:p>
          <w:p w14:paraId="46AF52B9" w14:textId="77777777" w:rsidR="00E87D5B" w:rsidRDefault="00E87D5B" w:rsidP="00C8019E">
            <w:pPr>
              <w:pStyle w:val="Marginlie"/>
              <w:rPr>
                <w:spacing w:val="-4"/>
              </w:rPr>
            </w:pPr>
          </w:p>
          <w:p w14:paraId="4F056E5B" w14:textId="77777777" w:rsidR="00E87D5B" w:rsidRDefault="00E87D5B" w:rsidP="00C8019E">
            <w:pPr>
              <w:pStyle w:val="Marginlie"/>
              <w:rPr>
                <w:spacing w:val="-4"/>
              </w:rPr>
            </w:pPr>
          </w:p>
          <w:p w14:paraId="1E676929" w14:textId="77777777" w:rsidR="00E87D5B" w:rsidRDefault="00E87D5B" w:rsidP="00C8019E">
            <w:pPr>
              <w:pStyle w:val="Marginlie"/>
              <w:rPr>
                <w:spacing w:val="-4"/>
              </w:rPr>
            </w:pPr>
          </w:p>
          <w:p w14:paraId="003A040B" w14:textId="77777777" w:rsidR="00E87D5B" w:rsidRDefault="00E87D5B" w:rsidP="00C8019E">
            <w:pPr>
              <w:pStyle w:val="Marginlie"/>
              <w:rPr>
                <w:color w:val="0D0D0D" w:themeColor="text1" w:themeTint="F2"/>
              </w:rPr>
            </w:pPr>
            <w:r>
              <w:rPr>
                <w:spacing w:val="-4"/>
              </w:rPr>
              <w:t xml:space="preserve">Klíčovou růstovou bariérou se po dvouleté </w:t>
            </w:r>
            <w:r>
              <w:rPr>
                <w:spacing w:val="-4"/>
              </w:rPr>
              <w:lastRenderedPageBreak/>
              <w:t>odmlce opět stala nedostatečná poptávka.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4CB9CBAC" w14:textId="77777777" w:rsidR="00E87D5B" w:rsidRPr="00823342" w:rsidRDefault="00E87D5B" w:rsidP="00C8019E">
            <w:pPr>
              <w:pStyle w:val="Textpoznpodarou"/>
              <w:jc w:val="both"/>
              <w:rPr>
                <w:color w:val="0D0D0D" w:themeColor="text1" w:themeTint="F2"/>
                <w:spacing w:val="-4"/>
              </w:rPr>
            </w:pPr>
          </w:p>
        </w:tc>
        <w:tc>
          <w:tcPr>
            <w:tcW w:w="7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0EC76FBD" w14:textId="2EC23D2C" w:rsidR="00E87D5B" w:rsidRPr="00044F9E" w:rsidRDefault="00E87D5B" w:rsidP="00C8019E">
            <w:pPr>
              <w:spacing w:after="200"/>
              <w:rPr>
                <w:rFonts w:cs="Arial"/>
                <w:bCs/>
                <w:color w:val="0D0D0D" w:themeColor="text1" w:themeTint="F2"/>
                <w:spacing w:val="-5"/>
                <w:szCs w:val="20"/>
              </w:rPr>
            </w:pPr>
            <w:r w:rsidRPr="00B63E5E">
              <w:rPr>
                <w:color w:val="0D0D0D" w:themeColor="text1" w:themeTint="F2"/>
                <w:spacing w:val="-8"/>
              </w:rPr>
              <w:t xml:space="preserve">Důvěra podnikatelů v průmyslu se po krátkém růstu ve 2. čtvrtletí 2022 (související se zmírněním </w:t>
            </w:r>
            <w:r>
              <w:rPr>
                <w:color w:val="0D0D0D" w:themeColor="text1" w:themeTint="F2"/>
                <w:spacing w:val="-8"/>
              </w:rPr>
              <w:t xml:space="preserve">tlaků </w:t>
            </w:r>
            <w:r w:rsidRPr="00B63E5E">
              <w:rPr>
                <w:color w:val="0D0D0D" w:themeColor="text1" w:themeTint="F2"/>
                <w:spacing w:val="-8"/>
              </w:rPr>
              <w:t>v dodavatelských řetězcích u výrobců aut) v následujících měsících postupně snižovala. Letos v únoru tak zde zavládl největší pesimismus od června 2020. Převládlo nepříznivé ho</w:t>
            </w:r>
            <w:r>
              <w:rPr>
                <w:color w:val="0D0D0D" w:themeColor="text1" w:themeTint="F2"/>
                <w:spacing w:val="-8"/>
              </w:rPr>
              <w:t>dnocení současné poptávky, stav</w:t>
            </w:r>
            <w:r w:rsidRPr="00B63E5E">
              <w:rPr>
                <w:color w:val="0D0D0D" w:themeColor="text1" w:themeTint="F2"/>
                <w:spacing w:val="-8"/>
              </w:rPr>
              <w:t xml:space="preserve"> zásob hotových výrobků setrvával nad dlouhodobým průměrem. </w:t>
            </w:r>
            <w:r>
              <w:rPr>
                <w:color w:val="0D0D0D" w:themeColor="text1" w:themeTint="F2"/>
                <w:spacing w:val="-8"/>
              </w:rPr>
              <w:t>S </w:t>
            </w:r>
            <w:r w:rsidRPr="00B63E5E">
              <w:rPr>
                <w:color w:val="0D0D0D" w:themeColor="text1" w:themeTint="F2"/>
                <w:spacing w:val="-8"/>
              </w:rPr>
              <w:t>přibývající</w:t>
            </w:r>
            <w:r>
              <w:rPr>
                <w:color w:val="0D0D0D" w:themeColor="text1" w:themeTint="F2"/>
                <w:spacing w:val="-8"/>
              </w:rPr>
              <w:t>m počtem firem očekávajících v krátkodobém pohledu</w:t>
            </w:r>
            <w:r w:rsidRPr="00B63E5E">
              <w:rPr>
                <w:color w:val="0D0D0D" w:themeColor="text1" w:themeTint="F2"/>
                <w:spacing w:val="-8"/>
              </w:rPr>
              <w:t xml:space="preserve"> pokles výroby (až na 15 %) se prohlubovaly negativní výhledy u zaměstnanosti</w:t>
            </w:r>
            <w:r w:rsidRPr="00B63E5E">
              <w:rPr>
                <w:rStyle w:val="Znakapoznpodarou"/>
                <w:color w:val="0D0D0D" w:themeColor="text1" w:themeTint="F2"/>
                <w:spacing w:val="-8"/>
              </w:rPr>
              <w:footnoteReference w:id="18"/>
            </w:r>
            <w:r w:rsidRPr="00B63E5E">
              <w:rPr>
                <w:color w:val="0D0D0D" w:themeColor="text1" w:themeTint="F2"/>
                <w:spacing w:val="-8"/>
              </w:rPr>
              <w:t>. S délkou výhledu se ale očekávání celkové hospodářské situace zlepšovalo</w:t>
            </w:r>
            <w:r w:rsidRPr="00B63E5E">
              <w:rPr>
                <w:rStyle w:val="Znakapoznpodarou"/>
                <w:color w:val="0D0D0D" w:themeColor="text1" w:themeTint="F2"/>
                <w:spacing w:val="-8"/>
              </w:rPr>
              <w:footnoteReference w:id="19"/>
            </w:r>
            <w:r w:rsidRPr="00B63E5E">
              <w:rPr>
                <w:color w:val="0D0D0D" w:themeColor="text1" w:themeTint="F2"/>
                <w:spacing w:val="-8"/>
              </w:rPr>
              <w:t>. Klíčovou růstovou bariér</w:t>
            </w:r>
            <w:r>
              <w:rPr>
                <w:color w:val="0D0D0D" w:themeColor="text1" w:themeTint="F2"/>
                <w:spacing w:val="-8"/>
              </w:rPr>
              <w:t>o</w:t>
            </w:r>
            <w:r w:rsidRPr="00B63E5E">
              <w:rPr>
                <w:color w:val="0D0D0D" w:themeColor="text1" w:themeTint="F2"/>
                <w:spacing w:val="-8"/>
              </w:rPr>
              <w:t>u</w:t>
            </w:r>
            <w:r w:rsidRPr="00B63E5E">
              <w:rPr>
                <w:rStyle w:val="Znakapoznpodarou"/>
                <w:color w:val="0D0D0D" w:themeColor="text1" w:themeTint="F2"/>
                <w:spacing w:val="-8"/>
              </w:rPr>
              <w:footnoteReference w:id="20"/>
            </w:r>
            <w:r>
              <w:rPr>
                <w:color w:val="0D0D0D" w:themeColor="text1" w:themeTint="F2"/>
                <w:spacing w:val="-8"/>
              </w:rPr>
              <w:t xml:space="preserve"> by</w:t>
            </w:r>
            <w:r w:rsidRPr="00B63E5E">
              <w:rPr>
                <w:color w:val="0D0D0D" w:themeColor="text1" w:themeTint="F2"/>
                <w:spacing w:val="-8"/>
              </w:rPr>
              <w:t>la</w:t>
            </w:r>
            <w:r w:rsidR="00741F2A">
              <w:rPr>
                <w:color w:val="0D0D0D" w:themeColor="text1" w:themeTint="F2"/>
                <w:spacing w:val="-8"/>
              </w:rPr>
              <w:t xml:space="preserve"> </w:t>
            </w:r>
            <w:r w:rsidRPr="00B63E5E">
              <w:rPr>
                <w:color w:val="0D0D0D" w:themeColor="text1" w:themeTint="F2"/>
                <w:spacing w:val="-8"/>
              </w:rPr>
              <w:lastRenderedPageBreak/>
              <w:t>nedostatečná poptávka (pro 42 % podniků), role nedostatku materiálu či pracovní síly se od loňského podzimu snižovala, (přesto zůstala pro podniky v některých odvětví</w:t>
            </w:r>
            <w:r>
              <w:rPr>
                <w:color w:val="0D0D0D" w:themeColor="text1" w:themeTint="F2"/>
                <w:spacing w:val="-8"/>
              </w:rPr>
              <w:t>ch</w:t>
            </w:r>
            <w:r w:rsidRPr="00B63E5E">
              <w:rPr>
                <w:color w:val="0D0D0D" w:themeColor="text1" w:themeTint="F2"/>
                <w:spacing w:val="-8"/>
              </w:rPr>
              <w:t xml:space="preserve"> zásadní). </w:t>
            </w:r>
          </w:p>
        </w:tc>
      </w:tr>
      <w:tr w:rsidR="00E87D5B" w:rsidRPr="00705C3E" w14:paraId="3B76EC34" w14:textId="77777777" w:rsidTr="008B1850">
        <w:trPr>
          <w:trHeight w:val="134"/>
        </w:trPr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38102944" w14:textId="77777777" w:rsidR="00E87D5B" w:rsidRDefault="00E87D5B" w:rsidP="00C8019E">
            <w:pPr>
              <w:pStyle w:val="Marginlie"/>
            </w:pPr>
          </w:p>
        </w:tc>
        <w:tc>
          <w:tcPr>
            <w:tcW w:w="2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5F0BF7A2" w14:textId="77777777" w:rsidR="00E87D5B" w:rsidRDefault="00E87D5B" w:rsidP="00C8019E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6927EB33" w14:textId="77777777" w:rsidR="00E87D5B" w:rsidRPr="00705C3E" w:rsidRDefault="00E87D5B" w:rsidP="00C8019E">
            <w:pPr>
              <w:spacing w:after="0"/>
              <w:rPr>
                <w:color w:val="0D0D0D" w:themeColor="text1" w:themeTint="F2"/>
                <w:spacing w:val="-5"/>
              </w:rPr>
            </w:pPr>
            <w:r w:rsidRPr="00760356">
              <w:rPr>
                <w:b/>
                <w:spacing w:val="-2"/>
              </w:rPr>
              <w:t>Graf č. 5</w:t>
            </w:r>
            <w:r>
              <w:rPr>
                <w:b/>
                <w:spacing w:val="-2"/>
              </w:rPr>
              <w:t xml:space="preserve"> Nové zakázky v </w:t>
            </w:r>
            <w:r w:rsidRPr="00760356">
              <w:rPr>
                <w:b/>
                <w:spacing w:val="-2"/>
              </w:rPr>
              <w:t xml:space="preserve">průmyslu </w:t>
            </w:r>
            <w:r w:rsidRPr="00760356">
              <w:rPr>
                <w:bCs/>
                <w:spacing w:val="-2"/>
              </w:rPr>
              <w:t>(</w:t>
            </w:r>
            <w:r>
              <w:rPr>
                <w:bCs/>
                <w:spacing w:val="-2"/>
              </w:rPr>
              <w:t>nominálně</w:t>
            </w:r>
            <w:r w:rsidRPr="00760356">
              <w:rPr>
                <w:bCs/>
                <w:spacing w:val="-2"/>
              </w:rPr>
              <w:t xml:space="preserve">, </w:t>
            </w:r>
            <w:r w:rsidRPr="00760356">
              <w:rPr>
                <w:spacing w:val="-2"/>
              </w:rPr>
              <w:t>meziročně</w:t>
            </w:r>
            <w:r>
              <w:rPr>
                <w:spacing w:val="-2"/>
              </w:rPr>
              <w:t>,</w:t>
            </w:r>
            <w:r w:rsidRPr="00760356">
              <w:rPr>
                <w:bCs/>
                <w:spacing w:val="-2"/>
              </w:rPr>
              <w:t xml:space="preserve"> v %)</w:t>
            </w:r>
            <w:r>
              <w:rPr>
                <w:b/>
                <w:spacing w:val="-2"/>
              </w:rPr>
              <w:t xml:space="preserve">, </w:t>
            </w:r>
            <w:r w:rsidRPr="00760356">
              <w:rPr>
                <w:b/>
                <w:spacing w:val="-2"/>
              </w:rPr>
              <w:t>využi</w:t>
            </w:r>
            <w:r>
              <w:rPr>
                <w:b/>
                <w:spacing w:val="-2"/>
              </w:rPr>
              <w:t xml:space="preserve">tí výrobních kapacit v průmyslu, </w:t>
            </w:r>
            <w:r w:rsidRPr="00760356">
              <w:rPr>
                <w:b/>
                <w:spacing w:val="-2"/>
              </w:rPr>
              <w:t>vybrané bariéry růst</w:t>
            </w:r>
            <w:r w:rsidRPr="006E759E">
              <w:rPr>
                <w:b/>
                <w:spacing w:val="-2"/>
              </w:rPr>
              <w:t>u</w:t>
            </w:r>
            <w:r w:rsidRPr="006E759E">
              <w:rPr>
                <w:spacing w:val="-2"/>
              </w:rPr>
              <w:t xml:space="preserve">* (v %, pravá osa) </w:t>
            </w:r>
            <w:r w:rsidRPr="006E759E">
              <w:rPr>
                <w:b/>
                <w:spacing w:val="-2"/>
              </w:rPr>
              <w:t>a </w:t>
            </w:r>
            <w:r>
              <w:rPr>
                <w:b/>
              </w:rPr>
              <w:t>saldo</w:t>
            </w:r>
            <w:r w:rsidRPr="006E759E">
              <w:rPr>
                <w:b/>
              </w:rPr>
              <w:t xml:space="preserve"> důvěry</w:t>
            </w:r>
            <w:r w:rsidRPr="00883202">
              <w:rPr>
                <w:b/>
              </w:rPr>
              <w:t xml:space="preserve"> </w:t>
            </w:r>
            <w:r>
              <w:rPr>
                <w:b/>
              </w:rPr>
              <w:t xml:space="preserve">podnikatelů </w:t>
            </w:r>
            <w:r w:rsidRPr="00883202">
              <w:rPr>
                <w:b/>
              </w:rPr>
              <w:t xml:space="preserve">v průmyslu* </w:t>
            </w:r>
            <w:r>
              <w:t xml:space="preserve">(v p. b., pravá </w:t>
            </w:r>
            <w:r w:rsidRPr="00883202">
              <w:t>osa)</w:t>
            </w:r>
          </w:p>
        </w:tc>
      </w:tr>
      <w:tr w:rsidR="00E87D5B" w:rsidRPr="00705C3E" w14:paraId="4A966D80" w14:textId="77777777" w:rsidTr="008B1850">
        <w:tblPrEx>
          <w:tblCellMar>
            <w:left w:w="70" w:type="dxa"/>
            <w:right w:w="70" w:type="dxa"/>
          </w:tblCellMar>
        </w:tblPrEx>
        <w:trPr>
          <w:trHeight w:val="133"/>
        </w:trPr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05736" w14:textId="77777777" w:rsidR="00E87D5B" w:rsidRDefault="00E87D5B" w:rsidP="00C8019E">
            <w:pPr>
              <w:pStyle w:val="Marginlie"/>
            </w:pPr>
          </w:p>
        </w:tc>
        <w:tc>
          <w:tcPr>
            <w:tcW w:w="2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EA808" w14:textId="77777777" w:rsidR="00E87D5B" w:rsidRDefault="00E87D5B" w:rsidP="00C8019E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10695" w14:textId="77777777" w:rsidR="00E87D5B" w:rsidRPr="00705C3E" w:rsidRDefault="00E87D5B" w:rsidP="00C8019E">
            <w:pPr>
              <w:spacing w:after="0"/>
              <w:rPr>
                <w:color w:val="0D0D0D" w:themeColor="text1" w:themeTint="F2"/>
                <w:spacing w:val="-5"/>
              </w:rPr>
            </w:pPr>
            <w:r>
              <w:rPr>
                <w:noProof/>
              </w:rPr>
              <w:drawing>
                <wp:inline distT="0" distB="0" distL="0" distR="0" wp14:anchorId="7BDDB83A" wp14:editId="03F1781E">
                  <wp:extent cx="4665980" cy="3520440"/>
                  <wp:effectExtent l="0" t="0" r="1270" b="3810"/>
                  <wp:docPr id="15" name="Graf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E87D5B" w:rsidRPr="00705C3E" w14:paraId="4E1B0883" w14:textId="77777777" w:rsidTr="008B1850">
        <w:trPr>
          <w:trHeight w:val="133"/>
        </w:trPr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07F3AC82" w14:textId="77777777" w:rsidR="00E87D5B" w:rsidRDefault="00E87D5B" w:rsidP="00C8019E">
            <w:pPr>
              <w:pStyle w:val="Marginlie"/>
            </w:pPr>
          </w:p>
        </w:tc>
        <w:tc>
          <w:tcPr>
            <w:tcW w:w="2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2A2DA502" w14:textId="77777777" w:rsidR="00E87D5B" w:rsidRDefault="00E87D5B" w:rsidP="00C8019E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342016E4" w14:textId="77777777" w:rsidR="00E87D5B" w:rsidRPr="00705C3E" w:rsidRDefault="00E87D5B" w:rsidP="00C8019E">
            <w:pPr>
              <w:spacing w:after="200" w:line="240" w:lineRule="auto"/>
              <w:rPr>
                <w:color w:val="0D0D0D" w:themeColor="text1" w:themeTint="F2"/>
                <w:spacing w:val="-5"/>
              </w:rPr>
            </w:pPr>
            <w:r>
              <w:rPr>
                <w:color w:val="0D0D0D" w:themeColor="text1" w:themeTint="F2"/>
                <w:spacing w:val="-5"/>
              </w:rPr>
              <w:t>*</w:t>
            </w:r>
            <w:r w:rsidRPr="00883202">
              <w:rPr>
                <w:rFonts w:cs="Arial"/>
                <w:sz w:val="14"/>
                <w:szCs w:val="14"/>
              </w:rPr>
              <w:t>Využití průmys</w:t>
            </w:r>
            <w:r>
              <w:rPr>
                <w:rFonts w:cs="Arial"/>
                <w:sz w:val="14"/>
                <w:szCs w:val="14"/>
              </w:rPr>
              <w:t xml:space="preserve">lových kapacit i bariéry růstu vyjadřují stav v prvním měsíci daného čtvrtletí, </w:t>
            </w:r>
            <w:r w:rsidRPr="006E759E">
              <w:rPr>
                <w:rFonts w:cs="Arial"/>
                <w:sz w:val="14"/>
                <w:szCs w:val="14"/>
              </w:rPr>
              <w:t>saldo důvěry</w:t>
            </w:r>
            <w:r>
              <w:rPr>
                <w:rFonts w:cs="Arial"/>
                <w:sz w:val="14"/>
                <w:szCs w:val="14"/>
              </w:rPr>
              <w:t xml:space="preserve"> podnikatelů je vztaženo k</w:t>
            </w:r>
            <w:r w:rsidRPr="00883202">
              <w:rPr>
                <w:rFonts w:cs="Arial"/>
                <w:sz w:val="14"/>
                <w:szCs w:val="14"/>
              </w:rPr>
              <w:t xml:space="preserve">e </w:t>
            </w:r>
            <w:r>
              <w:rPr>
                <w:rFonts w:cs="Arial"/>
                <w:sz w:val="14"/>
                <w:szCs w:val="14"/>
              </w:rPr>
              <w:t xml:space="preserve">druhému měsíci čtvrtletí. Zakázky jsou očištěny o kalendářní vlivy, ostatní ukazatele jsou </w:t>
            </w:r>
            <w:r w:rsidRPr="00883202">
              <w:rPr>
                <w:rFonts w:cs="Arial"/>
                <w:spacing w:val="-2"/>
                <w:sz w:val="14"/>
                <w:szCs w:val="14"/>
              </w:rPr>
              <w:t>sezónně očištěny</w:t>
            </w:r>
            <w:r>
              <w:rPr>
                <w:rFonts w:cs="Arial"/>
                <w:spacing w:val="-2"/>
                <w:sz w:val="14"/>
                <w:szCs w:val="14"/>
              </w:rPr>
              <w:t>.</w:t>
            </w:r>
            <w:r w:rsidRPr="00883202">
              <w:rPr>
                <w:rFonts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cs="Arial"/>
                <w:sz w:val="14"/>
                <w:szCs w:val="14"/>
              </w:rPr>
              <w:t xml:space="preserve">Podniky mohly uvést více hlavních růstových bariér současně.                                                                   </w:t>
            </w:r>
            <w:r w:rsidRPr="00883202">
              <w:rPr>
                <w:rFonts w:cs="Arial"/>
                <w:sz w:val="14"/>
                <w:szCs w:val="14"/>
              </w:rPr>
              <w:t>Zdroj: ČSÚ</w:t>
            </w:r>
            <w:r>
              <w:rPr>
                <w:rFonts w:cs="Arial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cs="Arial"/>
                <w:sz w:val="14"/>
                <w:szCs w:val="14"/>
              </w:rPr>
              <w:t>Eurostat</w:t>
            </w:r>
            <w:proofErr w:type="spellEnd"/>
          </w:p>
        </w:tc>
      </w:tr>
      <w:tr w:rsidR="00E87D5B" w:rsidRPr="00B63E5E" w14:paraId="7A58C7F4" w14:textId="77777777" w:rsidTr="008B1850">
        <w:trPr>
          <w:trHeight w:val="17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7E2261B4" w14:textId="77777777" w:rsidR="00E87D5B" w:rsidRPr="00FB2830" w:rsidRDefault="00E87D5B" w:rsidP="00C8019E">
            <w:pPr>
              <w:pStyle w:val="Marginlie"/>
              <w:rPr>
                <w:color w:val="0D0D0D" w:themeColor="text1" w:themeTint="F2"/>
                <w:spacing w:val="-4"/>
              </w:rPr>
            </w:pPr>
            <w:r>
              <w:rPr>
                <w:color w:val="0D0D0D" w:themeColor="text1" w:themeTint="F2"/>
                <w:spacing w:val="-4"/>
              </w:rPr>
              <w:t>Produkce ve stavebnictví za loňský rok mírně vzrostla, a to zásluhou obou jeho hlavních oborů.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080B279C" w14:textId="77777777" w:rsidR="00E87D5B" w:rsidRPr="00FB2830" w:rsidRDefault="00E87D5B" w:rsidP="00C8019E">
            <w:pPr>
              <w:pStyle w:val="Textpoznpodarou"/>
              <w:jc w:val="both"/>
              <w:rPr>
                <w:color w:val="0D0D0D" w:themeColor="text1" w:themeTint="F2"/>
                <w:spacing w:val="-4"/>
              </w:rPr>
            </w:pPr>
          </w:p>
        </w:tc>
        <w:tc>
          <w:tcPr>
            <w:tcW w:w="7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2EFB50D5" w14:textId="6C590C57" w:rsidR="00E87D5B" w:rsidRPr="00B63E5E" w:rsidRDefault="00E87D5B" w:rsidP="00C8019E">
            <w:pPr>
              <w:spacing w:after="200"/>
              <w:rPr>
                <w:color w:val="0D0D0D" w:themeColor="text1" w:themeTint="F2"/>
                <w:spacing w:val="-6"/>
              </w:rPr>
            </w:pPr>
            <w:r w:rsidRPr="00B63E5E">
              <w:rPr>
                <w:color w:val="0D0D0D" w:themeColor="text1" w:themeTint="F2"/>
                <w:spacing w:val="-6"/>
              </w:rPr>
              <w:t>Výkon stavebnictví v ČR měl během loňského roku kolísavý charakter. V 1. čtvrtletí růst jeho produkce</w:t>
            </w:r>
            <w:r w:rsidRPr="00B63E5E">
              <w:rPr>
                <w:rStyle w:val="Znakapoznpodarou"/>
                <w:color w:val="0D0D0D" w:themeColor="text1" w:themeTint="F2"/>
                <w:spacing w:val="-6"/>
              </w:rPr>
              <w:footnoteReference w:id="21"/>
            </w:r>
            <w:r w:rsidRPr="00B63E5E">
              <w:rPr>
                <w:color w:val="0D0D0D" w:themeColor="text1" w:themeTint="F2"/>
                <w:spacing w:val="-6"/>
              </w:rPr>
              <w:t xml:space="preserve"> vlivem teplé zimy i vysoké zásoby veřejných i soukromých zakázek akceleroval (na </w:t>
            </w:r>
            <w:proofErr w:type="spellStart"/>
            <w:r w:rsidRPr="00B63E5E">
              <w:rPr>
                <w:color w:val="0D0D0D" w:themeColor="text1" w:themeTint="F2"/>
                <w:spacing w:val="-6"/>
              </w:rPr>
              <w:t>mezikvartálních</w:t>
            </w:r>
            <w:proofErr w:type="spellEnd"/>
            <w:r>
              <w:rPr>
                <w:color w:val="0D0D0D" w:themeColor="text1" w:themeTint="F2"/>
                <w:spacing w:val="-6"/>
              </w:rPr>
              <w:t xml:space="preserve"> o 4,3</w:t>
            </w:r>
            <w:r w:rsidRPr="00B63E5E">
              <w:rPr>
                <w:color w:val="0D0D0D" w:themeColor="text1" w:themeTint="F2"/>
                <w:spacing w:val="-6"/>
              </w:rPr>
              <w:t xml:space="preserve"> %, zejména díky inženýrskému stavitelství) a svou výší poprvé překonala předkrizový rok 2019. Během 2. i 3. čtvrtletí </w:t>
            </w:r>
            <w:r>
              <w:rPr>
                <w:color w:val="0D0D0D" w:themeColor="text1" w:themeTint="F2"/>
                <w:spacing w:val="-6"/>
              </w:rPr>
              <w:t xml:space="preserve">se </w:t>
            </w:r>
            <w:r w:rsidRPr="00B63E5E">
              <w:rPr>
                <w:color w:val="0D0D0D" w:themeColor="text1" w:themeTint="F2"/>
                <w:spacing w:val="-6"/>
              </w:rPr>
              <w:t>produkce mezikvartálně snížila (v </w:t>
            </w:r>
            <w:r>
              <w:rPr>
                <w:color w:val="0D0D0D" w:themeColor="text1" w:themeTint="F2"/>
                <w:spacing w:val="-6"/>
              </w:rPr>
              <w:t>úhrnu o 6,1</w:t>
            </w:r>
            <w:r w:rsidRPr="00B63E5E">
              <w:rPr>
                <w:color w:val="0D0D0D" w:themeColor="text1" w:themeTint="F2"/>
                <w:spacing w:val="-6"/>
              </w:rPr>
              <w:t xml:space="preserve"> %). </w:t>
            </w:r>
            <w:r>
              <w:rPr>
                <w:color w:val="0D0D0D" w:themeColor="text1" w:themeTint="F2"/>
                <w:spacing w:val="-6"/>
              </w:rPr>
              <w:t>Stále více se projevoval</w:t>
            </w:r>
            <w:r w:rsidRPr="00B63E5E">
              <w:rPr>
                <w:color w:val="0D0D0D" w:themeColor="text1" w:themeTint="F2"/>
                <w:spacing w:val="-6"/>
              </w:rPr>
              <w:t xml:space="preserve"> negativní dopad silného cenového růstu (energií, pohonných hmot i materiálových vstupů), horší dostupnosti materiálů, zařízení, ale i pracovní síly (zčásti vlivem války na Ukrajině). To mnohdy vedlo k prodloužení realizace stávajících projektů či k odkladu zahájení, popř. revizi plánovaných investičních akcí. Během p</w:t>
            </w:r>
            <w:r>
              <w:rPr>
                <w:color w:val="0D0D0D" w:themeColor="text1" w:themeTint="F2"/>
                <w:spacing w:val="-6"/>
              </w:rPr>
              <w:t>osledního čtvrtletí došlo k lehkému zotavení (na 2,2</w:t>
            </w:r>
            <w:r w:rsidRPr="00B63E5E">
              <w:rPr>
                <w:color w:val="0D0D0D" w:themeColor="text1" w:themeTint="F2"/>
                <w:spacing w:val="-6"/>
              </w:rPr>
              <w:t xml:space="preserve">% růstu produkce se rovnoměrně podílely pozemní </w:t>
            </w:r>
            <w:r w:rsidRPr="00DE3E22">
              <w:t>i</w:t>
            </w:r>
            <w:r w:rsidR="00DE3E22">
              <w:t> </w:t>
            </w:r>
            <w:r w:rsidRPr="00DE3E22">
              <w:t>inženýrské</w:t>
            </w:r>
            <w:r w:rsidRPr="00B63E5E">
              <w:rPr>
                <w:color w:val="0D0D0D" w:themeColor="text1" w:themeTint="F2"/>
                <w:spacing w:val="-6"/>
              </w:rPr>
              <w:t xml:space="preserve"> stavitelství). Za celý rok 2022 </w:t>
            </w:r>
            <w:r>
              <w:rPr>
                <w:color w:val="0D0D0D" w:themeColor="text1" w:themeTint="F2"/>
                <w:spacing w:val="-6"/>
              </w:rPr>
              <w:t>se stavební produkce zvýšila o 2,6</w:t>
            </w:r>
            <w:r w:rsidRPr="00B63E5E">
              <w:rPr>
                <w:color w:val="0D0D0D" w:themeColor="text1" w:themeTint="F2"/>
                <w:spacing w:val="-6"/>
              </w:rPr>
              <w:t xml:space="preserve"> % a navázala </w:t>
            </w:r>
            <w:r>
              <w:rPr>
                <w:color w:val="0D0D0D" w:themeColor="text1" w:themeTint="F2"/>
                <w:spacing w:val="-6"/>
              </w:rPr>
              <w:t>na podobný růst z předešlého</w:t>
            </w:r>
            <w:r w:rsidRPr="00B63E5E">
              <w:rPr>
                <w:color w:val="0D0D0D" w:themeColor="text1" w:themeTint="F2"/>
                <w:spacing w:val="-6"/>
              </w:rPr>
              <w:t xml:space="preserve"> roku. Na rozdíl od něj však loni přispěly k jejímu růstu oba hlavní obory – váhově význ</w:t>
            </w:r>
            <w:r>
              <w:rPr>
                <w:color w:val="0D0D0D" w:themeColor="text1" w:themeTint="F2"/>
                <w:spacing w:val="-6"/>
              </w:rPr>
              <w:t>amnější pozemní stavitelství 1,7</w:t>
            </w:r>
            <w:r w:rsidRPr="00B63E5E">
              <w:rPr>
                <w:color w:val="0D0D0D" w:themeColor="text1" w:themeTint="F2"/>
                <w:spacing w:val="-6"/>
              </w:rPr>
              <w:t xml:space="preserve"> p.</w:t>
            </w:r>
            <w:r>
              <w:rPr>
                <w:color w:val="0D0D0D" w:themeColor="text1" w:themeTint="F2"/>
                <w:spacing w:val="-6"/>
              </w:rPr>
              <w:t xml:space="preserve"> b., inženýrské stavitelství 0,9</w:t>
            </w:r>
            <w:r w:rsidRPr="00B63E5E">
              <w:rPr>
                <w:color w:val="0D0D0D" w:themeColor="text1" w:themeTint="F2"/>
                <w:spacing w:val="-6"/>
              </w:rPr>
              <w:t xml:space="preserve"> p. b.</w:t>
            </w:r>
          </w:p>
        </w:tc>
      </w:tr>
      <w:tr w:rsidR="00E87D5B" w:rsidRPr="008172D1" w14:paraId="1F1D56BF" w14:textId="77777777" w:rsidTr="008B1850">
        <w:trPr>
          <w:trHeight w:val="17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3AFBCDE8" w14:textId="77777777" w:rsidR="00E87D5B" w:rsidRDefault="00E87D5B" w:rsidP="00C8019E">
            <w:pPr>
              <w:pStyle w:val="Marginlie"/>
              <w:rPr>
                <w:spacing w:val="-4"/>
              </w:rPr>
            </w:pPr>
            <w:r>
              <w:rPr>
                <w:spacing w:val="-4"/>
              </w:rPr>
              <w:t>Počet dokončených bytů loni významně vzrostl. Projevila se zde vysoká rozestavěnost z předchozích let.</w:t>
            </w:r>
          </w:p>
          <w:p w14:paraId="69171745" w14:textId="77777777" w:rsidR="00E87D5B" w:rsidRDefault="00E87D5B" w:rsidP="00C8019E">
            <w:pPr>
              <w:pStyle w:val="Marginlie"/>
              <w:rPr>
                <w:spacing w:val="-4"/>
              </w:rPr>
            </w:pPr>
          </w:p>
          <w:p w14:paraId="35E491AD" w14:textId="77777777" w:rsidR="00E87D5B" w:rsidRPr="00982911" w:rsidRDefault="00E87D5B" w:rsidP="00C8019E">
            <w:pPr>
              <w:pStyle w:val="Marginlie"/>
              <w:rPr>
                <w:spacing w:val="-4"/>
              </w:rPr>
            </w:pPr>
            <w:r>
              <w:rPr>
                <w:spacing w:val="-4"/>
              </w:rPr>
              <w:lastRenderedPageBreak/>
              <w:t xml:space="preserve">Tempo zahajované výstavby ve 2. pololetí opadlo. 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1CB56AFF" w14:textId="77777777" w:rsidR="00E87D5B" w:rsidRDefault="00E87D5B" w:rsidP="00C8019E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76D6879C" w14:textId="77777777" w:rsidR="00E87D5B" w:rsidRPr="008172D1" w:rsidRDefault="00E87D5B" w:rsidP="00C8019E">
            <w:pPr>
              <w:spacing w:after="200"/>
              <w:rPr>
                <w:spacing w:val="-6"/>
              </w:rPr>
            </w:pPr>
            <w:r w:rsidRPr="008172D1">
              <w:rPr>
                <w:color w:val="0D0D0D" w:themeColor="text1" w:themeTint="F2"/>
                <w:spacing w:val="-6"/>
              </w:rPr>
              <w:t>Tomu stále pomáhal rozvoj bytové výstavby. Bytů se loni dokončilo meziročně o 13,9 % více. Jejich počet (39,4 tis.), představoval druhý nejvyšší objem výstavby v historii samostatné ČR</w:t>
            </w:r>
            <w:r w:rsidRPr="008172D1">
              <w:rPr>
                <w:rStyle w:val="Znakapoznpodarou"/>
                <w:color w:val="0D0D0D" w:themeColor="text1" w:themeTint="F2"/>
                <w:spacing w:val="-6"/>
              </w:rPr>
              <w:footnoteReference w:id="22"/>
            </w:r>
            <w:r w:rsidRPr="008172D1">
              <w:rPr>
                <w:color w:val="0D0D0D" w:themeColor="text1" w:themeTint="F2"/>
                <w:spacing w:val="-6"/>
              </w:rPr>
              <w:t xml:space="preserve">. </w:t>
            </w:r>
            <w:r>
              <w:rPr>
                <w:color w:val="0D0D0D" w:themeColor="text1" w:themeTint="F2"/>
                <w:spacing w:val="-6"/>
              </w:rPr>
              <w:t>O dvě třetiny</w:t>
            </w:r>
            <w:r w:rsidRPr="008172D1">
              <w:rPr>
                <w:color w:val="0D0D0D" w:themeColor="text1" w:themeTint="F2"/>
                <w:spacing w:val="-6"/>
              </w:rPr>
              <w:t xml:space="preserve"> loňského přírůstku se zasloužily jednotky v bytových domech, více bytů však vzniklo ve všech ostatních kategoriích výstavby. Odlišná situace panovala u zahajovaných bytů, jichž loni proti rekordní výstavbě z roku 2021 (45 tis.) o 6,1 % ubylo, hlavně vlivem vývoje ve 2. pololetí. V pozadí stálo oslabení poptávky vlivem </w:t>
            </w:r>
            <w:r w:rsidRPr="008172D1">
              <w:rPr>
                <w:spacing w:val="-6"/>
              </w:rPr>
              <w:t>zřetelného ochlazení hypotečního trhu, ale i vysoké a dále rostoucí náklady stavebních firem</w:t>
            </w:r>
            <w:r w:rsidRPr="008172D1">
              <w:rPr>
                <w:rStyle w:val="Znakapoznpodarou"/>
                <w:spacing w:val="-6"/>
              </w:rPr>
              <w:footnoteReference w:id="23"/>
            </w:r>
            <w:r w:rsidRPr="008172D1">
              <w:rPr>
                <w:spacing w:val="-6"/>
              </w:rPr>
              <w:t xml:space="preserve">. Obor inženýrského stavitelství, v němž </w:t>
            </w:r>
            <w:r w:rsidRPr="008172D1">
              <w:rPr>
                <w:spacing w:val="-6"/>
              </w:rPr>
              <w:lastRenderedPageBreak/>
              <w:t>jsou oproti oblasti pozemních staveb častěji zastoupeny větší podniky, se zejména ve druhé polovině loňského roku mohl opřít o solidní tempo růstu veřejných výdajů v oblasti dopravní infrastruktury</w:t>
            </w:r>
            <w:r w:rsidRPr="008172D1">
              <w:rPr>
                <w:rStyle w:val="Znakapoznpodarou"/>
                <w:spacing w:val="-6"/>
              </w:rPr>
              <w:footnoteReference w:id="24"/>
            </w:r>
            <w:r w:rsidRPr="008172D1">
              <w:rPr>
                <w:spacing w:val="-6"/>
              </w:rPr>
              <w:t xml:space="preserve"> související primárně s čerpáním evropských dotací.</w:t>
            </w:r>
          </w:p>
        </w:tc>
      </w:tr>
      <w:tr w:rsidR="00E87D5B" w:rsidRPr="00956F81" w14:paraId="3C46932B" w14:textId="77777777" w:rsidTr="008B1850">
        <w:trPr>
          <w:trHeight w:val="17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4395A697" w14:textId="77777777" w:rsidR="00E87D5B" w:rsidRDefault="00E87D5B" w:rsidP="00C8019E">
            <w:pPr>
              <w:pStyle w:val="Marginlie"/>
            </w:pPr>
            <w:r>
              <w:lastRenderedPageBreak/>
              <w:t>Růst hodnoty nových stavebních zakázek i</w:t>
            </w:r>
            <w:r>
              <w:rPr>
                <w:spacing w:val="-4"/>
              </w:rPr>
              <w:t> </w:t>
            </w:r>
            <w:r>
              <w:t>jejich celkové zásoby loni nepřevyšoval dynamiku cen stavebních prací.</w:t>
            </w:r>
          </w:p>
          <w:p w14:paraId="5F24DA73" w14:textId="77777777" w:rsidR="00E87D5B" w:rsidRDefault="00E87D5B" w:rsidP="00C8019E">
            <w:pPr>
              <w:pStyle w:val="Marginlie"/>
            </w:pPr>
          </w:p>
          <w:p w14:paraId="23DD67B0" w14:textId="77777777" w:rsidR="00E87D5B" w:rsidRDefault="00E87D5B" w:rsidP="00C8019E">
            <w:pPr>
              <w:pStyle w:val="Marginlie"/>
            </w:pPr>
          </w:p>
          <w:p w14:paraId="7FDF92B7" w14:textId="77777777" w:rsidR="00E87D5B" w:rsidRDefault="00E87D5B" w:rsidP="00C8019E">
            <w:pPr>
              <w:pStyle w:val="Marginlie"/>
            </w:pPr>
          </w:p>
          <w:p w14:paraId="3F0C7722" w14:textId="77777777" w:rsidR="00E87D5B" w:rsidRDefault="00E87D5B" w:rsidP="00C8019E">
            <w:pPr>
              <w:pStyle w:val="Marginlie"/>
            </w:pPr>
          </w:p>
          <w:p w14:paraId="5C43288B" w14:textId="77777777" w:rsidR="00E87D5B" w:rsidRDefault="00E87D5B" w:rsidP="00C8019E">
            <w:pPr>
              <w:pStyle w:val="Marginlie"/>
            </w:pPr>
          </w:p>
          <w:p w14:paraId="17774A7E" w14:textId="77777777" w:rsidR="00E87D5B" w:rsidRDefault="00E87D5B" w:rsidP="00C8019E">
            <w:pPr>
              <w:pStyle w:val="Marginlie"/>
            </w:pPr>
            <w:r>
              <w:t>Hodnota stavebních povolení ve 4. čtvrtletí meziročně klesla.</w:t>
            </w:r>
          </w:p>
          <w:p w14:paraId="56719020" w14:textId="77777777" w:rsidR="00E87D5B" w:rsidRPr="00982911" w:rsidRDefault="00E87D5B" w:rsidP="00C8019E">
            <w:pPr>
              <w:pStyle w:val="Marginlie"/>
              <w:rPr>
                <w:spacing w:val="-4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5DB2F8FC" w14:textId="77777777" w:rsidR="00E87D5B" w:rsidRDefault="00E87D5B" w:rsidP="00C8019E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3606C1D3" w14:textId="266D4B24" w:rsidR="00E87D5B" w:rsidRPr="00956F81" w:rsidRDefault="00E87D5B" w:rsidP="00C8019E">
            <w:pPr>
              <w:spacing w:after="200"/>
              <w:rPr>
                <w:rFonts w:cs="Arial"/>
                <w:color w:val="0D0D0D" w:themeColor="text1" w:themeTint="F2"/>
                <w:spacing w:val="-6"/>
              </w:rPr>
            </w:pPr>
            <w:r>
              <w:rPr>
                <w:rFonts w:cs="Arial"/>
                <w:color w:val="0D0D0D" w:themeColor="text1" w:themeTint="F2"/>
                <w:spacing w:val="-6"/>
              </w:rPr>
              <w:t xml:space="preserve">Ačkoli meziroční tempo růstu </w:t>
            </w:r>
            <w:r w:rsidRPr="00FE2CA0">
              <w:rPr>
                <w:rFonts w:cs="Arial"/>
                <w:color w:val="0D0D0D" w:themeColor="text1" w:themeTint="F2"/>
                <w:spacing w:val="-6"/>
              </w:rPr>
              <w:t xml:space="preserve">nominální hodnoty nových stavebních zakázek v </w:t>
            </w:r>
            <w:r>
              <w:rPr>
                <w:rFonts w:cs="Arial"/>
                <w:color w:val="0D0D0D" w:themeColor="text1" w:themeTint="F2"/>
                <w:spacing w:val="-6"/>
              </w:rPr>
              <w:t>tuzemsku</w:t>
            </w:r>
            <w:r w:rsidRPr="001E7777">
              <w:rPr>
                <w:rFonts w:cs="Arial"/>
                <w:color w:val="0D0D0D" w:themeColor="text1" w:themeTint="F2"/>
                <w:spacing w:val="-6"/>
              </w:rPr>
              <w:t xml:space="preserve"> (v podnicích s více než 50 zaměstnanci)</w:t>
            </w:r>
            <w:r>
              <w:rPr>
                <w:rFonts w:cs="Arial"/>
                <w:color w:val="0D0D0D" w:themeColor="text1" w:themeTint="F2"/>
                <w:spacing w:val="-6"/>
              </w:rPr>
              <w:t xml:space="preserve"> rostlo po celý loňský rok dvojcifernými tempy (ve 4.</w:t>
            </w:r>
            <w:r w:rsidRPr="001E7777">
              <w:rPr>
                <w:rFonts w:cs="Arial"/>
                <w:color w:val="0D0D0D" w:themeColor="text1" w:themeTint="F2"/>
                <w:spacing w:val="-6"/>
              </w:rPr>
              <w:t> </w:t>
            </w:r>
            <w:r>
              <w:rPr>
                <w:rFonts w:cs="Arial"/>
                <w:color w:val="0D0D0D" w:themeColor="text1" w:themeTint="F2"/>
                <w:spacing w:val="-6"/>
              </w:rPr>
              <w:t>čtvrtletí o</w:t>
            </w:r>
            <w:r w:rsidRPr="001E7777">
              <w:rPr>
                <w:rFonts w:cs="Arial"/>
                <w:color w:val="0D0D0D" w:themeColor="text1" w:themeTint="F2"/>
                <w:spacing w:val="-6"/>
              </w:rPr>
              <w:t> </w:t>
            </w:r>
            <w:r>
              <w:rPr>
                <w:rFonts w:cs="Arial"/>
                <w:color w:val="0D0D0D" w:themeColor="text1" w:themeTint="F2"/>
                <w:spacing w:val="-6"/>
              </w:rPr>
              <w:t>13,0</w:t>
            </w:r>
            <w:r w:rsidRPr="001E7777">
              <w:rPr>
                <w:rFonts w:cs="Arial"/>
                <w:color w:val="0D0D0D" w:themeColor="text1" w:themeTint="F2"/>
                <w:spacing w:val="-6"/>
              </w:rPr>
              <w:t> </w:t>
            </w:r>
            <w:r>
              <w:rPr>
                <w:rFonts w:cs="Arial"/>
                <w:color w:val="0D0D0D" w:themeColor="text1" w:themeTint="F2"/>
                <w:spacing w:val="-6"/>
              </w:rPr>
              <w:t>%), lze po zohlednění růstu cen stavebních prací</w:t>
            </w:r>
            <w:r>
              <w:rPr>
                <w:rStyle w:val="Znakapoznpodarou"/>
                <w:color w:val="0D0D0D" w:themeColor="text1" w:themeTint="F2"/>
                <w:spacing w:val="-6"/>
              </w:rPr>
              <w:footnoteReference w:id="25"/>
            </w:r>
            <w:r>
              <w:rPr>
                <w:rFonts w:cs="Arial"/>
                <w:color w:val="0D0D0D" w:themeColor="text1" w:themeTint="F2"/>
                <w:spacing w:val="-6"/>
              </w:rPr>
              <w:t xml:space="preserve"> hovořit spíše o stagnaci skutečné stavební poptávky (tomu odpovídá i to, že počet nově uzavřených zakázek se oproti roku 2021 nezměnil). Pozitivněji vyznívá poptávka v segmentu inženýrského stavitelství (ve 4.</w:t>
            </w:r>
            <w:r w:rsidRPr="001E7777">
              <w:rPr>
                <w:rFonts w:cs="Arial"/>
                <w:color w:val="0D0D0D" w:themeColor="text1" w:themeTint="F2"/>
                <w:spacing w:val="-6"/>
              </w:rPr>
              <w:t> </w:t>
            </w:r>
            <w:r>
              <w:rPr>
                <w:rFonts w:cs="Arial"/>
                <w:color w:val="0D0D0D" w:themeColor="text1" w:themeTint="F2"/>
                <w:spacing w:val="-6"/>
              </w:rPr>
              <w:t xml:space="preserve">čtvrtletí 2022 zde hodnota nových zakázek meziročně vzrostla skoro o pětinu). Celková zásoba práce (ve formě hodnoty </w:t>
            </w:r>
            <w:r>
              <w:rPr>
                <w:rFonts w:cs="Arial"/>
                <w:color w:val="0D0D0D" w:themeColor="text1" w:themeTint="F2"/>
                <w:spacing w:val="-4"/>
              </w:rPr>
              <w:t>dosud nerealizovaných</w:t>
            </w:r>
            <w:r w:rsidRPr="003448DB">
              <w:rPr>
                <w:rFonts w:cs="Arial"/>
                <w:color w:val="0D0D0D" w:themeColor="text1" w:themeTint="F2"/>
                <w:spacing w:val="-4"/>
              </w:rPr>
              <w:t xml:space="preserve"> stavební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ch zakázek) </w:t>
            </w:r>
            <w:r w:rsidRPr="003448DB">
              <w:rPr>
                <w:rFonts w:cs="Arial"/>
                <w:color w:val="0D0D0D" w:themeColor="text1" w:themeTint="F2"/>
                <w:spacing w:val="-4"/>
              </w:rPr>
              <w:t xml:space="preserve">byla </w:t>
            </w:r>
            <w:r>
              <w:rPr>
                <w:rFonts w:cs="Arial"/>
                <w:color w:val="0D0D0D" w:themeColor="text1" w:themeTint="F2"/>
                <w:spacing w:val="-4"/>
              </w:rPr>
              <w:t>loni na konci prosince meziročně o 8,6 % vyšší, z drtivé většiny však díky veřejným investorům v tuzemsku (ti pokrývali přes 60 % veškeré zásoby zakázek v portfoliu stavebních podniků). Zásoba soukromých zakázek v Česku byla meziročně vyšší jen o</w:t>
            </w:r>
            <w:r w:rsidR="00DE3E22">
              <w:rPr>
                <w:rFonts w:cs="Arial"/>
                <w:color w:val="0D0D0D" w:themeColor="text1" w:themeTint="F2"/>
                <w:spacing w:val="-4"/>
              </w:rPr>
              <w:t> </w:t>
            </w:r>
            <w:r>
              <w:rPr>
                <w:rFonts w:cs="Arial"/>
                <w:color w:val="0D0D0D" w:themeColor="text1" w:themeTint="F2"/>
                <w:spacing w:val="-4"/>
              </w:rPr>
              <w:t>2,4</w:t>
            </w:r>
            <w:r w:rsidR="00DE3E22">
              <w:rPr>
                <w:rFonts w:cs="Arial"/>
                <w:color w:val="0D0D0D" w:themeColor="text1" w:themeTint="F2"/>
                <w:spacing w:val="-4"/>
              </w:rPr>
              <w:t> </w:t>
            </w:r>
            <w:r>
              <w:rPr>
                <w:rFonts w:cs="Arial"/>
                <w:color w:val="0D0D0D" w:themeColor="text1" w:themeTint="F2"/>
                <w:spacing w:val="-4"/>
              </w:rPr>
              <w:t>% (po zohlednění cen lze tak hovořit o poklesu kumulované poptávky z tohoto segmentu ekonomiky). Indicie o</w:t>
            </w:r>
            <w:r w:rsidRPr="001E7777">
              <w:rPr>
                <w:rFonts w:cs="Arial"/>
                <w:color w:val="0D0D0D" w:themeColor="text1" w:themeTint="F2"/>
                <w:spacing w:val="-6"/>
              </w:rPr>
              <w:t> </w:t>
            </w:r>
            <w:r>
              <w:rPr>
                <w:rFonts w:cs="Arial"/>
                <w:color w:val="0D0D0D" w:themeColor="text1" w:themeTint="F2"/>
                <w:spacing w:val="-4"/>
              </w:rPr>
              <w:t>ochlazování poptávky byly patrné také u vydaných stavebních povolení, jež naznačují investiční aktivitu ve střednědobém horizontu. Jejich orientační hodnota se loni ve 4. čtvrtletí mírně snížila (meziročně o 1,3 %). Kromě dopravních staveb (u výstavby i rekonstrukce) došlo k poklesu ve všech významnějších kategoriích staveb</w:t>
            </w:r>
            <w:r>
              <w:rPr>
                <w:rStyle w:val="Znakapoznpodarou"/>
                <w:color w:val="0D0D0D" w:themeColor="text1" w:themeTint="F2"/>
                <w:spacing w:val="-4"/>
              </w:rPr>
              <w:footnoteReference w:id="26"/>
            </w:r>
            <w:r>
              <w:rPr>
                <w:rFonts w:cs="Arial"/>
                <w:color w:val="0D0D0D" w:themeColor="text1" w:themeTint="F2"/>
                <w:spacing w:val="-4"/>
              </w:rPr>
              <w:t>.</w:t>
            </w:r>
          </w:p>
        </w:tc>
      </w:tr>
      <w:tr w:rsidR="00E87D5B" w:rsidRPr="00D232BB" w14:paraId="324B9C56" w14:textId="77777777" w:rsidTr="008B1850">
        <w:trPr>
          <w:trHeight w:val="170"/>
        </w:trPr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6A192031" w14:textId="77777777" w:rsidR="00E87D5B" w:rsidRDefault="00E87D5B" w:rsidP="00C8019E">
            <w:pPr>
              <w:pStyle w:val="Marginlie"/>
            </w:pPr>
          </w:p>
        </w:tc>
        <w:tc>
          <w:tcPr>
            <w:tcW w:w="2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60F4E0EC" w14:textId="77777777" w:rsidR="00E87D5B" w:rsidRDefault="00E87D5B" w:rsidP="00C8019E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2D65B7DE" w14:textId="77777777" w:rsidR="00E87D5B" w:rsidRPr="00D232BB" w:rsidRDefault="00E87D5B" w:rsidP="00C8019E">
            <w:pPr>
              <w:spacing w:after="20"/>
              <w:rPr>
                <w:rFonts w:cs="Arial"/>
                <w:bCs/>
              </w:rPr>
            </w:pPr>
            <w:r w:rsidRPr="006E759E">
              <w:rPr>
                <w:b/>
                <w:spacing w:val="-5"/>
              </w:rPr>
              <w:t xml:space="preserve">Graf č. 6 Příspěvky odvětví k meziroční změně stavební produkce </w:t>
            </w:r>
            <w:r w:rsidRPr="006E759E">
              <w:rPr>
                <w:spacing w:val="-5"/>
              </w:rPr>
              <w:t>(reálně, v p. b.)</w:t>
            </w:r>
            <w:r w:rsidRPr="006E759E">
              <w:rPr>
                <w:b/>
                <w:bCs/>
                <w:spacing w:val="-5"/>
              </w:rPr>
              <w:t>,</w:t>
            </w:r>
            <w:r w:rsidRPr="006E759E">
              <w:rPr>
                <w:b/>
                <w:bCs/>
                <w:spacing w:val="-5"/>
              </w:rPr>
              <w:br/>
            </w:r>
            <w:r w:rsidRPr="006E759E">
              <w:rPr>
                <w:b/>
                <w:spacing w:val="-5"/>
              </w:rPr>
              <w:t xml:space="preserve">nové stavební zakázky </w:t>
            </w:r>
            <w:r w:rsidRPr="006E759E">
              <w:rPr>
                <w:spacing w:val="-5"/>
              </w:rPr>
              <w:t>(</w:t>
            </w:r>
            <w:r w:rsidRPr="006E759E">
              <w:rPr>
                <w:bCs/>
                <w:spacing w:val="-5"/>
              </w:rPr>
              <w:t xml:space="preserve">nominálně, </w:t>
            </w:r>
            <w:r w:rsidRPr="006E759E">
              <w:rPr>
                <w:spacing w:val="-5"/>
              </w:rPr>
              <w:t>meziročně,</w:t>
            </w:r>
            <w:r w:rsidRPr="006E759E">
              <w:rPr>
                <w:bCs/>
                <w:spacing w:val="-5"/>
              </w:rPr>
              <w:t xml:space="preserve"> v %)</w:t>
            </w:r>
            <w:r w:rsidRPr="006E759E">
              <w:rPr>
                <w:b/>
                <w:spacing w:val="-5"/>
              </w:rPr>
              <w:t>, saldo důvěry podnikatelů ve stavebnictví*</w:t>
            </w:r>
            <w:r w:rsidRPr="006E759E">
              <w:rPr>
                <w:spacing w:val="-5"/>
              </w:rPr>
              <w:t xml:space="preserve"> (v p. b., pravá osa) </w:t>
            </w:r>
            <w:r w:rsidRPr="006E759E">
              <w:rPr>
                <w:b/>
                <w:spacing w:val="-5"/>
              </w:rPr>
              <w:t>a vybrané bariéry růstu</w:t>
            </w:r>
            <w:r w:rsidRPr="006E759E">
              <w:rPr>
                <w:spacing w:val="-5"/>
              </w:rPr>
              <w:t>* (v %, pravá osa)</w:t>
            </w:r>
          </w:p>
        </w:tc>
      </w:tr>
      <w:tr w:rsidR="00E87D5B" w:rsidRPr="0067514E" w14:paraId="3CCDE0EC" w14:textId="77777777" w:rsidTr="008B1850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95D2C" w14:textId="77777777" w:rsidR="00E87D5B" w:rsidRDefault="00E87D5B" w:rsidP="00C8019E">
            <w:pPr>
              <w:pStyle w:val="Marginlie"/>
            </w:pPr>
          </w:p>
        </w:tc>
        <w:tc>
          <w:tcPr>
            <w:tcW w:w="2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810DC" w14:textId="77777777" w:rsidR="00E87D5B" w:rsidRDefault="00E87D5B" w:rsidP="00C8019E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BCABF" w14:textId="77777777" w:rsidR="00E87D5B" w:rsidRPr="0067514E" w:rsidRDefault="00E87D5B" w:rsidP="00C8019E">
            <w:pPr>
              <w:spacing w:after="0"/>
              <w:rPr>
                <w:spacing w:val="-6"/>
              </w:rPr>
            </w:pPr>
            <w:r>
              <w:rPr>
                <w:noProof/>
              </w:rPr>
              <w:drawing>
                <wp:inline distT="0" distB="0" distL="0" distR="0" wp14:anchorId="6199D1DE" wp14:editId="6515099D">
                  <wp:extent cx="4681855" cy="3581400"/>
                  <wp:effectExtent l="0" t="0" r="4445" b="0"/>
                  <wp:docPr id="5" name="Graf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  <w:tr w:rsidR="00E87D5B" w:rsidRPr="008F2BE2" w14:paraId="0EB65E98" w14:textId="77777777" w:rsidTr="008B1850">
        <w:trPr>
          <w:trHeight w:val="170"/>
        </w:trPr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413A87EA" w14:textId="77777777" w:rsidR="00E87D5B" w:rsidRDefault="00E87D5B" w:rsidP="00C8019E">
            <w:pPr>
              <w:pStyle w:val="Marginlie"/>
            </w:pPr>
          </w:p>
        </w:tc>
        <w:tc>
          <w:tcPr>
            <w:tcW w:w="2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7D7CEF1A" w14:textId="77777777" w:rsidR="00E87D5B" w:rsidRDefault="00E87D5B" w:rsidP="00C8019E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3CEDA325" w14:textId="77777777" w:rsidR="00E87D5B" w:rsidRPr="00883202" w:rsidRDefault="00E87D5B" w:rsidP="00C8019E">
            <w:pPr>
              <w:spacing w:after="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Poznámka: </w:t>
            </w:r>
            <w:r w:rsidRPr="00883202">
              <w:rPr>
                <w:rFonts w:cs="Arial"/>
                <w:sz w:val="14"/>
                <w:szCs w:val="14"/>
              </w:rPr>
              <w:t>Údaje o stavební produkci jsou očištěny o kalendářní vlivy.</w:t>
            </w:r>
          </w:p>
          <w:p w14:paraId="03988F19" w14:textId="77777777" w:rsidR="00E87D5B" w:rsidRPr="008F2BE2" w:rsidRDefault="00E87D5B" w:rsidP="00C8019E">
            <w:pPr>
              <w:pStyle w:val="Textpoznpodarou"/>
              <w:rPr>
                <w:spacing w:val="-4"/>
                <w:sz w:val="14"/>
                <w:szCs w:val="14"/>
              </w:rPr>
            </w:pPr>
            <w:r w:rsidRPr="00883202">
              <w:rPr>
                <w:rFonts w:cs="Arial"/>
                <w:sz w:val="14"/>
                <w:szCs w:val="14"/>
              </w:rPr>
              <w:t>*</w:t>
            </w:r>
            <w:r w:rsidRPr="006E759E">
              <w:rPr>
                <w:rFonts w:cs="Arial"/>
                <w:spacing w:val="-2"/>
                <w:sz w:val="14"/>
                <w:szCs w:val="14"/>
              </w:rPr>
              <w:t>Saldo důvěry podnikatelů i bariéry</w:t>
            </w:r>
            <w:r w:rsidRPr="00883202">
              <w:rPr>
                <w:rFonts w:cs="Arial"/>
                <w:spacing w:val="-2"/>
                <w:sz w:val="14"/>
                <w:szCs w:val="14"/>
              </w:rPr>
              <w:t xml:space="preserve"> růstu jsou sezónně očištěny a vyjadřují stav ve druhém měsíci daného čtvrtletí</w:t>
            </w:r>
            <w:r w:rsidRPr="00883202">
              <w:rPr>
                <w:rFonts w:cs="Arial"/>
                <w:sz w:val="14"/>
                <w:szCs w:val="14"/>
              </w:rPr>
              <w:t>.</w:t>
            </w:r>
            <w:r>
              <w:rPr>
                <w:rFonts w:cs="Arial"/>
                <w:sz w:val="14"/>
                <w:szCs w:val="14"/>
              </w:rPr>
              <w:t xml:space="preserve"> Podniky mohly uvést více hlavních bariér současně.                                                                                          </w:t>
            </w:r>
            <w:r w:rsidRPr="00883202">
              <w:rPr>
                <w:rFonts w:cs="Arial"/>
                <w:sz w:val="14"/>
                <w:szCs w:val="14"/>
              </w:rPr>
              <w:t>Zdroj: ČSÚ</w:t>
            </w:r>
            <w:r>
              <w:rPr>
                <w:rFonts w:cs="Arial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cs="Arial"/>
                <w:sz w:val="14"/>
                <w:szCs w:val="14"/>
              </w:rPr>
              <w:t>Eurostat</w:t>
            </w:r>
            <w:proofErr w:type="spellEnd"/>
          </w:p>
        </w:tc>
      </w:tr>
      <w:tr w:rsidR="00E87D5B" w:rsidRPr="00CF0DCE" w14:paraId="420EB13C" w14:textId="77777777" w:rsidTr="008B1850">
        <w:trPr>
          <w:trHeight w:val="17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05579CA7" w14:textId="77777777" w:rsidR="00E87D5B" w:rsidRPr="00097A8B" w:rsidRDefault="00E87D5B" w:rsidP="00C8019E">
            <w:pPr>
              <w:pStyle w:val="Marginlie"/>
              <w:rPr>
                <w:spacing w:val="-4"/>
              </w:rPr>
            </w:pPr>
            <w:r w:rsidRPr="00097A8B">
              <w:rPr>
                <w:spacing w:val="-4"/>
              </w:rPr>
              <w:lastRenderedPageBreak/>
              <w:t>Důvěra podnikatelů ve stavebnictví se od loňského jara zhor</w:t>
            </w:r>
            <w:r>
              <w:rPr>
                <w:spacing w:val="-4"/>
              </w:rPr>
              <w:t>šovala. Negativní očekávání byla</w:t>
            </w:r>
            <w:r w:rsidRPr="00097A8B">
              <w:rPr>
                <w:spacing w:val="-4"/>
              </w:rPr>
              <w:t xml:space="preserve"> </w:t>
            </w:r>
            <w:r>
              <w:rPr>
                <w:spacing w:val="-4"/>
              </w:rPr>
              <w:t>patrná</w:t>
            </w:r>
            <w:r w:rsidRPr="00097A8B">
              <w:rPr>
                <w:spacing w:val="-4"/>
              </w:rPr>
              <w:t xml:space="preserve"> i ve výhledu na celé 1. pololetí 2023.</w:t>
            </w:r>
          </w:p>
          <w:p w14:paraId="0D216553" w14:textId="77777777" w:rsidR="00E87D5B" w:rsidRDefault="00E87D5B" w:rsidP="00C8019E">
            <w:pPr>
              <w:pStyle w:val="Marginlie"/>
            </w:pPr>
          </w:p>
          <w:p w14:paraId="5538CC89" w14:textId="77777777" w:rsidR="00E87D5B" w:rsidRDefault="00E87D5B" w:rsidP="00C8019E">
            <w:pPr>
              <w:pStyle w:val="Marginlie"/>
            </w:pPr>
          </w:p>
          <w:p w14:paraId="7F0B8420" w14:textId="77777777" w:rsidR="00E87D5B" w:rsidRDefault="00E87D5B" w:rsidP="00C8019E">
            <w:pPr>
              <w:pStyle w:val="Marginlie"/>
            </w:pPr>
            <w:r>
              <w:t xml:space="preserve"> 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77D8B017" w14:textId="77777777" w:rsidR="00E87D5B" w:rsidRDefault="00E87D5B" w:rsidP="00C8019E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4EE854EC" w14:textId="77777777" w:rsidR="00E87D5B" w:rsidRPr="00CF0DCE" w:rsidRDefault="00E87D5B" w:rsidP="00C8019E">
            <w:pPr>
              <w:spacing w:after="200"/>
              <w:rPr>
                <w:rFonts w:cs="Arial"/>
                <w:color w:val="0D0D0D" w:themeColor="text1" w:themeTint="F2"/>
                <w:spacing w:val="-6"/>
              </w:rPr>
            </w:pPr>
            <w:r>
              <w:rPr>
                <w:rFonts w:cs="Arial"/>
                <w:color w:val="0D0D0D" w:themeColor="text1" w:themeTint="F2"/>
                <w:spacing w:val="-6"/>
              </w:rPr>
              <w:t xml:space="preserve">Dobré </w:t>
            </w:r>
            <w:r w:rsidRPr="00CF0DCE">
              <w:rPr>
                <w:rFonts w:cs="Arial"/>
                <w:color w:val="0D0D0D" w:themeColor="text1" w:themeTint="F2"/>
                <w:spacing w:val="-6"/>
              </w:rPr>
              <w:t>výsledky</w:t>
            </w:r>
            <w:r>
              <w:rPr>
                <w:rFonts w:cs="Arial"/>
                <w:color w:val="0D0D0D" w:themeColor="text1" w:themeTint="F2"/>
                <w:spacing w:val="-6"/>
              </w:rPr>
              <w:t xml:space="preserve"> stavebnictví na počátku loňské</w:t>
            </w:r>
            <w:r w:rsidRPr="00CF0DCE">
              <w:rPr>
                <w:rFonts w:cs="Arial"/>
                <w:color w:val="0D0D0D" w:themeColor="text1" w:themeTint="F2"/>
                <w:spacing w:val="-6"/>
              </w:rPr>
              <w:t xml:space="preserve">ho roku podpořily optimismus podnikatelů v tomto odvětví a únorové saldo důvěry se tak srovnalo s absolutním maximem (z ledna </w:t>
            </w:r>
            <w:r>
              <w:rPr>
                <w:rFonts w:cs="Arial"/>
                <w:color w:val="0D0D0D" w:themeColor="text1" w:themeTint="F2"/>
                <w:spacing w:val="-6"/>
              </w:rPr>
              <w:t>2019). Později se ale nálada v odvětví zhoršovala, citelněji pak na přelomu let 2022 a 2023, kdy dosáhla nejníže za poslední dva a půl roku (stále se ovšem pohybovala nad dlouhodobým průměrem). Rychle rostoucí nákladové tlaky se promítly do negativního hodnocení současné i očekávané poptávky, výhledů v oblasti zaměstnanosti či budoucí ekonomické situace firem (pesimismus zde na rozdíl od průmyslových podniků přetrvává i ve výhledu na nejbližších šest měsíců). Přestože role nedostatečné poptávky jako bariéry růstu stavebních firem na počátku letošního roku citelně vzrostla (na únorových 32 %, nejvíce od května 2021), klíčové omezení stále spočívá v nedostatku pracovní síly (pro 40 % firem)</w:t>
            </w:r>
            <w:r>
              <w:rPr>
                <w:rStyle w:val="Znakapoznpodarou"/>
                <w:color w:val="0D0D0D" w:themeColor="text1" w:themeTint="F2"/>
                <w:spacing w:val="-6"/>
              </w:rPr>
              <w:footnoteReference w:id="27"/>
            </w:r>
            <w:r>
              <w:rPr>
                <w:rFonts w:cs="Arial"/>
                <w:color w:val="0D0D0D" w:themeColor="text1" w:themeTint="F2"/>
                <w:spacing w:val="-6"/>
              </w:rPr>
              <w:t>.</w:t>
            </w:r>
          </w:p>
        </w:tc>
      </w:tr>
      <w:tr w:rsidR="00E87D5B" w:rsidRPr="00B63E5E" w14:paraId="6CFF7DF0" w14:textId="77777777" w:rsidTr="008B1850">
        <w:trPr>
          <w:trHeight w:val="17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48B219EC" w14:textId="77777777" w:rsidR="00E87D5B" w:rsidRPr="00B63E5E" w:rsidRDefault="00E87D5B" w:rsidP="00C8019E">
            <w:pPr>
              <w:pStyle w:val="Marginlie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Tržby ve službách rostly mezikvartálně jen v první polovině loňského roku. Později byly ovlivněny klesající poptávkou ze strany domácností i</w:t>
            </w:r>
            <w:r>
              <w:t> </w:t>
            </w:r>
            <w:r>
              <w:rPr>
                <w:color w:val="0D0D0D" w:themeColor="text1" w:themeTint="F2"/>
              </w:rPr>
              <w:t xml:space="preserve">podniků. 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73994561" w14:textId="77777777" w:rsidR="00E87D5B" w:rsidRPr="008071B1" w:rsidRDefault="00E87D5B" w:rsidP="00C8019E">
            <w:pPr>
              <w:pStyle w:val="Textpoznpodarou"/>
              <w:jc w:val="both"/>
              <w:rPr>
                <w:color w:val="0D0D0D" w:themeColor="text1" w:themeTint="F2"/>
                <w:spacing w:val="-5"/>
              </w:rPr>
            </w:pPr>
          </w:p>
        </w:tc>
        <w:tc>
          <w:tcPr>
            <w:tcW w:w="7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5A07817D" w14:textId="74F1FDCB" w:rsidR="00E87D5B" w:rsidRPr="008071B1" w:rsidRDefault="00E87D5B" w:rsidP="00C8019E">
            <w:pPr>
              <w:spacing w:after="200"/>
              <w:rPr>
                <w:rFonts w:cs="Arial"/>
                <w:color w:val="0D0D0D" w:themeColor="text1" w:themeTint="F2"/>
                <w:spacing w:val="-5"/>
              </w:rPr>
            </w:pPr>
            <w:r w:rsidRPr="008071B1">
              <w:rPr>
                <w:rFonts w:cs="Arial"/>
                <w:color w:val="0D0D0D" w:themeColor="text1" w:themeTint="F2"/>
                <w:spacing w:val="-5"/>
              </w:rPr>
              <w:t xml:space="preserve">Poptávka po službách se během loňského roku vyvíjela nerovnoměrně. </w:t>
            </w:r>
            <w:r w:rsidRPr="008071B1">
              <w:rPr>
                <w:color w:val="0D0D0D" w:themeColor="text1" w:themeTint="F2"/>
                <w:spacing w:val="-5"/>
              </w:rPr>
              <w:t>Tržby ve vybraných službách</w:t>
            </w:r>
            <w:r w:rsidRPr="008071B1">
              <w:rPr>
                <w:color w:val="0D0D0D" w:themeColor="text1" w:themeTint="F2"/>
                <w:spacing w:val="-5"/>
                <w:vertAlign w:val="superscript"/>
              </w:rPr>
              <w:footnoteReference w:id="28"/>
            </w:r>
            <w:r w:rsidRPr="008071B1">
              <w:rPr>
                <w:color w:val="0D0D0D" w:themeColor="text1" w:themeTint="F2"/>
                <w:spacing w:val="-5"/>
              </w:rPr>
              <w:t xml:space="preserve"> vzrostly na počátku roku mezikvartálně o 2,1 % a poprvé vystoupaly nad úroveň konjunkturního roku 2019. Službám se dařilo i ve 2. čtvrtletí, kdy výrazně ožila především odvětví s těsnou vazbou na cestovní ruch. Ve zbývající části roku se růst tržeb zastavil. Náznaky oslabování poptávky registrovalo klíčové odvětví dopravy a skladování (poprvé od poloviny roku 2020). Vedle toho se zhoršující ekonomická situace tuzemských domácností odrazila v oblasti str</w:t>
            </w:r>
            <w:r w:rsidR="008071B1" w:rsidRPr="008071B1">
              <w:rPr>
                <w:color w:val="0D0D0D" w:themeColor="text1" w:themeTint="F2"/>
                <w:spacing w:val="-5"/>
              </w:rPr>
              <w:t>avování a pohostinství. K tomu</w:t>
            </w:r>
            <w:r w:rsidRPr="008071B1">
              <w:rPr>
                <w:color w:val="0D0D0D" w:themeColor="text1" w:themeTint="F2"/>
                <w:spacing w:val="-5"/>
              </w:rPr>
              <w:t xml:space="preserve"> podniky začaly omezovat svou poptávku po některých</w:t>
            </w:r>
            <w:r w:rsidR="008071B1" w:rsidRPr="008071B1">
              <w:rPr>
                <w:color w:val="0D0D0D" w:themeColor="text1" w:themeTint="F2"/>
                <w:spacing w:val="-5"/>
              </w:rPr>
              <w:t xml:space="preserve"> činnostech (administrativního a</w:t>
            </w:r>
            <w:r w:rsidRPr="008071B1">
              <w:rPr>
                <w:color w:val="0D0D0D" w:themeColor="text1" w:themeTint="F2"/>
                <w:spacing w:val="-5"/>
              </w:rPr>
              <w:t xml:space="preserve"> podpůrného charakteru, ale i sofistikovanějších službách). Ve 4. čtvrtletí 2022 se prohloubil pokles tržeb ve skladování (na 8,2 %</w:t>
            </w:r>
            <w:r w:rsidR="00741F2A">
              <w:rPr>
                <w:color w:val="0D0D0D" w:themeColor="text1" w:themeTint="F2"/>
                <w:spacing w:val="-5"/>
              </w:rPr>
              <w:t xml:space="preserve"> </w:t>
            </w:r>
            <w:r w:rsidRPr="008071B1">
              <w:rPr>
                <w:color w:val="0D0D0D" w:themeColor="text1" w:themeTint="F2"/>
                <w:spacing w:val="-5"/>
              </w:rPr>
              <w:t>mezikvartálně), což souviselo se zhoršeným výkonem průmyslu i poklesem obratu zbožového zahraničního obchodu</w:t>
            </w:r>
            <w:r w:rsidRPr="008071B1">
              <w:rPr>
                <w:rStyle w:val="Znakapoznpodarou"/>
                <w:color w:val="0D0D0D" w:themeColor="text1" w:themeTint="F2"/>
                <w:spacing w:val="-5"/>
              </w:rPr>
              <w:footnoteReference w:id="29"/>
            </w:r>
            <w:r w:rsidRPr="008071B1">
              <w:rPr>
                <w:color w:val="0D0D0D" w:themeColor="text1" w:themeTint="F2"/>
                <w:spacing w:val="-5"/>
              </w:rPr>
              <w:t>.</w:t>
            </w:r>
          </w:p>
        </w:tc>
      </w:tr>
      <w:tr w:rsidR="00E87D5B" w:rsidRPr="00C32591" w14:paraId="6A292010" w14:textId="77777777" w:rsidTr="008B1850">
        <w:trPr>
          <w:trHeight w:val="17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32670838" w14:textId="77777777" w:rsidR="00E87D5B" w:rsidRDefault="00E87D5B" w:rsidP="00C8019E">
            <w:pPr>
              <w:pStyle w:val="Marginlie"/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35B31639" w14:textId="77777777" w:rsidR="00E87D5B" w:rsidRDefault="00E87D5B" w:rsidP="00C8019E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3268664B" w14:textId="77777777" w:rsidR="00E87D5B" w:rsidRPr="00C32591" w:rsidRDefault="00E87D5B" w:rsidP="00C8019E">
            <w:pPr>
              <w:spacing w:after="40"/>
              <w:rPr>
                <w:b/>
                <w:spacing w:val="-4"/>
              </w:rPr>
            </w:pPr>
            <w:r w:rsidRPr="00C32591">
              <w:rPr>
                <w:b/>
                <w:spacing w:val="-4"/>
              </w:rPr>
              <w:t xml:space="preserve">Graf č. 7 </w:t>
            </w:r>
            <w:r w:rsidRPr="00C32591">
              <w:rPr>
                <w:b/>
                <w:bCs/>
                <w:spacing w:val="-4"/>
              </w:rPr>
              <w:t>Příspěvky dílčích odvětví k meziroční změně tržeb ve službách*</w:t>
            </w:r>
            <w:r w:rsidRPr="00C32591">
              <w:rPr>
                <w:b/>
                <w:spacing w:val="-4"/>
              </w:rPr>
              <w:br/>
            </w:r>
            <w:r w:rsidRPr="00C32591">
              <w:rPr>
                <w:spacing w:val="-4"/>
              </w:rPr>
              <w:t>(reálně, v p. b),</w:t>
            </w:r>
            <w:r w:rsidRPr="00C32591">
              <w:rPr>
                <w:b/>
                <w:spacing w:val="-4"/>
              </w:rPr>
              <w:t xml:space="preserve"> </w:t>
            </w:r>
            <w:r w:rsidRPr="00C32591">
              <w:rPr>
                <w:b/>
                <w:bCs/>
                <w:spacing w:val="-4"/>
              </w:rPr>
              <w:t xml:space="preserve">celkové tržby ve službách* </w:t>
            </w:r>
            <w:r w:rsidRPr="00C32591">
              <w:rPr>
                <w:spacing w:val="-4"/>
              </w:rPr>
              <w:t>(báze 2015=100, pravá osa),</w:t>
            </w:r>
            <w:r w:rsidRPr="00C32591">
              <w:rPr>
                <w:b/>
                <w:spacing w:val="-4"/>
              </w:rPr>
              <w:t xml:space="preserve"> </w:t>
            </w:r>
            <w:r w:rsidRPr="00C32591">
              <w:rPr>
                <w:b/>
                <w:bCs/>
                <w:spacing w:val="-4"/>
              </w:rPr>
              <w:t>saldo důvěry podnikatelů ve službách**</w:t>
            </w:r>
            <w:r w:rsidRPr="00C32591">
              <w:rPr>
                <w:b/>
                <w:spacing w:val="-4"/>
              </w:rPr>
              <w:t xml:space="preserve"> </w:t>
            </w:r>
            <w:r w:rsidRPr="00C32591">
              <w:rPr>
                <w:spacing w:val="-4"/>
              </w:rPr>
              <w:t>(v p. b., pravá osa)</w:t>
            </w:r>
            <w:r w:rsidRPr="00C32591">
              <w:rPr>
                <w:b/>
                <w:bCs/>
                <w:spacing w:val="-4"/>
              </w:rPr>
              <w:t xml:space="preserve"> a vybrané bariéry růstu**</w:t>
            </w:r>
            <w:r w:rsidRPr="00C32591">
              <w:rPr>
                <w:b/>
                <w:spacing w:val="-4"/>
              </w:rPr>
              <w:t xml:space="preserve"> </w:t>
            </w:r>
            <w:r w:rsidRPr="00C32591">
              <w:rPr>
                <w:spacing w:val="-4"/>
              </w:rPr>
              <w:t xml:space="preserve">(v %, pravá osa) </w:t>
            </w:r>
          </w:p>
        </w:tc>
      </w:tr>
      <w:tr w:rsidR="00E87D5B" w:rsidRPr="004C1143" w14:paraId="5B7F11EF" w14:textId="77777777" w:rsidTr="008B1850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FF754" w14:textId="77777777" w:rsidR="00E87D5B" w:rsidRDefault="00E87D5B" w:rsidP="00C8019E">
            <w:pPr>
              <w:pStyle w:val="Marginlie"/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03279" w14:textId="77777777" w:rsidR="00E87D5B" w:rsidRDefault="00E87D5B" w:rsidP="00C8019E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D2772" w14:textId="77777777" w:rsidR="00E87D5B" w:rsidRPr="004C1143" w:rsidRDefault="00E87D5B" w:rsidP="00C8019E">
            <w:pPr>
              <w:spacing w:after="0"/>
              <w:rPr>
                <w:rFonts w:cs="Arial"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731EAF50" wp14:editId="7B3883C0">
                  <wp:extent cx="4660117" cy="3636780"/>
                  <wp:effectExtent l="0" t="0" r="7620" b="1905"/>
                  <wp:docPr id="4" name="Graf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  <w:tr w:rsidR="00E87D5B" w:rsidRPr="004C1143" w14:paraId="72571772" w14:textId="77777777" w:rsidTr="008B1850">
        <w:trPr>
          <w:trHeight w:val="17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34DFEFA4" w14:textId="77777777" w:rsidR="00E87D5B" w:rsidRDefault="00E87D5B" w:rsidP="00C8019E">
            <w:pPr>
              <w:pStyle w:val="Marginlie"/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0DF93D0C" w14:textId="77777777" w:rsidR="00E87D5B" w:rsidRDefault="00E87D5B" w:rsidP="00C8019E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2DA7C05D" w14:textId="77777777" w:rsidR="00E87D5B" w:rsidRPr="00C32591" w:rsidRDefault="00E87D5B" w:rsidP="00C8019E">
            <w:pPr>
              <w:spacing w:after="0" w:line="240" w:lineRule="auto"/>
              <w:rPr>
                <w:rFonts w:cs="Arial"/>
                <w:spacing w:val="-4"/>
                <w:sz w:val="14"/>
                <w:szCs w:val="14"/>
              </w:rPr>
            </w:pPr>
            <w:r w:rsidRPr="00C32591">
              <w:rPr>
                <w:rFonts w:cs="Arial"/>
                <w:spacing w:val="-4"/>
                <w:sz w:val="14"/>
                <w:szCs w:val="14"/>
              </w:rPr>
              <w:t>Poznámka: všechny údaje jsou sezónně očištěny, pouze příspěvky dílčích odvětví k růstu tržeb jsou očištěny jen o kalendářní vlivy.</w:t>
            </w:r>
          </w:p>
          <w:p w14:paraId="178B82CF" w14:textId="77777777" w:rsidR="00E87D5B" w:rsidRPr="00C32591" w:rsidRDefault="00E87D5B" w:rsidP="00C8019E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C32591">
              <w:rPr>
                <w:rFonts w:cs="Arial"/>
                <w:sz w:val="14"/>
                <w:szCs w:val="14"/>
              </w:rPr>
              <w:t>*Bez odvětví obchodu, peněžnictví, pojišťovnictví, vědy, výzkumu a veřejných služeb.</w:t>
            </w:r>
          </w:p>
          <w:p w14:paraId="5E25FC90" w14:textId="77777777" w:rsidR="00E87D5B" w:rsidRPr="004C1143" w:rsidRDefault="00E87D5B" w:rsidP="00C8019E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proofErr w:type="gramStart"/>
            <w:r w:rsidRPr="00052ADA">
              <w:rPr>
                <w:rFonts w:cs="Arial"/>
                <w:sz w:val="14"/>
                <w:szCs w:val="14"/>
              </w:rPr>
              <w:t>.*</w:t>
            </w:r>
            <w:proofErr w:type="gramEnd"/>
            <w:r w:rsidRPr="00052ADA">
              <w:rPr>
                <w:rFonts w:cs="Arial"/>
                <w:sz w:val="14"/>
                <w:szCs w:val="14"/>
              </w:rPr>
              <w:t>*</w:t>
            </w:r>
            <w:r w:rsidRPr="00052ADA">
              <w:rPr>
                <w:rFonts w:cs="Arial"/>
                <w:spacing w:val="-2"/>
                <w:sz w:val="14"/>
                <w:szCs w:val="14"/>
              </w:rPr>
              <w:t>Zahrnuje i finanční sektor. Saldo důvěry podnikatelů i barié</w:t>
            </w:r>
            <w:r>
              <w:rPr>
                <w:rFonts w:cs="Arial"/>
                <w:spacing w:val="-2"/>
                <w:sz w:val="14"/>
                <w:szCs w:val="14"/>
              </w:rPr>
              <w:t xml:space="preserve">ry růstu </w:t>
            </w:r>
            <w:r w:rsidRPr="00052ADA">
              <w:rPr>
                <w:rFonts w:cs="Arial"/>
                <w:spacing w:val="-2"/>
                <w:sz w:val="14"/>
                <w:szCs w:val="14"/>
              </w:rPr>
              <w:t xml:space="preserve">vyjadřují stav v prvním (bariéry růstu), resp. ve druhém měsíci daného čtvrtletí (saldo důvěry). </w:t>
            </w:r>
            <w:r w:rsidRPr="00052ADA">
              <w:rPr>
                <w:rFonts w:cs="Arial"/>
                <w:sz w:val="14"/>
                <w:szCs w:val="14"/>
              </w:rPr>
              <w:t>Podniky mohly uvést více hlavních bariér současně.</w:t>
            </w:r>
            <w:r>
              <w:rPr>
                <w:rFonts w:cs="Arial"/>
                <w:sz w:val="14"/>
                <w:szCs w:val="14"/>
              </w:rPr>
              <w:t xml:space="preserve">                     </w:t>
            </w:r>
            <w:r w:rsidRPr="00052ADA">
              <w:rPr>
                <w:rFonts w:cs="Arial"/>
                <w:sz w:val="14"/>
                <w:szCs w:val="14"/>
              </w:rPr>
              <w:t xml:space="preserve">    Zdroj: ČSÚ, </w:t>
            </w:r>
            <w:proofErr w:type="spellStart"/>
            <w:r w:rsidRPr="00052ADA">
              <w:rPr>
                <w:rFonts w:cs="Arial"/>
                <w:sz w:val="14"/>
                <w:szCs w:val="14"/>
              </w:rPr>
              <w:t>Eurostat</w:t>
            </w:r>
            <w:proofErr w:type="spellEnd"/>
          </w:p>
        </w:tc>
      </w:tr>
      <w:tr w:rsidR="00E87D5B" w:rsidRPr="009E2C3F" w14:paraId="064B94B6" w14:textId="77777777" w:rsidTr="008B1850">
        <w:trPr>
          <w:trHeight w:val="17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122B6947" w14:textId="77777777" w:rsidR="00E87D5B" w:rsidRDefault="00E87D5B" w:rsidP="00C8019E">
            <w:pPr>
              <w:pStyle w:val="Marginlie"/>
            </w:pPr>
            <w:r>
              <w:lastRenderedPageBreak/>
              <w:t>Ve vysokém loňském celoročním růstu tržeb ve službách se ještě odrážely dozvuky post-pandemického oživení poptávky.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26727BD2" w14:textId="77777777" w:rsidR="00E87D5B" w:rsidRPr="001844FE" w:rsidRDefault="00E87D5B" w:rsidP="00C8019E">
            <w:pPr>
              <w:pStyle w:val="Textpoznpodarou"/>
              <w:jc w:val="both"/>
              <w:rPr>
                <w:spacing w:val="-6"/>
              </w:rPr>
            </w:pPr>
          </w:p>
        </w:tc>
        <w:tc>
          <w:tcPr>
            <w:tcW w:w="7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1104F584" w14:textId="3C16DA8F" w:rsidR="00E87D5B" w:rsidRPr="009E2C3F" w:rsidRDefault="00E87D5B" w:rsidP="00C8019E">
            <w:pPr>
              <w:spacing w:after="200"/>
              <w:rPr>
                <w:color w:val="0D0D0D" w:themeColor="text1" w:themeTint="F2"/>
                <w:spacing w:val="-4"/>
              </w:rPr>
            </w:pPr>
            <w:r w:rsidRPr="009E2C3F">
              <w:rPr>
                <w:color w:val="0D0D0D" w:themeColor="text1" w:themeTint="F2"/>
                <w:spacing w:val="-4"/>
              </w:rPr>
              <w:t>Za celý loňský rok tržby ve službách meziročně posílily o 8,5 %. Toto tempo, nejvyšší od roku 2007, z významné části odráželo vliv nízké srovnávací základn</w:t>
            </w:r>
            <w:r>
              <w:rPr>
                <w:color w:val="0D0D0D" w:themeColor="text1" w:themeTint="F2"/>
                <w:spacing w:val="-4"/>
              </w:rPr>
              <w:t>y</w:t>
            </w:r>
            <w:r w:rsidRPr="009E2C3F">
              <w:rPr>
                <w:color w:val="0D0D0D" w:themeColor="text1" w:themeTint="F2"/>
                <w:spacing w:val="-4"/>
              </w:rPr>
              <w:t xml:space="preserve"> z počátku roku 2021, kdy striktní protipandemická opatření zásadně limitovala zejména rozvoj cestovního ruchu a řady jiných volnočasových aktivit obyvatel. Dle očekávání se tak loni nejvíce zotavily tržby v ubytování, </w:t>
            </w:r>
            <w:r>
              <w:rPr>
                <w:color w:val="0D0D0D" w:themeColor="text1" w:themeTint="F2"/>
                <w:spacing w:val="-4"/>
              </w:rPr>
              <w:t>stravování a pohostinství (+27,0</w:t>
            </w:r>
            <w:r w:rsidRPr="009E2C3F">
              <w:rPr>
                <w:color w:val="0D0D0D" w:themeColor="text1" w:themeTint="F2"/>
                <w:spacing w:val="-4"/>
              </w:rPr>
              <w:t xml:space="preserve"> %), vyšší poptávku ovšem pocítila všechna hlavní odvětví služeb. Na úrovni dílčích odvětví došlo k poklesu tržeb u tvorby rozhlasových a te</w:t>
            </w:r>
            <w:r>
              <w:rPr>
                <w:color w:val="0D0D0D" w:themeColor="text1" w:themeTint="F2"/>
                <w:spacing w:val="-4"/>
              </w:rPr>
              <w:t xml:space="preserve">levizních programů a vysílání (o </w:t>
            </w:r>
            <w:r w:rsidRPr="009E2C3F">
              <w:rPr>
                <w:color w:val="0D0D0D" w:themeColor="text1" w:themeTint="F2"/>
                <w:spacing w:val="-4"/>
              </w:rPr>
              <w:t>15</w:t>
            </w:r>
            <w:r>
              <w:rPr>
                <w:color w:val="0D0D0D" w:themeColor="text1" w:themeTint="F2"/>
                <w:spacing w:val="-4"/>
              </w:rPr>
              <w:t>,3 %), pracovních agentur (10,0</w:t>
            </w:r>
            <w:r w:rsidRPr="009E2C3F">
              <w:rPr>
                <w:color w:val="0D0D0D" w:themeColor="text1" w:themeTint="F2"/>
                <w:spacing w:val="-4"/>
              </w:rPr>
              <w:t xml:space="preserve"> %), reklamy a</w:t>
            </w:r>
            <w:r w:rsidR="00DE3E22">
              <w:rPr>
                <w:color w:val="0D0D0D" w:themeColor="text1" w:themeTint="F2"/>
                <w:spacing w:val="-4"/>
              </w:rPr>
              <w:t> </w:t>
            </w:r>
            <w:r w:rsidRPr="009E2C3F">
              <w:rPr>
                <w:color w:val="0D0D0D" w:themeColor="text1" w:themeTint="F2"/>
                <w:spacing w:val="-4"/>
              </w:rPr>
              <w:t>průzkum</w:t>
            </w:r>
            <w:r>
              <w:rPr>
                <w:color w:val="0D0D0D" w:themeColor="text1" w:themeTint="F2"/>
                <w:spacing w:val="-4"/>
              </w:rPr>
              <w:t>u trhu (-6,7</w:t>
            </w:r>
            <w:r w:rsidRPr="009E2C3F">
              <w:rPr>
                <w:color w:val="0D0D0D" w:themeColor="text1" w:themeTint="F2"/>
                <w:spacing w:val="-4"/>
              </w:rPr>
              <w:t xml:space="preserve"> %) a pošto</w:t>
            </w:r>
            <w:r>
              <w:rPr>
                <w:color w:val="0D0D0D" w:themeColor="text1" w:themeTint="F2"/>
                <w:spacing w:val="-4"/>
              </w:rPr>
              <w:t>vních a kurýrních činností (-3,5</w:t>
            </w:r>
            <w:r w:rsidRPr="009E2C3F">
              <w:rPr>
                <w:color w:val="0D0D0D" w:themeColor="text1" w:themeTint="F2"/>
                <w:spacing w:val="-4"/>
              </w:rPr>
              <w:t xml:space="preserve"> </w:t>
            </w:r>
            <w:r w:rsidR="008071B1">
              <w:rPr>
                <w:color w:val="0D0D0D" w:themeColor="text1" w:themeTint="F2"/>
                <w:spacing w:val="-4"/>
              </w:rPr>
              <w:t>%). Zatímco nižší tržby kurýr</w:t>
            </w:r>
            <w:r w:rsidRPr="009E2C3F">
              <w:rPr>
                <w:color w:val="0D0D0D" w:themeColor="text1" w:themeTint="F2"/>
                <w:spacing w:val="-4"/>
              </w:rPr>
              <w:t xml:space="preserve">ů byly spíše důsledkem „postpandemického“ návratu k tradičním formám obchodu v kamenných prodejnách, poklesy v dalších uvedených odvětvích odráží </w:t>
            </w:r>
            <w:r>
              <w:rPr>
                <w:color w:val="0D0D0D" w:themeColor="text1" w:themeTint="F2"/>
                <w:spacing w:val="-4"/>
              </w:rPr>
              <w:t xml:space="preserve">hlavně </w:t>
            </w:r>
            <w:r w:rsidRPr="009E2C3F">
              <w:rPr>
                <w:color w:val="0D0D0D" w:themeColor="text1" w:themeTint="F2"/>
                <w:spacing w:val="-4"/>
              </w:rPr>
              <w:t xml:space="preserve">cyklický útlum poptávky vlivem dopadů energetické krize. </w:t>
            </w:r>
          </w:p>
        </w:tc>
      </w:tr>
      <w:tr w:rsidR="00E87D5B" w:rsidRPr="00733853" w14:paraId="42CF9C87" w14:textId="77777777" w:rsidTr="008B1850">
        <w:trPr>
          <w:trHeight w:val="17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1C94AFBC" w14:textId="0A1B6EBB" w:rsidR="00E87D5B" w:rsidRDefault="00E87D5B" w:rsidP="00C8019E">
            <w:pPr>
              <w:pStyle w:val="Marginlie"/>
            </w:pPr>
            <w:r>
              <w:t xml:space="preserve">Meziroční růst tržeb ve službách byl ve </w:t>
            </w:r>
            <w:r>
              <w:br/>
              <w:t xml:space="preserve">4. čtvrtletí jen mírný, neboť klíčové odvětví dopravy táhla dolů slabší </w:t>
            </w:r>
            <w:r w:rsidR="008071B1">
              <w:t>poptávka ve skladování a vedlejších činnostech v dopravě.</w:t>
            </w:r>
          </w:p>
          <w:p w14:paraId="0F2679D2" w14:textId="77777777" w:rsidR="00E87D5B" w:rsidRDefault="00E87D5B" w:rsidP="00C8019E">
            <w:pPr>
              <w:pStyle w:val="Marginlie"/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521C1B72" w14:textId="77777777" w:rsidR="00E87D5B" w:rsidRDefault="00E87D5B" w:rsidP="00C8019E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1B55BA0F" w14:textId="3BD97175" w:rsidR="00E87D5B" w:rsidRPr="00733853" w:rsidRDefault="00E87D5B" w:rsidP="00C8019E">
            <w:pPr>
              <w:spacing w:after="200"/>
              <w:rPr>
                <w:color w:val="0D0D0D" w:themeColor="text1" w:themeTint="F2"/>
                <w:spacing w:val="-6"/>
              </w:rPr>
            </w:pPr>
            <w:r>
              <w:rPr>
                <w:color w:val="0D0D0D" w:themeColor="text1" w:themeTint="F2"/>
                <w:spacing w:val="-6"/>
              </w:rPr>
              <w:t>Tento útlum poptávky je</w:t>
            </w:r>
            <w:r w:rsidRPr="00C60BAD">
              <w:rPr>
                <w:color w:val="0D0D0D" w:themeColor="text1" w:themeTint="F2"/>
                <w:spacing w:val="-6"/>
              </w:rPr>
              <w:t xml:space="preserve"> plastičtěji vyjádřen v tržbách za </w:t>
            </w:r>
            <w:r>
              <w:rPr>
                <w:color w:val="0D0D0D" w:themeColor="text1" w:themeTint="F2"/>
                <w:spacing w:val="-6"/>
              </w:rPr>
              <w:t xml:space="preserve">služby ve 4. čtvrtletí 2022. Ty </w:t>
            </w:r>
            <w:r w:rsidRPr="00C60BAD">
              <w:rPr>
                <w:color w:val="0D0D0D" w:themeColor="text1" w:themeTint="F2"/>
                <w:spacing w:val="-6"/>
              </w:rPr>
              <w:t>přev</w:t>
            </w:r>
            <w:r>
              <w:rPr>
                <w:color w:val="0D0D0D" w:themeColor="text1" w:themeTint="F2"/>
                <w:spacing w:val="-6"/>
              </w:rPr>
              <w:t>ýšily loňskou úroveň jen o 1,6</w:t>
            </w:r>
            <w:r w:rsidRPr="00C60BAD">
              <w:rPr>
                <w:color w:val="0D0D0D" w:themeColor="text1" w:themeTint="F2"/>
                <w:spacing w:val="-6"/>
              </w:rPr>
              <w:t xml:space="preserve"> %. I přes skromné tempo p</w:t>
            </w:r>
            <w:r>
              <w:rPr>
                <w:color w:val="0D0D0D" w:themeColor="text1" w:themeTint="F2"/>
                <w:spacing w:val="-6"/>
              </w:rPr>
              <w:t>řispěla k růstu všechna hlavní</w:t>
            </w:r>
            <w:r w:rsidRPr="00C60BAD">
              <w:rPr>
                <w:color w:val="0D0D0D" w:themeColor="text1" w:themeTint="F2"/>
                <w:spacing w:val="-6"/>
              </w:rPr>
              <w:t xml:space="preserve"> odvětví, kromě </w:t>
            </w:r>
            <w:r>
              <w:rPr>
                <w:color w:val="0D0D0D" w:themeColor="text1" w:themeTint="F2"/>
                <w:spacing w:val="-6"/>
              </w:rPr>
              <w:t>váhově dominantní dopravy a skladování, kde se tržby mírně snížily (-0,3 %). Pokles poptávky v dlouhodobě rozvíjejících se p</w:t>
            </w:r>
            <w:r w:rsidRPr="00B30524">
              <w:rPr>
                <w:color w:val="0D0D0D" w:themeColor="text1" w:themeTint="F2"/>
                <w:spacing w:val="-6"/>
              </w:rPr>
              <w:t>oštovní</w:t>
            </w:r>
            <w:r>
              <w:rPr>
                <w:color w:val="0D0D0D" w:themeColor="text1" w:themeTint="F2"/>
                <w:spacing w:val="-6"/>
              </w:rPr>
              <w:t>ch</w:t>
            </w:r>
            <w:r w:rsidRPr="00B30524">
              <w:rPr>
                <w:color w:val="0D0D0D" w:themeColor="text1" w:themeTint="F2"/>
                <w:spacing w:val="-6"/>
              </w:rPr>
              <w:t xml:space="preserve"> a kurýrní</w:t>
            </w:r>
            <w:r>
              <w:rPr>
                <w:color w:val="0D0D0D" w:themeColor="text1" w:themeTint="F2"/>
                <w:spacing w:val="-6"/>
              </w:rPr>
              <w:t>ch činnos</w:t>
            </w:r>
            <w:r w:rsidR="008071B1">
              <w:rPr>
                <w:color w:val="0D0D0D" w:themeColor="text1" w:themeTint="F2"/>
                <w:spacing w:val="-6"/>
              </w:rPr>
              <w:t>tech, stejně jako ve skladování a vedlejších činnostech v dopravě,</w:t>
            </w:r>
            <w:r>
              <w:rPr>
                <w:color w:val="0D0D0D" w:themeColor="text1" w:themeTint="F2"/>
                <w:spacing w:val="-6"/>
              </w:rPr>
              <w:t xml:space="preserve"> nebyl totiž </w:t>
            </w:r>
            <w:r w:rsidR="008071B1">
              <w:rPr>
                <w:color w:val="0D0D0D" w:themeColor="text1" w:themeTint="F2"/>
                <w:spacing w:val="-6"/>
              </w:rPr>
              <w:t>plně kompenzován růstem tržeb v</w:t>
            </w:r>
            <w:r w:rsidR="008071B1" w:rsidRPr="00C60BAD">
              <w:rPr>
                <w:color w:val="0D0D0D" w:themeColor="text1" w:themeTint="F2"/>
                <w:spacing w:val="-6"/>
              </w:rPr>
              <w:t> </w:t>
            </w:r>
            <w:r>
              <w:rPr>
                <w:color w:val="0D0D0D" w:themeColor="text1" w:themeTint="F2"/>
                <w:spacing w:val="-6"/>
              </w:rPr>
              <w:t>pozemní a potrubní dopravě (3,2 %), jíž</w:t>
            </w:r>
            <w:r w:rsidR="008071B1">
              <w:rPr>
                <w:color w:val="0D0D0D" w:themeColor="text1" w:themeTint="F2"/>
                <w:spacing w:val="-6"/>
              </w:rPr>
              <w:t xml:space="preserve"> pomáhaly vyšší tržby</w:t>
            </w:r>
            <w:r>
              <w:rPr>
                <w:color w:val="0D0D0D" w:themeColor="text1" w:themeTint="F2"/>
                <w:spacing w:val="-6"/>
              </w:rPr>
              <w:t xml:space="preserve"> v železniční i silniční dopravě. Pokračovalo zotavování v letecké i vodní dopravě, tyto obory ale zatím nedosáhly předkrizové úrovně poptávky. </w:t>
            </w:r>
          </w:p>
        </w:tc>
      </w:tr>
      <w:tr w:rsidR="00E87D5B" w14:paraId="164F4F1E" w14:textId="77777777" w:rsidTr="008B1850">
        <w:trPr>
          <w:trHeight w:val="17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31B4C108" w14:textId="77777777" w:rsidR="00E87D5B" w:rsidRDefault="00E87D5B" w:rsidP="00C8019E">
            <w:pPr>
              <w:pStyle w:val="Marginlie"/>
            </w:pPr>
            <w:r>
              <w:t xml:space="preserve">Tržby v aktivitách navázaných na cestovní ruch se dále zotavovaly, úrovně roku 2019 ale zatím nedosáhly. </w:t>
            </w:r>
          </w:p>
          <w:p w14:paraId="7E5E2F83" w14:textId="77777777" w:rsidR="00E87D5B" w:rsidRDefault="00E87D5B" w:rsidP="00C8019E">
            <w:pPr>
              <w:pStyle w:val="Marginlie"/>
            </w:pPr>
          </w:p>
          <w:p w14:paraId="7E51AC19" w14:textId="77777777" w:rsidR="00E87D5B" w:rsidRDefault="00E87D5B" w:rsidP="00C8019E">
            <w:pPr>
              <w:pStyle w:val="Marginlie"/>
            </w:pPr>
          </w:p>
          <w:p w14:paraId="1E44307F" w14:textId="77777777" w:rsidR="00E87D5B" w:rsidRDefault="00E87D5B" w:rsidP="00C8019E">
            <w:pPr>
              <w:pStyle w:val="Marginlie"/>
            </w:pPr>
          </w:p>
          <w:p w14:paraId="390543E4" w14:textId="77777777" w:rsidR="00E87D5B" w:rsidRDefault="00E87D5B" w:rsidP="00C8019E">
            <w:pPr>
              <w:pStyle w:val="Marginlie"/>
            </w:pPr>
          </w:p>
          <w:p w14:paraId="1A0A4DCF" w14:textId="77777777" w:rsidR="00E87D5B" w:rsidRDefault="00E87D5B" w:rsidP="00C8019E">
            <w:pPr>
              <w:pStyle w:val="Marginlie"/>
            </w:pPr>
            <w:r>
              <w:t>Tradičně dynamický růst v oblasti ICT ochabl, neboť růst poptávky přetrvával jen v oblasti programování.</w:t>
            </w:r>
          </w:p>
          <w:p w14:paraId="1857B8B9" w14:textId="77777777" w:rsidR="00E87D5B" w:rsidRDefault="00E87D5B" w:rsidP="00C8019E">
            <w:pPr>
              <w:pStyle w:val="Marginlie"/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78563F5C" w14:textId="77777777" w:rsidR="00E87D5B" w:rsidRDefault="00E87D5B" w:rsidP="00C8019E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1FC9A86E" w14:textId="29F4F0C4" w:rsidR="00E87D5B" w:rsidRDefault="00E87D5B" w:rsidP="00C8019E">
            <w:pPr>
              <w:spacing w:after="200"/>
              <w:rPr>
                <w:color w:val="0D0D0D" w:themeColor="text1" w:themeTint="F2"/>
                <w:spacing w:val="-6"/>
              </w:rPr>
            </w:pPr>
            <w:r w:rsidRPr="00C60BAD">
              <w:rPr>
                <w:rFonts w:cs="Arial"/>
                <w:color w:val="0D0D0D" w:themeColor="text1" w:themeTint="F2"/>
                <w:spacing w:val="-6"/>
              </w:rPr>
              <w:t xml:space="preserve">V odvětví </w:t>
            </w:r>
            <w:r w:rsidRPr="00C60BAD">
              <w:rPr>
                <w:color w:val="0D0D0D" w:themeColor="text1" w:themeTint="F2"/>
                <w:spacing w:val="-6"/>
              </w:rPr>
              <w:t>ubytování, stravování a pohostin</w:t>
            </w:r>
            <w:r>
              <w:rPr>
                <w:color w:val="0D0D0D" w:themeColor="text1" w:themeTint="F2"/>
                <w:spacing w:val="-6"/>
              </w:rPr>
              <w:t>ství byly ve 4. čtvrtletí 2022 tržby meziročně o</w:t>
            </w:r>
            <w:r w:rsidRPr="00C60BAD">
              <w:rPr>
                <w:rFonts w:cs="Arial"/>
                <w:color w:val="0D0D0D" w:themeColor="text1" w:themeTint="F2"/>
                <w:spacing w:val="-6"/>
              </w:rPr>
              <w:t> </w:t>
            </w:r>
            <w:r w:rsidRPr="00C60BAD">
              <w:rPr>
                <w:color w:val="0D0D0D" w:themeColor="text1" w:themeTint="F2"/>
                <w:spacing w:val="-6"/>
              </w:rPr>
              <w:t>dese</w:t>
            </w:r>
            <w:r>
              <w:rPr>
                <w:color w:val="0D0D0D" w:themeColor="text1" w:themeTint="F2"/>
                <w:spacing w:val="-6"/>
              </w:rPr>
              <w:t>tinu vyšší a k </w:t>
            </w:r>
            <w:r w:rsidRPr="00BD4CB3">
              <w:rPr>
                <w:color w:val="0D0D0D" w:themeColor="text1" w:themeTint="F2"/>
                <w:spacing w:val="-6"/>
              </w:rPr>
              <w:t>růstu vše</w:t>
            </w:r>
            <w:r w:rsidR="008071B1">
              <w:rPr>
                <w:color w:val="0D0D0D" w:themeColor="text1" w:themeTint="F2"/>
                <w:spacing w:val="-6"/>
              </w:rPr>
              <w:t>ch služeb přispěly nejvíce (+0,5</w:t>
            </w:r>
            <w:r w:rsidRPr="00BD4CB3">
              <w:rPr>
                <w:color w:val="0D0D0D" w:themeColor="text1" w:themeTint="F2"/>
                <w:spacing w:val="-6"/>
              </w:rPr>
              <w:t xml:space="preserve"> p. b). Výrazně tomu pomohlo postupné zotavování příjezdového cestovního ruchu. </w:t>
            </w:r>
            <w:r w:rsidRPr="00C60BAD">
              <w:rPr>
                <w:color w:val="0D0D0D" w:themeColor="text1" w:themeTint="F2"/>
                <w:spacing w:val="-6"/>
              </w:rPr>
              <w:t xml:space="preserve">Poptávka </w:t>
            </w:r>
            <w:r>
              <w:rPr>
                <w:color w:val="0D0D0D" w:themeColor="text1" w:themeTint="F2"/>
                <w:spacing w:val="-6"/>
              </w:rPr>
              <w:t xml:space="preserve">ovšem </w:t>
            </w:r>
            <w:r w:rsidRPr="00C60BAD">
              <w:rPr>
                <w:color w:val="0D0D0D" w:themeColor="text1" w:themeTint="F2"/>
                <w:spacing w:val="-6"/>
              </w:rPr>
              <w:t>stále citelně zaostáva</w:t>
            </w:r>
            <w:r>
              <w:rPr>
                <w:color w:val="0D0D0D" w:themeColor="text1" w:themeTint="F2"/>
                <w:spacing w:val="-6"/>
              </w:rPr>
              <w:t xml:space="preserve">la </w:t>
            </w:r>
            <w:r w:rsidRPr="00C60BAD">
              <w:rPr>
                <w:color w:val="0D0D0D" w:themeColor="text1" w:themeTint="F2"/>
                <w:spacing w:val="-6"/>
              </w:rPr>
              <w:t xml:space="preserve">za úrovní z konce </w:t>
            </w:r>
            <w:r>
              <w:rPr>
                <w:color w:val="0D0D0D" w:themeColor="text1" w:themeTint="F2"/>
                <w:spacing w:val="-6"/>
              </w:rPr>
              <w:t xml:space="preserve">roku </w:t>
            </w:r>
            <w:proofErr w:type="gramStart"/>
            <w:r w:rsidRPr="00C60BAD">
              <w:rPr>
                <w:color w:val="0D0D0D" w:themeColor="text1" w:themeTint="F2"/>
                <w:spacing w:val="-6"/>
              </w:rPr>
              <w:t xml:space="preserve">2019 </w:t>
            </w:r>
            <w:r>
              <w:rPr>
                <w:color w:val="0D0D0D" w:themeColor="text1" w:themeTint="F2"/>
                <w:spacing w:val="-6"/>
              </w:rPr>
              <w:t xml:space="preserve"> –</w:t>
            </w:r>
            <w:proofErr w:type="gramEnd"/>
            <w:r>
              <w:rPr>
                <w:color w:val="0D0D0D" w:themeColor="text1" w:themeTint="F2"/>
                <w:spacing w:val="-6"/>
              </w:rPr>
              <w:t xml:space="preserve"> výrazněji v ubytování (o 25,4</w:t>
            </w:r>
            <w:r w:rsidRPr="00C60BAD">
              <w:rPr>
                <w:color w:val="0D0D0D" w:themeColor="text1" w:themeTint="F2"/>
                <w:spacing w:val="-6"/>
              </w:rPr>
              <w:t xml:space="preserve"> %) než </w:t>
            </w:r>
            <w:r>
              <w:rPr>
                <w:color w:val="0D0D0D" w:themeColor="text1" w:themeTint="F2"/>
                <w:spacing w:val="-6"/>
              </w:rPr>
              <w:t>ve stravování a pohostinství (15,4</w:t>
            </w:r>
            <w:r w:rsidRPr="00C60BAD">
              <w:rPr>
                <w:color w:val="0D0D0D" w:themeColor="text1" w:themeTint="F2"/>
                <w:spacing w:val="-6"/>
              </w:rPr>
              <w:t xml:space="preserve"> %). Naproti </w:t>
            </w:r>
            <w:r>
              <w:rPr>
                <w:color w:val="0D0D0D" w:themeColor="text1" w:themeTint="F2"/>
                <w:spacing w:val="-6"/>
              </w:rPr>
              <w:t>tomu předkrizovou úroveň již překonalo odvětví informační a</w:t>
            </w:r>
            <w:r w:rsidR="00741F2A">
              <w:rPr>
                <w:color w:val="0D0D0D" w:themeColor="text1" w:themeTint="F2"/>
                <w:spacing w:val="-6"/>
              </w:rPr>
              <w:t> </w:t>
            </w:r>
            <w:r>
              <w:rPr>
                <w:color w:val="0D0D0D" w:themeColor="text1" w:themeTint="F2"/>
                <w:spacing w:val="-6"/>
              </w:rPr>
              <w:t>komunikační činnost</w:t>
            </w:r>
            <w:r w:rsidR="008071B1">
              <w:rPr>
                <w:color w:val="0D0D0D" w:themeColor="text1" w:themeTint="F2"/>
                <w:spacing w:val="-6"/>
              </w:rPr>
              <w:t>i</w:t>
            </w:r>
            <w:r>
              <w:rPr>
                <w:color w:val="0D0D0D" w:themeColor="text1" w:themeTint="F2"/>
                <w:spacing w:val="-6"/>
              </w:rPr>
              <w:t xml:space="preserve"> (o</w:t>
            </w:r>
            <w:r w:rsidRPr="00C60BAD">
              <w:rPr>
                <w:rFonts w:cs="Arial"/>
                <w:color w:val="0D0D0D" w:themeColor="text1" w:themeTint="F2"/>
                <w:spacing w:val="-6"/>
              </w:rPr>
              <w:t> </w:t>
            </w:r>
            <w:r>
              <w:rPr>
                <w:color w:val="0D0D0D" w:themeColor="text1" w:themeTint="F2"/>
                <w:spacing w:val="-6"/>
              </w:rPr>
              <w:t xml:space="preserve">6,0 %), obdobně jako činnosti v oblasti nemovitostí (+3,8 %). V dlouhodobě rozvíjející se oblasti ICT však loni meziroční růst tržeb slábnul </w:t>
            </w:r>
            <w:r>
              <w:rPr>
                <w:color w:val="0D0D0D" w:themeColor="text1" w:themeTint="F2"/>
                <w:spacing w:val="-6"/>
              </w:rPr>
              <w:br/>
              <w:t xml:space="preserve">a v posledním kvartálu činil jen rovné 1 %. Poptávka zde rostla pouze v oboru </w:t>
            </w:r>
            <w:r w:rsidRPr="00C97420">
              <w:rPr>
                <w:color w:val="0D0D0D" w:themeColor="text1" w:themeTint="F2"/>
                <w:spacing w:val="-6"/>
              </w:rPr>
              <w:t>informačních technologií</w:t>
            </w:r>
            <w:r>
              <w:rPr>
                <w:color w:val="0D0D0D" w:themeColor="text1" w:themeTint="F2"/>
                <w:spacing w:val="-6"/>
              </w:rPr>
              <w:t xml:space="preserve"> (např. programování, s</w:t>
            </w:r>
            <w:r w:rsidRPr="000A7483">
              <w:rPr>
                <w:color w:val="0D0D0D" w:themeColor="text1" w:themeTint="F2"/>
                <w:spacing w:val="-6"/>
              </w:rPr>
              <w:t>práva počítačového vybavení</w:t>
            </w:r>
            <w:r>
              <w:rPr>
                <w:color w:val="0D0D0D" w:themeColor="text1" w:themeTint="F2"/>
                <w:spacing w:val="-6"/>
              </w:rPr>
              <w:t xml:space="preserve">), citelný útlum nastal </w:t>
            </w:r>
            <w:r>
              <w:rPr>
                <w:color w:val="0D0D0D" w:themeColor="text1" w:themeTint="F2"/>
                <w:spacing w:val="-6"/>
              </w:rPr>
              <w:br/>
              <w:t xml:space="preserve">u rozhlasových a televizních vysílání. Tržby se snížily i v tzv. hudebním a filmovém průmyslu (byť </w:t>
            </w:r>
            <w:r w:rsidRPr="0013531C">
              <w:rPr>
                <w:color w:val="0D0D0D" w:themeColor="text1" w:themeTint="F2"/>
                <w:spacing w:val="-6"/>
              </w:rPr>
              <w:t>segmentu filmové distribuce se dařilo</w:t>
            </w:r>
            <w:r w:rsidRPr="0013531C">
              <w:rPr>
                <w:rStyle w:val="Znakapoznpodarou"/>
                <w:color w:val="0D0D0D" w:themeColor="text1" w:themeTint="F2"/>
                <w:spacing w:val="-6"/>
              </w:rPr>
              <w:footnoteReference w:id="30"/>
            </w:r>
            <w:r w:rsidRPr="0013531C">
              <w:rPr>
                <w:color w:val="0D0D0D" w:themeColor="text1" w:themeTint="F2"/>
                <w:spacing w:val="-6"/>
              </w:rPr>
              <w:t xml:space="preserve">) </w:t>
            </w:r>
            <w:r>
              <w:rPr>
                <w:color w:val="0D0D0D" w:themeColor="text1" w:themeTint="F2"/>
                <w:spacing w:val="-6"/>
              </w:rPr>
              <w:t xml:space="preserve">a mírný pokles poptávky netradičně postihl </w:t>
            </w:r>
            <w:r>
              <w:rPr>
                <w:color w:val="0D0D0D" w:themeColor="text1" w:themeTint="F2"/>
                <w:spacing w:val="-6"/>
              </w:rPr>
              <w:br/>
              <w:t>i i</w:t>
            </w:r>
            <w:r w:rsidRPr="00B30524">
              <w:rPr>
                <w:color w:val="0D0D0D" w:themeColor="text1" w:themeTint="F2"/>
                <w:spacing w:val="-6"/>
              </w:rPr>
              <w:t>nformační činnosti</w:t>
            </w:r>
            <w:r>
              <w:rPr>
                <w:color w:val="0D0D0D" w:themeColor="text1" w:themeTint="F2"/>
                <w:spacing w:val="-6"/>
              </w:rPr>
              <w:t xml:space="preserve"> (zahrnující hosting, webové portály i č</w:t>
            </w:r>
            <w:r w:rsidRPr="00B30524">
              <w:rPr>
                <w:color w:val="0D0D0D" w:themeColor="text1" w:themeTint="F2"/>
                <w:spacing w:val="-6"/>
              </w:rPr>
              <w:t>innosti zpravodajských tiskových kanceláří a agentur</w:t>
            </w:r>
            <w:r>
              <w:rPr>
                <w:color w:val="0D0D0D" w:themeColor="text1" w:themeTint="F2"/>
                <w:spacing w:val="-6"/>
              </w:rPr>
              <w:t xml:space="preserve">). </w:t>
            </w:r>
          </w:p>
        </w:tc>
      </w:tr>
      <w:tr w:rsidR="00E87D5B" w14:paraId="1C099386" w14:textId="77777777" w:rsidTr="008B1850">
        <w:trPr>
          <w:trHeight w:val="17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7B9AEC7D" w14:textId="77777777" w:rsidR="00E87D5B" w:rsidRDefault="00E87D5B" w:rsidP="00C8019E">
            <w:pPr>
              <w:pStyle w:val="Marginlie"/>
            </w:pPr>
            <w:r>
              <w:t>Výrazně klesaly tržby za reklamu</w:t>
            </w:r>
            <w:r w:rsidRPr="00FF3633">
              <w:t xml:space="preserve"> a průzkum trhu</w:t>
            </w:r>
            <w:r>
              <w:t>, nižší poptávku však signalizovala většina podnikových služeb.</w:t>
            </w:r>
          </w:p>
          <w:p w14:paraId="016F7944" w14:textId="77777777" w:rsidR="00E87D5B" w:rsidRDefault="00E87D5B" w:rsidP="00C8019E">
            <w:pPr>
              <w:pStyle w:val="Marginlie"/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2C8BD0F0" w14:textId="77777777" w:rsidR="00E87D5B" w:rsidRDefault="00E87D5B" w:rsidP="00C8019E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0ADB599D" w14:textId="0520AF38" w:rsidR="00E87D5B" w:rsidRDefault="00E87D5B" w:rsidP="00C8019E">
            <w:pPr>
              <w:spacing w:after="200"/>
              <w:rPr>
                <w:color w:val="0D0D0D" w:themeColor="text1" w:themeTint="F2"/>
                <w:spacing w:val="-6"/>
              </w:rPr>
            </w:pPr>
            <w:r>
              <w:rPr>
                <w:rFonts w:cs="Arial"/>
                <w:color w:val="0D0D0D" w:themeColor="text1" w:themeTint="F2"/>
                <w:spacing w:val="-6"/>
              </w:rPr>
              <w:t>Oslabení poptávky po podnikových službách se nejvíce projevilo v odvětví profesní, vědecké</w:t>
            </w:r>
            <w:r w:rsidRPr="00C60BAD">
              <w:rPr>
                <w:rFonts w:cs="Arial"/>
                <w:color w:val="0D0D0D" w:themeColor="text1" w:themeTint="F2"/>
                <w:spacing w:val="-6"/>
              </w:rPr>
              <w:t xml:space="preserve"> a t</w:t>
            </w:r>
            <w:r>
              <w:rPr>
                <w:rFonts w:cs="Arial"/>
                <w:color w:val="0D0D0D" w:themeColor="text1" w:themeTint="F2"/>
                <w:spacing w:val="-6"/>
              </w:rPr>
              <w:t xml:space="preserve">echnické činnosti, v nichž loni ve 4. čtvrtletí tržby meziročně pouze stagnovaly. </w:t>
            </w:r>
            <w:r w:rsidRPr="00C60BAD">
              <w:rPr>
                <w:rFonts w:cs="Arial"/>
                <w:color w:val="0D0D0D" w:themeColor="text1" w:themeTint="F2"/>
                <w:spacing w:val="-6"/>
              </w:rPr>
              <w:t>Ty srážel dolů především propad tržeb</w:t>
            </w:r>
            <w:r>
              <w:rPr>
                <w:rFonts w:cs="Arial"/>
                <w:color w:val="0D0D0D" w:themeColor="text1" w:themeTint="F2"/>
                <w:spacing w:val="-6"/>
              </w:rPr>
              <w:t xml:space="preserve"> za reklamu a průzkum trhu (-9,7</w:t>
            </w:r>
            <w:r w:rsidRPr="00C60BAD">
              <w:rPr>
                <w:rFonts w:cs="Arial"/>
                <w:color w:val="0D0D0D" w:themeColor="text1" w:themeTint="F2"/>
                <w:spacing w:val="-6"/>
              </w:rPr>
              <w:t xml:space="preserve"> %), po</w:t>
            </w:r>
            <w:r w:rsidR="008071B1">
              <w:rPr>
                <w:rFonts w:cs="Arial"/>
                <w:color w:val="0D0D0D" w:themeColor="text1" w:themeTint="F2"/>
                <w:spacing w:val="-6"/>
              </w:rPr>
              <w:t>ptávka se snižovala také u</w:t>
            </w:r>
            <w:r>
              <w:rPr>
                <w:rFonts w:cs="Arial"/>
                <w:color w:val="0D0D0D" w:themeColor="text1" w:themeTint="F2"/>
                <w:spacing w:val="-6"/>
              </w:rPr>
              <w:t xml:space="preserve"> ostatních služeb</w:t>
            </w:r>
            <w:r w:rsidR="00C8019E">
              <w:rPr>
                <w:rFonts w:cs="Arial"/>
                <w:color w:val="0D0D0D" w:themeColor="text1" w:themeTint="F2"/>
                <w:spacing w:val="-6"/>
              </w:rPr>
              <w:t>. Výjimkou byly zejména právní a</w:t>
            </w:r>
            <w:r>
              <w:rPr>
                <w:rFonts w:cs="Arial"/>
                <w:color w:val="0D0D0D" w:themeColor="text1" w:themeTint="F2"/>
                <w:spacing w:val="-6"/>
              </w:rPr>
              <w:t xml:space="preserve"> účetnické</w:t>
            </w:r>
            <w:r w:rsidRPr="00C60BAD">
              <w:rPr>
                <w:rFonts w:cs="Arial"/>
                <w:color w:val="0D0D0D" w:themeColor="text1" w:themeTint="F2"/>
                <w:spacing w:val="-6"/>
              </w:rPr>
              <w:t xml:space="preserve"> činností </w:t>
            </w:r>
            <w:r>
              <w:rPr>
                <w:rFonts w:cs="Arial"/>
                <w:color w:val="0D0D0D" w:themeColor="text1" w:themeTint="F2"/>
                <w:spacing w:val="-6"/>
              </w:rPr>
              <w:t xml:space="preserve">(u nich se tržby významně nesnížily ani </w:t>
            </w:r>
            <w:r w:rsidR="00C8019E">
              <w:rPr>
                <w:rFonts w:cs="Arial"/>
                <w:color w:val="0D0D0D" w:themeColor="text1" w:themeTint="F2"/>
                <w:spacing w:val="-6"/>
              </w:rPr>
              <w:t>během vrcholu pandemie) a architektonické a inženýrské činnosti (+3</w:t>
            </w:r>
            <w:r w:rsidR="00C8019E" w:rsidRPr="00C60BAD">
              <w:rPr>
                <w:rFonts w:cs="Arial"/>
                <w:color w:val="0D0D0D" w:themeColor="text1" w:themeTint="F2"/>
                <w:spacing w:val="-6"/>
              </w:rPr>
              <w:t> </w:t>
            </w:r>
            <w:r>
              <w:rPr>
                <w:rFonts w:cs="Arial"/>
                <w:color w:val="0D0D0D" w:themeColor="text1" w:themeTint="F2"/>
                <w:spacing w:val="-6"/>
              </w:rPr>
              <w:t>%)</w:t>
            </w:r>
            <w:r w:rsidRPr="00C60BAD">
              <w:rPr>
                <w:rFonts w:cs="Arial"/>
                <w:color w:val="0D0D0D" w:themeColor="text1" w:themeTint="F2"/>
                <w:spacing w:val="-6"/>
              </w:rPr>
              <w:t>. V odvětví administrativní</w:t>
            </w:r>
            <w:r w:rsidR="00C8019E">
              <w:rPr>
                <w:rFonts w:cs="Arial"/>
                <w:color w:val="0D0D0D" w:themeColor="text1" w:themeTint="F2"/>
                <w:spacing w:val="-6"/>
              </w:rPr>
              <w:t>ch a podpůrných činností</w:t>
            </w:r>
            <w:r>
              <w:rPr>
                <w:rFonts w:cs="Arial"/>
                <w:color w:val="0D0D0D" w:themeColor="text1" w:themeTint="F2"/>
                <w:spacing w:val="-6"/>
              </w:rPr>
              <w:t xml:space="preserve"> sice</w:t>
            </w:r>
            <w:r w:rsidRPr="00C60BAD">
              <w:rPr>
                <w:rFonts w:cs="Arial"/>
                <w:color w:val="0D0D0D" w:themeColor="text1" w:themeTint="F2"/>
                <w:spacing w:val="-6"/>
              </w:rPr>
              <w:t xml:space="preserve"> ještě </w:t>
            </w:r>
            <w:r>
              <w:rPr>
                <w:rFonts w:cs="Arial"/>
                <w:color w:val="0D0D0D" w:themeColor="text1" w:themeTint="F2"/>
                <w:spacing w:val="-6"/>
              </w:rPr>
              <w:t>ve 4. čtvrtletí 2022 přetrvával vyšší růst tržeb (5,6</w:t>
            </w:r>
            <w:r w:rsidRPr="00C60BAD">
              <w:rPr>
                <w:rFonts w:cs="Arial"/>
                <w:color w:val="0D0D0D" w:themeColor="text1" w:themeTint="F2"/>
                <w:spacing w:val="-6"/>
              </w:rPr>
              <w:t xml:space="preserve"> %), </w:t>
            </w:r>
            <w:r w:rsidR="00C8019E">
              <w:rPr>
                <w:rFonts w:cs="Arial"/>
                <w:color w:val="0D0D0D" w:themeColor="text1" w:themeTint="F2"/>
                <w:spacing w:val="-6"/>
              </w:rPr>
              <w:t>o ten se však zasloužily hlavně</w:t>
            </w:r>
            <w:r>
              <w:rPr>
                <w:rFonts w:cs="Arial"/>
                <w:color w:val="0D0D0D" w:themeColor="text1" w:themeTint="F2"/>
                <w:spacing w:val="-6"/>
              </w:rPr>
              <w:t xml:space="preserve"> cestovní agentury a kanceláře, které doháněly hluboké ztráty z roku 2020.</w:t>
            </w:r>
            <w:r w:rsidRPr="00C60BAD">
              <w:rPr>
                <w:rFonts w:cs="Arial"/>
                <w:color w:val="0D0D0D" w:themeColor="text1" w:themeTint="F2"/>
                <w:spacing w:val="-6"/>
              </w:rPr>
              <w:t xml:space="preserve"> Poptávka se naopak snížila </w:t>
            </w:r>
            <w:r>
              <w:rPr>
                <w:rFonts w:cs="Arial"/>
                <w:color w:val="0D0D0D" w:themeColor="text1" w:themeTint="F2"/>
                <w:spacing w:val="-6"/>
              </w:rPr>
              <w:t xml:space="preserve">v </w:t>
            </w:r>
            <w:r w:rsidRPr="00C60BAD">
              <w:rPr>
                <w:rFonts w:cs="Arial"/>
                <w:color w:val="0D0D0D" w:themeColor="text1" w:themeTint="F2"/>
                <w:spacing w:val="-6"/>
              </w:rPr>
              <w:t>oblastech reagujíc</w:t>
            </w:r>
            <w:r>
              <w:rPr>
                <w:rFonts w:cs="Arial"/>
                <w:color w:val="0D0D0D" w:themeColor="text1" w:themeTint="F2"/>
                <w:spacing w:val="-6"/>
              </w:rPr>
              <w:t xml:space="preserve">ích citlivě na hospodářský cyklus, např. </w:t>
            </w:r>
            <w:r w:rsidRPr="00C60BAD">
              <w:rPr>
                <w:rFonts w:cs="Arial"/>
                <w:color w:val="0D0D0D" w:themeColor="text1" w:themeTint="F2"/>
                <w:spacing w:val="-6"/>
              </w:rPr>
              <w:t>u pronájmu a operativního leasingu (</w:t>
            </w:r>
            <w:r>
              <w:rPr>
                <w:rFonts w:cs="Arial"/>
                <w:color w:val="0D0D0D" w:themeColor="text1" w:themeTint="F2"/>
                <w:spacing w:val="-6"/>
              </w:rPr>
              <w:t xml:space="preserve">zejména </w:t>
            </w:r>
            <w:r w:rsidRPr="00C60BAD">
              <w:rPr>
                <w:rFonts w:cs="Arial"/>
                <w:color w:val="0D0D0D" w:themeColor="text1" w:themeTint="F2"/>
                <w:spacing w:val="-6"/>
              </w:rPr>
              <w:t>automobilů i strojů</w:t>
            </w:r>
            <w:r>
              <w:rPr>
                <w:rFonts w:cs="Arial"/>
                <w:color w:val="0D0D0D" w:themeColor="text1" w:themeTint="F2"/>
                <w:spacing w:val="-6"/>
              </w:rPr>
              <w:t>) o</w:t>
            </w:r>
            <w:r>
              <w:rPr>
                <w:color w:val="0D0D0D" w:themeColor="text1" w:themeTint="F2"/>
                <w:spacing w:val="-6"/>
              </w:rPr>
              <w:t> </w:t>
            </w:r>
            <w:r>
              <w:rPr>
                <w:rFonts w:cs="Arial"/>
                <w:color w:val="0D0D0D" w:themeColor="text1" w:themeTint="F2"/>
                <w:spacing w:val="-6"/>
              </w:rPr>
              <w:t>3,4 % a dále také u pracovních agentur (-4,6 %). Poptávka po drtivé většině dílčích oborů v rámci administrativních a podpůrných činností zůstávala i na sklonku loňského roku pod předpandemickou úrovní (nejvíce u pracovních agentur, kde byly tržby oproti 4. čtvrtletí 2019 o více než čtvrtinu nižší).</w:t>
            </w:r>
          </w:p>
        </w:tc>
      </w:tr>
      <w:tr w:rsidR="00E87D5B" w:rsidRPr="00BD3BE9" w14:paraId="7E2635B8" w14:textId="77777777" w:rsidTr="008B1850">
        <w:trPr>
          <w:trHeight w:val="17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366D2F58" w14:textId="77777777" w:rsidR="00E87D5B" w:rsidRPr="00BD3BE9" w:rsidRDefault="00E87D5B" w:rsidP="00C8019E">
            <w:pPr>
              <w:pStyle w:val="Marginlie"/>
              <w:rPr>
                <w:color w:val="0D0D0D" w:themeColor="text1" w:themeTint="F2"/>
              </w:rPr>
            </w:pPr>
            <w:proofErr w:type="spellStart"/>
            <w:r w:rsidRPr="00BD3BE9">
              <w:rPr>
                <w:color w:val="0D0D0D" w:themeColor="text1" w:themeTint="F2"/>
              </w:rPr>
              <w:lastRenderedPageBreak/>
              <w:t>Mezikvartální</w:t>
            </w:r>
            <w:proofErr w:type="spellEnd"/>
            <w:r w:rsidRPr="00BD3BE9">
              <w:rPr>
                <w:color w:val="0D0D0D" w:themeColor="text1" w:themeTint="F2"/>
              </w:rPr>
              <w:t xml:space="preserve"> pokles maloobchodních tržeb přetrvával páté čtvrtletí v řadě.</w:t>
            </w:r>
          </w:p>
          <w:p w14:paraId="32515FD3" w14:textId="77777777" w:rsidR="00C8019E" w:rsidRDefault="00C8019E" w:rsidP="00C8019E">
            <w:pPr>
              <w:pStyle w:val="Marginlie"/>
            </w:pPr>
          </w:p>
          <w:p w14:paraId="15BE12E2" w14:textId="5D2011A2" w:rsidR="00E87D5B" w:rsidRDefault="00E87D5B" w:rsidP="00C8019E">
            <w:pPr>
              <w:pStyle w:val="Marginlie"/>
            </w:pPr>
            <w:r>
              <w:t>Velmi negativní spotřebitelská důvěra se na přelomu roku 2022 a</w:t>
            </w:r>
            <w:r w:rsidRPr="00BD3BE9">
              <w:rPr>
                <w:color w:val="0D0D0D" w:themeColor="text1" w:themeTint="F2"/>
              </w:rPr>
              <w:t> </w:t>
            </w:r>
            <w:r>
              <w:t>2023 zmírňovala.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37E7240C" w14:textId="77777777" w:rsidR="00E87D5B" w:rsidRDefault="00E87D5B" w:rsidP="00C8019E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395E9FD3" w14:textId="4B88321B" w:rsidR="00E87D5B" w:rsidRPr="00BD3BE9" w:rsidRDefault="00E87D5B" w:rsidP="00C8019E">
            <w:pPr>
              <w:spacing w:after="200"/>
              <w:rPr>
                <w:rFonts w:cs="Arial"/>
                <w:color w:val="0D0D0D" w:themeColor="text1" w:themeTint="F2"/>
                <w:spacing w:val="-5"/>
                <w:szCs w:val="20"/>
              </w:rPr>
            </w:pPr>
            <w:r w:rsidRPr="00BD3BE9">
              <w:rPr>
                <w:rFonts w:cs="Arial"/>
                <w:color w:val="0D0D0D" w:themeColor="text1" w:themeTint="F2"/>
                <w:spacing w:val="-5"/>
                <w:szCs w:val="20"/>
              </w:rPr>
              <w:t>Tržby v maloobchodu</w:t>
            </w:r>
            <w:r w:rsidRPr="00BD3BE9">
              <w:rPr>
                <w:rStyle w:val="Znakapoznpodarou"/>
                <w:color w:val="0D0D0D" w:themeColor="text1" w:themeTint="F2"/>
                <w:spacing w:val="-5"/>
              </w:rPr>
              <w:footnoteReference w:id="31"/>
            </w:r>
            <w:r w:rsidRPr="00BD3BE9">
              <w:rPr>
                <w:rFonts w:cs="Arial"/>
                <w:color w:val="0D0D0D" w:themeColor="text1" w:themeTint="F2"/>
                <w:spacing w:val="-5"/>
                <w:szCs w:val="20"/>
              </w:rPr>
              <w:t xml:space="preserve"> byly ve 4. čtvrtletí 2022 mezikvartálně nižší o rovná 2 %, když klesaly ve všech jeho významných segmentech</w:t>
            </w:r>
            <w:r>
              <w:rPr>
                <w:rFonts w:cs="Arial"/>
                <w:color w:val="0D0D0D" w:themeColor="text1" w:themeTint="F2"/>
                <w:spacing w:val="-5"/>
                <w:szCs w:val="20"/>
              </w:rPr>
              <w:t xml:space="preserve"> </w:t>
            </w:r>
            <w:r w:rsidRPr="00BD3BE9">
              <w:rPr>
                <w:rFonts w:cs="Arial"/>
                <w:color w:val="0D0D0D" w:themeColor="text1" w:themeTint="F2"/>
                <w:spacing w:val="-5"/>
                <w:szCs w:val="20"/>
              </w:rPr>
              <w:t xml:space="preserve">vyjma prodeje pohonných hmot (PHM). Útlum poptávky v maloobchodu pokračoval pátý kvartál v řadě (shodně jako v případě celkových výdajů </w:t>
            </w:r>
            <w:r>
              <w:rPr>
                <w:rFonts w:cs="Arial"/>
                <w:color w:val="0D0D0D" w:themeColor="text1" w:themeTint="F2"/>
                <w:spacing w:val="-5"/>
                <w:szCs w:val="20"/>
              </w:rPr>
              <w:t xml:space="preserve">tuzemských </w:t>
            </w:r>
            <w:r w:rsidRPr="00BD3BE9">
              <w:rPr>
                <w:rFonts w:cs="Arial"/>
                <w:color w:val="0D0D0D" w:themeColor="text1" w:themeTint="F2"/>
                <w:spacing w:val="-5"/>
                <w:szCs w:val="20"/>
              </w:rPr>
              <w:t xml:space="preserve">domácností </w:t>
            </w:r>
            <w:r>
              <w:rPr>
                <w:rFonts w:cs="Arial"/>
                <w:color w:val="0D0D0D" w:themeColor="text1" w:themeTint="F2"/>
                <w:spacing w:val="-5"/>
                <w:szCs w:val="20"/>
              </w:rPr>
              <w:t xml:space="preserve">na </w:t>
            </w:r>
            <w:r w:rsidRPr="00BD3BE9">
              <w:rPr>
                <w:rFonts w:cs="Arial"/>
                <w:color w:val="0D0D0D" w:themeColor="text1" w:themeTint="F2"/>
                <w:spacing w:val="-5"/>
                <w:szCs w:val="20"/>
              </w:rPr>
              <w:t xml:space="preserve">konečnou spotřebu). </w:t>
            </w:r>
            <w:r>
              <w:rPr>
                <w:rFonts w:cs="Arial"/>
                <w:color w:val="0D0D0D" w:themeColor="text1" w:themeTint="F2"/>
                <w:spacing w:val="-5"/>
                <w:szCs w:val="20"/>
              </w:rPr>
              <w:t xml:space="preserve">Naopak </w:t>
            </w:r>
            <w:proofErr w:type="spellStart"/>
            <w:r w:rsidRPr="00C73A63">
              <w:rPr>
                <w:rFonts w:cs="Arial"/>
                <w:color w:val="0D0D0D" w:themeColor="text1" w:themeTint="F2"/>
                <w:spacing w:val="-5"/>
                <w:szCs w:val="20"/>
              </w:rPr>
              <w:t>prorůstově</w:t>
            </w:r>
            <w:proofErr w:type="spellEnd"/>
            <w:r>
              <w:rPr>
                <w:rFonts w:cs="Arial"/>
                <w:color w:val="0D0D0D" w:themeColor="text1" w:themeTint="F2"/>
                <w:spacing w:val="-5"/>
                <w:szCs w:val="20"/>
              </w:rPr>
              <w:t xml:space="preserve"> působily</w:t>
            </w:r>
            <w:r w:rsidRPr="00C73A63">
              <w:rPr>
                <w:rFonts w:cs="Arial"/>
                <w:color w:val="0D0D0D" w:themeColor="text1" w:themeTint="F2"/>
                <w:spacing w:val="-5"/>
                <w:szCs w:val="20"/>
              </w:rPr>
              <w:t xml:space="preserve"> vyšší spotřební výdaje </w:t>
            </w:r>
            <w:r>
              <w:rPr>
                <w:rFonts w:cs="Arial"/>
                <w:color w:val="0D0D0D" w:themeColor="text1" w:themeTint="F2"/>
                <w:spacing w:val="-5"/>
                <w:szCs w:val="20"/>
              </w:rPr>
              <w:t xml:space="preserve">nerezidentů </w:t>
            </w:r>
            <w:r w:rsidRPr="00C73A63">
              <w:rPr>
                <w:rFonts w:cs="Arial"/>
                <w:color w:val="0D0D0D" w:themeColor="text1" w:themeTint="F2"/>
                <w:spacing w:val="-4"/>
                <w:szCs w:val="20"/>
              </w:rPr>
              <w:t>související s oživením turismu či uprchlickou vlnou z Ukrajiny.</w:t>
            </w:r>
            <w:r w:rsidRPr="00C73A63">
              <w:rPr>
                <w:rFonts w:cs="Arial"/>
                <w:color w:val="0D0D0D" w:themeColor="text1" w:themeTint="F2"/>
                <w:spacing w:val="-5"/>
                <w:szCs w:val="20"/>
              </w:rPr>
              <w:t xml:space="preserve"> </w:t>
            </w:r>
            <w:r w:rsidRPr="00BD3BE9">
              <w:rPr>
                <w:rFonts w:cs="Arial"/>
                <w:color w:val="0D0D0D" w:themeColor="text1" w:themeTint="F2"/>
                <w:spacing w:val="-5"/>
                <w:szCs w:val="20"/>
              </w:rPr>
              <w:t>V lednu 2023 se sice meziměsíční pok</w:t>
            </w:r>
            <w:r w:rsidR="00C8019E">
              <w:rPr>
                <w:rFonts w:cs="Arial"/>
                <w:color w:val="0D0D0D" w:themeColor="text1" w:themeTint="F2"/>
                <w:spacing w:val="-5"/>
                <w:szCs w:val="20"/>
              </w:rPr>
              <w:t>les maloobchodních tržeb</w:t>
            </w:r>
            <w:r w:rsidRPr="00BD3BE9">
              <w:rPr>
                <w:rFonts w:cs="Arial"/>
                <w:color w:val="0D0D0D" w:themeColor="text1" w:themeTint="F2"/>
                <w:spacing w:val="-5"/>
                <w:szCs w:val="20"/>
              </w:rPr>
              <w:t xml:space="preserve"> zastavil, jejich výše se ale jen dorovnala úrovni z října 2018. </w:t>
            </w:r>
            <w:r>
              <w:rPr>
                <w:rFonts w:cs="Arial"/>
                <w:color w:val="0D0D0D" w:themeColor="text1" w:themeTint="F2"/>
                <w:spacing w:val="-5"/>
                <w:szCs w:val="20"/>
              </w:rPr>
              <w:t>Plně se zde projevil útlum</w:t>
            </w:r>
            <w:r w:rsidRPr="00BD3BE9">
              <w:rPr>
                <w:rFonts w:cs="Arial"/>
                <w:color w:val="0D0D0D" w:themeColor="text1" w:themeTint="F2"/>
                <w:spacing w:val="-5"/>
                <w:szCs w:val="20"/>
              </w:rPr>
              <w:t xml:space="preserve"> spotřebitelské důvěry až na historické minimum (v říjnu 2022)</w:t>
            </w:r>
            <w:r w:rsidRPr="00BD3BE9">
              <w:rPr>
                <w:rStyle w:val="Znakapoznpodarou"/>
                <w:color w:val="0D0D0D" w:themeColor="text1" w:themeTint="F2"/>
                <w:spacing w:val="-5"/>
                <w:szCs w:val="20"/>
              </w:rPr>
              <w:footnoteReference w:id="32"/>
            </w:r>
            <w:r w:rsidRPr="00BD3BE9">
              <w:rPr>
                <w:rFonts w:cs="Arial"/>
                <w:color w:val="0D0D0D" w:themeColor="text1" w:themeTint="F2"/>
                <w:spacing w:val="-5"/>
                <w:szCs w:val="20"/>
              </w:rPr>
              <w:t xml:space="preserve">. Na počátku roku 2023 se důvěra domácností zčásti zotavila, neboť pesimismus v oblasti jejich finanční situace domácností ve výhledu na letošní rok polevil. Poklesly i jejich obavy z růstu cen i nezaměstnanosti. To mohlo souviset s relativně příznivými trendy v oblasti aktuálního vývoje cen na trhu s energiemi a PHM. Na druhou stranu </w:t>
            </w:r>
            <w:r>
              <w:rPr>
                <w:rFonts w:cs="Arial"/>
                <w:color w:val="0D0D0D" w:themeColor="text1" w:themeTint="F2"/>
                <w:spacing w:val="-5"/>
                <w:szCs w:val="20"/>
              </w:rPr>
              <w:t>zůstali lidé dosti</w:t>
            </w:r>
            <w:r w:rsidRPr="00BD3BE9">
              <w:rPr>
                <w:rFonts w:cs="Arial"/>
                <w:color w:val="0D0D0D" w:themeColor="text1" w:themeTint="F2"/>
                <w:spacing w:val="-5"/>
                <w:szCs w:val="20"/>
              </w:rPr>
              <w:t xml:space="preserve"> opatrní v oblasti plánování velkých nákupů (zejména zboží dlouhodobé spotřeby či investic). </w:t>
            </w:r>
          </w:p>
        </w:tc>
      </w:tr>
      <w:tr w:rsidR="00E87D5B" w:rsidRPr="00C73A63" w14:paraId="649FC10F" w14:textId="77777777" w:rsidTr="008B1850">
        <w:trPr>
          <w:trHeight w:val="17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49996F4C" w14:textId="77777777" w:rsidR="00E87D5B" w:rsidRPr="00BD3BE9" w:rsidRDefault="00E87D5B" w:rsidP="00C8019E">
            <w:pPr>
              <w:pStyle w:val="Marginlie"/>
              <w:rPr>
                <w:color w:val="0D0D0D" w:themeColor="text1" w:themeTint="F2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1E4F9552" w14:textId="77777777" w:rsidR="00E87D5B" w:rsidRPr="00BD3BE9" w:rsidRDefault="00E87D5B" w:rsidP="00C8019E">
            <w:pPr>
              <w:pStyle w:val="Textpoznpodarou"/>
              <w:jc w:val="both"/>
              <w:rPr>
                <w:color w:val="0D0D0D" w:themeColor="text1" w:themeTint="F2"/>
                <w:spacing w:val="-4"/>
              </w:rPr>
            </w:pPr>
          </w:p>
        </w:tc>
        <w:tc>
          <w:tcPr>
            <w:tcW w:w="7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6E20350A" w14:textId="77777777" w:rsidR="00E87D5B" w:rsidRPr="00C73A63" w:rsidRDefault="00E87D5B" w:rsidP="00C8019E">
            <w:pPr>
              <w:spacing w:after="40"/>
              <w:rPr>
                <w:rFonts w:cs="Arial"/>
                <w:color w:val="0D0D0D" w:themeColor="text1" w:themeTint="F2"/>
                <w:spacing w:val="-4"/>
                <w:szCs w:val="20"/>
              </w:rPr>
            </w:pPr>
            <w:r>
              <w:rPr>
                <w:b/>
              </w:rPr>
              <w:t>Graf č. 8</w:t>
            </w:r>
            <w:r w:rsidRPr="00F0005D">
              <w:rPr>
                <w:b/>
              </w:rPr>
              <w:t xml:space="preserve"> </w:t>
            </w:r>
            <w:r w:rsidRPr="004405E2">
              <w:rPr>
                <w:rFonts w:cs="Arial"/>
                <w:b/>
                <w:bCs/>
                <w:color w:val="0D0D0D" w:themeColor="text1" w:themeTint="F2"/>
                <w:spacing w:val="-6"/>
              </w:rPr>
              <w:t xml:space="preserve">Příspěvky dílčích odvětví k meziroční změně tržeb v maloobchodu* </w:t>
            </w:r>
            <w:r w:rsidRPr="004405E2">
              <w:rPr>
                <w:rFonts w:cs="Arial"/>
                <w:color w:val="0D0D0D" w:themeColor="text1" w:themeTint="F2"/>
                <w:spacing w:val="-6"/>
              </w:rPr>
              <w:t xml:space="preserve">(reálně, v p. b.), </w:t>
            </w:r>
            <w:r w:rsidRPr="004405E2">
              <w:rPr>
                <w:rFonts w:cs="Arial"/>
                <w:b/>
                <w:bCs/>
                <w:color w:val="0D0D0D" w:themeColor="text1" w:themeTint="F2"/>
                <w:spacing w:val="-6"/>
              </w:rPr>
              <w:t xml:space="preserve">tržby v maloobchodu a v motoristickém segmentu obchodu** </w:t>
            </w:r>
            <w:r w:rsidRPr="004405E2">
              <w:rPr>
                <w:rFonts w:cs="Arial"/>
                <w:color w:val="0D0D0D" w:themeColor="text1" w:themeTint="F2"/>
                <w:spacing w:val="-6"/>
              </w:rPr>
              <w:t xml:space="preserve">(reálně, úroveň roku 2015=100, pravá osa) </w:t>
            </w:r>
            <w:r w:rsidRPr="004405E2">
              <w:rPr>
                <w:rFonts w:cs="Arial"/>
                <w:b/>
                <w:bCs/>
                <w:color w:val="0D0D0D" w:themeColor="text1" w:themeTint="F2"/>
                <w:spacing w:val="-6"/>
              </w:rPr>
              <w:t xml:space="preserve">a saldo celkové důvěry spotřebitelů*** </w:t>
            </w:r>
            <w:r w:rsidRPr="004405E2">
              <w:rPr>
                <w:rFonts w:cs="Arial"/>
                <w:color w:val="0D0D0D" w:themeColor="text1" w:themeTint="F2"/>
                <w:spacing w:val="-6"/>
              </w:rPr>
              <w:t>(v p. b., pravá osa)</w:t>
            </w:r>
          </w:p>
        </w:tc>
      </w:tr>
      <w:tr w:rsidR="00E87D5B" w:rsidRPr="004C1143" w14:paraId="3D91FDEC" w14:textId="77777777" w:rsidTr="008B1850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E432D" w14:textId="77777777" w:rsidR="00E87D5B" w:rsidRDefault="00E87D5B" w:rsidP="00C8019E">
            <w:pPr>
              <w:pStyle w:val="Marginlie"/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3F050" w14:textId="77777777" w:rsidR="00E87D5B" w:rsidRDefault="00E87D5B" w:rsidP="00C8019E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6F42B" w14:textId="77777777" w:rsidR="00E87D5B" w:rsidRPr="004C1143" w:rsidRDefault="00E87D5B" w:rsidP="00C8019E">
            <w:pPr>
              <w:spacing w:after="0"/>
              <w:rPr>
                <w:rFonts w:cs="Arial"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422347F9" wp14:editId="5E8CF299">
                  <wp:extent cx="4788000" cy="3716118"/>
                  <wp:effectExtent l="0" t="0" r="0" b="0"/>
                  <wp:docPr id="16" name="Graf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  <w:tr w:rsidR="00E87D5B" w:rsidRPr="004C1143" w14:paraId="569DBE30" w14:textId="77777777" w:rsidTr="008B1850">
        <w:trPr>
          <w:trHeight w:val="17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24C71A95" w14:textId="77777777" w:rsidR="00E87D5B" w:rsidRDefault="00E87D5B" w:rsidP="00C8019E">
            <w:pPr>
              <w:pStyle w:val="Marginlie"/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0553836D" w14:textId="77777777" w:rsidR="00E87D5B" w:rsidRDefault="00E87D5B" w:rsidP="00C8019E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6FE59009" w14:textId="77777777" w:rsidR="00E87D5B" w:rsidRPr="00052ADA" w:rsidRDefault="00E87D5B" w:rsidP="00C8019E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color w:val="0D0D0D" w:themeColor="text1" w:themeTint="F2"/>
                <w:spacing w:val="-6"/>
              </w:rPr>
              <w:t>*</w:t>
            </w:r>
            <w:r w:rsidRPr="00052ADA">
              <w:rPr>
                <w:rFonts w:cs="Arial"/>
                <w:sz w:val="14"/>
                <w:szCs w:val="14"/>
              </w:rPr>
              <w:t xml:space="preserve"> Tržby jsou očištěny o kalendářní vlivy.       ** Tržby jsou sezónně i kalendářně očištěny.</w:t>
            </w:r>
          </w:p>
          <w:p w14:paraId="54D3A640" w14:textId="77777777" w:rsidR="00E87D5B" w:rsidRPr="004C1143" w:rsidRDefault="00E87D5B" w:rsidP="00C8019E">
            <w:pPr>
              <w:spacing w:after="20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color w:val="0D0D0D" w:themeColor="text1" w:themeTint="F2"/>
                <w:spacing w:val="-4"/>
                <w:sz w:val="14"/>
                <w:szCs w:val="14"/>
              </w:rPr>
              <w:t>*** Salda důvěry jsou sezónně očištěna a vyjadřují</w:t>
            </w:r>
            <w:r w:rsidRPr="00052ADA">
              <w:rPr>
                <w:rFonts w:cs="Arial"/>
                <w:color w:val="0D0D0D" w:themeColor="text1" w:themeTint="F2"/>
                <w:spacing w:val="-4"/>
                <w:sz w:val="14"/>
                <w:szCs w:val="14"/>
              </w:rPr>
              <w:t xml:space="preserve"> stav ve druhém měs</w:t>
            </w:r>
            <w:r>
              <w:rPr>
                <w:rFonts w:cs="Arial"/>
                <w:color w:val="0D0D0D" w:themeColor="text1" w:themeTint="F2"/>
                <w:spacing w:val="-4"/>
                <w:sz w:val="14"/>
                <w:szCs w:val="14"/>
              </w:rPr>
              <w:t>íci daného čtvrtletí.</w:t>
            </w:r>
            <w:r>
              <w:rPr>
                <w:rFonts w:cs="Arial"/>
                <w:color w:val="0D0D0D" w:themeColor="text1" w:themeTint="F2"/>
                <w:spacing w:val="-4"/>
                <w:sz w:val="14"/>
                <w:szCs w:val="14"/>
              </w:rPr>
              <w:tab/>
              <w:t xml:space="preserve">      </w:t>
            </w:r>
            <w:r w:rsidRPr="00052ADA">
              <w:rPr>
                <w:rFonts w:cs="Arial"/>
                <w:color w:val="0D0D0D" w:themeColor="text1" w:themeTint="F2"/>
                <w:spacing w:val="-4"/>
                <w:sz w:val="14"/>
                <w:szCs w:val="14"/>
              </w:rPr>
              <w:t xml:space="preserve">       </w:t>
            </w:r>
            <w:r>
              <w:rPr>
                <w:rFonts w:cs="Arial"/>
                <w:color w:val="0D0D0D" w:themeColor="text1" w:themeTint="F2"/>
                <w:spacing w:val="-4"/>
                <w:sz w:val="14"/>
                <w:szCs w:val="14"/>
              </w:rPr>
              <w:t xml:space="preserve">                   </w:t>
            </w:r>
            <w:r w:rsidRPr="00052ADA">
              <w:rPr>
                <w:rFonts w:cs="Arial"/>
                <w:color w:val="0D0D0D" w:themeColor="text1" w:themeTint="F2"/>
                <w:spacing w:val="-4"/>
                <w:sz w:val="14"/>
                <w:szCs w:val="14"/>
              </w:rPr>
              <w:t xml:space="preserve">  Zdroj: ČSÚ</w:t>
            </w:r>
          </w:p>
        </w:tc>
      </w:tr>
      <w:tr w:rsidR="00E87D5B" w:rsidRPr="00632A8A" w14:paraId="7B09011E" w14:textId="77777777" w:rsidTr="008B1850">
        <w:trPr>
          <w:trHeight w:val="17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7C962893" w14:textId="77777777" w:rsidR="00E87D5B" w:rsidRPr="00632A8A" w:rsidRDefault="00E87D5B" w:rsidP="00C8019E">
            <w:pPr>
              <w:pStyle w:val="Marginlie"/>
            </w:pPr>
            <w:r w:rsidRPr="00632A8A">
              <w:t>K poklesu maloobchodních tržeb za celý loňský rok z poloviny přispěl nižší prodej potravin. Výrazně také klesla poptávka v oblasti internetového prodeje.</w:t>
            </w:r>
          </w:p>
          <w:p w14:paraId="279F9A3F" w14:textId="77777777" w:rsidR="00E87D5B" w:rsidRPr="00632A8A" w:rsidRDefault="00E87D5B" w:rsidP="00C8019E">
            <w:pPr>
              <w:pStyle w:val="Marginlie"/>
            </w:pPr>
          </w:p>
          <w:p w14:paraId="30ED2CB1" w14:textId="77777777" w:rsidR="00E87D5B" w:rsidRPr="00632A8A" w:rsidRDefault="00E87D5B" w:rsidP="00C8019E">
            <w:pPr>
              <w:pStyle w:val="Marginlie"/>
            </w:pPr>
          </w:p>
          <w:p w14:paraId="15D858EC" w14:textId="77777777" w:rsidR="00E87D5B" w:rsidRPr="00632A8A" w:rsidRDefault="00E87D5B" w:rsidP="00C8019E">
            <w:pPr>
              <w:pStyle w:val="Marginlie"/>
            </w:pPr>
          </w:p>
          <w:p w14:paraId="27D80850" w14:textId="77777777" w:rsidR="00E87D5B" w:rsidRPr="00632A8A" w:rsidRDefault="00E87D5B" w:rsidP="00C8019E">
            <w:pPr>
              <w:pStyle w:val="Marginlie"/>
            </w:pPr>
          </w:p>
          <w:p w14:paraId="25C3AFD8" w14:textId="77777777" w:rsidR="00E87D5B" w:rsidRPr="00632A8A" w:rsidRDefault="00E87D5B" w:rsidP="00C8019E">
            <w:pPr>
              <w:pStyle w:val="Marginlie"/>
            </w:pPr>
            <w:r w:rsidRPr="00632A8A">
              <w:t>Pokles poptávky v motoristickém segmentu obchodu se zmírnil, přesto za rokem 2019 stále citelně zaostával.</w:t>
            </w:r>
          </w:p>
          <w:p w14:paraId="5F3DAF95" w14:textId="77777777" w:rsidR="00E87D5B" w:rsidRPr="00632A8A" w:rsidRDefault="00E87D5B" w:rsidP="00C8019E">
            <w:pPr>
              <w:pStyle w:val="Marginlie"/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5C85D738" w14:textId="77777777" w:rsidR="00E87D5B" w:rsidRPr="00632A8A" w:rsidRDefault="00E87D5B" w:rsidP="00C8019E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159E755C" w14:textId="68A27174" w:rsidR="00E87D5B" w:rsidRPr="00632A8A" w:rsidRDefault="00E87D5B" w:rsidP="00C8019E">
            <w:pPr>
              <w:spacing w:after="0"/>
              <w:rPr>
                <w:rFonts w:cs="Arial"/>
                <w:color w:val="0D0D0D" w:themeColor="text1" w:themeTint="F2"/>
                <w:spacing w:val="-6"/>
              </w:rPr>
            </w:pPr>
            <w:r w:rsidRPr="00632A8A">
              <w:rPr>
                <w:rFonts w:cs="Arial"/>
                <w:color w:val="0D0D0D" w:themeColor="text1" w:themeTint="F2"/>
                <w:spacing w:val="-6"/>
              </w:rPr>
              <w:t>V posledním loňském čtvrtletí se tržby v maloobchodu meziročně propadly o 9,2 %. Citelný útlum poptávky nastal napříč všemi jeho hlavním</w:t>
            </w:r>
            <w:r>
              <w:rPr>
                <w:rFonts w:cs="Arial"/>
                <w:color w:val="0D0D0D" w:themeColor="text1" w:themeTint="F2"/>
                <w:spacing w:val="-6"/>
              </w:rPr>
              <w:t>i</w:t>
            </w:r>
            <w:r w:rsidRPr="00632A8A">
              <w:rPr>
                <w:rFonts w:cs="Arial"/>
                <w:color w:val="0D0D0D" w:themeColor="text1" w:themeTint="F2"/>
                <w:spacing w:val="-6"/>
              </w:rPr>
              <w:t xml:space="preserve"> segmenty, vč. drtivé většiny specializovaných prodejen. Za celý rok 2022 se maloobchodní tržby snížily o 3,8 % (nejvyšší meziroční po</w:t>
            </w:r>
            <w:r w:rsidR="00C8019E">
              <w:rPr>
                <w:rFonts w:cs="Arial"/>
                <w:color w:val="0D0D0D" w:themeColor="text1" w:themeTint="F2"/>
                <w:spacing w:val="-6"/>
              </w:rPr>
              <w:t>kles ve srovnatelné řadě od roku 2001</w:t>
            </w:r>
            <w:r w:rsidRPr="00632A8A">
              <w:rPr>
                <w:rFonts w:cs="Arial"/>
                <w:color w:val="0D0D0D" w:themeColor="text1" w:themeTint="F2"/>
                <w:spacing w:val="-6"/>
              </w:rPr>
              <w:t xml:space="preserve">). Polovina loňského poklesu souvisela </w:t>
            </w:r>
            <w:r>
              <w:rPr>
                <w:rFonts w:cs="Arial"/>
                <w:color w:val="0D0D0D" w:themeColor="text1" w:themeTint="F2"/>
                <w:spacing w:val="-6"/>
              </w:rPr>
              <w:t>s</w:t>
            </w:r>
            <w:r w:rsidRPr="00632A8A">
              <w:rPr>
                <w:rFonts w:cs="Arial"/>
                <w:color w:val="0D0D0D" w:themeColor="text1" w:themeTint="F2"/>
                <w:spacing w:val="-6"/>
              </w:rPr>
              <w:t xml:space="preserve"> nižšími tržbami za potraviny (o 5,1 %), když podobný pokles poptávky u nich zaznamenaly jak velké nespecializované prodejny (řetězce), tak specializované provozovny. Rekordně loni poklesly i tržby za nepotravinářské zboží (o 3,1 %), které byly rozhodujícím faktorem útlumu maloobchodu ve 2. pololetí 2022. Zásadní roli sehrály slabší prodeje prostřednictvím internetu </w:t>
            </w:r>
            <w:r w:rsidRPr="00632A8A">
              <w:rPr>
                <w:rFonts w:cs="Arial"/>
                <w:color w:val="0D0D0D" w:themeColor="text1" w:themeTint="F2"/>
                <w:spacing w:val="-6"/>
              </w:rPr>
              <w:lastRenderedPageBreak/>
              <w:t>nebo zásilkové služby, kde za celý rok tržby propadly o 10,6 %</w:t>
            </w:r>
            <w:r w:rsidRPr="00C469E8">
              <w:rPr>
                <w:rStyle w:val="Znakapoznpodarou"/>
                <w:rFonts w:cs="Arial"/>
                <w:color w:val="0D0D0D" w:themeColor="text1" w:themeTint="F2"/>
                <w:spacing w:val="-6"/>
              </w:rPr>
              <w:footnoteReference w:id="33"/>
            </w:r>
            <w:r w:rsidRPr="00632A8A">
              <w:rPr>
                <w:rFonts w:cs="Arial"/>
                <w:color w:val="0D0D0D" w:themeColor="text1" w:themeTint="F2"/>
                <w:spacing w:val="-6"/>
              </w:rPr>
              <w:t xml:space="preserve"> (ve srovnání s rokem 2019 byly nicméně stále skoro o třetinu vyšší). Mírnější pokles poptávky byl však patrný i ve většině dalších specializovaných prodejen nepotravinářského zboží. Výjimkou byly zejména prodejny s oděvy, obuví a koženým zbožím, kde tržby meziročně posílily o více než desetinu (ale za rokem 2019 skoro o pětinu zaostávaly). Mírnější 4% růst zaznamenaly prodejny s kosmetickými a toaletními výrobky. Obdobně rostla také poptávka po </w:t>
            </w:r>
            <w:r>
              <w:rPr>
                <w:rFonts w:cs="Arial"/>
                <w:color w:val="0D0D0D" w:themeColor="text1" w:themeTint="F2"/>
                <w:spacing w:val="-6"/>
              </w:rPr>
              <w:t>farmaceutickém a</w:t>
            </w:r>
            <w:r w:rsidRPr="00632A8A">
              <w:rPr>
                <w:rFonts w:cs="Arial"/>
                <w:color w:val="0D0D0D" w:themeColor="text1" w:themeTint="F2"/>
                <w:spacing w:val="-6"/>
              </w:rPr>
              <w:t> zdravotnickém zboží, u něhož byl na rozdíl od většiny ostatních sortimentních skupin letos cenový růst jen pozvolný. Cenový vývoj loni ovlivňoval také poptávku po pohonných hmotách. Tržby se v této oblasti meziročn</w:t>
            </w:r>
            <w:r>
              <w:rPr>
                <w:rFonts w:cs="Arial"/>
                <w:color w:val="0D0D0D" w:themeColor="text1" w:themeTint="F2"/>
                <w:spacing w:val="-6"/>
              </w:rPr>
              <w:t>ě</w:t>
            </w:r>
            <w:r w:rsidRPr="00632A8A">
              <w:rPr>
                <w:rFonts w:cs="Arial"/>
                <w:color w:val="0D0D0D" w:themeColor="text1" w:themeTint="F2"/>
                <w:spacing w:val="-6"/>
              </w:rPr>
              <w:t xml:space="preserve"> snížily o 2,3 %, ve srovnání s rokem 2019 stále zaostávaly (o 7,</w:t>
            </w:r>
            <w:r w:rsidR="00C8019E">
              <w:rPr>
                <w:rFonts w:cs="Arial"/>
                <w:color w:val="0D0D0D" w:themeColor="text1" w:themeTint="F2"/>
                <w:spacing w:val="-6"/>
              </w:rPr>
              <w:t>5</w:t>
            </w:r>
            <w:r w:rsidRPr="00632A8A">
              <w:rPr>
                <w:rFonts w:cs="Arial"/>
                <w:color w:val="0D0D0D" w:themeColor="text1" w:themeTint="F2"/>
                <w:spacing w:val="-6"/>
              </w:rPr>
              <w:t xml:space="preserve"> %)</w:t>
            </w:r>
            <w:r w:rsidRPr="00C469E8">
              <w:rPr>
                <w:rStyle w:val="Znakapoznpodarou"/>
                <w:rFonts w:cs="Arial"/>
                <w:color w:val="0D0D0D" w:themeColor="text1" w:themeTint="F2"/>
                <w:spacing w:val="-6"/>
              </w:rPr>
              <w:footnoteReference w:id="34"/>
            </w:r>
            <w:r w:rsidRPr="00632A8A">
              <w:rPr>
                <w:rFonts w:cs="Arial"/>
                <w:color w:val="0D0D0D" w:themeColor="text1" w:themeTint="F2"/>
                <w:spacing w:val="-6"/>
              </w:rPr>
              <w:t xml:space="preserve">. To platilo i pro motoristický segment obchodu, v němž ovšem pokles tržeb trvající od poloviny roku 2021 loni ve 4. čtvrtletí zmírnil na 1,8 %. Jedinou částí tohoto segmentu, kde za celý loňský rok poptávka předčila předkrizový rok 2019, byl obchod, </w:t>
            </w:r>
            <w:r w:rsidR="00C8019E">
              <w:rPr>
                <w:rFonts w:cs="Arial"/>
                <w:color w:val="0D0D0D" w:themeColor="text1" w:themeTint="F2"/>
                <w:spacing w:val="-6"/>
              </w:rPr>
              <w:t>opravy a údržba motocyklů (+2,4</w:t>
            </w:r>
            <w:r w:rsidRPr="00632A8A">
              <w:rPr>
                <w:rFonts w:cs="Arial"/>
                <w:color w:val="0D0D0D" w:themeColor="text1" w:themeTint="F2"/>
                <w:spacing w:val="-6"/>
              </w:rPr>
              <w:t> %), naopak u obchodu s motorovými vozidly (kr</w:t>
            </w:r>
            <w:r w:rsidR="00C8019E">
              <w:rPr>
                <w:rFonts w:cs="Arial"/>
                <w:color w:val="0D0D0D" w:themeColor="text1" w:themeTint="F2"/>
                <w:spacing w:val="-6"/>
              </w:rPr>
              <w:t>omě motocyklů) zaostávala o 14,1</w:t>
            </w:r>
            <w:r w:rsidRPr="00632A8A">
              <w:rPr>
                <w:rFonts w:cs="Arial"/>
                <w:color w:val="0D0D0D" w:themeColor="text1" w:themeTint="F2"/>
                <w:spacing w:val="-6"/>
              </w:rPr>
              <w:t xml:space="preserve"> %.</w:t>
            </w:r>
          </w:p>
        </w:tc>
      </w:tr>
    </w:tbl>
    <w:p w14:paraId="237CCCAB" w14:textId="77777777" w:rsidR="00E87D5B" w:rsidRPr="00E42054" w:rsidRDefault="00E87D5B" w:rsidP="00CC4F0D">
      <w:pPr>
        <w:pStyle w:val="Nadpis11"/>
        <w:rPr>
          <w:b w:val="0"/>
          <w:sz w:val="2"/>
          <w:szCs w:val="2"/>
        </w:rPr>
      </w:pPr>
    </w:p>
    <w:bookmarkEnd w:id="0"/>
    <w:bookmarkEnd w:id="1"/>
    <w:bookmarkEnd w:id="2"/>
    <w:bookmarkEnd w:id="3"/>
    <w:bookmarkEnd w:id="4"/>
    <w:bookmarkEnd w:id="5"/>
    <w:sectPr w:rsidR="00E87D5B" w:rsidRPr="00E42054" w:rsidSect="00CC4F0D">
      <w:headerReference w:type="even" r:id="rId17"/>
      <w:headerReference w:type="default" r:id="rId18"/>
      <w:footerReference w:type="even" r:id="rId19"/>
      <w:footerReference w:type="default" r:id="rId20"/>
      <w:pgSz w:w="11906" w:h="16838" w:code="9"/>
      <w:pgMar w:top="1134" w:right="1134" w:bottom="1418" w:left="1134" w:header="680" w:footer="737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BFBA8" w14:textId="77777777" w:rsidR="00C8019E" w:rsidRDefault="00C8019E" w:rsidP="00E71A58">
      <w:r>
        <w:separator/>
      </w:r>
    </w:p>
  </w:endnote>
  <w:endnote w:type="continuationSeparator" w:id="0">
    <w:p w14:paraId="3BF26E2A" w14:textId="77777777" w:rsidR="00C8019E" w:rsidRDefault="00C8019E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4B6C8" w14:textId="60535B1F" w:rsidR="00C8019E" w:rsidRPr="00932443" w:rsidRDefault="00C8019E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67968" behindDoc="0" locked="0" layoutInCell="1" allowOverlap="1" wp14:anchorId="5009AFEB" wp14:editId="1EAEA9AF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22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7E3627">
      <w:rPr>
        <w:szCs w:val="16"/>
      </w:rPr>
      <w:t>26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rok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FAFAF" w14:textId="2720A469" w:rsidR="00C8019E" w:rsidRPr="00932443" w:rsidRDefault="00C8019E" w:rsidP="00FA6CB6">
    <w:pPr>
      <w:pStyle w:val="Zpat"/>
      <w:rPr>
        <w:szCs w:val="16"/>
      </w:rPr>
    </w:pPr>
    <w:r w:rsidRPr="00FA6CB6">
      <w:rPr>
        <w:szCs w:val="16"/>
      </w:rPr>
      <w:tab/>
    </w:r>
    <w:r>
      <w:rPr>
        <w:szCs w:val="16"/>
      </w:rPr>
      <w:t>rok 202</w:t>
    </w:r>
    <w:r>
      <w:rPr>
        <w:szCs w:val="16"/>
        <w:lang w:eastAsia="cs-CZ"/>
      </w:rPr>
      <w:drawing>
        <wp:anchor distT="0" distB="0" distL="114300" distR="114300" simplePos="0" relativeHeight="251658752" behindDoc="0" locked="0" layoutInCell="1" allowOverlap="1" wp14:anchorId="2DB053DA" wp14:editId="608D8B4A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24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Cs w:val="16"/>
      </w:rPr>
      <w:t>2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7E3627">
      <w:rPr>
        <w:rStyle w:val="ZpatChar"/>
        <w:szCs w:val="16"/>
      </w:rPr>
      <w:t>25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B19C3" w14:textId="77777777" w:rsidR="00C8019E" w:rsidRDefault="00C8019E" w:rsidP="00A21B4D">
      <w:pPr>
        <w:spacing w:after="0"/>
      </w:pPr>
      <w:r>
        <w:separator/>
      </w:r>
    </w:p>
  </w:footnote>
  <w:footnote w:type="continuationSeparator" w:id="0">
    <w:p w14:paraId="4094B28B" w14:textId="77777777" w:rsidR="00C8019E" w:rsidRDefault="00C8019E" w:rsidP="00E71A58">
      <w:r>
        <w:continuationSeparator/>
      </w:r>
    </w:p>
  </w:footnote>
  <w:footnote w:id="1">
    <w:p w14:paraId="157A1ECA" w14:textId="77777777" w:rsidR="00C8019E" w:rsidRPr="007163BD" w:rsidRDefault="00C8019E" w:rsidP="00E87D5B">
      <w:pPr>
        <w:pStyle w:val="Textpoznpodarou"/>
        <w:jc w:val="both"/>
        <w:rPr>
          <w:rFonts w:cs="Arial"/>
          <w:color w:val="0D0D0D" w:themeColor="text1" w:themeTint="F2"/>
          <w:spacing w:val="-2"/>
          <w:sz w:val="16"/>
          <w:szCs w:val="16"/>
        </w:rPr>
      </w:pPr>
      <w:r w:rsidRPr="007163BD">
        <w:rPr>
          <w:rStyle w:val="Znakapoznpodarou"/>
          <w:rFonts w:cs="Arial"/>
          <w:color w:val="0D0D0D" w:themeColor="text1" w:themeTint="F2"/>
          <w:spacing w:val="-2"/>
          <w:sz w:val="16"/>
          <w:szCs w:val="16"/>
        </w:rPr>
        <w:footnoteRef/>
      </w:r>
      <w:r w:rsidRPr="007163BD">
        <w:rPr>
          <w:rFonts w:cs="Arial"/>
          <w:color w:val="0D0D0D" w:themeColor="text1" w:themeTint="F2"/>
          <w:spacing w:val="-2"/>
          <w:sz w:val="16"/>
          <w:szCs w:val="16"/>
        </w:rPr>
        <w:t xml:space="preserve"> Údaje o HPH jsou vyjádřeny ve stálých cenách a v očištění o sezónní a kalendářní vlivy.</w:t>
      </w:r>
    </w:p>
  </w:footnote>
  <w:footnote w:id="2">
    <w:p w14:paraId="08FBDC77" w14:textId="77777777" w:rsidR="00C8019E" w:rsidRPr="008C6019" w:rsidRDefault="00C8019E" w:rsidP="00E87D5B">
      <w:pPr>
        <w:pStyle w:val="Textpoznpodarou"/>
        <w:rPr>
          <w:sz w:val="16"/>
          <w:szCs w:val="16"/>
        </w:rPr>
      </w:pPr>
      <w:r w:rsidRPr="008C6019">
        <w:rPr>
          <w:rStyle w:val="Znakapoznpodarou"/>
          <w:sz w:val="16"/>
          <w:szCs w:val="16"/>
        </w:rPr>
        <w:footnoteRef/>
      </w:r>
      <w:r w:rsidRPr="008C6019">
        <w:rPr>
          <w:sz w:val="16"/>
          <w:szCs w:val="16"/>
        </w:rPr>
        <w:t xml:space="preserve"> Pro zjednodušení </w:t>
      </w:r>
      <w:r>
        <w:rPr>
          <w:sz w:val="16"/>
          <w:szCs w:val="16"/>
        </w:rPr>
        <w:t>jsou zde zahrnuta</w:t>
      </w:r>
      <w:r w:rsidRPr="008C6019">
        <w:rPr>
          <w:sz w:val="16"/>
          <w:szCs w:val="16"/>
        </w:rPr>
        <w:t xml:space="preserve"> odvětví veřejná správa a obrana, vzdělávání, zdravotní a sociální péče.</w:t>
      </w:r>
    </w:p>
  </w:footnote>
  <w:footnote w:id="3">
    <w:p w14:paraId="414573BB" w14:textId="77777777" w:rsidR="00C8019E" w:rsidRPr="00AC0C8F" w:rsidRDefault="00C8019E" w:rsidP="00E87D5B">
      <w:pPr>
        <w:pStyle w:val="Textpoznpodarou"/>
        <w:rPr>
          <w:sz w:val="16"/>
          <w:szCs w:val="16"/>
        </w:rPr>
      </w:pPr>
      <w:r w:rsidRPr="00AC0C8F">
        <w:rPr>
          <w:rStyle w:val="Znakapoznpodarou"/>
          <w:sz w:val="16"/>
          <w:szCs w:val="16"/>
        </w:rPr>
        <w:footnoteRef/>
      </w:r>
      <w:r w:rsidRPr="00AC0C8F">
        <w:rPr>
          <w:sz w:val="16"/>
          <w:szCs w:val="16"/>
        </w:rPr>
        <w:t xml:space="preserve"> V rámci členských zemí EU to platilo pouze pro Španělsko, z dalších evropských zemí např. pro Velkou Británii.</w:t>
      </w:r>
    </w:p>
  </w:footnote>
  <w:footnote w:id="4">
    <w:p w14:paraId="2075B71C" w14:textId="77777777" w:rsidR="00C8019E" w:rsidRDefault="00C8019E" w:rsidP="00E87D5B">
      <w:pPr>
        <w:pStyle w:val="Textpoznpodarou"/>
      </w:pPr>
      <w:r w:rsidRPr="007163BD">
        <w:rPr>
          <w:rStyle w:val="Znakapoznpodarou"/>
          <w:sz w:val="16"/>
          <w:szCs w:val="16"/>
        </w:rPr>
        <w:footnoteRef/>
      </w:r>
      <w:r w:rsidRPr="007163BD">
        <w:rPr>
          <w:sz w:val="16"/>
          <w:szCs w:val="16"/>
        </w:rPr>
        <w:t xml:space="preserve"> Zahrnuje kulturní</w:t>
      </w:r>
      <w:r w:rsidRPr="003B5B59">
        <w:rPr>
          <w:sz w:val="16"/>
          <w:szCs w:val="16"/>
        </w:rPr>
        <w:t xml:space="preserve">, zábavní a rekreační činnosti a dále zejména poskytování osobních služeb (např. kadeřnictví, kosmetické služby, 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 xml:space="preserve">čisticí služby či </w:t>
      </w:r>
      <w:r w:rsidRPr="003B5B59">
        <w:rPr>
          <w:sz w:val="16"/>
          <w:szCs w:val="16"/>
        </w:rPr>
        <w:t>opravy výrobků pro osobní potřebu a převážně pro domácnost).</w:t>
      </w:r>
    </w:p>
  </w:footnote>
  <w:footnote w:id="5">
    <w:p w14:paraId="5EFE6F68" w14:textId="77777777" w:rsidR="00C8019E" w:rsidRPr="00241B79" w:rsidRDefault="00C8019E" w:rsidP="00E87D5B">
      <w:pPr>
        <w:pStyle w:val="Textpoznpodarou"/>
        <w:rPr>
          <w:spacing w:val="-4"/>
          <w:sz w:val="16"/>
          <w:szCs w:val="16"/>
        </w:rPr>
      </w:pPr>
      <w:r w:rsidRPr="00241B79">
        <w:rPr>
          <w:rStyle w:val="Znakapoznpodarou"/>
          <w:spacing w:val="-4"/>
          <w:sz w:val="16"/>
          <w:szCs w:val="16"/>
        </w:rPr>
        <w:footnoteRef/>
      </w:r>
      <w:r>
        <w:rPr>
          <w:spacing w:val="-4"/>
          <w:sz w:val="16"/>
          <w:szCs w:val="16"/>
        </w:rPr>
        <w:t xml:space="preserve"> Ta dle definitivních údajů za rok</w:t>
      </w:r>
      <w:r w:rsidRPr="00241B79">
        <w:rPr>
          <w:spacing w:val="-4"/>
          <w:sz w:val="16"/>
          <w:szCs w:val="16"/>
        </w:rPr>
        <w:t xml:space="preserve"> 2022 celkově (vč. kuk</w:t>
      </w:r>
      <w:r>
        <w:rPr>
          <w:spacing w:val="-4"/>
          <w:sz w:val="16"/>
          <w:szCs w:val="16"/>
        </w:rPr>
        <w:t>uřice na zrno) dosáhla 8,22</w:t>
      </w:r>
      <w:r w:rsidRPr="00241B79">
        <w:rPr>
          <w:spacing w:val="-4"/>
          <w:sz w:val="16"/>
          <w:szCs w:val="16"/>
        </w:rPr>
        <w:t xml:space="preserve"> mil. tun. Průměr sklizní z předchozích pěti let překonal</w:t>
      </w:r>
      <w:r>
        <w:rPr>
          <w:spacing w:val="-4"/>
          <w:sz w:val="16"/>
          <w:szCs w:val="16"/>
        </w:rPr>
        <w:t>a o</w:t>
      </w:r>
      <w:r w:rsidRPr="007163BD">
        <w:rPr>
          <w:rFonts w:cs="Arial"/>
          <w:color w:val="0D0D0D" w:themeColor="text1" w:themeTint="F2"/>
          <w:spacing w:val="-2"/>
          <w:sz w:val="16"/>
          <w:szCs w:val="16"/>
        </w:rPr>
        <w:t> </w:t>
      </w:r>
      <w:r>
        <w:rPr>
          <w:spacing w:val="-4"/>
          <w:sz w:val="16"/>
          <w:szCs w:val="16"/>
        </w:rPr>
        <w:t>6,9 %, desetiletý průměr o 5,2</w:t>
      </w:r>
      <w:r w:rsidRPr="00241B79">
        <w:rPr>
          <w:spacing w:val="-4"/>
          <w:sz w:val="16"/>
          <w:szCs w:val="16"/>
        </w:rPr>
        <w:t xml:space="preserve"> %.</w:t>
      </w:r>
    </w:p>
  </w:footnote>
  <w:footnote w:id="6">
    <w:p w14:paraId="6204D87F" w14:textId="77777777" w:rsidR="00C8019E" w:rsidRPr="002F02F1" w:rsidRDefault="00C8019E" w:rsidP="00E87D5B">
      <w:pPr>
        <w:pStyle w:val="Textpoznpodarou"/>
        <w:rPr>
          <w:sz w:val="16"/>
          <w:szCs w:val="16"/>
        </w:rPr>
      </w:pPr>
      <w:r w:rsidRPr="002F02F1">
        <w:rPr>
          <w:rStyle w:val="Znakapoznpodarou"/>
          <w:sz w:val="16"/>
          <w:szCs w:val="16"/>
        </w:rPr>
        <w:footnoteRef/>
      </w:r>
      <w:r w:rsidRPr="002F02F1">
        <w:rPr>
          <w:sz w:val="16"/>
          <w:szCs w:val="16"/>
        </w:rPr>
        <w:t xml:space="preserve"> Jeho sklizeň </w:t>
      </w:r>
      <w:r>
        <w:rPr>
          <w:sz w:val="16"/>
          <w:szCs w:val="16"/>
        </w:rPr>
        <w:t>meziročně propadla o 46 %. Předloňská úroda</w:t>
      </w:r>
      <w:r w:rsidRPr="002F02F1">
        <w:rPr>
          <w:sz w:val="16"/>
          <w:szCs w:val="16"/>
        </w:rPr>
        <w:t xml:space="preserve"> (</w:t>
      </w:r>
      <w:r>
        <w:rPr>
          <w:sz w:val="16"/>
          <w:szCs w:val="16"/>
        </w:rPr>
        <w:t>8,3 tis. tun) byla v Česku ovšem nejvyšší po roce 1996.</w:t>
      </w:r>
    </w:p>
  </w:footnote>
  <w:footnote w:id="7">
    <w:p w14:paraId="6EF279AB" w14:textId="77777777" w:rsidR="00C8019E" w:rsidRPr="00E04667" w:rsidRDefault="00C8019E" w:rsidP="00E87D5B">
      <w:pPr>
        <w:spacing w:after="0" w:line="240" w:lineRule="auto"/>
        <w:rPr>
          <w:rFonts w:cs="Arial"/>
          <w:color w:val="0D0D0D" w:themeColor="text1" w:themeTint="F2"/>
          <w:spacing w:val="-2"/>
          <w:sz w:val="16"/>
          <w:szCs w:val="16"/>
        </w:rPr>
      </w:pPr>
      <w:r w:rsidRPr="00E04667">
        <w:rPr>
          <w:rStyle w:val="Znakapoznpodarou"/>
          <w:spacing w:val="-2"/>
          <w:sz w:val="16"/>
          <w:szCs w:val="16"/>
        </w:rPr>
        <w:footnoteRef/>
      </w:r>
      <w:r w:rsidRPr="00E04667">
        <w:rPr>
          <w:spacing w:val="-2"/>
          <w:sz w:val="16"/>
          <w:szCs w:val="16"/>
        </w:rPr>
        <w:t xml:space="preserve"> </w:t>
      </w:r>
      <w:r w:rsidRPr="00E04667">
        <w:rPr>
          <w:rFonts w:cs="Arial"/>
          <w:color w:val="0D0D0D" w:themeColor="text1" w:themeTint="F2"/>
          <w:spacing w:val="-2"/>
          <w:sz w:val="16"/>
          <w:szCs w:val="16"/>
        </w:rPr>
        <w:t>Zahrnuje odvětví těžby a dobývání, zpracovatelského průmyslu a také energetiky (zde pojímané jako odvětví výroby a rozvodu elektřiny, plynu, tepla a klimatizovaného vzduchu). Všechna meziroční tempa produkce (na úrovni odvětvových sekcí i oddílů) jsou očištěna o kalendářní vlivy, mezičtvrtletní tempa pak také o vliv sezónnosti.</w:t>
      </w:r>
    </w:p>
  </w:footnote>
  <w:footnote w:id="8">
    <w:p w14:paraId="673286C9" w14:textId="77777777" w:rsidR="00C8019E" w:rsidRPr="00E4073A" w:rsidRDefault="00C8019E" w:rsidP="00E87D5B">
      <w:pPr>
        <w:spacing w:after="0" w:line="240" w:lineRule="auto"/>
        <w:rPr>
          <w:spacing w:val="-4"/>
          <w:sz w:val="16"/>
          <w:szCs w:val="16"/>
        </w:rPr>
      </w:pPr>
      <w:r w:rsidRPr="00E4073A">
        <w:rPr>
          <w:rStyle w:val="Znakapoznpodarou"/>
          <w:spacing w:val="-4"/>
          <w:sz w:val="16"/>
          <w:szCs w:val="16"/>
        </w:rPr>
        <w:footnoteRef/>
      </w:r>
      <w:r>
        <w:rPr>
          <w:spacing w:val="-4"/>
          <w:sz w:val="16"/>
          <w:szCs w:val="16"/>
        </w:rPr>
        <w:t xml:space="preserve"> Ve 4</w:t>
      </w:r>
      <w:r w:rsidRPr="00E4073A">
        <w:rPr>
          <w:spacing w:val="-4"/>
          <w:sz w:val="16"/>
          <w:szCs w:val="16"/>
        </w:rPr>
        <w:t>. čtvrtletí 2022 se prů</w:t>
      </w:r>
      <w:r>
        <w:rPr>
          <w:spacing w:val="-4"/>
          <w:sz w:val="16"/>
          <w:szCs w:val="16"/>
        </w:rPr>
        <w:t>myslová produkce nacházela těsně (o 0,1</w:t>
      </w:r>
      <w:r w:rsidRPr="00E4073A">
        <w:rPr>
          <w:spacing w:val="-4"/>
          <w:sz w:val="16"/>
          <w:szCs w:val="16"/>
        </w:rPr>
        <w:t xml:space="preserve"> %</w:t>
      </w:r>
      <w:r>
        <w:rPr>
          <w:spacing w:val="-4"/>
          <w:sz w:val="16"/>
          <w:szCs w:val="16"/>
        </w:rPr>
        <w:t>)</w:t>
      </w:r>
      <w:r w:rsidRPr="00E4073A">
        <w:rPr>
          <w:spacing w:val="-4"/>
          <w:sz w:val="16"/>
          <w:szCs w:val="16"/>
        </w:rPr>
        <w:t xml:space="preserve"> nad úrovní dříve rekordního období z 2. čtvrtletí 2019. Za svým vrcholem z éry předpandemické konjunktury (roky 2014</w:t>
      </w:r>
      <w:r>
        <w:rPr>
          <w:spacing w:val="-4"/>
          <w:sz w:val="16"/>
          <w:szCs w:val="16"/>
        </w:rPr>
        <w:t xml:space="preserve"> až 2019) ovšem tři pětiny</w:t>
      </w:r>
      <w:r w:rsidRPr="00E4073A">
        <w:rPr>
          <w:spacing w:val="-4"/>
          <w:sz w:val="16"/>
          <w:szCs w:val="16"/>
        </w:rPr>
        <w:t xml:space="preserve"> (z téměř třiceti) hlavních průmyslových oborů zaostaly. Šlo přede</w:t>
      </w:r>
      <w:r>
        <w:rPr>
          <w:spacing w:val="-4"/>
          <w:sz w:val="16"/>
          <w:szCs w:val="16"/>
        </w:rPr>
        <w:t>vším o</w:t>
      </w:r>
      <w:r w:rsidRPr="00E4073A">
        <w:rPr>
          <w:spacing w:val="-4"/>
          <w:sz w:val="16"/>
          <w:szCs w:val="16"/>
        </w:rPr>
        <w:t> </w:t>
      </w:r>
      <w:r>
        <w:rPr>
          <w:spacing w:val="-4"/>
          <w:sz w:val="16"/>
          <w:szCs w:val="16"/>
        </w:rPr>
        <w:t>těžbu a úpravu uhlí (o 39</w:t>
      </w:r>
      <w:r w:rsidRPr="00E4073A">
        <w:rPr>
          <w:spacing w:val="-4"/>
          <w:sz w:val="16"/>
          <w:szCs w:val="16"/>
        </w:rPr>
        <w:t xml:space="preserve"> %), kožedělný </w:t>
      </w:r>
      <w:r>
        <w:rPr>
          <w:spacing w:val="-4"/>
          <w:sz w:val="16"/>
          <w:szCs w:val="16"/>
        </w:rPr>
        <w:t>a obuvnický průmysl (28 %), hutnictví (22</w:t>
      </w:r>
      <w:r w:rsidRPr="00E4073A">
        <w:rPr>
          <w:spacing w:val="-4"/>
          <w:sz w:val="16"/>
          <w:szCs w:val="16"/>
        </w:rPr>
        <w:t xml:space="preserve"> %) dřevozpracující prům</w:t>
      </w:r>
      <w:r>
        <w:rPr>
          <w:spacing w:val="-4"/>
          <w:sz w:val="16"/>
          <w:szCs w:val="16"/>
        </w:rPr>
        <w:t>ysl (20 %), textilní průmysl (15 %) a</w:t>
      </w:r>
      <w:r w:rsidRPr="00E4073A">
        <w:rPr>
          <w:spacing w:val="-4"/>
          <w:sz w:val="16"/>
          <w:szCs w:val="16"/>
        </w:rPr>
        <w:t> z významnějších oborů dále např. o</w:t>
      </w:r>
      <w:r>
        <w:rPr>
          <w:spacing w:val="-4"/>
          <w:sz w:val="16"/>
          <w:szCs w:val="16"/>
        </w:rPr>
        <w:t xml:space="preserve"> energetiku (14 %),</w:t>
      </w:r>
      <w:r w:rsidRPr="00E4073A">
        <w:rPr>
          <w:spacing w:val="-4"/>
          <w:sz w:val="16"/>
          <w:szCs w:val="16"/>
        </w:rPr>
        <w:t xml:space="preserve"> chemický průmysl </w:t>
      </w:r>
      <w:r>
        <w:rPr>
          <w:spacing w:val="-4"/>
          <w:sz w:val="16"/>
          <w:szCs w:val="16"/>
        </w:rPr>
        <w:t xml:space="preserve">(10 %), </w:t>
      </w:r>
      <w:r w:rsidRPr="00E4073A">
        <w:rPr>
          <w:spacing w:val="-4"/>
          <w:sz w:val="16"/>
          <w:szCs w:val="16"/>
        </w:rPr>
        <w:t xml:space="preserve">či výrobu počítačů, elektronických </w:t>
      </w:r>
      <w:r>
        <w:rPr>
          <w:spacing w:val="-4"/>
          <w:sz w:val="16"/>
          <w:szCs w:val="16"/>
        </w:rPr>
        <w:br/>
        <w:t>a optických přístrojů (7</w:t>
      </w:r>
      <w:r w:rsidRPr="00E4073A">
        <w:rPr>
          <w:spacing w:val="-4"/>
          <w:sz w:val="16"/>
          <w:szCs w:val="16"/>
        </w:rPr>
        <w:t xml:space="preserve"> %</w:t>
      </w:r>
      <w:r>
        <w:rPr>
          <w:spacing w:val="-4"/>
          <w:sz w:val="16"/>
          <w:szCs w:val="16"/>
        </w:rPr>
        <w:t xml:space="preserve">), kovodělný průmysl a také gumárenství a </w:t>
      </w:r>
      <w:proofErr w:type="spellStart"/>
      <w:r>
        <w:rPr>
          <w:spacing w:val="-4"/>
          <w:sz w:val="16"/>
          <w:szCs w:val="16"/>
        </w:rPr>
        <w:t>plastikářství</w:t>
      </w:r>
      <w:proofErr w:type="spellEnd"/>
      <w:r>
        <w:rPr>
          <w:spacing w:val="-4"/>
          <w:sz w:val="16"/>
          <w:szCs w:val="16"/>
        </w:rPr>
        <w:t xml:space="preserve"> (shodně 5 %)</w:t>
      </w:r>
      <w:r w:rsidRPr="00E4073A">
        <w:rPr>
          <w:spacing w:val="-4"/>
          <w:sz w:val="16"/>
          <w:szCs w:val="16"/>
        </w:rPr>
        <w:t xml:space="preserve">. Předkrizovou úroveň </w:t>
      </w:r>
      <w:r>
        <w:rPr>
          <w:spacing w:val="-4"/>
          <w:sz w:val="16"/>
          <w:szCs w:val="16"/>
        </w:rPr>
        <w:t xml:space="preserve">naopak </w:t>
      </w:r>
      <w:r w:rsidRPr="00E4073A">
        <w:rPr>
          <w:spacing w:val="-4"/>
          <w:sz w:val="16"/>
          <w:szCs w:val="16"/>
        </w:rPr>
        <w:t>překonali</w:t>
      </w:r>
      <w:r>
        <w:rPr>
          <w:spacing w:val="-4"/>
          <w:sz w:val="16"/>
          <w:szCs w:val="16"/>
        </w:rPr>
        <w:t xml:space="preserve"> zejména výrobci elektrických zařízení (o 12 %) a výrobci motorových vozidel (o 7 %), z</w:t>
      </w:r>
      <w:r w:rsidRPr="00E4073A">
        <w:rPr>
          <w:spacing w:val="-4"/>
          <w:sz w:val="16"/>
          <w:szCs w:val="16"/>
        </w:rPr>
        <w:t xml:space="preserve"> menších oborů </w:t>
      </w:r>
      <w:r>
        <w:rPr>
          <w:spacing w:val="-4"/>
          <w:sz w:val="16"/>
          <w:szCs w:val="16"/>
        </w:rPr>
        <w:t>pak např. farmaceutický, papírenský a oděvní průmysl</w:t>
      </w:r>
      <w:r w:rsidRPr="00E4073A">
        <w:rPr>
          <w:spacing w:val="-4"/>
          <w:sz w:val="16"/>
          <w:szCs w:val="16"/>
        </w:rPr>
        <w:t>.</w:t>
      </w:r>
    </w:p>
  </w:footnote>
  <w:footnote w:id="9">
    <w:p w14:paraId="1869BBFE" w14:textId="77777777" w:rsidR="00C8019E" w:rsidRPr="00E04667" w:rsidRDefault="00C8019E" w:rsidP="00E87D5B">
      <w:pPr>
        <w:pStyle w:val="Textpoznpodarou"/>
        <w:jc w:val="both"/>
        <w:rPr>
          <w:spacing w:val="-3"/>
          <w:sz w:val="16"/>
          <w:szCs w:val="16"/>
        </w:rPr>
      </w:pPr>
      <w:r w:rsidRPr="00E04667">
        <w:rPr>
          <w:rStyle w:val="Znakapoznpodarou"/>
          <w:spacing w:val="-3"/>
          <w:sz w:val="16"/>
          <w:szCs w:val="16"/>
        </w:rPr>
        <w:footnoteRef/>
      </w:r>
      <w:r>
        <w:rPr>
          <w:spacing w:val="-3"/>
          <w:sz w:val="16"/>
          <w:szCs w:val="16"/>
        </w:rPr>
        <w:t xml:space="preserve"> Dle údajů</w:t>
      </w:r>
      <w:r w:rsidRPr="00E04667">
        <w:rPr>
          <w:spacing w:val="-3"/>
          <w:sz w:val="16"/>
          <w:szCs w:val="16"/>
        </w:rPr>
        <w:t xml:space="preserve"> Sdružení automobilového průmyslu</w:t>
      </w:r>
      <w:r>
        <w:rPr>
          <w:spacing w:val="-3"/>
          <w:sz w:val="16"/>
          <w:szCs w:val="16"/>
        </w:rPr>
        <w:t xml:space="preserve"> přesahovala zpravidla loni</w:t>
      </w:r>
      <w:r w:rsidRPr="00E04667">
        <w:rPr>
          <w:spacing w:val="-3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od května do září</w:t>
      </w:r>
      <w:r w:rsidRPr="00E04667">
        <w:rPr>
          <w:spacing w:val="-3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 xml:space="preserve">měsíční </w:t>
      </w:r>
      <w:r w:rsidRPr="00E04667">
        <w:rPr>
          <w:spacing w:val="-3"/>
          <w:sz w:val="16"/>
          <w:szCs w:val="16"/>
        </w:rPr>
        <w:t>výroba hran</w:t>
      </w:r>
      <w:r>
        <w:rPr>
          <w:spacing w:val="-3"/>
          <w:sz w:val="16"/>
          <w:szCs w:val="16"/>
        </w:rPr>
        <w:t>ici 100 tis. osobních vozů.</w:t>
      </w:r>
      <w:r w:rsidRPr="00E04667">
        <w:rPr>
          <w:spacing w:val="-3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 xml:space="preserve">Tím </w:t>
      </w:r>
      <w:r w:rsidRPr="00E04667">
        <w:rPr>
          <w:spacing w:val="-3"/>
          <w:sz w:val="16"/>
          <w:szCs w:val="16"/>
        </w:rPr>
        <w:t>se tyto měsíce přiblížily úrovni stejného období let 2017 až 2019, kdy byla výroba automobilů v tu</w:t>
      </w:r>
      <w:r>
        <w:rPr>
          <w:spacing w:val="-3"/>
          <w:sz w:val="16"/>
          <w:szCs w:val="16"/>
        </w:rPr>
        <w:t>zemsku na vrcholu. V úhrnu za rok</w:t>
      </w:r>
      <w:r w:rsidRPr="00E04667">
        <w:rPr>
          <w:spacing w:val="-3"/>
          <w:sz w:val="16"/>
          <w:szCs w:val="16"/>
        </w:rPr>
        <w:t xml:space="preserve"> 2022 </w:t>
      </w:r>
      <w:r>
        <w:rPr>
          <w:spacing w:val="-3"/>
          <w:sz w:val="16"/>
          <w:szCs w:val="16"/>
        </w:rPr>
        <w:t>dosáhla výroba osobních vozů 1,218 mil</w:t>
      </w:r>
      <w:r w:rsidRPr="00E04667">
        <w:rPr>
          <w:spacing w:val="-3"/>
          <w:sz w:val="16"/>
          <w:szCs w:val="16"/>
        </w:rPr>
        <w:t>. (mezir</w:t>
      </w:r>
      <w:r>
        <w:rPr>
          <w:spacing w:val="-3"/>
          <w:sz w:val="16"/>
          <w:szCs w:val="16"/>
        </w:rPr>
        <w:t>očně o 10 % více, ale proti rokům</w:t>
      </w:r>
      <w:r w:rsidRPr="00E04667">
        <w:rPr>
          <w:spacing w:val="-3"/>
          <w:sz w:val="16"/>
          <w:szCs w:val="16"/>
        </w:rPr>
        <w:t xml:space="preserve"> 2018</w:t>
      </w:r>
      <w:r>
        <w:rPr>
          <w:spacing w:val="-3"/>
          <w:sz w:val="16"/>
          <w:szCs w:val="16"/>
        </w:rPr>
        <w:t xml:space="preserve"> i 2019 o 15</w:t>
      </w:r>
      <w:r w:rsidRPr="00E04667">
        <w:rPr>
          <w:spacing w:val="-3"/>
          <w:sz w:val="16"/>
          <w:szCs w:val="16"/>
        </w:rPr>
        <w:t xml:space="preserve"> % méně). </w:t>
      </w:r>
      <w:r>
        <w:rPr>
          <w:spacing w:val="-3"/>
          <w:sz w:val="16"/>
          <w:szCs w:val="16"/>
        </w:rPr>
        <w:t>Již v</w:t>
      </w:r>
      <w:r w:rsidRPr="00E04667">
        <w:rPr>
          <w:spacing w:val="-3"/>
          <w:sz w:val="16"/>
          <w:szCs w:val="16"/>
        </w:rPr>
        <w:t>íce než d</w:t>
      </w:r>
      <w:r>
        <w:rPr>
          <w:spacing w:val="-3"/>
          <w:sz w:val="16"/>
          <w:szCs w:val="16"/>
        </w:rPr>
        <w:t>esetina vyrobených osobních automobilů</w:t>
      </w:r>
      <w:r w:rsidRPr="00E04667">
        <w:rPr>
          <w:spacing w:val="-3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připadala na elektrická vozidla (vč. vozů s</w:t>
      </w:r>
      <w:r w:rsidRPr="00E04667">
        <w:rPr>
          <w:spacing w:val="-3"/>
          <w:sz w:val="16"/>
          <w:szCs w:val="16"/>
        </w:rPr>
        <w:t xml:space="preserve"> hybridní</w:t>
      </w:r>
      <w:r>
        <w:rPr>
          <w:spacing w:val="-3"/>
          <w:sz w:val="16"/>
          <w:szCs w:val="16"/>
        </w:rPr>
        <w:t>m</w:t>
      </w:r>
      <w:r w:rsidRPr="00E04667">
        <w:rPr>
          <w:spacing w:val="-3"/>
          <w:sz w:val="16"/>
          <w:szCs w:val="16"/>
        </w:rPr>
        <w:t xml:space="preserve"> pohon</w:t>
      </w:r>
      <w:r>
        <w:rPr>
          <w:spacing w:val="-3"/>
          <w:sz w:val="16"/>
          <w:szCs w:val="16"/>
        </w:rPr>
        <w:t>em). Nárůst výroby oproti roku 2021 zaznamenali i producenti</w:t>
      </w:r>
      <w:r w:rsidRPr="00E04667">
        <w:rPr>
          <w:spacing w:val="-3"/>
          <w:sz w:val="16"/>
          <w:szCs w:val="16"/>
        </w:rPr>
        <w:t xml:space="preserve"> ostat</w:t>
      </w:r>
      <w:r>
        <w:rPr>
          <w:spacing w:val="-3"/>
          <w:sz w:val="16"/>
          <w:szCs w:val="16"/>
        </w:rPr>
        <w:t>ních motorových vozidel,</w:t>
      </w:r>
      <w:r w:rsidRPr="00E04667">
        <w:rPr>
          <w:spacing w:val="-3"/>
          <w:sz w:val="16"/>
          <w:szCs w:val="16"/>
        </w:rPr>
        <w:t xml:space="preserve"> produkce u nich </w:t>
      </w:r>
      <w:r>
        <w:rPr>
          <w:spacing w:val="-3"/>
          <w:sz w:val="16"/>
          <w:szCs w:val="16"/>
        </w:rPr>
        <w:t xml:space="preserve">zároveň </w:t>
      </w:r>
      <w:r w:rsidRPr="00E04667">
        <w:rPr>
          <w:spacing w:val="-3"/>
          <w:sz w:val="16"/>
          <w:szCs w:val="16"/>
        </w:rPr>
        <w:t>převyšovala předkrizovou úroveň.</w:t>
      </w:r>
    </w:p>
  </w:footnote>
  <w:footnote w:id="10">
    <w:p w14:paraId="2B5DB320" w14:textId="77777777" w:rsidR="00C8019E" w:rsidRPr="000B5DC8" w:rsidRDefault="00C8019E" w:rsidP="00E87D5B">
      <w:pPr>
        <w:pStyle w:val="Textpoznpodarou"/>
        <w:jc w:val="both"/>
        <w:rPr>
          <w:sz w:val="16"/>
          <w:szCs w:val="16"/>
        </w:rPr>
      </w:pPr>
      <w:r w:rsidRPr="00E04667">
        <w:rPr>
          <w:rStyle w:val="Znakapoznpodarou"/>
          <w:spacing w:val="-2"/>
          <w:sz w:val="16"/>
          <w:szCs w:val="16"/>
        </w:rPr>
        <w:footnoteRef/>
      </w:r>
      <w:r w:rsidRPr="00E04667">
        <w:rPr>
          <w:spacing w:val="-2"/>
          <w:sz w:val="16"/>
          <w:szCs w:val="16"/>
        </w:rPr>
        <w:t xml:space="preserve"> </w:t>
      </w:r>
      <w:r w:rsidRPr="00E04667">
        <w:rPr>
          <w:rFonts w:cs="Arial"/>
          <w:spacing w:val="-2"/>
          <w:sz w:val="16"/>
          <w:szCs w:val="16"/>
        </w:rPr>
        <w:t>Podniky mohly uvést více hlavních růstových bariér současně.</w:t>
      </w:r>
    </w:p>
  </w:footnote>
  <w:footnote w:id="11">
    <w:p w14:paraId="44ADA0C6" w14:textId="77777777" w:rsidR="00C8019E" w:rsidRPr="00D7515C" w:rsidRDefault="00C8019E" w:rsidP="00E87D5B">
      <w:pPr>
        <w:pStyle w:val="Textpoznpodarou"/>
        <w:rPr>
          <w:sz w:val="16"/>
          <w:szCs w:val="16"/>
        </w:rPr>
      </w:pPr>
      <w:r w:rsidRPr="00D7515C">
        <w:rPr>
          <w:rStyle w:val="Znakapoznpodarou"/>
          <w:sz w:val="16"/>
          <w:szCs w:val="16"/>
        </w:rPr>
        <w:footnoteRef/>
      </w:r>
      <w:r w:rsidRPr="00D7515C">
        <w:rPr>
          <w:sz w:val="16"/>
          <w:szCs w:val="16"/>
        </w:rPr>
        <w:t xml:space="preserve"> </w:t>
      </w:r>
      <w:r w:rsidRPr="00D7515C">
        <w:rPr>
          <w:color w:val="0D0D0D" w:themeColor="text1" w:themeTint="F2"/>
          <w:spacing w:val="-4"/>
          <w:sz w:val="16"/>
          <w:szCs w:val="16"/>
        </w:rPr>
        <w:t>Ve směru poklesu celého průmyslu ale působila jen okrajově (-0,2 p. b.).</w:t>
      </w:r>
    </w:p>
  </w:footnote>
  <w:footnote w:id="12">
    <w:p w14:paraId="53FDB714" w14:textId="77777777" w:rsidR="00C8019E" w:rsidRPr="00F33536" w:rsidRDefault="00C8019E" w:rsidP="00E87D5B">
      <w:pPr>
        <w:pStyle w:val="Textpoznpodarou"/>
        <w:rPr>
          <w:spacing w:val="-2"/>
          <w:sz w:val="16"/>
          <w:szCs w:val="16"/>
        </w:rPr>
      </w:pPr>
      <w:r w:rsidRPr="00F33536">
        <w:rPr>
          <w:rStyle w:val="Znakapoznpodarou"/>
          <w:spacing w:val="-2"/>
          <w:sz w:val="16"/>
          <w:szCs w:val="16"/>
        </w:rPr>
        <w:footnoteRef/>
      </w:r>
      <w:r w:rsidRPr="00F33536">
        <w:rPr>
          <w:spacing w:val="-2"/>
          <w:sz w:val="16"/>
          <w:szCs w:val="16"/>
        </w:rPr>
        <w:t xml:space="preserve"> Dle údajů Energetického regulačního úřadu (ERÚ) loni klesla celková spotřeba </w:t>
      </w:r>
      <w:r>
        <w:rPr>
          <w:spacing w:val="-2"/>
          <w:sz w:val="16"/>
          <w:szCs w:val="16"/>
        </w:rPr>
        <w:t xml:space="preserve">zemního </w:t>
      </w:r>
      <w:r w:rsidRPr="00F33536">
        <w:rPr>
          <w:spacing w:val="-2"/>
          <w:sz w:val="16"/>
          <w:szCs w:val="16"/>
        </w:rPr>
        <w:t>plynu po přepočtu na dl</w:t>
      </w:r>
      <w:r>
        <w:rPr>
          <w:spacing w:val="-2"/>
          <w:sz w:val="16"/>
          <w:szCs w:val="16"/>
        </w:rPr>
        <w:t>ouhodobý teplotní normál o</w:t>
      </w:r>
      <w:r w:rsidRPr="00F33536">
        <w:rPr>
          <w:spacing w:val="-2"/>
          <w:sz w:val="16"/>
          <w:szCs w:val="16"/>
        </w:rPr>
        <w:t> </w:t>
      </w:r>
      <w:r>
        <w:rPr>
          <w:spacing w:val="-2"/>
          <w:sz w:val="16"/>
          <w:szCs w:val="16"/>
        </w:rPr>
        <w:t>16,5</w:t>
      </w:r>
      <w:r w:rsidRPr="00F33536">
        <w:rPr>
          <w:spacing w:val="-2"/>
          <w:sz w:val="16"/>
          <w:szCs w:val="16"/>
        </w:rPr>
        <w:t xml:space="preserve"> %. </w:t>
      </w:r>
      <w:r>
        <w:rPr>
          <w:spacing w:val="-2"/>
          <w:sz w:val="16"/>
          <w:szCs w:val="16"/>
        </w:rPr>
        <w:t>Absolutní v</w:t>
      </w:r>
      <w:r w:rsidRPr="00F33536">
        <w:rPr>
          <w:spacing w:val="-2"/>
          <w:sz w:val="16"/>
          <w:szCs w:val="16"/>
        </w:rPr>
        <w:t>ýše takto vyjádřené spotřeby dosáhla minima ve srovnatelné řadě od roku 2001. Nepřepočtená spotřeba se snižovala</w:t>
      </w:r>
      <w:r>
        <w:rPr>
          <w:spacing w:val="-2"/>
          <w:sz w:val="16"/>
          <w:szCs w:val="16"/>
        </w:rPr>
        <w:t xml:space="preserve"> ve všech měsících roku (především</w:t>
      </w:r>
      <w:r w:rsidRPr="00F33536">
        <w:rPr>
          <w:spacing w:val="-2"/>
          <w:sz w:val="16"/>
          <w:szCs w:val="16"/>
        </w:rPr>
        <w:t xml:space="preserve"> v květnu o 33 %). Nejvíce za celý </w:t>
      </w:r>
      <w:r>
        <w:rPr>
          <w:spacing w:val="-2"/>
          <w:sz w:val="16"/>
          <w:szCs w:val="16"/>
        </w:rPr>
        <w:t xml:space="preserve">rok </w:t>
      </w:r>
      <w:r w:rsidRPr="00F33536">
        <w:rPr>
          <w:spacing w:val="-2"/>
          <w:sz w:val="16"/>
          <w:szCs w:val="16"/>
        </w:rPr>
        <w:t xml:space="preserve">klesla </w:t>
      </w:r>
      <w:r>
        <w:rPr>
          <w:spacing w:val="-2"/>
          <w:sz w:val="16"/>
          <w:szCs w:val="16"/>
        </w:rPr>
        <w:t xml:space="preserve">spotřeba </w:t>
      </w:r>
      <w:r w:rsidRPr="00F33536">
        <w:rPr>
          <w:spacing w:val="-2"/>
          <w:sz w:val="16"/>
          <w:szCs w:val="16"/>
        </w:rPr>
        <w:t>u velkoodběratelů z řad podniků (o 22 %)</w:t>
      </w:r>
      <w:r>
        <w:rPr>
          <w:spacing w:val="-2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br/>
        <w:t>a domácností (21</w:t>
      </w:r>
      <w:r w:rsidRPr="00F33536">
        <w:rPr>
          <w:spacing w:val="-2"/>
          <w:sz w:val="16"/>
          <w:szCs w:val="16"/>
        </w:rPr>
        <w:t> </w:t>
      </w:r>
      <w:r>
        <w:rPr>
          <w:spacing w:val="-2"/>
          <w:sz w:val="16"/>
          <w:szCs w:val="16"/>
        </w:rPr>
        <w:t>%), nejméně u</w:t>
      </w:r>
      <w:r w:rsidRPr="00F33536">
        <w:rPr>
          <w:spacing w:val="-2"/>
          <w:sz w:val="16"/>
          <w:szCs w:val="16"/>
        </w:rPr>
        <w:t> </w:t>
      </w:r>
      <w:r>
        <w:rPr>
          <w:spacing w:val="-2"/>
          <w:sz w:val="16"/>
          <w:szCs w:val="16"/>
        </w:rPr>
        <w:t>podniků v kategorii</w:t>
      </w:r>
      <w:r w:rsidRPr="00F33536">
        <w:rPr>
          <w:spacing w:val="-2"/>
          <w:sz w:val="16"/>
          <w:szCs w:val="16"/>
        </w:rPr>
        <w:t xml:space="preserve"> maloodběratelů (14 %). </w:t>
      </w:r>
    </w:p>
  </w:footnote>
  <w:footnote w:id="13">
    <w:p w14:paraId="47654A5D" w14:textId="77777777" w:rsidR="00C8019E" w:rsidRPr="00F33536" w:rsidRDefault="00C8019E" w:rsidP="00E87D5B">
      <w:pPr>
        <w:pStyle w:val="Textpoznpodarou"/>
        <w:jc w:val="both"/>
        <w:rPr>
          <w:spacing w:val="-2"/>
          <w:sz w:val="16"/>
          <w:szCs w:val="16"/>
        </w:rPr>
      </w:pPr>
      <w:r w:rsidRPr="00F33536">
        <w:rPr>
          <w:rStyle w:val="Znakapoznpodarou"/>
          <w:spacing w:val="-2"/>
          <w:sz w:val="16"/>
          <w:szCs w:val="16"/>
        </w:rPr>
        <w:footnoteRef/>
      </w:r>
      <w:r w:rsidRPr="00F33536">
        <w:rPr>
          <w:spacing w:val="-2"/>
          <w:sz w:val="16"/>
          <w:szCs w:val="16"/>
        </w:rPr>
        <w:t xml:space="preserve"> Dle aktuálních údajů ERÚ klesla za 1. a 3. čtvrtletí 2022 celková hrubá výroba tepla o 6,6 %, především zásluhou nižšího využití zemního plynu a černého uhlí (rostla naopak váha hnědého uhlí a topných olejů). Svižněji ubylo </w:t>
      </w:r>
      <w:r>
        <w:rPr>
          <w:spacing w:val="-2"/>
          <w:sz w:val="16"/>
          <w:szCs w:val="16"/>
        </w:rPr>
        <w:t xml:space="preserve">množství spotřebovaného tepla (o </w:t>
      </w:r>
      <w:r w:rsidRPr="00F33536">
        <w:rPr>
          <w:spacing w:val="-2"/>
          <w:sz w:val="16"/>
          <w:szCs w:val="16"/>
        </w:rPr>
        <w:t>10,3 %), z toho v domácn</w:t>
      </w:r>
      <w:r>
        <w:rPr>
          <w:spacing w:val="-2"/>
          <w:sz w:val="16"/>
          <w:szCs w:val="16"/>
        </w:rPr>
        <w:t>ostech o 12 %, pokles nastal i napříč podnikovou sférou</w:t>
      </w:r>
      <w:r w:rsidRPr="00F33536">
        <w:rPr>
          <w:spacing w:val="-2"/>
          <w:sz w:val="16"/>
          <w:szCs w:val="16"/>
        </w:rPr>
        <w:t xml:space="preserve"> (</w:t>
      </w:r>
      <w:r>
        <w:rPr>
          <w:spacing w:val="-2"/>
          <w:sz w:val="16"/>
          <w:szCs w:val="16"/>
        </w:rPr>
        <w:t xml:space="preserve">v </w:t>
      </w:r>
      <w:r w:rsidRPr="00F33536">
        <w:rPr>
          <w:spacing w:val="-2"/>
          <w:sz w:val="16"/>
          <w:szCs w:val="16"/>
        </w:rPr>
        <w:t>průmyslu činil 4 %, v energetice 24 %).</w:t>
      </w:r>
    </w:p>
  </w:footnote>
  <w:footnote w:id="14">
    <w:p w14:paraId="13E2B24C" w14:textId="1D193819" w:rsidR="00C8019E" w:rsidRPr="00F33536" w:rsidRDefault="00C8019E" w:rsidP="00E87D5B">
      <w:pPr>
        <w:pStyle w:val="Textpoznpodarou"/>
        <w:jc w:val="both"/>
        <w:rPr>
          <w:spacing w:val="-2"/>
          <w:sz w:val="16"/>
          <w:szCs w:val="16"/>
        </w:rPr>
      </w:pPr>
      <w:r w:rsidRPr="00F33536">
        <w:rPr>
          <w:rStyle w:val="Znakapoznpodarou"/>
          <w:spacing w:val="-2"/>
          <w:sz w:val="16"/>
          <w:szCs w:val="16"/>
        </w:rPr>
        <w:footnoteRef/>
      </w:r>
      <w:r w:rsidRPr="00F33536">
        <w:rPr>
          <w:spacing w:val="-2"/>
          <w:sz w:val="16"/>
          <w:szCs w:val="16"/>
        </w:rPr>
        <w:t xml:space="preserve"> V roce 2022 přispěly dle údajů ERÚ k poklesu celkové </w:t>
      </w:r>
      <w:r w:rsidR="0048399F">
        <w:rPr>
          <w:spacing w:val="-2"/>
          <w:sz w:val="16"/>
          <w:szCs w:val="16"/>
        </w:rPr>
        <w:t xml:space="preserve">hrubé </w:t>
      </w:r>
      <w:r w:rsidRPr="00F33536">
        <w:rPr>
          <w:spacing w:val="-2"/>
          <w:sz w:val="16"/>
          <w:szCs w:val="16"/>
        </w:rPr>
        <w:t xml:space="preserve">výroby elektřiny paroplynové elektrárny (jejich produkce propadla meziročně o polovinu), méně byly využity i vodní zdroje. Pozitivně </w:t>
      </w:r>
      <w:r>
        <w:rPr>
          <w:spacing w:val="-2"/>
          <w:sz w:val="16"/>
          <w:szCs w:val="16"/>
        </w:rPr>
        <w:t>naopak působily</w:t>
      </w:r>
      <w:r w:rsidRPr="00F33536">
        <w:rPr>
          <w:spacing w:val="-2"/>
          <w:sz w:val="16"/>
          <w:szCs w:val="16"/>
        </w:rPr>
        <w:t xml:space="preserve"> tepelné (parní) elektrárny (růst výroby o 6,3 %), a to především díky vyššímu využití uhlí. Mírně posílila i výroba v jaderných elektrárnách (+0,9 %), její výše dosáhla rekordních 31 </w:t>
      </w:r>
      <w:proofErr w:type="spellStart"/>
      <w:r w:rsidRPr="00F33536">
        <w:rPr>
          <w:spacing w:val="-2"/>
          <w:sz w:val="16"/>
          <w:szCs w:val="16"/>
        </w:rPr>
        <w:t>TWh</w:t>
      </w:r>
      <w:proofErr w:type="spellEnd"/>
      <w:r w:rsidRPr="00F33536">
        <w:rPr>
          <w:spacing w:val="-2"/>
          <w:sz w:val="16"/>
          <w:szCs w:val="16"/>
        </w:rPr>
        <w:t xml:space="preserve"> (37 % veškeré výroby elektřiny v ČR). Celková hrubá tuzemská spotřeba elektři</w:t>
      </w:r>
      <w:r>
        <w:rPr>
          <w:spacing w:val="-2"/>
          <w:sz w:val="16"/>
          <w:szCs w:val="16"/>
        </w:rPr>
        <w:t>ny meziročně mírně klesala po cel</w:t>
      </w:r>
      <w:r w:rsidRPr="00F33536">
        <w:rPr>
          <w:spacing w:val="-2"/>
          <w:sz w:val="16"/>
          <w:szCs w:val="16"/>
        </w:rPr>
        <w:t>ý loňský rok, nejvíce však ve 4. čtvrtletí (-6,6 %). Na celoročních úsporách s</w:t>
      </w:r>
      <w:r>
        <w:rPr>
          <w:spacing w:val="-2"/>
          <w:sz w:val="16"/>
          <w:szCs w:val="16"/>
        </w:rPr>
        <w:t>e podílely hlavně</w:t>
      </w:r>
      <w:r w:rsidRPr="00F33536">
        <w:rPr>
          <w:spacing w:val="-2"/>
          <w:sz w:val="16"/>
          <w:szCs w:val="16"/>
        </w:rPr>
        <w:t xml:space="preserve"> domácnosti (ty snížily spotřebu o 9 %</w:t>
      </w:r>
      <w:r>
        <w:rPr>
          <w:spacing w:val="-2"/>
          <w:sz w:val="16"/>
          <w:szCs w:val="16"/>
        </w:rPr>
        <w:t>, nejvíce za posledních 20</w:t>
      </w:r>
      <w:r w:rsidRPr="00F33536">
        <w:rPr>
          <w:spacing w:val="-2"/>
          <w:sz w:val="16"/>
          <w:szCs w:val="16"/>
        </w:rPr>
        <w:t xml:space="preserve"> let). Úspory v podnikové sféře byly řádově nižší – u velkoodběratelů (-2,5 %), u maloodběratelů (-0,1 %). Proti roku 2019 byla loni spotřeba elektřiny vyšší jen </w:t>
      </w:r>
      <w:r>
        <w:rPr>
          <w:spacing w:val="-2"/>
          <w:sz w:val="16"/>
          <w:szCs w:val="16"/>
        </w:rPr>
        <w:br/>
      </w:r>
      <w:r w:rsidR="0048399F">
        <w:rPr>
          <w:spacing w:val="-2"/>
          <w:sz w:val="16"/>
          <w:szCs w:val="16"/>
        </w:rPr>
        <w:t>u domácností (+2,9</w:t>
      </w:r>
      <w:r w:rsidRPr="00F33536">
        <w:rPr>
          <w:spacing w:val="-2"/>
          <w:sz w:val="16"/>
          <w:szCs w:val="16"/>
        </w:rPr>
        <w:t xml:space="preserve"> %), v podnikové sféře za předkrizovou úrovní zaostávala (u nejv</w:t>
      </w:r>
      <w:r w:rsidR="0048399F">
        <w:rPr>
          <w:spacing w:val="-2"/>
          <w:sz w:val="16"/>
          <w:szCs w:val="16"/>
        </w:rPr>
        <w:t>ýznamnějších velkoodběratelů o 5,6</w:t>
      </w:r>
      <w:r w:rsidRPr="00F33536">
        <w:rPr>
          <w:spacing w:val="-2"/>
          <w:sz w:val="16"/>
          <w:szCs w:val="16"/>
        </w:rPr>
        <w:t xml:space="preserve"> %, u maloodběratelů o 3,5 %). </w:t>
      </w:r>
    </w:p>
  </w:footnote>
  <w:footnote w:id="15">
    <w:p w14:paraId="7ADEBF49" w14:textId="77777777" w:rsidR="00C8019E" w:rsidRPr="00F33536" w:rsidRDefault="00C8019E" w:rsidP="00E87D5B">
      <w:pPr>
        <w:pStyle w:val="Textpoznpodarou"/>
        <w:rPr>
          <w:spacing w:val="-2"/>
        </w:rPr>
      </w:pPr>
      <w:r w:rsidRPr="00F33536">
        <w:rPr>
          <w:spacing w:val="-2"/>
          <w:sz w:val="16"/>
          <w:szCs w:val="16"/>
          <w:vertAlign w:val="superscript"/>
        </w:rPr>
        <w:footnoteRef/>
      </w:r>
      <w:r w:rsidRPr="00F33536">
        <w:rPr>
          <w:spacing w:val="-2"/>
          <w:sz w:val="16"/>
          <w:szCs w:val="16"/>
        </w:rPr>
        <w:t xml:space="preserve"> Dle údajů ERÚ se v roce 2022 hodnota rozdílu mezi exportem a importem zvýšila o 22</w:t>
      </w:r>
      <w:r>
        <w:rPr>
          <w:spacing w:val="-2"/>
          <w:sz w:val="16"/>
          <w:szCs w:val="16"/>
        </w:rPr>
        <w:t xml:space="preserve"> </w:t>
      </w:r>
      <w:r w:rsidRPr="00F33536">
        <w:rPr>
          <w:spacing w:val="-2"/>
          <w:sz w:val="16"/>
          <w:szCs w:val="16"/>
        </w:rPr>
        <w:t>%, na celkových 13,5 </w:t>
      </w:r>
      <w:proofErr w:type="spellStart"/>
      <w:r w:rsidRPr="00F33536">
        <w:rPr>
          <w:spacing w:val="-2"/>
          <w:sz w:val="16"/>
          <w:szCs w:val="16"/>
        </w:rPr>
        <w:t>TWh</w:t>
      </w:r>
      <w:proofErr w:type="spellEnd"/>
      <w:r w:rsidRPr="00F33536">
        <w:rPr>
          <w:spacing w:val="-2"/>
          <w:sz w:val="16"/>
          <w:szCs w:val="16"/>
        </w:rPr>
        <w:t>.</w:t>
      </w:r>
    </w:p>
  </w:footnote>
  <w:footnote w:id="16">
    <w:p w14:paraId="4E5D3DC4" w14:textId="77777777" w:rsidR="00C8019E" w:rsidRPr="00F33536" w:rsidRDefault="00C8019E" w:rsidP="00E87D5B">
      <w:pPr>
        <w:pStyle w:val="Textpoznpodarou"/>
        <w:jc w:val="both"/>
        <w:rPr>
          <w:spacing w:val="-2"/>
          <w:sz w:val="16"/>
          <w:szCs w:val="16"/>
        </w:rPr>
      </w:pPr>
      <w:r w:rsidRPr="00F33536">
        <w:rPr>
          <w:rStyle w:val="Znakapoznpodarou"/>
          <w:spacing w:val="-2"/>
          <w:sz w:val="16"/>
          <w:szCs w:val="16"/>
        </w:rPr>
        <w:footnoteRef/>
      </w:r>
      <w:r w:rsidRPr="00F33536">
        <w:rPr>
          <w:spacing w:val="-2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 xml:space="preserve">Jde o tržby z průmyslové činnosti. </w:t>
      </w:r>
      <w:r w:rsidRPr="00F33536">
        <w:rPr>
          <w:rFonts w:cs="Arial"/>
          <w:color w:val="0D0D0D" w:themeColor="text1" w:themeTint="F2"/>
          <w:spacing w:val="-2"/>
          <w:sz w:val="16"/>
          <w:szCs w:val="16"/>
        </w:rPr>
        <w:t>Meziroční tempa tržeb jsou očištěna o kalendářní vlivy.</w:t>
      </w:r>
    </w:p>
  </w:footnote>
  <w:footnote w:id="17">
    <w:p w14:paraId="6A1777EB" w14:textId="77777777" w:rsidR="00C8019E" w:rsidRPr="00FB58F4" w:rsidRDefault="00C8019E" w:rsidP="00E87D5B">
      <w:pPr>
        <w:pStyle w:val="Textpoznpodarou"/>
        <w:jc w:val="both"/>
        <w:rPr>
          <w:rFonts w:cs="Arial"/>
          <w:color w:val="0D0D0D" w:themeColor="text1" w:themeTint="F2"/>
          <w:spacing w:val="-2"/>
          <w:sz w:val="16"/>
          <w:szCs w:val="16"/>
        </w:rPr>
      </w:pPr>
      <w:r w:rsidRPr="00F33536">
        <w:rPr>
          <w:rStyle w:val="Znakapoznpodarou"/>
          <w:rFonts w:cs="Arial"/>
          <w:color w:val="0D0D0D" w:themeColor="text1" w:themeTint="F2"/>
          <w:spacing w:val="-2"/>
          <w:sz w:val="16"/>
          <w:szCs w:val="16"/>
        </w:rPr>
        <w:footnoteRef/>
      </w:r>
      <w:r w:rsidRPr="00F33536">
        <w:rPr>
          <w:rFonts w:cs="Arial"/>
          <w:color w:val="0D0D0D" w:themeColor="text1" w:themeTint="F2"/>
          <w:spacing w:val="-2"/>
          <w:sz w:val="16"/>
          <w:szCs w:val="16"/>
        </w:rPr>
        <w:t xml:space="preserve"> Zjišťování zakázek probíhá jen ve dvanácti zpracovatelských odvětvích vyrábějících převážně na zakázku, s dlouhodobějším výrobním cyklem a s většími zásobami zakázek. Meziroční tempa zakázek j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 xml:space="preserve">sou očištěna o kalendářní vlivy, </w:t>
      </w:r>
      <w:proofErr w:type="spellStart"/>
      <w:r>
        <w:rPr>
          <w:rFonts w:cs="Arial"/>
          <w:color w:val="0D0D0D" w:themeColor="text1" w:themeTint="F2"/>
          <w:spacing w:val="-2"/>
          <w:sz w:val="16"/>
          <w:szCs w:val="16"/>
        </w:rPr>
        <w:t>mezikvartální</w:t>
      </w:r>
      <w:proofErr w:type="spellEnd"/>
      <w:r>
        <w:rPr>
          <w:rFonts w:cs="Arial"/>
          <w:color w:val="0D0D0D" w:themeColor="text1" w:themeTint="F2"/>
          <w:spacing w:val="-2"/>
          <w:sz w:val="16"/>
          <w:szCs w:val="16"/>
        </w:rPr>
        <w:t xml:space="preserve"> tempa také o vliv sezónnosti.</w:t>
      </w:r>
    </w:p>
  </w:footnote>
  <w:footnote w:id="18">
    <w:p w14:paraId="21606BE8" w14:textId="77777777" w:rsidR="00C8019E" w:rsidRPr="00B41B31" w:rsidRDefault="00C8019E" w:rsidP="00E87D5B">
      <w:pPr>
        <w:pStyle w:val="Textpoznpodarou"/>
        <w:rPr>
          <w:spacing w:val="-2"/>
          <w:sz w:val="16"/>
          <w:szCs w:val="16"/>
        </w:rPr>
      </w:pPr>
      <w:r w:rsidRPr="00B41B31">
        <w:rPr>
          <w:rStyle w:val="Znakapoznpodarou"/>
          <w:spacing w:val="-2"/>
          <w:sz w:val="16"/>
          <w:szCs w:val="16"/>
        </w:rPr>
        <w:footnoteRef/>
      </w:r>
      <w:r w:rsidRPr="00B41B31">
        <w:rPr>
          <w:spacing w:val="-2"/>
          <w:sz w:val="16"/>
          <w:szCs w:val="16"/>
        </w:rPr>
        <w:t xml:space="preserve"> Ty byly nejnižší za poslední dva a půl roku. </w:t>
      </w:r>
      <w:r>
        <w:rPr>
          <w:spacing w:val="-2"/>
          <w:sz w:val="16"/>
          <w:szCs w:val="16"/>
        </w:rPr>
        <w:t>Lze je také srovnat</w:t>
      </w:r>
      <w:r w:rsidRPr="00B41B31">
        <w:rPr>
          <w:spacing w:val="-2"/>
          <w:sz w:val="16"/>
          <w:szCs w:val="16"/>
        </w:rPr>
        <w:t xml:space="preserve"> s rokem 2013, kdy tuzemskou ekonomiku i průmysl svírala mělká recese.</w:t>
      </w:r>
      <w:r>
        <w:rPr>
          <w:spacing w:val="-2"/>
          <w:sz w:val="16"/>
          <w:szCs w:val="16"/>
        </w:rPr>
        <w:t xml:space="preserve"> </w:t>
      </w:r>
      <w:r w:rsidRPr="006000FE">
        <w:rPr>
          <w:color w:val="0D0D0D" w:themeColor="text1" w:themeTint="F2"/>
          <w:spacing w:val="-4"/>
          <w:sz w:val="16"/>
          <w:szCs w:val="16"/>
        </w:rPr>
        <w:t>Evidenční počet zaměstnanců ve 4. čtvrtletí klesl meziročně o 0,4 %.</w:t>
      </w:r>
    </w:p>
  </w:footnote>
  <w:footnote w:id="19">
    <w:p w14:paraId="0B186E96" w14:textId="77777777" w:rsidR="00C8019E" w:rsidRPr="0030796A" w:rsidRDefault="00C8019E" w:rsidP="00E87D5B">
      <w:pPr>
        <w:pStyle w:val="Textpoznpodarou"/>
        <w:rPr>
          <w:sz w:val="16"/>
          <w:szCs w:val="16"/>
        </w:rPr>
      </w:pPr>
      <w:r w:rsidRPr="0030796A">
        <w:rPr>
          <w:rStyle w:val="Znakapoznpodarou"/>
          <w:sz w:val="16"/>
          <w:szCs w:val="16"/>
        </w:rPr>
        <w:footnoteRef/>
      </w:r>
      <w:r w:rsidRPr="0030796A">
        <w:rPr>
          <w:sz w:val="16"/>
          <w:szCs w:val="16"/>
        </w:rPr>
        <w:t xml:space="preserve"> V horizontu od března do května 2023 očekávalo zhoršení vlastní ekonomické situace 10 % podniků (zlepšení 8 %), na období </w:t>
      </w:r>
      <w:r>
        <w:rPr>
          <w:sz w:val="16"/>
          <w:szCs w:val="16"/>
        </w:rPr>
        <w:br/>
      </w:r>
      <w:r w:rsidRPr="0030796A">
        <w:rPr>
          <w:sz w:val="16"/>
          <w:szCs w:val="16"/>
        </w:rPr>
        <w:t>3</w:t>
      </w:r>
      <w:r>
        <w:rPr>
          <w:sz w:val="16"/>
          <w:szCs w:val="16"/>
        </w:rPr>
        <w:t>.</w:t>
      </w:r>
      <w:r w:rsidRPr="0030796A">
        <w:rPr>
          <w:sz w:val="16"/>
          <w:szCs w:val="16"/>
        </w:rPr>
        <w:t xml:space="preserve"> čtvrtletí předpokládalo zhoršení 9 %, zlepšení ale již 29 % firem.</w:t>
      </w:r>
    </w:p>
  </w:footnote>
  <w:footnote w:id="20">
    <w:p w14:paraId="43573906" w14:textId="77777777" w:rsidR="00C8019E" w:rsidRPr="00AF44D9" w:rsidRDefault="00C8019E" w:rsidP="00E87D5B">
      <w:pPr>
        <w:pStyle w:val="Textpoznpodarou"/>
        <w:rPr>
          <w:sz w:val="16"/>
          <w:szCs w:val="16"/>
        </w:rPr>
      </w:pPr>
      <w:r w:rsidRPr="00AF44D9">
        <w:rPr>
          <w:rStyle w:val="Znakapoznpodarou"/>
          <w:sz w:val="16"/>
          <w:szCs w:val="16"/>
        </w:rPr>
        <w:footnoteRef/>
      </w:r>
      <w:r w:rsidRPr="00AF44D9">
        <w:rPr>
          <w:sz w:val="16"/>
          <w:szCs w:val="16"/>
        </w:rPr>
        <w:t xml:space="preserve"> Podniky mohly uvést více bariér současně.</w:t>
      </w:r>
      <w:r>
        <w:rPr>
          <w:sz w:val="16"/>
          <w:szCs w:val="16"/>
        </w:rPr>
        <w:t xml:space="preserve"> Bariéry jsou očištěny o vliv sezónnosti.</w:t>
      </w:r>
    </w:p>
  </w:footnote>
  <w:footnote w:id="21">
    <w:p w14:paraId="04336E6E" w14:textId="77777777" w:rsidR="00C8019E" w:rsidRPr="002D2942" w:rsidRDefault="00C8019E" w:rsidP="00E87D5B">
      <w:pPr>
        <w:pStyle w:val="Textpoznpodarou"/>
        <w:jc w:val="both"/>
        <w:rPr>
          <w:sz w:val="16"/>
          <w:szCs w:val="16"/>
        </w:rPr>
      </w:pPr>
      <w:r w:rsidRPr="002D2942">
        <w:rPr>
          <w:rStyle w:val="Znakapoznpodarou"/>
          <w:rFonts w:cs="Arial"/>
          <w:color w:val="0D0D0D" w:themeColor="text1" w:themeTint="F2"/>
          <w:sz w:val="16"/>
          <w:szCs w:val="16"/>
        </w:rPr>
        <w:footnoteRef/>
      </w:r>
      <w:r w:rsidRPr="002D2942">
        <w:rPr>
          <w:rFonts w:cs="Arial"/>
          <w:color w:val="0D0D0D" w:themeColor="text1" w:themeTint="F2"/>
          <w:sz w:val="16"/>
          <w:szCs w:val="16"/>
        </w:rPr>
        <w:t xml:space="preserve"> Údaje o stavební produkci jsou ve stálých cenách, meziroční tempa jsou očištěna o kalendářní vlivy, mezičtvrtletní též o vliv sezónnosti.</w:t>
      </w:r>
    </w:p>
  </w:footnote>
  <w:footnote w:id="22">
    <w:p w14:paraId="44201DDE" w14:textId="77777777" w:rsidR="00C8019E" w:rsidRDefault="00C8019E" w:rsidP="00E87D5B">
      <w:pPr>
        <w:pStyle w:val="Textpoznpodarou"/>
      </w:pPr>
      <w:r w:rsidRPr="002D2942">
        <w:rPr>
          <w:rStyle w:val="Znakapoznpodarou"/>
          <w:sz w:val="16"/>
          <w:szCs w:val="16"/>
        </w:rPr>
        <w:footnoteRef/>
      </w:r>
      <w:r w:rsidRPr="002D2942">
        <w:rPr>
          <w:sz w:val="16"/>
          <w:szCs w:val="16"/>
        </w:rPr>
        <w:t xml:space="preserve"> Dosud nejvíce bytů bylo dokončeno v</w:t>
      </w:r>
      <w:r>
        <w:rPr>
          <w:sz w:val="16"/>
          <w:szCs w:val="16"/>
        </w:rPr>
        <w:t> konjunkturním roce</w:t>
      </w:r>
      <w:r w:rsidRPr="002D2942">
        <w:rPr>
          <w:sz w:val="16"/>
          <w:szCs w:val="16"/>
        </w:rPr>
        <w:t xml:space="preserve"> 2007 (41,6 tis.).</w:t>
      </w:r>
    </w:p>
  </w:footnote>
  <w:footnote w:id="23">
    <w:p w14:paraId="1F26B86C" w14:textId="77777777" w:rsidR="00C8019E" w:rsidRPr="00466B2E" w:rsidRDefault="00C8019E" w:rsidP="00E87D5B">
      <w:pPr>
        <w:pStyle w:val="Textpoznpodarou"/>
        <w:rPr>
          <w:spacing w:val="-2"/>
          <w:sz w:val="16"/>
          <w:szCs w:val="16"/>
        </w:rPr>
      </w:pPr>
      <w:r w:rsidRPr="00466B2E">
        <w:rPr>
          <w:rStyle w:val="Znakapoznpodarou"/>
          <w:spacing w:val="-2"/>
          <w:sz w:val="16"/>
          <w:szCs w:val="16"/>
        </w:rPr>
        <w:footnoteRef/>
      </w:r>
      <w:r w:rsidRPr="00466B2E">
        <w:rPr>
          <w:spacing w:val="-2"/>
          <w:sz w:val="16"/>
          <w:szCs w:val="16"/>
        </w:rPr>
        <w:t xml:space="preserve"> V Praze činil loni meziroční pokles </w:t>
      </w:r>
      <w:r>
        <w:rPr>
          <w:spacing w:val="-2"/>
          <w:sz w:val="16"/>
          <w:szCs w:val="16"/>
        </w:rPr>
        <w:t>počtu všech zahájených bytů více než 3</w:t>
      </w:r>
      <w:r w:rsidRPr="00466B2E">
        <w:rPr>
          <w:spacing w:val="-2"/>
          <w:sz w:val="16"/>
          <w:szCs w:val="16"/>
        </w:rPr>
        <w:t>0 %, i tak vš</w:t>
      </w:r>
      <w:r>
        <w:rPr>
          <w:spacing w:val="-2"/>
          <w:sz w:val="16"/>
          <w:szCs w:val="16"/>
        </w:rPr>
        <w:t xml:space="preserve">ak byla započata výstavba </w:t>
      </w:r>
      <w:r w:rsidRPr="00466B2E">
        <w:rPr>
          <w:spacing w:val="-2"/>
          <w:sz w:val="16"/>
          <w:szCs w:val="16"/>
        </w:rPr>
        <w:t>6</w:t>
      </w:r>
      <w:r>
        <w:rPr>
          <w:spacing w:val="-2"/>
          <w:sz w:val="16"/>
          <w:szCs w:val="16"/>
        </w:rPr>
        <w:t>,5 tis. bytů (druhý</w:t>
      </w:r>
      <w:r w:rsidRPr="00466B2E">
        <w:rPr>
          <w:spacing w:val="-2"/>
          <w:sz w:val="16"/>
          <w:szCs w:val="16"/>
        </w:rPr>
        <w:t xml:space="preserve"> nejvyšší počet po roce 2008). V segmentu rodinných domů (RD) došlo naopak k víceméně plošnému pokl</w:t>
      </w:r>
      <w:r>
        <w:rPr>
          <w:spacing w:val="-2"/>
          <w:sz w:val="16"/>
          <w:szCs w:val="16"/>
        </w:rPr>
        <w:t xml:space="preserve">esu napříč kraji ČR. Ve </w:t>
      </w:r>
      <w:r w:rsidRPr="00466B2E">
        <w:rPr>
          <w:spacing w:val="-2"/>
          <w:sz w:val="16"/>
          <w:szCs w:val="16"/>
        </w:rPr>
        <w:t>2.</w:t>
      </w:r>
      <w:r w:rsidRPr="00466B2E">
        <w:rPr>
          <w:rFonts w:cs="Arial"/>
          <w:color w:val="0D0D0D" w:themeColor="text1" w:themeTint="F2"/>
          <w:spacing w:val="-2"/>
          <w:sz w:val="16"/>
          <w:szCs w:val="16"/>
        </w:rPr>
        <w:t> </w:t>
      </w:r>
      <w:r w:rsidRPr="00466B2E">
        <w:rPr>
          <w:spacing w:val="-2"/>
          <w:sz w:val="16"/>
          <w:szCs w:val="16"/>
        </w:rPr>
        <w:t>pololetí 2022 dosáhl celorepublikový po</w:t>
      </w:r>
      <w:r>
        <w:rPr>
          <w:spacing w:val="-2"/>
          <w:sz w:val="16"/>
          <w:szCs w:val="16"/>
        </w:rPr>
        <w:t>čet zahájených bytů v nových RD jen 8,6</w:t>
      </w:r>
      <w:r w:rsidRPr="00466B2E">
        <w:rPr>
          <w:spacing w:val="-2"/>
          <w:sz w:val="16"/>
          <w:szCs w:val="16"/>
        </w:rPr>
        <w:t xml:space="preserve"> tis. (v rámci shodného období roku šlo </w:t>
      </w:r>
      <w:r>
        <w:rPr>
          <w:spacing w:val="-2"/>
          <w:sz w:val="16"/>
          <w:szCs w:val="16"/>
        </w:rPr>
        <w:t xml:space="preserve">o </w:t>
      </w:r>
      <w:r w:rsidRPr="00466B2E">
        <w:rPr>
          <w:spacing w:val="-2"/>
          <w:sz w:val="16"/>
          <w:szCs w:val="16"/>
        </w:rPr>
        <w:t>šestileté minimum).</w:t>
      </w:r>
    </w:p>
  </w:footnote>
  <w:footnote w:id="24">
    <w:p w14:paraId="2B7DDADB" w14:textId="77777777" w:rsidR="00C8019E" w:rsidRPr="00E02F4D" w:rsidRDefault="00C8019E" w:rsidP="00E87D5B">
      <w:pPr>
        <w:pStyle w:val="Textpoznpodarou"/>
        <w:rPr>
          <w:sz w:val="16"/>
          <w:szCs w:val="16"/>
        </w:rPr>
      </w:pPr>
      <w:r w:rsidRPr="00E02F4D">
        <w:rPr>
          <w:rStyle w:val="Znakapoznpodarou"/>
          <w:sz w:val="16"/>
          <w:szCs w:val="16"/>
        </w:rPr>
        <w:footnoteRef/>
      </w:r>
      <w:r w:rsidRPr="00E02F4D">
        <w:rPr>
          <w:sz w:val="16"/>
          <w:szCs w:val="16"/>
        </w:rPr>
        <w:t xml:space="preserve"> </w:t>
      </w:r>
      <w:r>
        <w:rPr>
          <w:sz w:val="16"/>
          <w:szCs w:val="16"/>
        </w:rPr>
        <w:t>Ze státního rozpočtu ČR bylo vloni na investicích</w:t>
      </w:r>
      <w:r w:rsidRPr="00E02F4D">
        <w:rPr>
          <w:sz w:val="16"/>
          <w:szCs w:val="16"/>
        </w:rPr>
        <w:t xml:space="preserve"> do Státního fondu dopravní infrastruktury </w:t>
      </w:r>
      <w:r>
        <w:rPr>
          <w:sz w:val="16"/>
          <w:szCs w:val="16"/>
        </w:rPr>
        <w:t>vyplaceno 78</w:t>
      </w:r>
      <w:r w:rsidRPr="00E02F4D">
        <w:rPr>
          <w:sz w:val="16"/>
          <w:szCs w:val="16"/>
        </w:rPr>
        <w:t xml:space="preserve"> </w:t>
      </w:r>
      <w:r>
        <w:rPr>
          <w:sz w:val="16"/>
          <w:szCs w:val="16"/>
        </w:rPr>
        <w:t>mld. korun, meziročně o</w:t>
      </w:r>
      <w:r w:rsidRPr="00466B2E">
        <w:rPr>
          <w:spacing w:val="-2"/>
          <w:sz w:val="16"/>
          <w:szCs w:val="16"/>
        </w:rPr>
        <w:t> </w:t>
      </w:r>
      <w:r>
        <w:rPr>
          <w:sz w:val="16"/>
          <w:szCs w:val="16"/>
        </w:rPr>
        <w:t>šestinu</w:t>
      </w:r>
      <w:r w:rsidRPr="00E02F4D">
        <w:rPr>
          <w:sz w:val="16"/>
          <w:szCs w:val="16"/>
        </w:rPr>
        <w:t xml:space="preserve"> více. </w:t>
      </w:r>
      <w:r>
        <w:rPr>
          <w:sz w:val="16"/>
          <w:szCs w:val="16"/>
        </w:rPr>
        <w:t>Celoroční výše investičních dotací se blížila rozpočtovému očekávání.</w:t>
      </w:r>
    </w:p>
  </w:footnote>
  <w:footnote w:id="25">
    <w:p w14:paraId="1641D250" w14:textId="77777777" w:rsidR="00C8019E" w:rsidRPr="009D2F5D" w:rsidRDefault="00C8019E" w:rsidP="00E87D5B">
      <w:pPr>
        <w:pStyle w:val="Textpoznpodarou"/>
        <w:rPr>
          <w:sz w:val="16"/>
          <w:szCs w:val="16"/>
        </w:rPr>
      </w:pPr>
      <w:r w:rsidRPr="009D2F5D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Ten ve 4</w:t>
      </w:r>
      <w:r w:rsidRPr="009D2F5D">
        <w:rPr>
          <w:sz w:val="16"/>
          <w:szCs w:val="16"/>
        </w:rPr>
        <w:t xml:space="preserve">. čtvrtletí 2022 dosáhl </w:t>
      </w:r>
      <w:r>
        <w:rPr>
          <w:sz w:val="16"/>
          <w:szCs w:val="16"/>
        </w:rPr>
        <w:t>meziročně 12,0</w:t>
      </w:r>
      <w:r w:rsidRPr="009F3921">
        <w:rPr>
          <w:sz w:val="16"/>
          <w:szCs w:val="16"/>
        </w:rPr>
        <w:t xml:space="preserve"> %, v úhrnu od počátku roku 12,3 %. </w:t>
      </w:r>
      <w:r w:rsidRPr="009F3921">
        <w:rPr>
          <w:rFonts w:cs="Arial"/>
          <w:color w:val="0D0D0D" w:themeColor="text1" w:themeTint="F2"/>
          <w:spacing w:val="-6"/>
          <w:sz w:val="16"/>
          <w:szCs w:val="16"/>
        </w:rPr>
        <w:t>Cenové vlivy se významně promítly i do průměrn</w:t>
      </w:r>
      <w:r>
        <w:rPr>
          <w:rFonts w:cs="Arial"/>
          <w:color w:val="0D0D0D" w:themeColor="text1" w:themeTint="F2"/>
          <w:spacing w:val="-6"/>
          <w:sz w:val="16"/>
          <w:szCs w:val="16"/>
        </w:rPr>
        <w:t>é hodnoty nově uzavřených stavebních zakázek</w:t>
      </w:r>
      <w:r w:rsidRPr="009F3921">
        <w:rPr>
          <w:rFonts w:cs="Arial"/>
          <w:color w:val="0D0D0D" w:themeColor="text1" w:themeTint="F2"/>
          <w:spacing w:val="-6"/>
          <w:sz w:val="16"/>
          <w:szCs w:val="16"/>
        </w:rPr>
        <w:t xml:space="preserve"> </w:t>
      </w:r>
      <w:r>
        <w:rPr>
          <w:rFonts w:cs="Arial"/>
          <w:color w:val="0D0D0D" w:themeColor="text1" w:themeTint="F2"/>
          <w:spacing w:val="-6"/>
          <w:sz w:val="16"/>
          <w:szCs w:val="16"/>
        </w:rPr>
        <w:t>– ta činila za celý loňský rok 4,2</w:t>
      </w:r>
      <w:r w:rsidRPr="009F3921">
        <w:rPr>
          <w:rFonts w:cs="Arial"/>
          <w:color w:val="0D0D0D" w:themeColor="text1" w:themeTint="F2"/>
          <w:spacing w:val="-6"/>
          <w:sz w:val="16"/>
          <w:szCs w:val="16"/>
        </w:rPr>
        <w:t xml:space="preserve"> mil. korun a</w:t>
      </w:r>
      <w:r w:rsidRPr="009F3921">
        <w:rPr>
          <w:color w:val="0D0D0D" w:themeColor="text1" w:themeTint="F2"/>
          <w:spacing w:val="-5"/>
          <w:sz w:val="16"/>
          <w:szCs w:val="16"/>
        </w:rPr>
        <w:t> </w:t>
      </w:r>
      <w:r>
        <w:rPr>
          <w:rFonts w:cs="Arial"/>
          <w:color w:val="0D0D0D" w:themeColor="text1" w:themeTint="F2"/>
          <w:spacing w:val="-6"/>
          <w:sz w:val="16"/>
          <w:szCs w:val="16"/>
        </w:rPr>
        <w:t>meziročně vzrostla o 0,5 mil. korun.</w:t>
      </w:r>
    </w:p>
  </w:footnote>
  <w:footnote w:id="26">
    <w:p w14:paraId="762DF6DD" w14:textId="77777777" w:rsidR="00C8019E" w:rsidRPr="005D6094" w:rsidRDefault="00C8019E" w:rsidP="00E87D5B">
      <w:pPr>
        <w:pStyle w:val="Textpoznpodarou"/>
        <w:rPr>
          <w:sz w:val="16"/>
          <w:szCs w:val="16"/>
        </w:rPr>
      </w:pPr>
      <w:r w:rsidRPr="005D6094">
        <w:rPr>
          <w:rStyle w:val="Znakapoznpodarou"/>
          <w:sz w:val="16"/>
          <w:szCs w:val="16"/>
        </w:rPr>
        <w:footnoteRef/>
      </w:r>
      <w:r w:rsidRPr="005D6094">
        <w:rPr>
          <w:sz w:val="16"/>
          <w:szCs w:val="16"/>
        </w:rPr>
        <w:t xml:space="preserve"> Rovněž </w:t>
      </w:r>
      <w:r w:rsidRPr="005D6094">
        <w:rPr>
          <w:rFonts w:cs="Arial"/>
          <w:color w:val="0D0D0D" w:themeColor="text1" w:themeTint="F2"/>
          <w:spacing w:val="-4"/>
          <w:sz w:val="16"/>
          <w:szCs w:val="16"/>
        </w:rPr>
        <w:t>za celý rok 2022 hodn</w:t>
      </w:r>
      <w:r>
        <w:rPr>
          <w:rFonts w:cs="Arial"/>
          <w:color w:val="0D0D0D" w:themeColor="text1" w:themeTint="F2"/>
          <w:spacing w:val="-4"/>
          <w:sz w:val="16"/>
          <w:szCs w:val="16"/>
        </w:rPr>
        <w:t>ota povolení mírně klesla (o 1,2</w:t>
      </w:r>
      <w:r w:rsidRPr="005D6094">
        <w:rPr>
          <w:rFonts w:cs="Arial"/>
          <w:color w:val="0D0D0D" w:themeColor="text1" w:themeTint="F2"/>
          <w:spacing w:val="-4"/>
          <w:sz w:val="16"/>
          <w:szCs w:val="16"/>
        </w:rPr>
        <w:t xml:space="preserve"> %). Zde sehrálo významnou roli povolení výstavby nové trasy pražského metra,</w:t>
      </w:r>
      <w:r>
        <w:rPr>
          <w:rFonts w:cs="Arial"/>
          <w:color w:val="0D0D0D" w:themeColor="text1" w:themeTint="F2"/>
          <w:spacing w:val="-4"/>
          <w:sz w:val="16"/>
          <w:szCs w:val="16"/>
        </w:rPr>
        <w:t xml:space="preserve"> k němuž došlo v červenci 2021 (v oblasti nové výstavby bytových i nebytových budov hodnota povolení rostla – o 6 %, resp. 12,2 %). </w:t>
      </w:r>
      <w:r w:rsidRPr="005D6094">
        <w:rPr>
          <w:rFonts w:cs="Arial"/>
          <w:color w:val="0D0D0D" w:themeColor="text1" w:themeTint="F2"/>
          <w:spacing w:val="-4"/>
          <w:sz w:val="16"/>
          <w:szCs w:val="16"/>
        </w:rPr>
        <w:t>Po odečtení všech ostatních velkých staveb (s orientační hodnotou nad 1 mld. k</w:t>
      </w:r>
      <w:r>
        <w:rPr>
          <w:rFonts w:cs="Arial"/>
          <w:color w:val="0D0D0D" w:themeColor="text1" w:themeTint="F2"/>
          <w:spacing w:val="-4"/>
          <w:sz w:val="16"/>
          <w:szCs w:val="16"/>
        </w:rPr>
        <w:t xml:space="preserve">orun) by za loňský rok hodnota </w:t>
      </w:r>
      <w:r w:rsidRPr="005D6094">
        <w:rPr>
          <w:rFonts w:cs="Arial"/>
          <w:color w:val="0D0D0D" w:themeColor="text1" w:themeTint="F2"/>
          <w:spacing w:val="-4"/>
          <w:sz w:val="16"/>
          <w:szCs w:val="16"/>
        </w:rPr>
        <w:t>p</w:t>
      </w:r>
      <w:r>
        <w:rPr>
          <w:rFonts w:cs="Arial"/>
          <w:color w:val="0D0D0D" w:themeColor="text1" w:themeTint="F2"/>
          <w:spacing w:val="-4"/>
          <w:sz w:val="16"/>
          <w:szCs w:val="16"/>
        </w:rPr>
        <w:t>ovolení meziročně vzrostla o více než 9</w:t>
      </w:r>
      <w:r w:rsidRPr="005D6094">
        <w:rPr>
          <w:rFonts w:cs="Arial"/>
          <w:color w:val="0D0D0D" w:themeColor="text1" w:themeTint="F2"/>
          <w:spacing w:val="-4"/>
          <w:sz w:val="16"/>
          <w:szCs w:val="16"/>
        </w:rPr>
        <w:t xml:space="preserve"> % (tedy stále méně</w:t>
      </w:r>
      <w:r>
        <w:rPr>
          <w:rFonts w:cs="Arial"/>
          <w:color w:val="0D0D0D" w:themeColor="text1" w:themeTint="F2"/>
          <w:spacing w:val="-4"/>
          <w:sz w:val="16"/>
          <w:szCs w:val="16"/>
        </w:rPr>
        <w:t>,</w:t>
      </w:r>
      <w:r w:rsidRPr="005D6094">
        <w:rPr>
          <w:rFonts w:cs="Arial"/>
          <w:color w:val="0D0D0D" w:themeColor="text1" w:themeTint="F2"/>
          <w:spacing w:val="-4"/>
          <w:sz w:val="16"/>
          <w:szCs w:val="16"/>
        </w:rPr>
        <w:t xml:space="preserve"> než činil za stejné období růst cen stavebních prací). </w:t>
      </w:r>
      <w:r w:rsidRPr="009B56B9">
        <w:rPr>
          <w:rFonts w:cs="Arial"/>
          <w:color w:val="0D0D0D" w:themeColor="text1" w:themeTint="F2"/>
          <w:spacing w:val="-2"/>
          <w:sz w:val="16"/>
          <w:szCs w:val="16"/>
        </w:rPr>
        <w:t xml:space="preserve">V prostředí sílících nákladových cen (materiálových, energetických, mzdových) nelze vyloučit, že fakturované ceny 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 xml:space="preserve">se mohou </w:t>
      </w:r>
      <w:r w:rsidRPr="009B56B9">
        <w:rPr>
          <w:rFonts w:cs="Arial"/>
          <w:color w:val="0D0D0D" w:themeColor="text1" w:themeTint="F2"/>
          <w:spacing w:val="-2"/>
          <w:sz w:val="16"/>
          <w:szCs w:val="16"/>
        </w:rPr>
        <w:t xml:space="preserve">po dokončení staveb 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 xml:space="preserve">významněji odchýlit </w:t>
      </w:r>
      <w:r w:rsidRPr="009B56B9">
        <w:rPr>
          <w:rFonts w:cs="Arial"/>
          <w:color w:val="0D0D0D" w:themeColor="text1" w:themeTint="F2"/>
          <w:spacing w:val="-2"/>
          <w:sz w:val="16"/>
          <w:szCs w:val="16"/>
        </w:rPr>
        <w:t>od cen předpokládaných při povolování staveb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.</w:t>
      </w:r>
    </w:p>
  </w:footnote>
  <w:footnote w:id="27">
    <w:p w14:paraId="5C647824" w14:textId="77777777" w:rsidR="00C8019E" w:rsidRDefault="00C8019E" w:rsidP="00E87D5B">
      <w:pPr>
        <w:pStyle w:val="Textpoznpodarou"/>
      </w:pPr>
      <w:r w:rsidRPr="00EE4827">
        <w:rPr>
          <w:rStyle w:val="Znakapoznpodarou"/>
          <w:sz w:val="16"/>
          <w:szCs w:val="16"/>
        </w:rPr>
        <w:footnoteRef/>
      </w:r>
      <w:r w:rsidRPr="00EE4827">
        <w:rPr>
          <w:sz w:val="16"/>
          <w:szCs w:val="16"/>
        </w:rPr>
        <w:t xml:space="preserve"> Podniky</w:t>
      </w:r>
      <w:r w:rsidRPr="00AF44D9">
        <w:rPr>
          <w:sz w:val="16"/>
          <w:szCs w:val="16"/>
        </w:rPr>
        <w:t xml:space="preserve"> mohly uvést více bariér současně.</w:t>
      </w:r>
      <w:r>
        <w:rPr>
          <w:sz w:val="16"/>
          <w:szCs w:val="16"/>
        </w:rPr>
        <w:t xml:space="preserve"> Bariéry jsou očištěny o vliv sezónnosti.</w:t>
      </w:r>
    </w:p>
  </w:footnote>
  <w:footnote w:id="28">
    <w:p w14:paraId="1561E0A9" w14:textId="77777777" w:rsidR="00C8019E" w:rsidRPr="00DE38E6" w:rsidRDefault="00C8019E" w:rsidP="00E87D5B">
      <w:pPr>
        <w:spacing w:after="0" w:line="240" w:lineRule="auto"/>
      </w:pPr>
      <w:r w:rsidRPr="004A26AF">
        <w:rPr>
          <w:rStyle w:val="Znakapoznpodarou"/>
          <w:color w:val="0D0D0D" w:themeColor="text1" w:themeTint="F2"/>
          <w:sz w:val="16"/>
          <w:szCs w:val="16"/>
        </w:rPr>
        <w:footnoteRef/>
      </w:r>
      <w:r>
        <w:rPr>
          <w:color w:val="0D0D0D" w:themeColor="text1" w:themeTint="F2"/>
          <w:sz w:val="16"/>
          <w:szCs w:val="16"/>
        </w:rPr>
        <w:t xml:space="preserve"> </w:t>
      </w:r>
      <w:r w:rsidRPr="004A26AF">
        <w:rPr>
          <w:color w:val="0D0D0D" w:themeColor="text1" w:themeTint="F2"/>
          <w:sz w:val="16"/>
          <w:szCs w:val="16"/>
        </w:rPr>
        <w:t>Bez obchodu, peněžnictví, poji</w:t>
      </w:r>
      <w:r>
        <w:rPr>
          <w:color w:val="0D0D0D" w:themeColor="text1" w:themeTint="F2"/>
          <w:sz w:val="16"/>
          <w:szCs w:val="16"/>
        </w:rPr>
        <w:t>šťovnictví, vědy, výzkumu a veřejných</w:t>
      </w:r>
      <w:r w:rsidRPr="004A26AF">
        <w:rPr>
          <w:color w:val="0D0D0D" w:themeColor="text1" w:themeTint="F2"/>
          <w:sz w:val="16"/>
          <w:szCs w:val="16"/>
        </w:rPr>
        <w:t xml:space="preserve"> služeb. Všechny údaje za </w:t>
      </w:r>
      <w:r>
        <w:rPr>
          <w:color w:val="0D0D0D" w:themeColor="text1" w:themeTint="F2"/>
          <w:sz w:val="16"/>
          <w:szCs w:val="16"/>
        </w:rPr>
        <w:t>tržby ve službách</w:t>
      </w:r>
      <w:r w:rsidRPr="004A26AF">
        <w:rPr>
          <w:color w:val="0D0D0D" w:themeColor="text1" w:themeTint="F2"/>
          <w:sz w:val="16"/>
          <w:szCs w:val="16"/>
        </w:rPr>
        <w:t xml:space="preserve"> jsou </w:t>
      </w:r>
      <w:r>
        <w:rPr>
          <w:color w:val="0D0D0D" w:themeColor="text1" w:themeTint="F2"/>
          <w:sz w:val="16"/>
          <w:szCs w:val="16"/>
        </w:rPr>
        <w:t>ve stálých cenách, meziroční data jsou očištěna</w:t>
      </w:r>
      <w:r w:rsidRPr="004A26AF">
        <w:rPr>
          <w:color w:val="0D0D0D" w:themeColor="text1" w:themeTint="F2"/>
          <w:sz w:val="16"/>
          <w:szCs w:val="16"/>
        </w:rPr>
        <w:t xml:space="preserve"> o</w:t>
      </w:r>
      <w:r>
        <w:rPr>
          <w:color w:val="0D0D0D" w:themeColor="text1" w:themeTint="F2"/>
          <w:sz w:val="16"/>
          <w:szCs w:val="16"/>
        </w:rPr>
        <w:t> </w:t>
      </w:r>
      <w:r w:rsidRPr="004A26AF">
        <w:rPr>
          <w:color w:val="0D0D0D" w:themeColor="text1" w:themeTint="F2"/>
          <w:sz w:val="16"/>
          <w:szCs w:val="16"/>
        </w:rPr>
        <w:t>kal</w:t>
      </w:r>
      <w:r>
        <w:rPr>
          <w:color w:val="0D0D0D" w:themeColor="text1" w:themeTint="F2"/>
          <w:sz w:val="16"/>
          <w:szCs w:val="16"/>
        </w:rPr>
        <w:t>endářní vlivy, mezičtvrtletní jsou očištěna o sezónní vlivy (včetně vlivu počtu pracovních dnů)</w:t>
      </w:r>
      <w:r w:rsidRPr="004A26AF">
        <w:rPr>
          <w:color w:val="0D0D0D" w:themeColor="text1" w:themeTint="F2"/>
          <w:sz w:val="16"/>
          <w:szCs w:val="16"/>
        </w:rPr>
        <w:t>.</w:t>
      </w:r>
    </w:p>
  </w:footnote>
  <w:footnote w:id="29">
    <w:p w14:paraId="66F4763B" w14:textId="77777777" w:rsidR="00C8019E" w:rsidRPr="00C06A81" w:rsidRDefault="00C8019E" w:rsidP="00E87D5B">
      <w:pPr>
        <w:pStyle w:val="Textpoznpodarou"/>
        <w:rPr>
          <w:sz w:val="16"/>
          <w:szCs w:val="16"/>
        </w:rPr>
      </w:pPr>
      <w:r w:rsidRPr="00C06A81">
        <w:rPr>
          <w:rStyle w:val="Znakapoznpodarou"/>
          <w:sz w:val="16"/>
          <w:szCs w:val="16"/>
        </w:rPr>
        <w:footnoteRef/>
      </w:r>
      <w:r w:rsidRPr="00C06A81">
        <w:rPr>
          <w:sz w:val="16"/>
          <w:szCs w:val="16"/>
        </w:rPr>
        <w:t xml:space="preserve"> </w:t>
      </w:r>
      <w:r>
        <w:rPr>
          <w:sz w:val="16"/>
          <w:szCs w:val="16"/>
        </w:rPr>
        <w:t>Ten činil mezikvartálně1,5 % (v</w:t>
      </w:r>
      <w:r w:rsidRPr="00C06A81">
        <w:rPr>
          <w:sz w:val="16"/>
          <w:szCs w:val="16"/>
        </w:rPr>
        <w:t>e vyjádření v běžných cenách a po sezónním očištění</w:t>
      </w:r>
      <w:r>
        <w:rPr>
          <w:sz w:val="16"/>
          <w:szCs w:val="16"/>
        </w:rPr>
        <w:t>)</w:t>
      </w:r>
      <w:r w:rsidRPr="00C06A81">
        <w:rPr>
          <w:sz w:val="16"/>
          <w:szCs w:val="16"/>
        </w:rPr>
        <w:t>.</w:t>
      </w:r>
    </w:p>
  </w:footnote>
  <w:footnote w:id="30">
    <w:p w14:paraId="4B68902C" w14:textId="77777777" w:rsidR="00C8019E" w:rsidRDefault="00C8019E" w:rsidP="00E87D5B">
      <w:pPr>
        <w:pStyle w:val="Textpoznpodarou"/>
      </w:pPr>
      <w:r w:rsidRPr="00D77E6C">
        <w:rPr>
          <w:rStyle w:val="Znakapoznpodarou"/>
          <w:sz w:val="16"/>
          <w:szCs w:val="16"/>
        </w:rPr>
        <w:footnoteRef/>
      </w:r>
      <w:r>
        <w:t xml:space="preserve"> </w:t>
      </w:r>
      <w:r>
        <w:rPr>
          <w:rFonts w:cs="Arial"/>
          <w:color w:val="0D0D0D" w:themeColor="text1" w:themeTint="F2"/>
          <w:spacing w:val="-3"/>
          <w:sz w:val="16"/>
          <w:szCs w:val="16"/>
        </w:rPr>
        <w:t>D</w:t>
      </w:r>
      <w:r w:rsidRPr="00EB7D87">
        <w:rPr>
          <w:rFonts w:cs="Arial"/>
          <w:color w:val="0D0D0D" w:themeColor="text1" w:themeTint="F2"/>
          <w:spacing w:val="-3"/>
          <w:sz w:val="16"/>
          <w:szCs w:val="16"/>
        </w:rPr>
        <w:t xml:space="preserve">le údajů </w:t>
      </w:r>
      <w:r w:rsidRPr="00EB7D87">
        <w:rPr>
          <w:spacing w:val="-3"/>
          <w:sz w:val="16"/>
          <w:szCs w:val="16"/>
        </w:rPr>
        <w:t xml:space="preserve">Unie filmových distributorů </w:t>
      </w:r>
      <w:r>
        <w:rPr>
          <w:spacing w:val="-3"/>
          <w:sz w:val="16"/>
          <w:szCs w:val="16"/>
        </w:rPr>
        <w:t xml:space="preserve">vzrostly v loňském 4. čtvrtletí tržby provozovatelů tuzemských kin meziročně o 10,7 %. V úhrnu od počátku roku se tržby i návštěvnost meziročně téměř zdvojnásobily (od ledna do května 2021 ovšem kina prakticky nehrála), ve srovnání </w:t>
      </w:r>
      <w:r>
        <w:rPr>
          <w:spacing w:val="-3"/>
          <w:sz w:val="16"/>
          <w:szCs w:val="16"/>
        </w:rPr>
        <w:br/>
        <w:t>s rokem 2019 tak tržby o 19 % zaostávaly (návštěvnost dokonce o 26 %, avšak počet odehraných představení byl nižší jen o 4 %).</w:t>
      </w:r>
    </w:p>
  </w:footnote>
  <w:footnote w:id="31">
    <w:p w14:paraId="056FC08E" w14:textId="77777777" w:rsidR="00C8019E" w:rsidRPr="00EB7D87" w:rsidRDefault="00C8019E" w:rsidP="00E87D5B">
      <w:pPr>
        <w:spacing w:after="0" w:line="240" w:lineRule="auto"/>
        <w:rPr>
          <w:spacing w:val="-2"/>
        </w:rPr>
      </w:pPr>
      <w:r w:rsidRPr="00EB7D87">
        <w:rPr>
          <w:rStyle w:val="Znakapoznpodarou"/>
          <w:color w:val="0D0D0D" w:themeColor="text1" w:themeTint="F2"/>
          <w:spacing w:val="-2"/>
          <w:sz w:val="16"/>
          <w:szCs w:val="16"/>
        </w:rPr>
        <w:footnoteRef/>
      </w:r>
      <w:r w:rsidRPr="00EB7D87">
        <w:rPr>
          <w:color w:val="0D0D0D" w:themeColor="text1" w:themeTint="F2"/>
          <w:spacing w:val="-2"/>
          <w:sz w:val="16"/>
          <w:szCs w:val="16"/>
        </w:rPr>
        <w:t xml:space="preserve"> Všechna meziroční tempa tržeb za maloobchod jsou uvedena ve stálých cenách a očištěna o kalendářní vlivy, mezičtvrtletní </w:t>
      </w:r>
      <w:r>
        <w:rPr>
          <w:color w:val="0D0D0D" w:themeColor="text1" w:themeTint="F2"/>
          <w:spacing w:val="-2"/>
          <w:sz w:val="16"/>
          <w:szCs w:val="16"/>
        </w:rPr>
        <w:br/>
        <w:t>i meziměsíční</w:t>
      </w:r>
      <w:r w:rsidRPr="00EB7D87">
        <w:rPr>
          <w:color w:val="0D0D0D" w:themeColor="text1" w:themeTint="F2"/>
          <w:spacing w:val="-2"/>
          <w:sz w:val="16"/>
          <w:szCs w:val="16"/>
        </w:rPr>
        <w:t xml:space="preserve"> tempa jsou očištěna o sezónní vlivy (včetně vlivu počtu pracovních dnů). Maloobchod zahrnuje odvětví CZ-NACE 47.</w:t>
      </w:r>
    </w:p>
  </w:footnote>
  <w:footnote w:id="32">
    <w:p w14:paraId="056C7A68" w14:textId="59B5EF91" w:rsidR="00C8019E" w:rsidRPr="008B1850" w:rsidRDefault="00C8019E" w:rsidP="00E87D5B">
      <w:pPr>
        <w:pStyle w:val="Textpoznpodarou"/>
        <w:rPr>
          <w:spacing w:val="-2"/>
          <w:sz w:val="16"/>
          <w:szCs w:val="16"/>
        </w:rPr>
      </w:pPr>
      <w:r w:rsidRPr="00C97888">
        <w:rPr>
          <w:rStyle w:val="Znakapoznpodarou"/>
          <w:spacing w:val="-2"/>
          <w:sz w:val="16"/>
          <w:szCs w:val="16"/>
        </w:rPr>
        <w:footnoteRef/>
      </w:r>
      <w:r w:rsidRPr="00C97888">
        <w:rPr>
          <w:spacing w:val="-2"/>
          <w:sz w:val="16"/>
          <w:szCs w:val="16"/>
        </w:rPr>
        <w:t xml:space="preserve"> Důvěra podnikatelů v obchodu se naopak snižovala jen </w:t>
      </w:r>
      <w:proofErr w:type="gramStart"/>
      <w:r w:rsidRPr="00C97888">
        <w:rPr>
          <w:spacing w:val="-2"/>
          <w:sz w:val="16"/>
          <w:szCs w:val="16"/>
        </w:rPr>
        <w:t>pozvolna</w:t>
      </w:r>
      <w:proofErr w:type="gramEnd"/>
      <w:r w:rsidRPr="00C97888">
        <w:rPr>
          <w:spacing w:val="-2"/>
          <w:sz w:val="16"/>
          <w:szCs w:val="16"/>
        </w:rPr>
        <w:t xml:space="preserve"> a i na konci loňského roku nebyla výrazně slabší než v předkrizovém roce 2019. I přes zhoršení během léta vnímaly podniky svou současnou ekonomickou situaci stále pozitivně a mírně příznivé byly i výhledy na nejbližší pololetí. To stvrzuje i fakt, že obchodníci stále plánovali nábor nových zaměstnanců častěji než jejich propouštění.</w:t>
      </w:r>
    </w:p>
  </w:footnote>
  <w:footnote w:id="33">
    <w:p w14:paraId="2DA08947" w14:textId="77777777" w:rsidR="00C8019E" w:rsidRPr="00FD2785" w:rsidRDefault="00C8019E" w:rsidP="00E87D5B">
      <w:pPr>
        <w:pStyle w:val="Textpoznpodarou"/>
        <w:rPr>
          <w:sz w:val="16"/>
          <w:szCs w:val="16"/>
        </w:rPr>
      </w:pPr>
      <w:r w:rsidRPr="00FD2785">
        <w:rPr>
          <w:rStyle w:val="Znakapoznpodarou"/>
          <w:sz w:val="16"/>
          <w:szCs w:val="16"/>
        </w:rPr>
        <w:footnoteRef/>
      </w:r>
      <w:r w:rsidRPr="00FD2785">
        <w:rPr>
          <w:sz w:val="16"/>
          <w:szCs w:val="16"/>
        </w:rPr>
        <w:t xml:space="preserve"> Tyto formy prodeje představovaly jediný segment maloobchodu, v němž loni tržby poklesly i v běžných cenách (o 1,4 %). V celém maloobchodu se přitom nominální tržby zvýšily o 10,8 %.</w:t>
      </w:r>
    </w:p>
  </w:footnote>
  <w:footnote w:id="34">
    <w:p w14:paraId="02BF23B1" w14:textId="488D3F15" w:rsidR="00C8019E" w:rsidRPr="00E95B69" w:rsidRDefault="00C8019E" w:rsidP="00E87D5B">
      <w:pPr>
        <w:pStyle w:val="Textpoznpodarou"/>
        <w:rPr>
          <w:spacing w:val="-5"/>
          <w:sz w:val="16"/>
          <w:szCs w:val="16"/>
        </w:rPr>
      </w:pPr>
      <w:r w:rsidRPr="00E95B69">
        <w:rPr>
          <w:rStyle w:val="Znakapoznpodarou"/>
          <w:spacing w:val="-5"/>
          <w:sz w:val="16"/>
          <w:szCs w:val="16"/>
        </w:rPr>
        <w:footnoteRef/>
      </w:r>
      <w:r w:rsidRPr="00E95B69">
        <w:rPr>
          <w:spacing w:val="-5"/>
          <w:sz w:val="16"/>
          <w:szCs w:val="16"/>
        </w:rPr>
        <w:t xml:space="preserve"> N</w:t>
      </w:r>
      <w:r>
        <w:rPr>
          <w:spacing w:val="-5"/>
          <w:sz w:val="16"/>
          <w:szCs w:val="16"/>
        </w:rPr>
        <w:t>ižší spotřeba PHM souvisela s ce</w:t>
      </w:r>
      <w:r w:rsidRPr="00E95B69">
        <w:rPr>
          <w:spacing w:val="-5"/>
          <w:sz w:val="16"/>
          <w:szCs w:val="16"/>
        </w:rPr>
        <w:t xml:space="preserve">novou eskalací </w:t>
      </w:r>
      <w:r>
        <w:rPr>
          <w:spacing w:val="-5"/>
          <w:sz w:val="16"/>
          <w:szCs w:val="16"/>
        </w:rPr>
        <w:t>podpořenou</w:t>
      </w:r>
      <w:r w:rsidRPr="00E95B69">
        <w:rPr>
          <w:spacing w:val="-5"/>
          <w:sz w:val="16"/>
          <w:szCs w:val="16"/>
        </w:rPr>
        <w:t xml:space="preserve"> válkou na Ukrajině. </w:t>
      </w:r>
      <w:r w:rsidRPr="00E95B69">
        <w:rPr>
          <w:spacing w:val="-6"/>
          <w:sz w:val="16"/>
          <w:szCs w:val="16"/>
        </w:rPr>
        <w:t>Tržby za PHM v běžnýc</w:t>
      </w:r>
      <w:r>
        <w:rPr>
          <w:spacing w:val="-6"/>
          <w:sz w:val="16"/>
          <w:szCs w:val="16"/>
        </w:rPr>
        <w:t>h cenách vzrostly meziročně ve 2.</w:t>
      </w:r>
      <w:r>
        <w:rPr>
          <w:sz w:val="16"/>
          <w:szCs w:val="16"/>
        </w:rPr>
        <w:t> </w:t>
      </w:r>
      <w:r>
        <w:rPr>
          <w:spacing w:val="-6"/>
          <w:sz w:val="16"/>
          <w:szCs w:val="16"/>
        </w:rPr>
        <w:t xml:space="preserve">čtvrtletí o 36,6 %, ve 3. čtvrtletí o 19,5 %. Ve 4. čtvrtletí byl však vývoj cen PHM pro motoristy příznivější, což se promítlo v oživení poptávky (tržby tak mezikvartálně vzrostly o 4,7 %).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94A67" w14:textId="77777777" w:rsidR="00C8019E" w:rsidRDefault="00C8019E" w:rsidP="00937AE2">
    <w:pPr>
      <w:pStyle w:val="Zhlav"/>
    </w:pPr>
    <w:r>
      <w:t>Vývoj ekonomiky České republiky</w:t>
    </w:r>
  </w:p>
  <w:p w14:paraId="3E881AB3" w14:textId="77777777" w:rsidR="00C8019E" w:rsidRPr="006F5416" w:rsidRDefault="00C8019E" w:rsidP="00937A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2D3DB" w14:textId="77777777" w:rsidR="00C8019E" w:rsidRDefault="00C8019E" w:rsidP="00937AE2">
    <w:pPr>
      <w:pStyle w:val="Zhlav"/>
    </w:pPr>
    <w:r>
      <w:t>Vývoj ekonomiky České republiky</w:t>
    </w:r>
  </w:p>
  <w:p w14:paraId="57266714" w14:textId="77777777" w:rsidR="00C8019E" w:rsidRPr="006F5416" w:rsidRDefault="00C8019E" w:rsidP="00937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C5946"/>
    <w:multiLevelType w:val="hybridMultilevel"/>
    <w:tmpl w:val="4C1C2D78"/>
    <w:lvl w:ilvl="0" w:tplc="B01A5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95764B"/>
    <w:multiLevelType w:val="hybridMultilevel"/>
    <w:tmpl w:val="84788BC8"/>
    <w:lvl w:ilvl="0" w:tplc="1B96A2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D55121"/>
    <w:multiLevelType w:val="hybridMultilevel"/>
    <w:tmpl w:val="338E27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7C1667"/>
    <w:multiLevelType w:val="hybridMultilevel"/>
    <w:tmpl w:val="735E7570"/>
    <w:lvl w:ilvl="0" w:tplc="5588AF8E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3" w15:restartNumberingAfterBreak="0">
    <w:nsid w:val="3D4D0562"/>
    <w:multiLevelType w:val="hybridMultilevel"/>
    <w:tmpl w:val="E8A8F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BB1D16"/>
    <w:multiLevelType w:val="hybridMultilevel"/>
    <w:tmpl w:val="CA4409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8E301A"/>
    <w:multiLevelType w:val="hybridMultilevel"/>
    <w:tmpl w:val="1A92D7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89675651">
    <w:abstractNumId w:val="25"/>
  </w:num>
  <w:num w:numId="2" w16cid:durableId="42993069">
    <w:abstractNumId w:val="8"/>
  </w:num>
  <w:num w:numId="3" w16cid:durableId="1188448633">
    <w:abstractNumId w:val="3"/>
  </w:num>
  <w:num w:numId="4" w16cid:durableId="178853939">
    <w:abstractNumId w:val="2"/>
  </w:num>
  <w:num w:numId="5" w16cid:durableId="467431360">
    <w:abstractNumId w:val="1"/>
  </w:num>
  <w:num w:numId="6" w16cid:durableId="1323971648">
    <w:abstractNumId w:val="0"/>
  </w:num>
  <w:num w:numId="7" w16cid:durableId="1319113600">
    <w:abstractNumId w:val="9"/>
  </w:num>
  <w:num w:numId="8" w16cid:durableId="1380520353">
    <w:abstractNumId w:val="7"/>
  </w:num>
  <w:num w:numId="9" w16cid:durableId="1491631085">
    <w:abstractNumId w:val="6"/>
  </w:num>
  <w:num w:numId="10" w16cid:durableId="1311446643">
    <w:abstractNumId w:val="5"/>
  </w:num>
  <w:num w:numId="11" w16cid:durableId="1993364951">
    <w:abstractNumId w:val="4"/>
  </w:num>
  <w:num w:numId="12" w16cid:durableId="231276771">
    <w:abstractNumId w:val="15"/>
  </w:num>
  <w:num w:numId="13" w16cid:durableId="207644179">
    <w:abstractNumId w:val="27"/>
  </w:num>
  <w:num w:numId="14" w16cid:durableId="1218779089">
    <w:abstractNumId w:val="14"/>
  </w:num>
  <w:num w:numId="15" w16cid:durableId="1609242427">
    <w:abstractNumId w:val="20"/>
  </w:num>
  <w:num w:numId="16" w16cid:durableId="375545102">
    <w:abstractNumId w:val="16"/>
  </w:num>
  <w:num w:numId="17" w16cid:durableId="1211458968">
    <w:abstractNumId w:val="28"/>
  </w:num>
  <w:num w:numId="18" w16cid:durableId="482963397">
    <w:abstractNumId w:val="21"/>
  </w:num>
  <w:num w:numId="19" w16cid:durableId="836001720">
    <w:abstractNumId w:val="29"/>
  </w:num>
  <w:num w:numId="20" w16cid:durableId="979767753">
    <w:abstractNumId w:val="30"/>
  </w:num>
  <w:num w:numId="21" w16cid:durableId="862285838">
    <w:abstractNumId w:val="26"/>
  </w:num>
  <w:num w:numId="22" w16cid:durableId="582881778">
    <w:abstractNumId w:val="19"/>
  </w:num>
  <w:num w:numId="23" w16cid:durableId="526522376">
    <w:abstractNumId w:val="17"/>
  </w:num>
  <w:num w:numId="24" w16cid:durableId="386228362">
    <w:abstractNumId w:val="18"/>
  </w:num>
  <w:num w:numId="25" w16cid:durableId="1287664625">
    <w:abstractNumId w:val="13"/>
  </w:num>
  <w:num w:numId="26" w16cid:durableId="907227532">
    <w:abstractNumId w:val="23"/>
  </w:num>
  <w:num w:numId="27" w16cid:durableId="1723559017">
    <w:abstractNumId w:val="22"/>
  </w:num>
  <w:num w:numId="28" w16cid:durableId="1931085482">
    <w:abstractNumId w:val="10"/>
  </w:num>
  <w:num w:numId="29" w16cid:durableId="612982388">
    <w:abstractNumId w:val="30"/>
  </w:num>
  <w:num w:numId="30" w16cid:durableId="189496072">
    <w:abstractNumId w:val="24"/>
  </w:num>
  <w:num w:numId="31" w16cid:durableId="611744734">
    <w:abstractNumId w:val="12"/>
  </w:num>
  <w:num w:numId="32" w16cid:durableId="1852186949">
    <w:abstractNumId w:val="31"/>
  </w:num>
  <w:num w:numId="33" w16cid:durableId="698824509">
    <w:abstractNumId w:val="30"/>
  </w:num>
  <w:num w:numId="34" w16cid:durableId="6997447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828"/>
    <w:rsid w:val="000005AF"/>
    <w:rsid w:val="00000994"/>
    <w:rsid w:val="00000B55"/>
    <w:rsid w:val="0000209D"/>
    <w:rsid w:val="00002566"/>
    <w:rsid w:val="0000370A"/>
    <w:rsid w:val="00003849"/>
    <w:rsid w:val="00003F5C"/>
    <w:rsid w:val="00004D5A"/>
    <w:rsid w:val="00005219"/>
    <w:rsid w:val="000056D5"/>
    <w:rsid w:val="00005D9E"/>
    <w:rsid w:val="000063D5"/>
    <w:rsid w:val="00006625"/>
    <w:rsid w:val="00006ABD"/>
    <w:rsid w:val="00006B67"/>
    <w:rsid w:val="00006C0B"/>
    <w:rsid w:val="000073A0"/>
    <w:rsid w:val="0000767A"/>
    <w:rsid w:val="00007ABE"/>
    <w:rsid w:val="00010256"/>
    <w:rsid w:val="00010702"/>
    <w:rsid w:val="00010A2C"/>
    <w:rsid w:val="0001128E"/>
    <w:rsid w:val="00011912"/>
    <w:rsid w:val="000129B7"/>
    <w:rsid w:val="0001387D"/>
    <w:rsid w:val="00014ED0"/>
    <w:rsid w:val="00016420"/>
    <w:rsid w:val="00016BDB"/>
    <w:rsid w:val="00017B01"/>
    <w:rsid w:val="000200BE"/>
    <w:rsid w:val="000205D1"/>
    <w:rsid w:val="00020F22"/>
    <w:rsid w:val="0002195D"/>
    <w:rsid w:val="00021F9B"/>
    <w:rsid w:val="000228AE"/>
    <w:rsid w:val="000233D1"/>
    <w:rsid w:val="000234D6"/>
    <w:rsid w:val="00023D29"/>
    <w:rsid w:val="00024348"/>
    <w:rsid w:val="00026109"/>
    <w:rsid w:val="0002622B"/>
    <w:rsid w:val="00026389"/>
    <w:rsid w:val="0002669F"/>
    <w:rsid w:val="000279E5"/>
    <w:rsid w:val="000305E0"/>
    <w:rsid w:val="00031AE0"/>
    <w:rsid w:val="00031BB2"/>
    <w:rsid w:val="000322EF"/>
    <w:rsid w:val="00033FCD"/>
    <w:rsid w:val="000348AF"/>
    <w:rsid w:val="00034B70"/>
    <w:rsid w:val="00034DF7"/>
    <w:rsid w:val="00034E68"/>
    <w:rsid w:val="000350C8"/>
    <w:rsid w:val="00036195"/>
    <w:rsid w:val="000374B2"/>
    <w:rsid w:val="000376C0"/>
    <w:rsid w:val="000403A7"/>
    <w:rsid w:val="00040632"/>
    <w:rsid w:val="00041AFC"/>
    <w:rsid w:val="00041CEC"/>
    <w:rsid w:val="00041D02"/>
    <w:rsid w:val="00042596"/>
    <w:rsid w:val="00042A4A"/>
    <w:rsid w:val="00044183"/>
    <w:rsid w:val="0004431D"/>
    <w:rsid w:val="00044AAC"/>
    <w:rsid w:val="0004694F"/>
    <w:rsid w:val="00046F2F"/>
    <w:rsid w:val="00047AD4"/>
    <w:rsid w:val="00047D54"/>
    <w:rsid w:val="00050541"/>
    <w:rsid w:val="0005054A"/>
    <w:rsid w:val="00050A87"/>
    <w:rsid w:val="00051506"/>
    <w:rsid w:val="000522E4"/>
    <w:rsid w:val="00053713"/>
    <w:rsid w:val="0005434E"/>
    <w:rsid w:val="00055CB6"/>
    <w:rsid w:val="000572DD"/>
    <w:rsid w:val="00057B1E"/>
    <w:rsid w:val="0006033F"/>
    <w:rsid w:val="000610E1"/>
    <w:rsid w:val="000616AD"/>
    <w:rsid w:val="000622A6"/>
    <w:rsid w:val="00062D70"/>
    <w:rsid w:val="00062EC5"/>
    <w:rsid w:val="00062F22"/>
    <w:rsid w:val="00063975"/>
    <w:rsid w:val="00063CEA"/>
    <w:rsid w:val="0006444D"/>
    <w:rsid w:val="000645FC"/>
    <w:rsid w:val="00065296"/>
    <w:rsid w:val="0006533F"/>
    <w:rsid w:val="00065348"/>
    <w:rsid w:val="0006551C"/>
    <w:rsid w:val="0006558D"/>
    <w:rsid w:val="00065A75"/>
    <w:rsid w:val="000663F0"/>
    <w:rsid w:val="00066558"/>
    <w:rsid w:val="000671DB"/>
    <w:rsid w:val="00067982"/>
    <w:rsid w:val="00070A87"/>
    <w:rsid w:val="000712B3"/>
    <w:rsid w:val="00071A7C"/>
    <w:rsid w:val="00071E38"/>
    <w:rsid w:val="00072FF5"/>
    <w:rsid w:val="00073A5A"/>
    <w:rsid w:val="0007474E"/>
    <w:rsid w:val="00074988"/>
    <w:rsid w:val="0007512B"/>
    <w:rsid w:val="00075551"/>
    <w:rsid w:val="000767F5"/>
    <w:rsid w:val="00076D90"/>
    <w:rsid w:val="00077FF0"/>
    <w:rsid w:val="00081A55"/>
    <w:rsid w:val="0008263E"/>
    <w:rsid w:val="00082C19"/>
    <w:rsid w:val="00082F89"/>
    <w:rsid w:val="00083457"/>
    <w:rsid w:val="000834ED"/>
    <w:rsid w:val="000837CD"/>
    <w:rsid w:val="00083B7F"/>
    <w:rsid w:val="00084BFF"/>
    <w:rsid w:val="00085395"/>
    <w:rsid w:val="00086896"/>
    <w:rsid w:val="00086AC1"/>
    <w:rsid w:val="00086D19"/>
    <w:rsid w:val="00087634"/>
    <w:rsid w:val="00087F2B"/>
    <w:rsid w:val="00090694"/>
    <w:rsid w:val="00090EE2"/>
    <w:rsid w:val="00090FC6"/>
    <w:rsid w:val="0009122C"/>
    <w:rsid w:val="000913B1"/>
    <w:rsid w:val="0009290F"/>
    <w:rsid w:val="00093241"/>
    <w:rsid w:val="00093868"/>
    <w:rsid w:val="00094A84"/>
    <w:rsid w:val="00095025"/>
    <w:rsid w:val="00095135"/>
    <w:rsid w:val="0009626E"/>
    <w:rsid w:val="0009644D"/>
    <w:rsid w:val="00097191"/>
    <w:rsid w:val="000974D1"/>
    <w:rsid w:val="00097784"/>
    <w:rsid w:val="0009799E"/>
    <w:rsid w:val="000A07CB"/>
    <w:rsid w:val="000A0BC0"/>
    <w:rsid w:val="000A1183"/>
    <w:rsid w:val="000A12ED"/>
    <w:rsid w:val="000A1D49"/>
    <w:rsid w:val="000A212B"/>
    <w:rsid w:val="000A242D"/>
    <w:rsid w:val="000A256D"/>
    <w:rsid w:val="000A2643"/>
    <w:rsid w:val="000A2E5F"/>
    <w:rsid w:val="000A385C"/>
    <w:rsid w:val="000A3A2C"/>
    <w:rsid w:val="000A3D9E"/>
    <w:rsid w:val="000A4A54"/>
    <w:rsid w:val="000A4ED9"/>
    <w:rsid w:val="000A5DB7"/>
    <w:rsid w:val="000A6753"/>
    <w:rsid w:val="000A6D94"/>
    <w:rsid w:val="000A7377"/>
    <w:rsid w:val="000A74A4"/>
    <w:rsid w:val="000A775A"/>
    <w:rsid w:val="000A7D63"/>
    <w:rsid w:val="000A7FF4"/>
    <w:rsid w:val="000B03CC"/>
    <w:rsid w:val="000B4212"/>
    <w:rsid w:val="000B67B7"/>
    <w:rsid w:val="000B6A0A"/>
    <w:rsid w:val="000C0127"/>
    <w:rsid w:val="000C0CA6"/>
    <w:rsid w:val="000C0EA8"/>
    <w:rsid w:val="000C13A2"/>
    <w:rsid w:val="000C21E7"/>
    <w:rsid w:val="000C23EC"/>
    <w:rsid w:val="000C26A2"/>
    <w:rsid w:val="000C290E"/>
    <w:rsid w:val="000C30C3"/>
    <w:rsid w:val="000C3408"/>
    <w:rsid w:val="000C35AB"/>
    <w:rsid w:val="000C3F7B"/>
    <w:rsid w:val="000C4769"/>
    <w:rsid w:val="000C4D56"/>
    <w:rsid w:val="000C5DFA"/>
    <w:rsid w:val="000C6AFD"/>
    <w:rsid w:val="000C6C90"/>
    <w:rsid w:val="000C72B7"/>
    <w:rsid w:val="000C7A79"/>
    <w:rsid w:val="000D0A26"/>
    <w:rsid w:val="000D13CB"/>
    <w:rsid w:val="000D2196"/>
    <w:rsid w:val="000D2C2E"/>
    <w:rsid w:val="000D3058"/>
    <w:rsid w:val="000D310A"/>
    <w:rsid w:val="000D3EF4"/>
    <w:rsid w:val="000D4761"/>
    <w:rsid w:val="000D4DC0"/>
    <w:rsid w:val="000D55BA"/>
    <w:rsid w:val="000D5637"/>
    <w:rsid w:val="000D5A03"/>
    <w:rsid w:val="000D5ED3"/>
    <w:rsid w:val="000D6F4E"/>
    <w:rsid w:val="000D6FDA"/>
    <w:rsid w:val="000D73BB"/>
    <w:rsid w:val="000D7AC7"/>
    <w:rsid w:val="000E0E96"/>
    <w:rsid w:val="000E298B"/>
    <w:rsid w:val="000E2C7D"/>
    <w:rsid w:val="000E3E56"/>
    <w:rsid w:val="000E440D"/>
    <w:rsid w:val="000E4AC5"/>
    <w:rsid w:val="000E6253"/>
    <w:rsid w:val="000E6AC4"/>
    <w:rsid w:val="000E6E4D"/>
    <w:rsid w:val="000E6FBD"/>
    <w:rsid w:val="000E6FCB"/>
    <w:rsid w:val="000F090B"/>
    <w:rsid w:val="000F15F7"/>
    <w:rsid w:val="000F1AA2"/>
    <w:rsid w:val="000F378E"/>
    <w:rsid w:val="000F3F3B"/>
    <w:rsid w:val="000F4721"/>
    <w:rsid w:val="000F47E8"/>
    <w:rsid w:val="000F70E4"/>
    <w:rsid w:val="000F76EA"/>
    <w:rsid w:val="00100A8B"/>
    <w:rsid w:val="00100F5C"/>
    <w:rsid w:val="00101B15"/>
    <w:rsid w:val="00101CDA"/>
    <w:rsid w:val="00102037"/>
    <w:rsid w:val="00103DCB"/>
    <w:rsid w:val="00104C4C"/>
    <w:rsid w:val="00105015"/>
    <w:rsid w:val="001055D2"/>
    <w:rsid w:val="001057C2"/>
    <w:rsid w:val="00107124"/>
    <w:rsid w:val="0011038E"/>
    <w:rsid w:val="00111573"/>
    <w:rsid w:val="00112370"/>
    <w:rsid w:val="0011239B"/>
    <w:rsid w:val="001125EF"/>
    <w:rsid w:val="00112CAB"/>
    <w:rsid w:val="0011440C"/>
    <w:rsid w:val="00114C33"/>
    <w:rsid w:val="00116D3F"/>
    <w:rsid w:val="00117474"/>
    <w:rsid w:val="00117623"/>
    <w:rsid w:val="00117FEA"/>
    <w:rsid w:val="001200CF"/>
    <w:rsid w:val="001208E3"/>
    <w:rsid w:val="00121609"/>
    <w:rsid w:val="0012192F"/>
    <w:rsid w:val="00122994"/>
    <w:rsid w:val="00123204"/>
    <w:rsid w:val="00124B46"/>
    <w:rsid w:val="001257BE"/>
    <w:rsid w:val="001257E0"/>
    <w:rsid w:val="00125D69"/>
    <w:rsid w:val="0012799C"/>
    <w:rsid w:val="00127BC2"/>
    <w:rsid w:val="00127E15"/>
    <w:rsid w:val="001308F1"/>
    <w:rsid w:val="00130ADC"/>
    <w:rsid w:val="00130D9F"/>
    <w:rsid w:val="00132C4D"/>
    <w:rsid w:val="00133FC1"/>
    <w:rsid w:val="00134659"/>
    <w:rsid w:val="00135111"/>
    <w:rsid w:val="00136A6F"/>
    <w:rsid w:val="00136C1A"/>
    <w:rsid w:val="00137812"/>
    <w:rsid w:val="001405FA"/>
    <w:rsid w:val="00140D1A"/>
    <w:rsid w:val="00141184"/>
    <w:rsid w:val="00141315"/>
    <w:rsid w:val="00141AA0"/>
    <w:rsid w:val="001425C3"/>
    <w:rsid w:val="0014262D"/>
    <w:rsid w:val="00142B29"/>
    <w:rsid w:val="00144108"/>
    <w:rsid w:val="00144588"/>
    <w:rsid w:val="001447DD"/>
    <w:rsid w:val="00145358"/>
    <w:rsid w:val="001459BC"/>
    <w:rsid w:val="0014779E"/>
    <w:rsid w:val="00150ECA"/>
    <w:rsid w:val="0015108F"/>
    <w:rsid w:val="00151707"/>
    <w:rsid w:val="00152C86"/>
    <w:rsid w:val="00152F4F"/>
    <w:rsid w:val="00153264"/>
    <w:rsid w:val="0015329F"/>
    <w:rsid w:val="001544A1"/>
    <w:rsid w:val="001553B8"/>
    <w:rsid w:val="001554C2"/>
    <w:rsid w:val="00156D04"/>
    <w:rsid w:val="001571C0"/>
    <w:rsid w:val="001574FE"/>
    <w:rsid w:val="0015753D"/>
    <w:rsid w:val="00157984"/>
    <w:rsid w:val="00157CC9"/>
    <w:rsid w:val="00160C21"/>
    <w:rsid w:val="001612F4"/>
    <w:rsid w:val="00161553"/>
    <w:rsid w:val="0016216F"/>
    <w:rsid w:val="0016256B"/>
    <w:rsid w:val="00162F81"/>
    <w:rsid w:val="00163793"/>
    <w:rsid w:val="00163868"/>
    <w:rsid w:val="00164CA1"/>
    <w:rsid w:val="00165313"/>
    <w:rsid w:val="001659C3"/>
    <w:rsid w:val="001665AB"/>
    <w:rsid w:val="00167485"/>
    <w:rsid w:val="001679F5"/>
    <w:rsid w:val="00167B92"/>
    <w:rsid w:val="00167CB9"/>
    <w:rsid w:val="00167DD8"/>
    <w:rsid w:val="001705AD"/>
    <w:rsid w:val="001706D6"/>
    <w:rsid w:val="001714F2"/>
    <w:rsid w:val="00171FEA"/>
    <w:rsid w:val="00173622"/>
    <w:rsid w:val="00175B9F"/>
    <w:rsid w:val="001762F4"/>
    <w:rsid w:val="001777BA"/>
    <w:rsid w:val="00181029"/>
    <w:rsid w:val="00181BBC"/>
    <w:rsid w:val="0018385F"/>
    <w:rsid w:val="00183BCF"/>
    <w:rsid w:val="00184017"/>
    <w:rsid w:val="001847BB"/>
    <w:rsid w:val="00184B08"/>
    <w:rsid w:val="00185010"/>
    <w:rsid w:val="001854F2"/>
    <w:rsid w:val="00185C22"/>
    <w:rsid w:val="00186BA9"/>
    <w:rsid w:val="00187D50"/>
    <w:rsid w:val="00190B4D"/>
    <w:rsid w:val="0019196C"/>
    <w:rsid w:val="001926A9"/>
    <w:rsid w:val="00192F05"/>
    <w:rsid w:val="00194729"/>
    <w:rsid w:val="00194850"/>
    <w:rsid w:val="00195234"/>
    <w:rsid w:val="00195EA6"/>
    <w:rsid w:val="00196016"/>
    <w:rsid w:val="00196117"/>
    <w:rsid w:val="00197A70"/>
    <w:rsid w:val="00197C0F"/>
    <w:rsid w:val="00197D0E"/>
    <w:rsid w:val="001A0487"/>
    <w:rsid w:val="001A0675"/>
    <w:rsid w:val="001A0A37"/>
    <w:rsid w:val="001A1F68"/>
    <w:rsid w:val="001A21FA"/>
    <w:rsid w:val="001A4D7C"/>
    <w:rsid w:val="001A4EF0"/>
    <w:rsid w:val="001A552F"/>
    <w:rsid w:val="001A70B1"/>
    <w:rsid w:val="001A7672"/>
    <w:rsid w:val="001B0738"/>
    <w:rsid w:val="001B1235"/>
    <w:rsid w:val="001B158D"/>
    <w:rsid w:val="001B1BBB"/>
    <w:rsid w:val="001B2CA9"/>
    <w:rsid w:val="001B3110"/>
    <w:rsid w:val="001B3E38"/>
    <w:rsid w:val="001B40F5"/>
    <w:rsid w:val="001B4729"/>
    <w:rsid w:val="001B4F0E"/>
    <w:rsid w:val="001B5F40"/>
    <w:rsid w:val="001B6310"/>
    <w:rsid w:val="001B6C09"/>
    <w:rsid w:val="001B6E12"/>
    <w:rsid w:val="001C05CD"/>
    <w:rsid w:val="001C082B"/>
    <w:rsid w:val="001C0F17"/>
    <w:rsid w:val="001C11A6"/>
    <w:rsid w:val="001C1B24"/>
    <w:rsid w:val="001C1B66"/>
    <w:rsid w:val="001C1BB5"/>
    <w:rsid w:val="001C2732"/>
    <w:rsid w:val="001C31A2"/>
    <w:rsid w:val="001C351D"/>
    <w:rsid w:val="001C3794"/>
    <w:rsid w:val="001C3855"/>
    <w:rsid w:val="001C4B8F"/>
    <w:rsid w:val="001C4BB8"/>
    <w:rsid w:val="001C4D8C"/>
    <w:rsid w:val="001C4FD0"/>
    <w:rsid w:val="001C544D"/>
    <w:rsid w:val="001C5E46"/>
    <w:rsid w:val="001C6B3B"/>
    <w:rsid w:val="001C7A26"/>
    <w:rsid w:val="001C7E3F"/>
    <w:rsid w:val="001D0EF1"/>
    <w:rsid w:val="001D1A44"/>
    <w:rsid w:val="001D22C2"/>
    <w:rsid w:val="001D2C99"/>
    <w:rsid w:val="001D3B75"/>
    <w:rsid w:val="001D452E"/>
    <w:rsid w:val="001D54C1"/>
    <w:rsid w:val="001D556E"/>
    <w:rsid w:val="001D5DF2"/>
    <w:rsid w:val="001D6175"/>
    <w:rsid w:val="001D68B2"/>
    <w:rsid w:val="001D7EFD"/>
    <w:rsid w:val="001D7F60"/>
    <w:rsid w:val="001E085B"/>
    <w:rsid w:val="001E149B"/>
    <w:rsid w:val="001E15CB"/>
    <w:rsid w:val="001E3306"/>
    <w:rsid w:val="001E504C"/>
    <w:rsid w:val="001E56AC"/>
    <w:rsid w:val="001E5A17"/>
    <w:rsid w:val="001E74C5"/>
    <w:rsid w:val="001F1236"/>
    <w:rsid w:val="001F2F90"/>
    <w:rsid w:val="001F4597"/>
    <w:rsid w:val="001F4826"/>
    <w:rsid w:val="001F4933"/>
    <w:rsid w:val="001F59C8"/>
    <w:rsid w:val="001F6483"/>
    <w:rsid w:val="001F6CD3"/>
    <w:rsid w:val="001F75DA"/>
    <w:rsid w:val="001F7931"/>
    <w:rsid w:val="001F7CE0"/>
    <w:rsid w:val="00200085"/>
    <w:rsid w:val="00201633"/>
    <w:rsid w:val="00203332"/>
    <w:rsid w:val="002036E6"/>
    <w:rsid w:val="00203CD5"/>
    <w:rsid w:val="00203D8F"/>
    <w:rsid w:val="00203DA4"/>
    <w:rsid w:val="00204EA6"/>
    <w:rsid w:val="00205186"/>
    <w:rsid w:val="00206516"/>
    <w:rsid w:val="002070CF"/>
    <w:rsid w:val="002071D5"/>
    <w:rsid w:val="002073FD"/>
    <w:rsid w:val="002111E5"/>
    <w:rsid w:val="0021149E"/>
    <w:rsid w:val="002118B9"/>
    <w:rsid w:val="00213691"/>
    <w:rsid w:val="002142C0"/>
    <w:rsid w:val="00217BED"/>
    <w:rsid w:val="00217C5B"/>
    <w:rsid w:val="00220A43"/>
    <w:rsid w:val="0022139E"/>
    <w:rsid w:val="00222729"/>
    <w:rsid w:val="0022287B"/>
    <w:rsid w:val="002228DB"/>
    <w:rsid w:val="00223185"/>
    <w:rsid w:val="00223264"/>
    <w:rsid w:val="002233D6"/>
    <w:rsid w:val="0022441D"/>
    <w:rsid w:val="00224574"/>
    <w:rsid w:val="00224E3F"/>
    <w:rsid w:val="00225000"/>
    <w:rsid w:val="002252E0"/>
    <w:rsid w:val="002255F6"/>
    <w:rsid w:val="00226032"/>
    <w:rsid w:val="0022738D"/>
    <w:rsid w:val="00227605"/>
    <w:rsid w:val="00227850"/>
    <w:rsid w:val="00227A53"/>
    <w:rsid w:val="00227C6C"/>
    <w:rsid w:val="00227E2E"/>
    <w:rsid w:val="00227F53"/>
    <w:rsid w:val="00230C6E"/>
    <w:rsid w:val="00230E21"/>
    <w:rsid w:val="00231066"/>
    <w:rsid w:val="002316A8"/>
    <w:rsid w:val="00231859"/>
    <w:rsid w:val="002320C9"/>
    <w:rsid w:val="0023288F"/>
    <w:rsid w:val="0023359B"/>
    <w:rsid w:val="00233603"/>
    <w:rsid w:val="002340EF"/>
    <w:rsid w:val="00234B82"/>
    <w:rsid w:val="00236443"/>
    <w:rsid w:val="00236700"/>
    <w:rsid w:val="00237C8B"/>
    <w:rsid w:val="00240391"/>
    <w:rsid w:val="00240AF3"/>
    <w:rsid w:val="002418D5"/>
    <w:rsid w:val="00241A9F"/>
    <w:rsid w:val="00241B06"/>
    <w:rsid w:val="0024343A"/>
    <w:rsid w:val="002436BA"/>
    <w:rsid w:val="002438DC"/>
    <w:rsid w:val="00244652"/>
    <w:rsid w:val="00244A15"/>
    <w:rsid w:val="002452D9"/>
    <w:rsid w:val="00247319"/>
    <w:rsid w:val="0024799E"/>
    <w:rsid w:val="00247E60"/>
    <w:rsid w:val="002512B7"/>
    <w:rsid w:val="00251496"/>
    <w:rsid w:val="00251B08"/>
    <w:rsid w:val="00251C53"/>
    <w:rsid w:val="00252AB9"/>
    <w:rsid w:val="002532B1"/>
    <w:rsid w:val="00253C0F"/>
    <w:rsid w:val="002558C1"/>
    <w:rsid w:val="00256207"/>
    <w:rsid w:val="002575F3"/>
    <w:rsid w:val="002601B4"/>
    <w:rsid w:val="002603E1"/>
    <w:rsid w:val="002605FE"/>
    <w:rsid w:val="0026120E"/>
    <w:rsid w:val="002617EE"/>
    <w:rsid w:val="00262582"/>
    <w:rsid w:val="0026291D"/>
    <w:rsid w:val="00262CF3"/>
    <w:rsid w:val="00264309"/>
    <w:rsid w:val="00264992"/>
    <w:rsid w:val="00264B4F"/>
    <w:rsid w:val="00264B85"/>
    <w:rsid w:val="0026564B"/>
    <w:rsid w:val="00265C83"/>
    <w:rsid w:val="00265E85"/>
    <w:rsid w:val="00267B49"/>
    <w:rsid w:val="00267C51"/>
    <w:rsid w:val="002700D9"/>
    <w:rsid w:val="0027025F"/>
    <w:rsid w:val="002709CC"/>
    <w:rsid w:val="00270D25"/>
    <w:rsid w:val="00271022"/>
    <w:rsid w:val="00271465"/>
    <w:rsid w:val="00271A07"/>
    <w:rsid w:val="00271E47"/>
    <w:rsid w:val="002721F5"/>
    <w:rsid w:val="00272DF4"/>
    <w:rsid w:val="00275062"/>
    <w:rsid w:val="00275758"/>
    <w:rsid w:val="0027583D"/>
    <w:rsid w:val="002759C7"/>
    <w:rsid w:val="00275DEF"/>
    <w:rsid w:val="00275E43"/>
    <w:rsid w:val="002763A2"/>
    <w:rsid w:val="00276B33"/>
    <w:rsid w:val="00277669"/>
    <w:rsid w:val="002803A5"/>
    <w:rsid w:val="00280ACB"/>
    <w:rsid w:val="002812E3"/>
    <w:rsid w:val="00281576"/>
    <w:rsid w:val="00282AD4"/>
    <w:rsid w:val="0028341F"/>
    <w:rsid w:val="002837AE"/>
    <w:rsid w:val="00283C13"/>
    <w:rsid w:val="00283F7B"/>
    <w:rsid w:val="0028431A"/>
    <w:rsid w:val="002853FA"/>
    <w:rsid w:val="00285412"/>
    <w:rsid w:val="00286220"/>
    <w:rsid w:val="0029110B"/>
    <w:rsid w:val="00291640"/>
    <w:rsid w:val="0029237E"/>
    <w:rsid w:val="00292997"/>
    <w:rsid w:val="00293D24"/>
    <w:rsid w:val="0029461A"/>
    <w:rsid w:val="0029509B"/>
    <w:rsid w:val="0029588F"/>
    <w:rsid w:val="00295E96"/>
    <w:rsid w:val="00297256"/>
    <w:rsid w:val="00297A5C"/>
    <w:rsid w:val="00297D51"/>
    <w:rsid w:val="002A0122"/>
    <w:rsid w:val="002A016B"/>
    <w:rsid w:val="002A103E"/>
    <w:rsid w:val="002A16D4"/>
    <w:rsid w:val="002A1E4F"/>
    <w:rsid w:val="002A230C"/>
    <w:rsid w:val="002A2AF7"/>
    <w:rsid w:val="002A3209"/>
    <w:rsid w:val="002A38F3"/>
    <w:rsid w:val="002A3EA2"/>
    <w:rsid w:val="002A51AC"/>
    <w:rsid w:val="002A532A"/>
    <w:rsid w:val="002A5846"/>
    <w:rsid w:val="002A5D97"/>
    <w:rsid w:val="002A603E"/>
    <w:rsid w:val="002A63B9"/>
    <w:rsid w:val="002A7089"/>
    <w:rsid w:val="002B0692"/>
    <w:rsid w:val="002B1619"/>
    <w:rsid w:val="002B3EF4"/>
    <w:rsid w:val="002B4845"/>
    <w:rsid w:val="002B5567"/>
    <w:rsid w:val="002B5812"/>
    <w:rsid w:val="002B72AA"/>
    <w:rsid w:val="002B75C0"/>
    <w:rsid w:val="002C1110"/>
    <w:rsid w:val="002C1BC2"/>
    <w:rsid w:val="002C1F09"/>
    <w:rsid w:val="002C22A4"/>
    <w:rsid w:val="002C260B"/>
    <w:rsid w:val="002C27A6"/>
    <w:rsid w:val="002C31E4"/>
    <w:rsid w:val="002C398D"/>
    <w:rsid w:val="002C40D2"/>
    <w:rsid w:val="002C43BD"/>
    <w:rsid w:val="002C5245"/>
    <w:rsid w:val="002C564A"/>
    <w:rsid w:val="002C59D8"/>
    <w:rsid w:val="002C5FEB"/>
    <w:rsid w:val="002C6494"/>
    <w:rsid w:val="002D05CB"/>
    <w:rsid w:val="002D0E59"/>
    <w:rsid w:val="002D2C4F"/>
    <w:rsid w:val="002D3EBB"/>
    <w:rsid w:val="002D455C"/>
    <w:rsid w:val="002D6066"/>
    <w:rsid w:val="002D6A4C"/>
    <w:rsid w:val="002E02A1"/>
    <w:rsid w:val="002E196A"/>
    <w:rsid w:val="002E1F8A"/>
    <w:rsid w:val="002E20C7"/>
    <w:rsid w:val="002E20CD"/>
    <w:rsid w:val="002E222E"/>
    <w:rsid w:val="002E28D8"/>
    <w:rsid w:val="002E3638"/>
    <w:rsid w:val="002E37D1"/>
    <w:rsid w:val="002E3BEE"/>
    <w:rsid w:val="002E4DCE"/>
    <w:rsid w:val="002E4E4C"/>
    <w:rsid w:val="002E4EA7"/>
    <w:rsid w:val="002E5846"/>
    <w:rsid w:val="002E631B"/>
    <w:rsid w:val="002E792B"/>
    <w:rsid w:val="002E7AEB"/>
    <w:rsid w:val="002E7B79"/>
    <w:rsid w:val="002F1B09"/>
    <w:rsid w:val="002F1D56"/>
    <w:rsid w:val="002F1DCB"/>
    <w:rsid w:val="002F1DE4"/>
    <w:rsid w:val="002F333D"/>
    <w:rsid w:val="002F351A"/>
    <w:rsid w:val="002F357F"/>
    <w:rsid w:val="002F46D6"/>
    <w:rsid w:val="002F498A"/>
    <w:rsid w:val="002F4AD8"/>
    <w:rsid w:val="002F5285"/>
    <w:rsid w:val="002F5820"/>
    <w:rsid w:val="002F64BB"/>
    <w:rsid w:val="002F7D9B"/>
    <w:rsid w:val="00300C31"/>
    <w:rsid w:val="003017EC"/>
    <w:rsid w:val="00302165"/>
    <w:rsid w:val="00303BB4"/>
    <w:rsid w:val="00304771"/>
    <w:rsid w:val="00304F9C"/>
    <w:rsid w:val="003052D4"/>
    <w:rsid w:val="00305863"/>
    <w:rsid w:val="003060E9"/>
    <w:rsid w:val="00306C5B"/>
    <w:rsid w:val="00307529"/>
    <w:rsid w:val="00307DB3"/>
    <w:rsid w:val="00307ED2"/>
    <w:rsid w:val="0031076D"/>
    <w:rsid w:val="0031169A"/>
    <w:rsid w:val="00311AA6"/>
    <w:rsid w:val="00311C4D"/>
    <w:rsid w:val="003121AB"/>
    <w:rsid w:val="00312A85"/>
    <w:rsid w:val="00315169"/>
    <w:rsid w:val="003153C8"/>
    <w:rsid w:val="00315524"/>
    <w:rsid w:val="00315561"/>
    <w:rsid w:val="00316B3D"/>
    <w:rsid w:val="0032058C"/>
    <w:rsid w:val="003208D0"/>
    <w:rsid w:val="003209D6"/>
    <w:rsid w:val="003217B9"/>
    <w:rsid w:val="00321924"/>
    <w:rsid w:val="00321AF1"/>
    <w:rsid w:val="00321EB6"/>
    <w:rsid w:val="003220A5"/>
    <w:rsid w:val="003238E0"/>
    <w:rsid w:val="00323A1C"/>
    <w:rsid w:val="00323A2F"/>
    <w:rsid w:val="00323A8E"/>
    <w:rsid w:val="003247E1"/>
    <w:rsid w:val="00324B59"/>
    <w:rsid w:val="00325E46"/>
    <w:rsid w:val="0032656E"/>
    <w:rsid w:val="0032788F"/>
    <w:rsid w:val="00332190"/>
    <w:rsid w:val="00332A98"/>
    <w:rsid w:val="003334BD"/>
    <w:rsid w:val="00333973"/>
    <w:rsid w:val="00333CD0"/>
    <w:rsid w:val="0033448D"/>
    <w:rsid w:val="00334AD2"/>
    <w:rsid w:val="00334CB6"/>
    <w:rsid w:val="0033709C"/>
    <w:rsid w:val="003370C5"/>
    <w:rsid w:val="003373C6"/>
    <w:rsid w:val="0033753A"/>
    <w:rsid w:val="00340BF3"/>
    <w:rsid w:val="00341C6C"/>
    <w:rsid w:val="00341D26"/>
    <w:rsid w:val="00341F05"/>
    <w:rsid w:val="0034335E"/>
    <w:rsid w:val="00344668"/>
    <w:rsid w:val="00344940"/>
    <w:rsid w:val="00346234"/>
    <w:rsid w:val="003462D9"/>
    <w:rsid w:val="0034723F"/>
    <w:rsid w:val="00347247"/>
    <w:rsid w:val="003474B6"/>
    <w:rsid w:val="00347DD4"/>
    <w:rsid w:val="00352B43"/>
    <w:rsid w:val="00352C28"/>
    <w:rsid w:val="003541BB"/>
    <w:rsid w:val="00354502"/>
    <w:rsid w:val="00354F89"/>
    <w:rsid w:val="0035506D"/>
    <w:rsid w:val="003579A1"/>
    <w:rsid w:val="0036077F"/>
    <w:rsid w:val="00360A35"/>
    <w:rsid w:val="00360C86"/>
    <w:rsid w:val="00360F7A"/>
    <w:rsid w:val="00360FBC"/>
    <w:rsid w:val="00361537"/>
    <w:rsid w:val="00361FB7"/>
    <w:rsid w:val="0036242A"/>
    <w:rsid w:val="00362C23"/>
    <w:rsid w:val="00362DCA"/>
    <w:rsid w:val="00362E90"/>
    <w:rsid w:val="00364FA0"/>
    <w:rsid w:val="003657F3"/>
    <w:rsid w:val="00365844"/>
    <w:rsid w:val="00365F61"/>
    <w:rsid w:val="0036624C"/>
    <w:rsid w:val="00367F84"/>
    <w:rsid w:val="003712BC"/>
    <w:rsid w:val="00372164"/>
    <w:rsid w:val="003738BD"/>
    <w:rsid w:val="00374263"/>
    <w:rsid w:val="003746F0"/>
    <w:rsid w:val="00374A20"/>
    <w:rsid w:val="00374B96"/>
    <w:rsid w:val="00374E21"/>
    <w:rsid w:val="0037537A"/>
    <w:rsid w:val="00377B2E"/>
    <w:rsid w:val="00380C9B"/>
    <w:rsid w:val="003810F0"/>
    <w:rsid w:val="003815D4"/>
    <w:rsid w:val="003818DC"/>
    <w:rsid w:val="00382513"/>
    <w:rsid w:val="00383388"/>
    <w:rsid w:val="003834F8"/>
    <w:rsid w:val="003838D0"/>
    <w:rsid w:val="003840C2"/>
    <w:rsid w:val="00384327"/>
    <w:rsid w:val="00384A89"/>
    <w:rsid w:val="00385086"/>
    <w:rsid w:val="00385D98"/>
    <w:rsid w:val="00390306"/>
    <w:rsid w:val="003908A6"/>
    <w:rsid w:val="0039109D"/>
    <w:rsid w:val="00391989"/>
    <w:rsid w:val="00391A6C"/>
    <w:rsid w:val="003927F6"/>
    <w:rsid w:val="0039398D"/>
    <w:rsid w:val="00393B3F"/>
    <w:rsid w:val="0039402D"/>
    <w:rsid w:val="00396739"/>
    <w:rsid w:val="003978B1"/>
    <w:rsid w:val="003A04F6"/>
    <w:rsid w:val="003A0837"/>
    <w:rsid w:val="003A2B4D"/>
    <w:rsid w:val="003A2D12"/>
    <w:rsid w:val="003A2EBA"/>
    <w:rsid w:val="003A45E3"/>
    <w:rsid w:val="003A46B8"/>
    <w:rsid w:val="003A478C"/>
    <w:rsid w:val="003A4A38"/>
    <w:rsid w:val="003A5295"/>
    <w:rsid w:val="003A5525"/>
    <w:rsid w:val="003A5889"/>
    <w:rsid w:val="003A5C8C"/>
    <w:rsid w:val="003A6B38"/>
    <w:rsid w:val="003A6B83"/>
    <w:rsid w:val="003A6C97"/>
    <w:rsid w:val="003A722F"/>
    <w:rsid w:val="003A7373"/>
    <w:rsid w:val="003A7D09"/>
    <w:rsid w:val="003B039F"/>
    <w:rsid w:val="003B0DF4"/>
    <w:rsid w:val="003B1F9D"/>
    <w:rsid w:val="003B2A8D"/>
    <w:rsid w:val="003B2AD1"/>
    <w:rsid w:val="003B2D2E"/>
    <w:rsid w:val="003B376A"/>
    <w:rsid w:val="003B461F"/>
    <w:rsid w:val="003B483F"/>
    <w:rsid w:val="003B4998"/>
    <w:rsid w:val="003B5A32"/>
    <w:rsid w:val="003B5B59"/>
    <w:rsid w:val="003B709D"/>
    <w:rsid w:val="003B7B50"/>
    <w:rsid w:val="003C0B07"/>
    <w:rsid w:val="003C2CE7"/>
    <w:rsid w:val="003C2DB8"/>
    <w:rsid w:val="003C3490"/>
    <w:rsid w:val="003C3608"/>
    <w:rsid w:val="003C3A87"/>
    <w:rsid w:val="003C3AE8"/>
    <w:rsid w:val="003C3D2C"/>
    <w:rsid w:val="003C4058"/>
    <w:rsid w:val="003C4E13"/>
    <w:rsid w:val="003C58A5"/>
    <w:rsid w:val="003C6221"/>
    <w:rsid w:val="003C63D7"/>
    <w:rsid w:val="003C68CC"/>
    <w:rsid w:val="003C7E62"/>
    <w:rsid w:val="003D12B9"/>
    <w:rsid w:val="003D1E7A"/>
    <w:rsid w:val="003D242B"/>
    <w:rsid w:val="003D2492"/>
    <w:rsid w:val="003D29AA"/>
    <w:rsid w:val="003D2A99"/>
    <w:rsid w:val="003D6920"/>
    <w:rsid w:val="003E0249"/>
    <w:rsid w:val="003E08A4"/>
    <w:rsid w:val="003E105C"/>
    <w:rsid w:val="003E1EF8"/>
    <w:rsid w:val="003E2DFB"/>
    <w:rsid w:val="003E4466"/>
    <w:rsid w:val="003E4C91"/>
    <w:rsid w:val="003E52D8"/>
    <w:rsid w:val="003E62F1"/>
    <w:rsid w:val="003E6F84"/>
    <w:rsid w:val="003F0148"/>
    <w:rsid w:val="003F313C"/>
    <w:rsid w:val="003F33B1"/>
    <w:rsid w:val="003F33B9"/>
    <w:rsid w:val="003F37FC"/>
    <w:rsid w:val="003F3E76"/>
    <w:rsid w:val="003F4318"/>
    <w:rsid w:val="003F4B2C"/>
    <w:rsid w:val="003F551C"/>
    <w:rsid w:val="003F626D"/>
    <w:rsid w:val="003F72ED"/>
    <w:rsid w:val="003F7D23"/>
    <w:rsid w:val="00400050"/>
    <w:rsid w:val="004002C8"/>
    <w:rsid w:val="00400468"/>
    <w:rsid w:val="0040099D"/>
    <w:rsid w:val="004016CB"/>
    <w:rsid w:val="00401B23"/>
    <w:rsid w:val="00402ADB"/>
    <w:rsid w:val="0040368D"/>
    <w:rsid w:val="00403D1D"/>
    <w:rsid w:val="00403F57"/>
    <w:rsid w:val="004046BD"/>
    <w:rsid w:val="00404BAB"/>
    <w:rsid w:val="00405318"/>
    <w:rsid w:val="004059D2"/>
    <w:rsid w:val="004060C9"/>
    <w:rsid w:val="004066D0"/>
    <w:rsid w:val="00406C2E"/>
    <w:rsid w:val="00406CDA"/>
    <w:rsid w:val="00406EB0"/>
    <w:rsid w:val="00407711"/>
    <w:rsid w:val="00407C13"/>
    <w:rsid w:val="004103F6"/>
    <w:rsid w:val="00410638"/>
    <w:rsid w:val="00412511"/>
    <w:rsid w:val="004125C2"/>
    <w:rsid w:val="00412DFA"/>
    <w:rsid w:val="00413465"/>
    <w:rsid w:val="004149AC"/>
    <w:rsid w:val="0041501E"/>
    <w:rsid w:val="00415452"/>
    <w:rsid w:val="004159C3"/>
    <w:rsid w:val="00415A57"/>
    <w:rsid w:val="00416DAC"/>
    <w:rsid w:val="00417106"/>
    <w:rsid w:val="00420880"/>
    <w:rsid w:val="00421179"/>
    <w:rsid w:val="004225D7"/>
    <w:rsid w:val="00423623"/>
    <w:rsid w:val="0042470E"/>
    <w:rsid w:val="00425352"/>
    <w:rsid w:val="00426C99"/>
    <w:rsid w:val="004272BE"/>
    <w:rsid w:val="00430C96"/>
    <w:rsid w:val="0043174F"/>
    <w:rsid w:val="00431BFF"/>
    <w:rsid w:val="00432199"/>
    <w:rsid w:val="00432A58"/>
    <w:rsid w:val="004331C3"/>
    <w:rsid w:val="00433C17"/>
    <w:rsid w:val="00434617"/>
    <w:rsid w:val="00434DE9"/>
    <w:rsid w:val="00435051"/>
    <w:rsid w:val="00435C69"/>
    <w:rsid w:val="004360FB"/>
    <w:rsid w:val="00437CED"/>
    <w:rsid w:val="004407BF"/>
    <w:rsid w:val="00440900"/>
    <w:rsid w:val="0044121D"/>
    <w:rsid w:val="00441BF6"/>
    <w:rsid w:val="00441D2B"/>
    <w:rsid w:val="00441F8B"/>
    <w:rsid w:val="00442085"/>
    <w:rsid w:val="0044279E"/>
    <w:rsid w:val="004441A0"/>
    <w:rsid w:val="00445861"/>
    <w:rsid w:val="00445A8E"/>
    <w:rsid w:val="00446D44"/>
    <w:rsid w:val="0045078A"/>
    <w:rsid w:val="0045086D"/>
    <w:rsid w:val="00450DAB"/>
    <w:rsid w:val="0045125B"/>
    <w:rsid w:val="00451E25"/>
    <w:rsid w:val="00451EF1"/>
    <w:rsid w:val="00452E60"/>
    <w:rsid w:val="0045321B"/>
    <w:rsid w:val="00455833"/>
    <w:rsid w:val="00456FB5"/>
    <w:rsid w:val="00456FE5"/>
    <w:rsid w:val="00457490"/>
    <w:rsid w:val="0045778B"/>
    <w:rsid w:val="0045786C"/>
    <w:rsid w:val="00457953"/>
    <w:rsid w:val="004604D8"/>
    <w:rsid w:val="00460656"/>
    <w:rsid w:val="00460FB3"/>
    <w:rsid w:val="00463D3C"/>
    <w:rsid w:val="00464851"/>
    <w:rsid w:val="00464BF5"/>
    <w:rsid w:val="00466595"/>
    <w:rsid w:val="00466B3E"/>
    <w:rsid w:val="0046746A"/>
    <w:rsid w:val="00467B14"/>
    <w:rsid w:val="004707FE"/>
    <w:rsid w:val="00470EDC"/>
    <w:rsid w:val="00472418"/>
    <w:rsid w:val="0047276D"/>
    <w:rsid w:val="00472AF6"/>
    <w:rsid w:val="00473482"/>
    <w:rsid w:val="00474646"/>
    <w:rsid w:val="00474A04"/>
    <w:rsid w:val="00476240"/>
    <w:rsid w:val="00476439"/>
    <w:rsid w:val="00476450"/>
    <w:rsid w:val="004769BF"/>
    <w:rsid w:val="004769E1"/>
    <w:rsid w:val="0047735C"/>
    <w:rsid w:val="004776BC"/>
    <w:rsid w:val="00477820"/>
    <w:rsid w:val="00477B96"/>
    <w:rsid w:val="00480802"/>
    <w:rsid w:val="00480BAE"/>
    <w:rsid w:val="00480D7F"/>
    <w:rsid w:val="0048139F"/>
    <w:rsid w:val="00481E40"/>
    <w:rsid w:val="00482405"/>
    <w:rsid w:val="004826A7"/>
    <w:rsid w:val="0048368C"/>
    <w:rsid w:val="0048372F"/>
    <w:rsid w:val="0048399F"/>
    <w:rsid w:val="00483A0C"/>
    <w:rsid w:val="004841CC"/>
    <w:rsid w:val="00484ECE"/>
    <w:rsid w:val="00485E82"/>
    <w:rsid w:val="00486132"/>
    <w:rsid w:val="0048686D"/>
    <w:rsid w:val="00486A4D"/>
    <w:rsid w:val="004915CB"/>
    <w:rsid w:val="00491A2B"/>
    <w:rsid w:val="004924DC"/>
    <w:rsid w:val="00492879"/>
    <w:rsid w:val="00493E85"/>
    <w:rsid w:val="00495145"/>
    <w:rsid w:val="0049531F"/>
    <w:rsid w:val="004979A5"/>
    <w:rsid w:val="004A0144"/>
    <w:rsid w:val="004A036E"/>
    <w:rsid w:val="004A0498"/>
    <w:rsid w:val="004A06B0"/>
    <w:rsid w:val="004A0D0E"/>
    <w:rsid w:val="004A14E4"/>
    <w:rsid w:val="004A204E"/>
    <w:rsid w:val="004A26A5"/>
    <w:rsid w:val="004A27F0"/>
    <w:rsid w:val="004A3212"/>
    <w:rsid w:val="004A37CD"/>
    <w:rsid w:val="004A40D9"/>
    <w:rsid w:val="004A49A5"/>
    <w:rsid w:val="004A4F8A"/>
    <w:rsid w:val="004A52AB"/>
    <w:rsid w:val="004A5494"/>
    <w:rsid w:val="004A5D4E"/>
    <w:rsid w:val="004A61C5"/>
    <w:rsid w:val="004A62A0"/>
    <w:rsid w:val="004A77DF"/>
    <w:rsid w:val="004A7DC0"/>
    <w:rsid w:val="004B1417"/>
    <w:rsid w:val="004B1627"/>
    <w:rsid w:val="004B305C"/>
    <w:rsid w:val="004B31B8"/>
    <w:rsid w:val="004B339A"/>
    <w:rsid w:val="004B4C83"/>
    <w:rsid w:val="004B55B7"/>
    <w:rsid w:val="004B5BFA"/>
    <w:rsid w:val="004B619E"/>
    <w:rsid w:val="004B6468"/>
    <w:rsid w:val="004B6EF8"/>
    <w:rsid w:val="004B7125"/>
    <w:rsid w:val="004B756A"/>
    <w:rsid w:val="004B7FB1"/>
    <w:rsid w:val="004C0970"/>
    <w:rsid w:val="004C0B3F"/>
    <w:rsid w:val="004C0F87"/>
    <w:rsid w:val="004C25F9"/>
    <w:rsid w:val="004C2794"/>
    <w:rsid w:val="004C2BB6"/>
    <w:rsid w:val="004C2C2D"/>
    <w:rsid w:val="004C3027"/>
    <w:rsid w:val="004C384C"/>
    <w:rsid w:val="004C3867"/>
    <w:rsid w:val="004C3DB0"/>
    <w:rsid w:val="004C439A"/>
    <w:rsid w:val="004C4720"/>
    <w:rsid w:val="004C4CD0"/>
    <w:rsid w:val="004C5060"/>
    <w:rsid w:val="004C5165"/>
    <w:rsid w:val="004C589C"/>
    <w:rsid w:val="004C5AE8"/>
    <w:rsid w:val="004C6E0E"/>
    <w:rsid w:val="004C70DC"/>
    <w:rsid w:val="004D0211"/>
    <w:rsid w:val="004D0794"/>
    <w:rsid w:val="004D2D31"/>
    <w:rsid w:val="004D2E03"/>
    <w:rsid w:val="004D3296"/>
    <w:rsid w:val="004D4056"/>
    <w:rsid w:val="004D4CB0"/>
    <w:rsid w:val="004D5B0F"/>
    <w:rsid w:val="004D7626"/>
    <w:rsid w:val="004E085C"/>
    <w:rsid w:val="004E12DF"/>
    <w:rsid w:val="004E186A"/>
    <w:rsid w:val="004E1A40"/>
    <w:rsid w:val="004E200A"/>
    <w:rsid w:val="004E23FC"/>
    <w:rsid w:val="004E2409"/>
    <w:rsid w:val="004E261D"/>
    <w:rsid w:val="004E3927"/>
    <w:rsid w:val="004E3B7F"/>
    <w:rsid w:val="004E57BF"/>
    <w:rsid w:val="004E5F41"/>
    <w:rsid w:val="004E6011"/>
    <w:rsid w:val="004E6DE6"/>
    <w:rsid w:val="004E765E"/>
    <w:rsid w:val="004E7815"/>
    <w:rsid w:val="004F06F5"/>
    <w:rsid w:val="004F12A4"/>
    <w:rsid w:val="004F253F"/>
    <w:rsid w:val="004F33A0"/>
    <w:rsid w:val="004F3873"/>
    <w:rsid w:val="004F3BD2"/>
    <w:rsid w:val="004F46ED"/>
    <w:rsid w:val="004F49A3"/>
    <w:rsid w:val="004F4C99"/>
    <w:rsid w:val="004F5358"/>
    <w:rsid w:val="004F6484"/>
    <w:rsid w:val="004F6539"/>
    <w:rsid w:val="00503D54"/>
    <w:rsid w:val="005048E2"/>
    <w:rsid w:val="00505FC8"/>
    <w:rsid w:val="00506603"/>
    <w:rsid w:val="0050689D"/>
    <w:rsid w:val="005077F5"/>
    <w:rsid w:val="005108C0"/>
    <w:rsid w:val="0051094F"/>
    <w:rsid w:val="00511217"/>
    <w:rsid w:val="00511873"/>
    <w:rsid w:val="00511BAF"/>
    <w:rsid w:val="00512461"/>
    <w:rsid w:val="00512585"/>
    <w:rsid w:val="00512A2F"/>
    <w:rsid w:val="00513B7E"/>
    <w:rsid w:val="00513E9D"/>
    <w:rsid w:val="0051475D"/>
    <w:rsid w:val="00514B11"/>
    <w:rsid w:val="00514DED"/>
    <w:rsid w:val="00515485"/>
    <w:rsid w:val="00515BE9"/>
    <w:rsid w:val="00515C74"/>
    <w:rsid w:val="00515CEB"/>
    <w:rsid w:val="0051630F"/>
    <w:rsid w:val="00517113"/>
    <w:rsid w:val="0052007E"/>
    <w:rsid w:val="0052032E"/>
    <w:rsid w:val="00521CAD"/>
    <w:rsid w:val="0052200D"/>
    <w:rsid w:val="00522425"/>
    <w:rsid w:val="00522A1B"/>
    <w:rsid w:val="00522E01"/>
    <w:rsid w:val="0052337A"/>
    <w:rsid w:val="00524385"/>
    <w:rsid w:val="005246BE"/>
    <w:rsid w:val="00525137"/>
    <w:rsid w:val="005251DD"/>
    <w:rsid w:val="0052762C"/>
    <w:rsid w:val="0052792D"/>
    <w:rsid w:val="0053012B"/>
    <w:rsid w:val="005301A6"/>
    <w:rsid w:val="00530A68"/>
    <w:rsid w:val="00530AD4"/>
    <w:rsid w:val="0053129F"/>
    <w:rsid w:val="00531C5A"/>
    <w:rsid w:val="00532CE7"/>
    <w:rsid w:val="00532D8B"/>
    <w:rsid w:val="0053324C"/>
    <w:rsid w:val="00533A8D"/>
    <w:rsid w:val="00534A28"/>
    <w:rsid w:val="00535018"/>
    <w:rsid w:val="00535782"/>
    <w:rsid w:val="0053595E"/>
    <w:rsid w:val="00537571"/>
    <w:rsid w:val="00540056"/>
    <w:rsid w:val="005410E2"/>
    <w:rsid w:val="00541508"/>
    <w:rsid w:val="00541AE3"/>
    <w:rsid w:val="00543498"/>
    <w:rsid w:val="00544011"/>
    <w:rsid w:val="00544BE5"/>
    <w:rsid w:val="005453A3"/>
    <w:rsid w:val="005455F6"/>
    <w:rsid w:val="0054582F"/>
    <w:rsid w:val="00546FC7"/>
    <w:rsid w:val="005500F9"/>
    <w:rsid w:val="00550160"/>
    <w:rsid w:val="00550249"/>
    <w:rsid w:val="00550540"/>
    <w:rsid w:val="005519E2"/>
    <w:rsid w:val="00551E16"/>
    <w:rsid w:val="005523A8"/>
    <w:rsid w:val="00552F2C"/>
    <w:rsid w:val="00553A25"/>
    <w:rsid w:val="005547EB"/>
    <w:rsid w:val="00554863"/>
    <w:rsid w:val="005555E0"/>
    <w:rsid w:val="0055599F"/>
    <w:rsid w:val="00556D68"/>
    <w:rsid w:val="0055707B"/>
    <w:rsid w:val="005570D6"/>
    <w:rsid w:val="00557E0E"/>
    <w:rsid w:val="00557E45"/>
    <w:rsid w:val="005605F3"/>
    <w:rsid w:val="00560C41"/>
    <w:rsid w:val="00560CAC"/>
    <w:rsid w:val="00561F44"/>
    <w:rsid w:val="00562B4D"/>
    <w:rsid w:val="00562DB1"/>
    <w:rsid w:val="00563EB8"/>
    <w:rsid w:val="005647BF"/>
    <w:rsid w:val="00564AF1"/>
    <w:rsid w:val="005655DB"/>
    <w:rsid w:val="00565E88"/>
    <w:rsid w:val="00567339"/>
    <w:rsid w:val="005678EE"/>
    <w:rsid w:val="00567910"/>
    <w:rsid w:val="00570270"/>
    <w:rsid w:val="00570464"/>
    <w:rsid w:val="00570601"/>
    <w:rsid w:val="00570BC3"/>
    <w:rsid w:val="00571766"/>
    <w:rsid w:val="0057182A"/>
    <w:rsid w:val="00571E59"/>
    <w:rsid w:val="00572079"/>
    <w:rsid w:val="00572900"/>
    <w:rsid w:val="00573602"/>
    <w:rsid w:val="0057364B"/>
    <w:rsid w:val="00574773"/>
    <w:rsid w:val="005761EC"/>
    <w:rsid w:val="00576E34"/>
    <w:rsid w:val="00577C07"/>
    <w:rsid w:val="00577DB1"/>
    <w:rsid w:val="00580AD3"/>
    <w:rsid w:val="00580DE7"/>
    <w:rsid w:val="005810E1"/>
    <w:rsid w:val="005820CD"/>
    <w:rsid w:val="00583BDD"/>
    <w:rsid w:val="00583E52"/>
    <w:rsid w:val="00583FFD"/>
    <w:rsid w:val="00584252"/>
    <w:rsid w:val="005848DD"/>
    <w:rsid w:val="0058519A"/>
    <w:rsid w:val="005856BD"/>
    <w:rsid w:val="00585983"/>
    <w:rsid w:val="00586BCA"/>
    <w:rsid w:val="00587038"/>
    <w:rsid w:val="00590608"/>
    <w:rsid w:val="00590B28"/>
    <w:rsid w:val="005911BE"/>
    <w:rsid w:val="00591273"/>
    <w:rsid w:val="00591E9E"/>
    <w:rsid w:val="005927A4"/>
    <w:rsid w:val="00593152"/>
    <w:rsid w:val="00593389"/>
    <w:rsid w:val="00593FE6"/>
    <w:rsid w:val="005956A3"/>
    <w:rsid w:val="00595958"/>
    <w:rsid w:val="00595CAB"/>
    <w:rsid w:val="0059622E"/>
    <w:rsid w:val="00597671"/>
    <w:rsid w:val="00597BBF"/>
    <w:rsid w:val="005A040C"/>
    <w:rsid w:val="005A0463"/>
    <w:rsid w:val="005A0948"/>
    <w:rsid w:val="005A0A03"/>
    <w:rsid w:val="005A10F2"/>
    <w:rsid w:val="005A16C0"/>
    <w:rsid w:val="005A2156"/>
    <w:rsid w:val="005A21E0"/>
    <w:rsid w:val="005A2401"/>
    <w:rsid w:val="005A28FF"/>
    <w:rsid w:val="005A2C09"/>
    <w:rsid w:val="005A3778"/>
    <w:rsid w:val="005A37B0"/>
    <w:rsid w:val="005A3DF8"/>
    <w:rsid w:val="005A5549"/>
    <w:rsid w:val="005A566A"/>
    <w:rsid w:val="005A56E0"/>
    <w:rsid w:val="005A70CA"/>
    <w:rsid w:val="005A7ABD"/>
    <w:rsid w:val="005A7CF8"/>
    <w:rsid w:val="005B0EDA"/>
    <w:rsid w:val="005B121D"/>
    <w:rsid w:val="005B26B0"/>
    <w:rsid w:val="005B41C9"/>
    <w:rsid w:val="005B44E6"/>
    <w:rsid w:val="005B4853"/>
    <w:rsid w:val="005B6CA1"/>
    <w:rsid w:val="005B770C"/>
    <w:rsid w:val="005C06ED"/>
    <w:rsid w:val="005C0CE1"/>
    <w:rsid w:val="005C11B8"/>
    <w:rsid w:val="005C216C"/>
    <w:rsid w:val="005C2609"/>
    <w:rsid w:val="005C2B30"/>
    <w:rsid w:val="005C412B"/>
    <w:rsid w:val="005C43EC"/>
    <w:rsid w:val="005C45DD"/>
    <w:rsid w:val="005C4704"/>
    <w:rsid w:val="005C4CB1"/>
    <w:rsid w:val="005C70AB"/>
    <w:rsid w:val="005D015C"/>
    <w:rsid w:val="005D3F06"/>
    <w:rsid w:val="005D4608"/>
    <w:rsid w:val="005D4B73"/>
    <w:rsid w:val="005D533D"/>
    <w:rsid w:val="005D5645"/>
    <w:rsid w:val="005D5802"/>
    <w:rsid w:val="005D5AA9"/>
    <w:rsid w:val="005D66E6"/>
    <w:rsid w:val="005D7119"/>
    <w:rsid w:val="005D76C8"/>
    <w:rsid w:val="005D7890"/>
    <w:rsid w:val="005E19C1"/>
    <w:rsid w:val="005E2194"/>
    <w:rsid w:val="005E24F0"/>
    <w:rsid w:val="005E3113"/>
    <w:rsid w:val="005E36FE"/>
    <w:rsid w:val="005E3F66"/>
    <w:rsid w:val="005E490F"/>
    <w:rsid w:val="005E4BC9"/>
    <w:rsid w:val="005E5314"/>
    <w:rsid w:val="005E7724"/>
    <w:rsid w:val="005E7C78"/>
    <w:rsid w:val="005F04A7"/>
    <w:rsid w:val="005F114F"/>
    <w:rsid w:val="005F18C5"/>
    <w:rsid w:val="005F247B"/>
    <w:rsid w:val="005F2A08"/>
    <w:rsid w:val="005F36CC"/>
    <w:rsid w:val="005F3EB1"/>
    <w:rsid w:val="005F413E"/>
    <w:rsid w:val="005F466B"/>
    <w:rsid w:val="005F46D8"/>
    <w:rsid w:val="005F480F"/>
    <w:rsid w:val="005F5271"/>
    <w:rsid w:val="005F5469"/>
    <w:rsid w:val="005F63F3"/>
    <w:rsid w:val="005F66F0"/>
    <w:rsid w:val="005F6D7F"/>
    <w:rsid w:val="005F6DFE"/>
    <w:rsid w:val="005F7174"/>
    <w:rsid w:val="0060120D"/>
    <w:rsid w:val="006017C1"/>
    <w:rsid w:val="00601ADE"/>
    <w:rsid w:val="00601EEF"/>
    <w:rsid w:val="0060255A"/>
    <w:rsid w:val="00602998"/>
    <w:rsid w:val="00602EB3"/>
    <w:rsid w:val="00604307"/>
    <w:rsid w:val="0060487F"/>
    <w:rsid w:val="00604EAD"/>
    <w:rsid w:val="0060513F"/>
    <w:rsid w:val="006065E2"/>
    <w:rsid w:val="0060694B"/>
    <w:rsid w:val="006104FB"/>
    <w:rsid w:val="0061176D"/>
    <w:rsid w:val="0061200F"/>
    <w:rsid w:val="00612756"/>
    <w:rsid w:val="00612A2F"/>
    <w:rsid w:val="00612AAE"/>
    <w:rsid w:val="00612B07"/>
    <w:rsid w:val="00612FD9"/>
    <w:rsid w:val="006139E0"/>
    <w:rsid w:val="00614D35"/>
    <w:rsid w:val="006156B4"/>
    <w:rsid w:val="00615DAF"/>
    <w:rsid w:val="00616254"/>
    <w:rsid w:val="0061672A"/>
    <w:rsid w:val="00616E05"/>
    <w:rsid w:val="00617985"/>
    <w:rsid w:val="00620641"/>
    <w:rsid w:val="00620B77"/>
    <w:rsid w:val="00621190"/>
    <w:rsid w:val="0062131B"/>
    <w:rsid w:val="00621E26"/>
    <w:rsid w:val="006224EA"/>
    <w:rsid w:val="0062263A"/>
    <w:rsid w:val="006227DF"/>
    <w:rsid w:val="006234A0"/>
    <w:rsid w:val="006236C8"/>
    <w:rsid w:val="00624093"/>
    <w:rsid w:val="00625A84"/>
    <w:rsid w:val="00626079"/>
    <w:rsid w:val="00631698"/>
    <w:rsid w:val="00631E44"/>
    <w:rsid w:val="00634C57"/>
    <w:rsid w:val="00634CE7"/>
    <w:rsid w:val="006350D5"/>
    <w:rsid w:val="0063642C"/>
    <w:rsid w:val="006376B3"/>
    <w:rsid w:val="00637858"/>
    <w:rsid w:val="006404A7"/>
    <w:rsid w:val="00640A38"/>
    <w:rsid w:val="00640E6B"/>
    <w:rsid w:val="00641787"/>
    <w:rsid w:val="0064179B"/>
    <w:rsid w:val="00642489"/>
    <w:rsid w:val="00644055"/>
    <w:rsid w:val="00644137"/>
    <w:rsid w:val="0064478C"/>
    <w:rsid w:val="00645160"/>
    <w:rsid w:val="006451E4"/>
    <w:rsid w:val="0064574B"/>
    <w:rsid w:val="00645B33"/>
    <w:rsid w:val="006516CB"/>
    <w:rsid w:val="00652E30"/>
    <w:rsid w:val="00653BD0"/>
    <w:rsid w:val="00654110"/>
    <w:rsid w:val="00656C5D"/>
    <w:rsid w:val="00656CFB"/>
    <w:rsid w:val="00656D25"/>
    <w:rsid w:val="00657E87"/>
    <w:rsid w:val="00660D2D"/>
    <w:rsid w:val="00661C41"/>
    <w:rsid w:val="00661EC9"/>
    <w:rsid w:val="00662469"/>
    <w:rsid w:val="0066411C"/>
    <w:rsid w:val="00664205"/>
    <w:rsid w:val="00664647"/>
    <w:rsid w:val="00664803"/>
    <w:rsid w:val="0066502F"/>
    <w:rsid w:val="006653CC"/>
    <w:rsid w:val="00665501"/>
    <w:rsid w:val="00665982"/>
    <w:rsid w:val="00665BA4"/>
    <w:rsid w:val="00666BF3"/>
    <w:rsid w:val="00667856"/>
    <w:rsid w:val="00667AF2"/>
    <w:rsid w:val="00670489"/>
    <w:rsid w:val="006710C9"/>
    <w:rsid w:val="00671D85"/>
    <w:rsid w:val="00672586"/>
    <w:rsid w:val="006727BC"/>
    <w:rsid w:val="006741CD"/>
    <w:rsid w:val="00674D89"/>
    <w:rsid w:val="0067514E"/>
    <w:rsid w:val="00675E37"/>
    <w:rsid w:val="0067635D"/>
    <w:rsid w:val="00676736"/>
    <w:rsid w:val="006769A4"/>
    <w:rsid w:val="006769C6"/>
    <w:rsid w:val="00676D76"/>
    <w:rsid w:val="00676F9F"/>
    <w:rsid w:val="00677519"/>
    <w:rsid w:val="00677591"/>
    <w:rsid w:val="00677594"/>
    <w:rsid w:val="00677FA3"/>
    <w:rsid w:val="0068032F"/>
    <w:rsid w:val="00680D37"/>
    <w:rsid w:val="0068174E"/>
    <w:rsid w:val="00681DCE"/>
    <w:rsid w:val="00682110"/>
    <w:rsid w:val="0068260E"/>
    <w:rsid w:val="006846B3"/>
    <w:rsid w:val="00684B9B"/>
    <w:rsid w:val="00684D59"/>
    <w:rsid w:val="00684E25"/>
    <w:rsid w:val="006858A4"/>
    <w:rsid w:val="00685C08"/>
    <w:rsid w:val="00686718"/>
    <w:rsid w:val="00686BFA"/>
    <w:rsid w:val="00686DED"/>
    <w:rsid w:val="006875A0"/>
    <w:rsid w:val="006878C6"/>
    <w:rsid w:val="00687D27"/>
    <w:rsid w:val="00691943"/>
    <w:rsid w:val="00693550"/>
    <w:rsid w:val="00694622"/>
    <w:rsid w:val="00695065"/>
    <w:rsid w:val="00695BEF"/>
    <w:rsid w:val="00696251"/>
    <w:rsid w:val="006966C7"/>
    <w:rsid w:val="006968C1"/>
    <w:rsid w:val="006977F6"/>
    <w:rsid w:val="00697A13"/>
    <w:rsid w:val="006A0DD4"/>
    <w:rsid w:val="006A109C"/>
    <w:rsid w:val="006A4E91"/>
    <w:rsid w:val="006A5F4B"/>
    <w:rsid w:val="006A6114"/>
    <w:rsid w:val="006A6565"/>
    <w:rsid w:val="006A7665"/>
    <w:rsid w:val="006A7691"/>
    <w:rsid w:val="006A7EE2"/>
    <w:rsid w:val="006B0514"/>
    <w:rsid w:val="006B0F92"/>
    <w:rsid w:val="006B2785"/>
    <w:rsid w:val="006B27C7"/>
    <w:rsid w:val="006B344A"/>
    <w:rsid w:val="006B58C9"/>
    <w:rsid w:val="006B60ED"/>
    <w:rsid w:val="006B6CC5"/>
    <w:rsid w:val="006B74AC"/>
    <w:rsid w:val="006B78D8"/>
    <w:rsid w:val="006B79EA"/>
    <w:rsid w:val="006C0C5D"/>
    <w:rsid w:val="006C113F"/>
    <w:rsid w:val="006C123E"/>
    <w:rsid w:val="006C15A1"/>
    <w:rsid w:val="006C1752"/>
    <w:rsid w:val="006C1DDC"/>
    <w:rsid w:val="006C28CA"/>
    <w:rsid w:val="006C2BBF"/>
    <w:rsid w:val="006C2FBD"/>
    <w:rsid w:val="006C3336"/>
    <w:rsid w:val="006C3495"/>
    <w:rsid w:val="006C4355"/>
    <w:rsid w:val="006C4587"/>
    <w:rsid w:val="006C469D"/>
    <w:rsid w:val="006C46B5"/>
    <w:rsid w:val="006C484F"/>
    <w:rsid w:val="006C52EC"/>
    <w:rsid w:val="006C5506"/>
    <w:rsid w:val="006C56D4"/>
    <w:rsid w:val="006C6681"/>
    <w:rsid w:val="006C683C"/>
    <w:rsid w:val="006C6924"/>
    <w:rsid w:val="006C6C1E"/>
    <w:rsid w:val="006C7076"/>
    <w:rsid w:val="006C7981"/>
    <w:rsid w:val="006C7AEC"/>
    <w:rsid w:val="006C7CA6"/>
    <w:rsid w:val="006D18B3"/>
    <w:rsid w:val="006D1E89"/>
    <w:rsid w:val="006D26CE"/>
    <w:rsid w:val="006D317E"/>
    <w:rsid w:val="006D3E8A"/>
    <w:rsid w:val="006D47D9"/>
    <w:rsid w:val="006D61F6"/>
    <w:rsid w:val="006E1081"/>
    <w:rsid w:val="006E1332"/>
    <w:rsid w:val="006E19CB"/>
    <w:rsid w:val="006E279A"/>
    <w:rsid w:val="006E313B"/>
    <w:rsid w:val="006E34B2"/>
    <w:rsid w:val="006E3A45"/>
    <w:rsid w:val="006E4078"/>
    <w:rsid w:val="006E51C4"/>
    <w:rsid w:val="006E53AD"/>
    <w:rsid w:val="006E58CB"/>
    <w:rsid w:val="006E6A93"/>
    <w:rsid w:val="006E7227"/>
    <w:rsid w:val="006E761A"/>
    <w:rsid w:val="006F0646"/>
    <w:rsid w:val="006F0741"/>
    <w:rsid w:val="006F1C27"/>
    <w:rsid w:val="006F2A65"/>
    <w:rsid w:val="006F3DD6"/>
    <w:rsid w:val="006F40DF"/>
    <w:rsid w:val="006F42BB"/>
    <w:rsid w:val="006F438E"/>
    <w:rsid w:val="006F440B"/>
    <w:rsid w:val="006F48A3"/>
    <w:rsid w:val="006F4DA4"/>
    <w:rsid w:val="006F5416"/>
    <w:rsid w:val="006F624B"/>
    <w:rsid w:val="006F6D87"/>
    <w:rsid w:val="006F6FF2"/>
    <w:rsid w:val="006F79FB"/>
    <w:rsid w:val="007008A9"/>
    <w:rsid w:val="00700E8A"/>
    <w:rsid w:val="0070398A"/>
    <w:rsid w:val="00705242"/>
    <w:rsid w:val="007055E0"/>
    <w:rsid w:val="007056ED"/>
    <w:rsid w:val="00705F4E"/>
    <w:rsid w:val="0070658E"/>
    <w:rsid w:val="007065C5"/>
    <w:rsid w:val="007068E1"/>
    <w:rsid w:val="00706AA0"/>
    <w:rsid w:val="00706AD4"/>
    <w:rsid w:val="00707150"/>
    <w:rsid w:val="007124D7"/>
    <w:rsid w:val="00712C20"/>
    <w:rsid w:val="00713549"/>
    <w:rsid w:val="007140BE"/>
    <w:rsid w:val="007147AB"/>
    <w:rsid w:val="00715502"/>
    <w:rsid w:val="00715D01"/>
    <w:rsid w:val="00715E4D"/>
    <w:rsid w:val="00715F12"/>
    <w:rsid w:val="0071677A"/>
    <w:rsid w:val="00716F48"/>
    <w:rsid w:val="007170FB"/>
    <w:rsid w:val="00717114"/>
    <w:rsid w:val="0071779F"/>
    <w:rsid w:val="00720310"/>
    <w:rsid w:val="00720D7A"/>
    <w:rsid w:val="007211F5"/>
    <w:rsid w:val="007213C3"/>
    <w:rsid w:val="00721601"/>
    <w:rsid w:val="00722777"/>
    <w:rsid w:val="00723435"/>
    <w:rsid w:val="00723436"/>
    <w:rsid w:val="007240E2"/>
    <w:rsid w:val="0072454C"/>
    <w:rsid w:val="0072583E"/>
    <w:rsid w:val="00725BB5"/>
    <w:rsid w:val="00727C02"/>
    <w:rsid w:val="0073008E"/>
    <w:rsid w:val="00730A8B"/>
    <w:rsid w:val="00730AE8"/>
    <w:rsid w:val="00730F1B"/>
    <w:rsid w:val="0073186D"/>
    <w:rsid w:val="0073261D"/>
    <w:rsid w:val="0073333D"/>
    <w:rsid w:val="007343D9"/>
    <w:rsid w:val="00734F71"/>
    <w:rsid w:val="00735448"/>
    <w:rsid w:val="00736F07"/>
    <w:rsid w:val="007377BD"/>
    <w:rsid w:val="00737DEC"/>
    <w:rsid w:val="0074004D"/>
    <w:rsid w:val="00741493"/>
    <w:rsid w:val="00741F2A"/>
    <w:rsid w:val="007434E5"/>
    <w:rsid w:val="0074499B"/>
    <w:rsid w:val="0074501E"/>
    <w:rsid w:val="007450BF"/>
    <w:rsid w:val="0074599A"/>
    <w:rsid w:val="00746F45"/>
    <w:rsid w:val="007471A1"/>
    <w:rsid w:val="007477BD"/>
    <w:rsid w:val="007477DA"/>
    <w:rsid w:val="00747EE9"/>
    <w:rsid w:val="007520B6"/>
    <w:rsid w:val="00752180"/>
    <w:rsid w:val="00752323"/>
    <w:rsid w:val="007532B7"/>
    <w:rsid w:val="00753CAB"/>
    <w:rsid w:val="00754A70"/>
    <w:rsid w:val="00754BC9"/>
    <w:rsid w:val="00755202"/>
    <w:rsid w:val="00755D3A"/>
    <w:rsid w:val="00757241"/>
    <w:rsid w:val="0075751D"/>
    <w:rsid w:val="0075763E"/>
    <w:rsid w:val="007578D3"/>
    <w:rsid w:val="007602CF"/>
    <w:rsid w:val="00760391"/>
    <w:rsid w:val="007609C6"/>
    <w:rsid w:val="007615F3"/>
    <w:rsid w:val="0076175D"/>
    <w:rsid w:val="00761CB5"/>
    <w:rsid w:val="007629D5"/>
    <w:rsid w:val="007635F8"/>
    <w:rsid w:val="00763B85"/>
    <w:rsid w:val="007644A2"/>
    <w:rsid w:val="00764974"/>
    <w:rsid w:val="00764D18"/>
    <w:rsid w:val="0076521E"/>
    <w:rsid w:val="00765BCC"/>
    <w:rsid w:val="0076600D"/>
    <w:rsid w:val="007661E9"/>
    <w:rsid w:val="00766460"/>
    <w:rsid w:val="00767062"/>
    <w:rsid w:val="00767601"/>
    <w:rsid w:val="00767777"/>
    <w:rsid w:val="00767933"/>
    <w:rsid w:val="00770AB9"/>
    <w:rsid w:val="00770CFC"/>
    <w:rsid w:val="0077130E"/>
    <w:rsid w:val="007715EE"/>
    <w:rsid w:val="00771972"/>
    <w:rsid w:val="00772279"/>
    <w:rsid w:val="00772DAB"/>
    <w:rsid w:val="00772FF9"/>
    <w:rsid w:val="0077348B"/>
    <w:rsid w:val="007743DB"/>
    <w:rsid w:val="00774D2C"/>
    <w:rsid w:val="00775E00"/>
    <w:rsid w:val="0077605B"/>
    <w:rsid w:val="00776169"/>
    <w:rsid w:val="00776527"/>
    <w:rsid w:val="00777040"/>
    <w:rsid w:val="00777CE6"/>
    <w:rsid w:val="00777D57"/>
    <w:rsid w:val="00780EF1"/>
    <w:rsid w:val="00781A91"/>
    <w:rsid w:val="00781AD3"/>
    <w:rsid w:val="00781F36"/>
    <w:rsid w:val="00783576"/>
    <w:rsid w:val="00785778"/>
    <w:rsid w:val="00786C87"/>
    <w:rsid w:val="0078755E"/>
    <w:rsid w:val="007877C9"/>
    <w:rsid w:val="00790764"/>
    <w:rsid w:val="0079085F"/>
    <w:rsid w:val="00790E96"/>
    <w:rsid w:val="00791005"/>
    <w:rsid w:val="00793D78"/>
    <w:rsid w:val="0079420B"/>
    <w:rsid w:val="0079453C"/>
    <w:rsid w:val="00794677"/>
    <w:rsid w:val="00795759"/>
    <w:rsid w:val="007A170B"/>
    <w:rsid w:val="007A20EB"/>
    <w:rsid w:val="007A282C"/>
    <w:rsid w:val="007A293C"/>
    <w:rsid w:val="007A2A3A"/>
    <w:rsid w:val="007A33E2"/>
    <w:rsid w:val="007A3CAF"/>
    <w:rsid w:val="007A4664"/>
    <w:rsid w:val="007A4782"/>
    <w:rsid w:val="007A516D"/>
    <w:rsid w:val="007A5E65"/>
    <w:rsid w:val="007A65E1"/>
    <w:rsid w:val="007A6A6E"/>
    <w:rsid w:val="007A6AAA"/>
    <w:rsid w:val="007A7033"/>
    <w:rsid w:val="007A775D"/>
    <w:rsid w:val="007B04B0"/>
    <w:rsid w:val="007B0834"/>
    <w:rsid w:val="007B0E83"/>
    <w:rsid w:val="007B11FA"/>
    <w:rsid w:val="007B1396"/>
    <w:rsid w:val="007B16D6"/>
    <w:rsid w:val="007B1D1B"/>
    <w:rsid w:val="007B2011"/>
    <w:rsid w:val="007B2CFE"/>
    <w:rsid w:val="007B309B"/>
    <w:rsid w:val="007B3D5E"/>
    <w:rsid w:val="007B3DCB"/>
    <w:rsid w:val="007B54AE"/>
    <w:rsid w:val="007B5725"/>
    <w:rsid w:val="007B5C1F"/>
    <w:rsid w:val="007B6689"/>
    <w:rsid w:val="007B6747"/>
    <w:rsid w:val="007B6F72"/>
    <w:rsid w:val="007B74AA"/>
    <w:rsid w:val="007C10BD"/>
    <w:rsid w:val="007C162D"/>
    <w:rsid w:val="007C1F0C"/>
    <w:rsid w:val="007C1FFB"/>
    <w:rsid w:val="007C2D94"/>
    <w:rsid w:val="007C4A6B"/>
    <w:rsid w:val="007C5F92"/>
    <w:rsid w:val="007C6227"/>
    <w:rsid w:val="007C64F7"/>
    <w:rsid w:val="007C6BBD"/>
    <w:rsid w:val="007C6D89"/>
    <w:rsid w:val="007C6F5E"/>
    <w:rsid w:val="007D0382"/>
    <w:rsid w:val="007D0F6B"/>
    <w:rsid w:val="007D14FE"/>
    <w:rsid w:val="007D1A1F"/>
    <w:rsid w:val="007D213B"/>
    <w:rsid w:val="007D2783"/>
    <w:rsid w:val="007D2E18"/>
    <w:rsid w:val="007D3EF3"/>
    <w:rsid w:val="007D40DF"/>
    <w:rsid w:val="007D42E5"/>
    <w:rsid w:val="007D4458"/>
    <w:rsid w:val="007D6AF9"/>
    <w:rsid w:val="007D7763"/>
    <w:rsid w:val="007E0535"/>
    <w:rsid w:val="007E07F2"/>
    <w:rsid w:val="007E0D4A"/>
    <w:rsid w:val="007E1788"/>
    <w:rsid w:val="007E1EE3"/>
    <w:rsid w:val="007E29B4"/>
    <w:rsid w:val="007E2F12"/>
    <w:rsid w:val="007E3627"/>
    <w:rsid w:val="007E435A"/>
    <w:rsid w:val="007E445C"/>
    <w:rsid w:val="007E49F7"/>
    <w:rsid w:val="007E4C70"/>
    <w:rsid w:val="007E5B5F"/>
    <w:rsid w:val="007E69C6"/>
    <w:rsid w:val="007E78B6"/>
    <w:rsid w:val="007E7E61"/>
    <w:rsid w:val="007F0845"/>
    <w:rsid w:val="007F0873"/>
    <w:rsid w:val="007F20F3"/>
    <w:rsid w:val="007F2353"/>
    <w:rsid w:val="007F2390"/>
    <w:rsid w:val="007F2CAC"/>
    <w:rsid w:val="007F3CB6"/>
    <w:rsid w:val="007F4740"/>
    <w:rsid w:val="007F595A"/>
    <w:rsid w:val="007F5C38"/>
    <w:rsid w:val="007F708D"/>
    <w:rsid w:val="007F7E3F"/>
    <w:rsid w:val="008006B3"/>
    <w:rsid w:val="00800B63"/>
    <w:rsid w:val="0080158A"/>
    <w:rsid w:val="00801E13"/>
    <w:rsid w:val="00803008"/>
    <w:rsid w:val="00803069"/>
    <w:rsid w:val="0080346B"/>
    <w:rsid w:val="00804155"/>
    <w:rsid w:val="00804C9F"/>
    <w:rsid w:val="0080559E"/>
    <w:rsid w:val="00805AF3"/>
    <w:rsid w:val="00806C9C"/>
    <w:rsid w:val="008071B1"/>
    <w:rsid w:val="0080734C"/>
    <w:rsid w:val="00807C82"/>
    <w:rsid w:val="008117CC"/>
    <w:rsid w:val="00811FF8"/>
    <w:rsid w:val="00813D58"/>
    <w:rsid w:val="00813DCA"/>
    <w:rsid w:val="008161A6"/>
    <w:rsid w:val="008165B8"/>
    <w:rsid w:val="00816905"/>
    <w:rsid w:val="00816D98"/>
    <w:rsid w:val="00816E42"/>
    <w:rsid w:val="00817040"/>
    <w:rsid w:val="00817A17"/>
    <w:rsid w:val="00817EC1"/>
    <w:rsid w:val="0082112D"/>
    <w:rsid w:val="00821624"/>
    <w:rsid w:val="00821FF6"/>
    <w:rsid w:val="00822574"/>
    <w:rsid w:val="00822980"/>
    <w:rsid w:val="00822F08"/>
    <w:rsid w:val="00824BA6"/>
    <w:rsid w:val="00825007"/>
    <w:rsid w:val="00825120"/>
    <w:rsid w:val="00825C4D"/>
    <w:rsid w:val="00826A08"/>
    <w:rsid w:val="00826AC0"/>
    <w:rsid w:val="00826D45"/>
    <w:rsid w:val="00827186"/>
    <w:rsid w:val="00827C8E"/>
    <w:rsid w:val="00830569"/>
    <w:rsid w:val="00830AEA"/>
    <w:rsid w:val="00830E86"/>
    <w:rsid w:val="0083143E"/>
    <w:rsid w:val="008315B8"/>
    <w:rsid w:val="008315D5"/>
    <w:rsid w:val="00831CDE"/>
    <w:rsid w:val="00831F2B"/>
    <w:rsid w:val="008320CF"/>
    <w:rsid w:val="008324A3"/>
    <w:rsid w:val="00832F77"/>
    <w:rsid w:val="00834304"/>
    <w:rsid w:val="0083471A"/>
    <w:rsid w:val="00834FAA"/>
    <w:rsid w:val="008354FB"/>
    <w:rsid w:val="00835FF1"/>
    <w:rsid w:val="00836086"/>
    <w:rsid w:val="0083630F"/>
    <w:rsid w:val="00836A06"/>
    <w:rsid w:val="008374BC"/>
    <w:rsid w:val="008379D6"/>
    <w:rsid w:val="00837E48"/>
    <w:rsid w:val="00840293"/>
    <w:rsid w:val="008402AD"/>
    <w:rsid w:val="008408D4"/>
    <w:rsid w:val="008417B5"/>
    <w:rsid w:val="00841901"/>
    <w:rsid w:val="008458BD"/>
    <w:rsid w:val="00846121"/>
    <w:rsid w:val="008461C2"/>
    <w:rsid w:val="008462F1"/>
    <w:rsid w:val="008466C6"/>
    <w:rsid w:val="0084708F"/>
    <w:rsid w:val="008477C8"/>
    <w:rsid w:val="008478A6"/>
    <w:rsid w:val="008502F6"/>
    <w:rsid w:val="0085036C"/>
    <w:rsid w:val="00850E83"/>
    <w:rsid w:val="0085114D"/>
    <w:rsid w:val="00851163"/>
    <w:rsid w:val="008520A8"/>
    <w:rsid w:val="00852217"/>
    <w:rsid w:val="00853282"/>
    <w:rsid w:val="0085334C"/>
    <w:rsid w:val="00854291"/>
    <w:rsid w:val="00855408"/>
    <w:rsid w:val="00855D03"/>
    <w:rsid w:val="00856D65"/>
    <w:rsid w:val="00856FA4"/>
    <w:rsid w:val="00860D79"/>
    <w:rsid w:val="00861B41"/>
    <w:rsid w:val="00861B9F"/>
    <w:rsid w:val="00861BE3"/>
    <w:rsid w:val="00861EB6"/>
    <w:rsid w:val="008625D3"/>
    <w:rsid w:val="00862C0A"/>
    <w:rsid w:val="00863434"/>
    <w:rsid w:val="0086344F"/>
    <w:rsid w:val="008641AC"/>
    <w:rsid w:val="00865E4C"/>
    <w:rsid w:val="00866074"/>
    <w:rsid w:val="00867546"/>
    <w:rsid w:val="0086796D"/>
    <w:rsid w:val="00867DAB"/>
    <w:rsid w:val="0087000B"/>
    <w:rsid w:val="008701E4"/>
    <w:rsid w:val="008704E9"/>
    <w:rsid w:val="008705FB"/>
    <w:rsid w:val="00870ECD"/>
    <w:rsid w:val="0087347C"/>
    <w:rsid w:val="008734E7"/>
    <w:rsid w:val="0087368D"/>
    <w:rsid w:val="008740CC"/>
    <w:rsid w:val="0087442A"/>
    <w:rsid w:val="00874578"/>
    <w:rsid w:val="00874FE8"/>
    <w:rsid w:val="00875A32"/>
    <w:rsid w:val="00875CC1"/>
    <w:rsid w:val="00876086"/>
    <w:rsid w:val="00876651"/>
    <w:rsid w:val="00876E83"/>
    <w:rsid w:val="0087722C"/>
    <w:rsid w:val="008772BC"/>
    <w:rsid w:val="00880A0E"/>
    <w:rsid w:val="008817FE"/>
    <w:rsid w:val="00881CD7"/>
    <w:rsid w:val="00882911"/>
    <w:rsid w:val="00882F6E"/>
    <w:rsid w:val="00883202"/>
    <w:rsid w:val="00884E02"/>
    <w:rsid w:val="0088502B"/>
    <w:rsid w:val="00885D40"/>
    <w:rsid w:val="008873D4"/>
    <w:rsid w:val="00890CB1"/>
    <w:rsid w:val="00891EDF"/>
    <w:rsid w:val="00892872"/>
    <w:rsid w:val="0089296D"/>
    <w:rsid w:val="00893E85"/>
    <w:rsid w:val="00893EBE"/>
    <w:rsid w:val="00894031"/>
    <w:rsid w:val="00894C5D"/>
    <w:rsid w:val="00895508"/>
    <w:rsid w:val="00895797"/>
    <w:rsid w:val="008967E9"/>
    <w:rsid w:val="00896A5C"/>
    <w:rsid w:val="00897155"/>
    <w:rsid w:val="008972D2"/>
    <w:rsid w:val="0089754C"/>
    <w:rsid w:val="00897CFA"/>
    <w:rsid w:val="008A0659"/>
    <w:rsid w:val="008A0ADD"/>
    <w:rsid w:val="008A0D27"/>
    <w:rsid w:val="008A1C59"/>
    <w:rsid w:val="008A37E2"/>
    <w:rsid w:val="008A388E"/>
    <w:rsid w:val="008A394E"/>
    <w:rsid w:val="008A3CBA"/>
    <w:rsid w:val="008A4B59"/>
    <w:rsid w:val="008A63E1"/>
    <w:rsid w:val="008A66B7"/>
    <w:rsid w:val="008A68BB"/>
    <w:rsid w:val="008A6AA5"/>
    <w:rsid w:val="008A7127"/>
    <w:rsid w:val="008B0CBA"/>
    <w:rsid w:val="008B1850"/>
    <w:rsid w:val="008B2639"/>
    <w:rsid w:val="008B3537"/>
    <w:rsid w:val="008B3690"/>
    <w:rsid w:val="008B3A80"/>
    <w:rsid w:val="008B3AEC"/>
    <w:rsid w:val="008B3C07"/>
    <w:rsid w:val="008B3F7B"/>
    <w:rsid w:val="008B43CA"/>
    <w:rsid w:val="008B5324"/>
    <w:rsid w:val="008B5C99"/>
    <w:rsid w:val="008B6106"/>
    <w:rsid w:val="008B7C02"/>
    <w:rsid w:val="008B7D2B"/>
    <w:rsid w:val="008B7EF9"/>
    <w:rsid w:val="008C0049"/>
    <w:rsid w:val="008C0314"/>
    <w:rsid w:val="008C0E88"/>
    <w:rsid w:val="008C0EBE"/>
    <w:rsid w:val="008C1717"/>
    <w:rsid w:val="008C17F0"/>
    <w:rsid w:val="008C3A32"/>
    <w:rsid w:val="008C3B05"/>
    <w:rsid w:val="008C4B50"/>
    <w:rsid w:val="008C5A37"/>
    <w:rsid w:val="008C7569"/>
    <w:rsid w:val="008C79C3"/>
    <w:rsid w:val="008D006F"/>
    <w:rsid w:val="008D033D"/>
    <w:rsid w:val="008D0DBD"/>
    <w:rsid w:val="008D117E"/>
    <w:rsid w:val="008D127E"/>
    <w:rsid w:val="008D1CA8"/>
    <w:rsid w:val="008D1E0A"/>
    <w:rsid w:val="008D1E6A"/>
    <w:rsid w:val="008D2407"/>
    <w:rsid w:val="008D2A16"/>
    <w:rsid w:val="008D2AEC"/>
    <w:rsid w:val="008D3295"/>
    <w:rsid w:val="008D33F5"/>
    <w:rsid w:val="008D35E4"/>
    <w:rsid w:val="008D3ACD"/>
    <w:rsid w:val="008D6C3A"/>
    <w:rsid w:val="008D70E2"/>
    <w:rsid w:val="008D7F47"/>
    <w:rsid w:val="008E0001"/>
    <w:rsid w:val="008E039E"/>
    <w:rsid w:val="008E292B"/>
    <w:rsid w:val="008E2C57"/>
    <w:rsid w:val="008E31FF"/>
    <w:rsid w:val="008E3287"/>
    <w:rsid w:val="008E38E4"/>
    <w:rsid w:val="008E3DFA"/>
    <w:rsid w:val="008E51EB"/>
    <w:rsid w:val="008E5746"/>
    <w:rsid w:val="008E64D7"/>
    <w:rsid w:val="008E6DCB"/>
    <w:rsid w:val="008E6F06"/>
    <w:rsid w:val="008E7000"/>
    <w:rsid w:val="008E723E"/>
    <w:rsid w:val="008E7B8E"/>
    <w:rsid w:val="008E7FC9"/>
    <w:rsid w:val="008F0107"/>
    <w:rsid w:val="008F029B"/>
    <w:rsid w:val="008F0589"/>
    <w:rsid w:val="008F2A5D"/>
    <w:rsid w:val="008F2BC7"/>
    <w:rsid w:val="008F2E83"/>
    <w:rsid w:val="008F3636"/>
    <w:rsid w:val="008F3FC9"/>
    <w:rsid w:val="008F509F"/>
    <w:rsid w:val="008F525A"/>
    <w:rsid w:val="008F5383"/>
    <w:rsid w:val="008F585B"/>
    <w:rsid w:val="008F7FB0"/>
    <w:rsid w:val="009003A8"/>
    <w:rsid w:val="009005E4"/>
    <w:rsid w:val="00900977"/>
    <w:rsid w:val="009021DA"/>
    <w:rsid w:val="00902500"/>
    <w:rsid w:val="00902EFF"/>
    <w:rsid w:val="00903A8E"/>
    <w:rsid w:val="0090432C"/>
    <w:rsid w:val="00904F96"/>
    <w:rsid w:val="009052A3"/>
    <w:rsid w:val="00905314"/>
    <w:rsid w:val="009056D7"/>
    <w:rsid w:val="00905B8D"/>
    <w:rsid w:val="00906401"/>
    <w:rsid w:val="009065CB"/>
    <w:rsid w:val="009067EA"/>
    <w:rsid w:val="00906B79"/>
    <w:rsid w:val="0090786F"/>
    <w:rsid w:val="0091001E"/>
    <w:rsid w:val="00910C18"/>
    <w:rsid w:val="009110F7"/>
    <w:rsid w:val="009112E3"/>
    <w:rsid w:val="0091155E"/>
    <w:rsid w:val="00912437"/>
    <w:rsid w:val="00912A92"/>
    <w:rsid w:val="00913237"/>
    <w:rsid w:val="00913B36"/>
    <w:rsid w:val="0091476D"/>
    <w:rsid w:val="00915D07"/>
    <w:rsid w:val="009162AE"/>
    <w:rsid w:val="00917154"/>
    <w:rsid w:val="00917251"/>
    <w:rsid w:val="0091728D"/>
    <w:rsid w:val="0092036B"/>
    <w:rsid w:val="009203CC"/>
    <w:rsid w:val="00920EC4"/>
    <w:rsid w:val="0092180B"/>
    <w:rsid w:val="00921F14"/>
    <w:rsid w:val="0092292F"/>
    <w:rsid w:val="00922D28"/>
    <w:rsid w:val="00923CB0"/>
    <w:rsid w:val="00923D8C"/>
    <w:rsid w:val="00924871"/>
    <w:rsid w:val="00924AC8"/>
    <w:rsid w:val="00925429"/>
    <w:rsid w:val="00925615"/>
    <w:rsid w:val="0092597A"/>
    <w:rsid w:val="00926520"/>
    <w:rsid w:val="00926CF0"/>
    <w:rsid w:val="009273A9"/>
    <w:rsid w:val="00930251"/>
    <w:rsid w:val="0093033E"/>
    <w:rsid w:val="009305FC"/>
    <w:rsid w:val="00930FB1"/>
    <w:rsid w:val="0093139F"/>
    <w:rsid w:val="00932239"/>
    <w:rsid w:val="00932443"/>
    <w:rsid w:val="00932B32"/>
    <w:rsid w:val="0093305E"/>
    <w:rsid w:val="00933F4A"/>
    <w:rsid w:val="009341F1"/>
    <w:rsid w:val="00934FF2"/>
    <w:rsid w:val="009358D7"/>
    <w:rsid w:val="00935BD4"/>
    <w:rsid w:val="00935DFE"/>
    <w:rsid w:val="00935F70"/>
    <w:rsid w:val="0093648B"/>
    <w:rsid w:val="00937017"/>
    <w:rsid w:val="009373B2"/>
    <w:rsid w:val="00937AE2"/>
    <w:rsid w:val="0094061F"/>
    <w:rsid w:val="00940F0F"/>
    <w:rsid w:val="00941912"/>
    <w:rsid w:val="0094416B"/>
    <w:rsid w:val="0094427A"/>
    <w:rsid w:val="009449C6"/>
    <w:rsid w:val="00944C7C"/>
    <w:rsid w:val="00945245"/>
    <w:rsid w:val="00945523"/>
    <w:rsid w:val="00946C43"/>
    <w:rsid w:val="00950921"/>
    <w:rsid w:val="00951D68"/>
    <w:rsid w:val="00951E5B"/>
    <w:rsid w:val="00952050"/>
    <w:rsid w:val="00952315"/>
    <w:rsid w:val="009523D9"/>
    <w:rsid w:val="00952B7B"/>
    <w:rsid w:val="0095357B"/>
    <w:rsid w:val="009538B3"/>
    <w:rsid w:val="00954F39"/>
    <w:rsid w:val="009555FD"/>
    <w:rsid w:val="00955BAD"/>
    <w:rsid w:val="0095664B"/>
    <w:rsid w:val="009568DC"/>
    <w:rsid w:val="00957140"/>
    <w:rsid w:val="00957445"/>
    <w:rsid w:val="0095759C"/>
    <w:rsid w:val="009618EE"/>
    <w:rsid w:val="00961DDD"/>
    <w:rsid w:val="009624D2"/>
    <w:rsid w:val="009628D9"/>
    <w:rsid w:val="009637AE"/>
    <w:rsid w:val="00963A06"/>
    <w:rsid w:val="00964068"/>
    <w:rsid w:val="009640F6"/>
    <w:rsid w:val="0096469D"/>
    <w:rsid w:val="00964776"/>
    <w:rsid w:val="00964A4E"/>
    <w:rsid w:val="00964B35"/>
    <w:rsid w:val="009651C7"/>
    <w:rsid w:val="00965797"/>
    <w:rsid w:val="00965A10"/>
    <w:rsid w:val="00965AD0"/>
    <w:rsid w:val="009670A3"/>
    <w:rsid w:val="009674BE"/>
    <w:rsid w:val="00970FB5"/>
    <w:rsid w:val="00971710"/>
    <w:rsid w:val="00971B87"/>
    <w:rsid w:val="00971C77"/>
    <w:rsid w:val="0097203A"/>
    <w:rsid w:val="00972FCD"/>
    <w:rsid w:val="00973324"/>
    <w:rsid w:val="009736DF"/>
    <w:rsid w:val="009741AE"/>
    <w:rsid w:val="009741FC"/>
    <w:rsid w:val="00974782"/>
    <w:rsid w:val="00974923"/>
    <w:rsid w:val="00975909"/>
    <w:rsid w:val="00977C33"/>
    <w:rsid w:val="00977C3D"/>
    <w:rsid w:val="00980D3D"/>
    <w:rsid w:val="0098103E"/>
    <w:rsid w:val="0098157D"/>
    <w:rsid w:val="00983101"/>
    <w:rsid w:val="00983E41"/>
    <w:rsid w:val="009845E1"/>
    <w:rsid w:val="00984CE5"/>
    <w:rsid w:val="00984D1B"/>
    <w:rsid w:val="00986246"/>
    <w:rsid w:val="00987A30"/>
    <w:rsid w:val="00990312"/>
    <w:rsid w:val="009908AF"/>
    <w:rsid w:val="0099182E"/>
    <w:rsid w:val="00991D45"/>
    <w:rsid w:val="00992B49"/>
    <w:rsid w:val="00992BB3"/>
    <w:rsid w:val="00992CF3"/>
    <w:rsid w:val="00993194"/>
    <w:rsid w:val="0099321E"/>
    <w:rsid w:val="00994171"/>
    <w:rsid w:val="00994868"/>
    <w:rsid w:val="00994976"/>
    <w:rsid w:val="00994D28"/>
    <w:rsid w:val="00994F2C"/>
    <w:rsid w:val="00995720"/>
    <w:rsid w:val="009957CC"/>
    <w:rsid w:val="009968D6"/>
    <w:rsid w:val="00997953"/>
    <w:rsid w:val="00997D55"/>
    <w:rsid w:val="009A0BFF"/>
    <w:rsid w:val="009A10A0"/>
    <w:rsid w:val="009A12B7"/>
    <w:rsid w:val="009A1CAB"/>
    <w:rsid w:val="009A2359"/>
    <w:rsid w:val="009A24F1"/>
    <w:rsid w:val="009A27E0"/>
    <w:rsid w:val="009A4D57"/>
    <w:rsid w:val="009A51A5"/>
    <w:rsid w:val="009A5309"/>
    <w:rsid w:val="009A5759"/>
    <w:rsid w:val="009A60D1"/>
    <w:rsid w:val="009A6225"/>
    <w:rsid w:val="009A64F5"/>
    <w:rsid w:val="009B00D2"/>
    <w:rsid w:val="009B05B3"/>
    <w:rsid w:val="009B0CAF"/>
    <w:rsid w:val="009B1324"/>
    <w:rsid w:val="009B2558"/>
    <w:rsid w:val="009B284F"/>
    <w:rsid w:val="009B3764"/>
    <w:rsid w:val="009B3840"/>
    <w:rsid w:val="009B52AC"/>
    <w:rsid w:val="009B553D"/>
    <w:rsid w:val="009B59EA"/>
    <w:rsid w:val="009B5B6E"/>
    <w:rsid w:val="009B66CE"/>
    <w:rsid w:val="009B6FD3"/>
    <w:rsid w:val="009B72BE"/>
    <w:rsid w:val="009B78A4"/>
    <w:rsid w:val="009B7DB2"/>
    <w:rsid w:val="009C03DB"/>
    <w:rsid w:val="009C15AF"/>
    <w:rsid w:val="009C1750"/>
    <w:rsid w:val="009C2E29"/>
    <w:rsid w:val="009C3E8F"/>
    <w:rsid w:val="009C554B"/>
    <w:rsid w:val="009C5E83"/>
    <w:rsid w:val="009C7126"/>
    <w:rsid w:val="009C719E"/>
    <w:rsid w:val="009C7799"/>
    <w:rsid w:val="009D07A9"/>
    <w:rsid w:val="009D0AE2"/>
    <w:rsid w:val="009D0D9F"/>
    <w:rsid w:val="009D0EBB"/>
    <w:rsid w:val="009D2C46"/>
    <w:rsid w:val="009D3ACD"/>
    <w:rsid w:val="009D4254"/>
    <w:rsid w:val="009D4F21"/>
    <w:rsid w:val="009D587D"/>
    <w:rsid w:val="009D6EA6"/>
    <w:rsid w:val="009D7731"/>
    <w:rsid w:val="009E1120"/>
    <w:rsid w:val="009E1393"/>
    <w:rsid w:val="009E1922"/>
    <w:rsid w:val="009E1A3D"/>
    <w:rsid w:val="009E4715"/>
    <w:rsid w:val="009E4A58"/>
    <w:rsid w:val="009E5273"/>
    <w:rsid w:val="009E57A8"/>
    <w:rsid w:val="009E5B85"/>
    <w:rsid w:val="009E5DDB"/>
    <w:rsid w:val="009F032E"/>
    <w:rsid w:val="009F1CA6"/>
    <w:rsid w:val="009F2921"/>
    <w:rsid w:val="009F42CF"/>
    <w:rsid w:val="009F4982"/>
    <w:rsid w:val="009F4CA7"/>
    <w:rsid w:val="009F4F6A"/>
    <w:rsid w:val="009F55BA"/>
    <w:rsid w:val="009F7D36"/>
    <w:rsid w:val="009F7D61"/>
    <w:rsid w:val="00A00E71"/>
    <w:rsid w:val="00A0187B"/>
    <w:rsid w:val="00A02E8B"/>
    <w:rsid w:val="00A0306F"/>
    <w:rsid w:val="00A03511"/>
    <w:rsid w:val="00A03B10"/>
    <w:rsid w:val="00A03E2E"/>
    <w:rsid w:val="00A04616"/>
    <w:rsid w:val="00A04717"/>
    <w:rsid w:val="00A05D8F"/>
    <w:rsid w:val="00A05EB1"/>
    <w:rsid w:val="00A05EE4"/>
    <w:rsid w:val="00A06F99"/>
    <w:rsid w:val="00A1053B"/>
    <w:rsid w:val="00A10D66"/>
    <w:rsid w:val="00A113A4"/>
    <w:rsid w:val="00A12A8E"/>
    <w:rsid w:val="00A133F9"/>
    <w:rsid w:val="00A14114"/>
    <w:rsid w:val="00A16413"/>
    <w:rsid w:val="00A16545"/>
    <w:rsid w:val="00A16A1A"/>
    <w:rsid w:val="00A16A9F"/>
    <w:rsid w:val="00A16AED"/>
    <w:rsid w:val="00A16BD3"/>
    <w:rsid w:val="00A16C37"/>
    <w:rsid w:val="00A16E1D"/>
    <w:rsid w:val="00A171D5"/>
    <w:rsid w:val="00A17A15"/>
    <w:rsid w:val="00A17A37"/>
    <w:rsid w:val="00A17D5B"/>
    <w:rsid w:val="00A2016A"/>
    <w:rsid w:val="00A201E1"/>
    <w:rsid w:val="00A20FE1"/>
    <w:rsid w:val="00A21B4D"/>
    <w:rsid w:val="00A22073"/>
    <w:rsid w:val="00A223E0"/>
    <w:rsid w:val="00A22959"/>
    <w:rsid w:val="00A23158"/>
    <w:rsid w:val="00A232D7"/>
    <w:rsid w:val="00A23847"/>
    <w:rsid w:val="00A23E43"/>
    <w:rsid w:val="00A24726"/>
    <w:rsid w:val="00A24DEB"/>
    <w:rsid w:val="00A24ED9"/>
    <w:rsid w:val="00A251DB"/>
    <w:rsid w:val="00A25216"/>
    <w:rsid w:val="00A2597D"/>
    <w:rsid w:val="00A2628E"/>
    <w:rsid w:val="00A266BF"/>
    <w:rsid w:val="00A26777"/>
    <w:rsid w:val="00A269AB"/>
    <w:rsid w:val="00A2731E"/>
    <w:rsid w:val="00A309AC"/>
    <w:rsid w:val="00A30EA4"/>
    <w:rsid w:val="00A30F65"/>
    <w:rsid w:val="00A315D0"/>
    <w:rsid w:val="00A3279E"/>
    <w:rsid w:val="00A33DB1"/>
    <w:rsid w:val="00A33EEB"/>
    <w:rsid w:val="00A351C8"/>
    <w:rsid w:val="00A35900"/>
    <w:rsid w:val="00A35F33"/>
    <w:rsid w:val="00A401A3"/>
    <w:rsid w:val="00A40EAC"/>
    <w:rsid w:val="00A418BC"/>
    <w:rsid w:val="00A419FF"/>
    <w:rsid w:val="00A41FCF"/>
    <w:rsid w:val="00A42936"/>
    <w:rsid w:val="00A43CF8"/>
    <w:rsid w:val="00A43DF2"/>
    <w:rsid w:val="00A445A8"/>
    <w:rsid w:val="00A44B0D"/>
    <w:rsid w:val="00A44D21"/>
    <w:rsid w:val="00A45087"/>
    <w:rsid w:val="00A45489"/>
    <w:rsid w:val="00A45858"/>
    <w:rsid w:val="00A45CED"/>
    <w:rsid w:val="00A465E9"/>
    <w:rsid w:val="00A468E7"/>
    <w:rsid w:val="00A46DE0"/>
    <w:rsid w:val="00A47240"/>
    <w:rsid w:val="00A478BA"/>
    <w:rsid w:val="00A50D73"/>
    <w:rsid w:val="00A518BB"/>
    <w:rsid w:val="00A52A88"/>
    <w:rsid w:val="00A52CAD"/>
    <w:rsid w:val="00A53340"/>
    <w:rsid w:val="00A53FC7"/>
    <w:rsid w:val="00A55569"/>
    <w:rsid w:val="00A55C36"/>
    <w:rsid w:val="00A5661B"/>
    <w:rsid w:val="00A566A0"/>
    <w:rsid w:val="00A601E7"/>
    <w:rsid w:val="00A60AC1"/>
    <w:rsid w:val="00A62162"/>
    <w:rsid w:val="00A626FF"/>
    <w:rsid w:val="00A62CE1"/>
    <w:rsid w:val="00A65469"/>
    <w:rsid w:val="00A65528"/>
    <w:rsid w:val="00A655D3"/>
    <w:rsid w:val="00A662D9"/>
    <w:rsid w:val="00A6630C"/>
    <w:rsid w:val="00A6741E"/>
    <w:rsid w:val="00A67E29"/>
    <w:rsid w:val="00A7016A"/>
    <w:rsid w:val="00A7018D"/>
    <w:rsid w:val="00A7191D"/>
    <w:rsid w:val="00A722F9"/>
    <w:rsid w:val="00A72D42"/>
    <w:rsid w:val="00A746C9"/>
    <w:rsid w:val="00A74C2A"/>
    <w:rsid w:val="00A75E40"/>
    <w:rsid w:val="00A76818"/>
    <w:rsid w:val="00A77D1D"/>
    <w:rsid w:val="00A77E6B"/>
    <w:rsid w:val="00A81652"/>
    <w:rsid w:val="00A82BF0"/>
    <w:rsid w:val="00A82C91"/>
    <w:rsid w:val="00A83150"/>
    <w:rsid w:val="00A83398"/>
    <w:rsid w:val="00A83D6E"/>
    <w:rsid w:val="00A83FD5"/>
    <w:rsid w:val="00A8521A"/>
    <w:rsid w:val="00A857C0"/>
    <w:rsid w:val="00A85ACB"/>
    <w:rsid w:val="00A9036F"/>
    <w:rsid w:val="00A9092B"/>
    <w:rsid w:val="00A90F2C"/>
    <w:rsid w:val="00A90FED"/>
    <w:rsid w:val="00A91482"/>
    <w:rsid w:val="00A9189D"/>
    <w:rsid w:val="00A91E71"/>
    <w:rsid w:val="00A925B1"/>
    <w:rsid w:val="00A92A3E"/>
    <w:rsid w:val="00A934F9"/>
    <w:rsid w:val="00A940E3"/>
    <w:rsid w:val="00A94983"/>
    <w:rsid w:val="00A9532C"/>
    <w:rsid w:val="00A95F1A"/>
    <w:rsid w:val="00A96116"/>
    <w:rsid w:val="00A9614E"/>
    <w:rsid w:val="00A96422"/>
    <w:rsid w:val="00A96C0F"/>
    <w:rsid w:val="00A97075"/>
    <w:rsid w:val="00AA0E80"/>
    <w:rsid w:val="00AA16F4"/>
    <w:rsid w:val="00AA17CD"/>
    <w:rsid w:val="00AA1D85"/>
    <w:rsid w:val="00AA212B"/>
    <w:rsid w:val="00AA212F"/>
    <w:rsid w:val="00AA26A9"/>
    <w:rsid w:val="00AA2996"/>
    <w:rsid w:val="00AA2AF4"/>
    <w:rsid w:val="00AA4282"/>
    <w:rsid w:val="00AA43F2"/>
    <w:rsid w:val="00AA4790"/>
    <w:rsid w:val="00AA52BF"/>
    <w:rsid w:val="00AA559A"/>
    <w:rsid w:val="00AA6C31"/>
    <w:rsid w:val="00AA7752"/>
    <w:rsid w:val="00AA7CE8"/>
    <w:rsid w:val="00AB1457"/>
    <w:rsid w:val="00AB2AF1"/>
    <w:rsid w:val="00AB32CB"/>
    <w:rsid w:val="00AB3AD7"/>
    <w:rsid w:val="00AB3BA7"/>
    <w:rsid w:val="00AB3EC7"/>
    <w:rsid w:val="00AB5A64"/>
    <w:rsid w:val="00AB5CA1"/>
    <w:rsid w:val="00AB6456"/>
    <w:rsid w:val="00AB75C5"/>
    <w:rsid w:val="00AC044E"/>
    <w:rsid w:val="00AC2118"/>
    <w:rsid w:val="00AC2395"/>
    <w:rsid w:val="00AC2960"/>
    <w:rsid w:val="00AC2AC4"/>
    <w:rsid w:val="00AC4284"/>
    <w:rsid w:val="00AC45BD"/>
    <w:rsid w:val="00AC50BB"/>
    <w:rsid w:val="00AC5256"/>
    <w:rsid w:val="00AC78F1"/>
    <w:rsid w:val="00AC7B96"/>
    <w:rsid w:val="00AD0B22"/>
    <w:rsid w:val="00AD0EE7"/>
    <w:rsid w:val="00AD168E"/>
    <w:rsid w:val="00AD306C"/>
    <w:rsid w:val="00AD44CD"/>
    <w:rsid w:val="00AD47A7"/>
    <w:rsid w:val="00AD5AD2"/>
    <w:rsid w:val="00AD6462"/>
    <w:rsid w:val="00AD66C5"/>
    <w:rsid w:val="00AD68C4"/>
    <w:rsid w:val="00AD71F9"/>
    <w:rsid w:val="00AE09B3"/>
    <w:rsid w:val="00AE1A83"/>
    <w:rsid w:val="00AE2A78"/>
    <w:rsid w:val="00AE30BE"/>
    <w:rsid w:val="00AE3E6A"/>
    <w:rsid w:val="00AE417E"/>
    <w:rsid w:val="00AE56EE"/>
    <w:rsid w:val="00AE6414"/>
    <w:rsid w:val="00AE7269"/>
    <w:rsid w:val="00AE797C"/>
    <w:rsid w:val="00AE7CE7"/>
    <w:rsid w:val="00AE7FAB"/>
    <w:rsid w:val="00AF0DE4"/>
    <w:rsid w:val="00AF12A0"/>
    <w:rsid w:val="00AF1E87"/>
    <w:rsid w:val="00AF436B"/>
    <w:rsid w:val="00AF5179"/>
    <w:rsid w:val="00AF5CC2"/>
    <w:rsid w:val="00AF660D"/>
    <w:rsid w:val="00AF6776"/>
    <w:rsid w:val="00AF6F98"/>
    <w:rsid w:val="00AF7277"/>
    <w:rsid w:val="00B00550"/>
    <w:rsid w:val="00B00913"/>
    <w:rsid w:val="00B00D4D"/>
    <w:rsid w:val="00B01593"/>
    <w:rsid w:val="00B01D0F"/>
    <w:rsid w:val="00B01FF9"/>
    <w:rsid w:val="00B023F2"/>
    <w:rsid w:val="00B026FE"/>
    <w:rsid w:val="00B0271F"/>
    <w:rsid w:val="00B038CA"/>
    <w:rsid w:val="00B05F00"/>
    <w:rsid w:val="00B06DB4"/>
    <w:rsid w:val="00B0750D"/>
    <w:rsid w:val="00B07850"/>
    <w:rsid w:val="00B0799C"/>
    <w:rsid w:val="00B102CE"/>
    <w:rsid w:val="00B10A4D"/>
    <w:rsid w:val="00B10C90"/>
    <w:rsid w:val="00B11002"/>
    <w:rsid w:val="00B1114F"/>
    <w:rsid w:val="00B121B2"/>
    <w:rsid w:val="00B131B1"/>
    <w:rsid w:val="00B141B6"/>
    <w:rsid w:val="00B14BC1"/>
    <w:rsid w:val="00B154DE"/>
    <w:rsid w:val="00B162C3"/>
    <w:rsid w:val="00B16DD1"/>
    <w:rsid w:val="00B16EB8"/>
    <w:rsid w:val="00B1700A"/>
    <w:rsid w:val="00B17E71"/>
    <w:rsid w:val="00B17FDE"/>
    <w:rsid w:val="00B20632"/>
    <w:rsid w:val="00B2379C"/>
    <w:rsid w:val="00B23D5D"/>
    <w:rsid w:val="00B23E6E"/>
    <w:rsid w:val="00B2450C"/>
    <w:rsid w:val="00B2687D"/>
    <w:rsid w:val="00B27EC6"/>
    <w:rsid w:val="00B3108D"/>
    <w:rsid w:val="00B32DDB"/>
    <w:rsid w:val="00B32F57"/>
    <w:rsid w:val="00B3345C"/>
    <w:rsid w:val="00B343C4"/>
    <w:rsid w:val="00B34528"/>
    <w:rsid w:val="00B34750"/>
    <w:rsid w:val="00B34CC9"/>
    <w:rsid w:val="00B34CDA"/>
    <w:rsid w:val="00B3563B"/>
    <w:rsid w:val="00B36BDC"/>
    <w:rsid w:val="00B37D3A"/>
    <w:rsid w:val="00B37D96"/>
    <w:rsid w:val="00B402FC"/>
    <w:rsid w:val="00B422E2"/>
    <w:rsid w:val="00B42517"/>
    <w:rsid w:val="00B42902"/>
    <w:rsid w:val="00B42D5F"/>
    <w:rsid w:val="00B43216"/>
    <w:rsid w:val="00B439DA"/>
    <w:rsid w:val="00B4411A"/>
    <w:rsid w:val="00B45FE8"/>
    <w:rsid w:val="00B46604"/>
    <w:rsid w:val="00B47089"/>
    <w:rsid w:val="00B47587"/>
    <w:rsid w:val="00B5150A"/>
    <w:rsid w:val="00B52151"/>
    <w:rsid w:val="00B530CD"/>
    <w:rsid w:val="00B53639"/>
    <w:rsid w:val="00B53C7D"/>
    <w:rsid w:val="00B53E56"/>
    <w:rsid w:val="00B55311"/>
    <w:rsid w:val="00B55A97"/>
    <w:rsid w:val="00B55F5E"/>
    <w:rsid w:val="00B5601B"/>
    <w:rsid w:val="00B5642C"/>
    <w:rsid w:val="00B5658D"/>
    <w:rsid w:val="00B56B6F"/>
    <w:rsid w:val="00B5752E"/>
    <w:rsid w:val="00B60AC1"/>
    <w:rsid w:val="00B61FF6"/>
    <w:rsid w:val="00B62316"/>
    <w:rsid w:val="00B6274C"/>
    <w:rsid w:val="00B63A11"/>
    <w:rsid w:val="00B64425"/>
    <w:rsid w:val="00B64C24"/>
    <w:rsid w:val="00B64E72"/>
    <w:rsid w:val="00B65CEF"/>
    <w:rsid w:val="00B6608F"/>
    <w:rsid w:val="00B674C7"/>
    <w:rsid w:val="00B67749"/>
    <w:rsid w:val="00B679FB"/>
    <w:rsid w:val="00B71FBF"/>
    <w:rsid w:val="00B734A0"/>
    <w:rsid w:val="00B73A14"/>
    <w:rsid w:val="00B748BD"/>
    <w:rsid w:val="00B76100"/>
    <w:rsid w:val="00B7680F"/>
    <w:rsid w:val="00B76B48"/>
    <w:rsid w:val="00B76D1E"/>
    <w:rsid w:val="00B77543"/>
    <w:rsid w:val="00B77584"/>
    <w:rsid w:val="00B77E34"/>
    <w:rsid w:val="00B80D44"/>
    <w:rsid w:val="00B80D89"/>
    <w:rsid w:val="00B80EC6"/>
    <w:rsid w:val="00B81288"/>
    <w:rsid w:val="00B81D70"/>
    <w:rsid w:val="00B833B9"/>
    <w:rsid w:val="00B83AAF"/>
    <w:rsid w:val="00B83E07"/>
    <w:rsid w:val="00B84CF6"/>
    <w:rsid w:val="00B85016"/>
    <w:rsid w:val="00B8561A"/>
    <w:rsid w:val="00B86628"/>
    <w:rsid w:val="00B86643"/>
    <w:rsid w:val="00B868F7"/>
    <w:rsid w:val="00B86EB1"/>
    <w:rsid w:val="00B871A7"/>
    <w:rsid w:val="00B90131"/>
    <w:rsid w:val="00B92951"/>
    <w:rsid w:val="00B92D1D"/>
    <w:rsid w:val="00B92D7E"/>
    <w:rsid w:val="00B930CE"/>
    <w:rsid w:val="00B938C5"/>
    <w:rsid w:val="00B940A8"/>
    <w:rsid w:val="00B9554A"/>
    <w:rsid w:val="00B95940"/>
    <w:rsid w:val="00B95ACA"/>
    <w:rsid w:val="00B95C12"/>
    <w:rsid w:val="00B96D74"/>
    <w:rsid w:val="00B9720E"/>
    <w:rsid w:val="00B97ACC"/>
    <w:rsid w:val="00B97FE2"/>
    <w:rsid w:val="00BA0E0B"/>
    <w:rsid w:val="00BA201A"/>
    <w:rsid w:val="00BA21DF"/>
    <w:rsid w:val="00BA361D"/>
    <w:rsid w:val="00BA3787"/>
    <w:rsid w:val="00BA403A"/>
    <w:rsid w:val="00BA46E8"/>
    <w:rsid w:val="00BA49DB"/>
    <w:rsid w:val="00BA4AE9"/>
    <w:rsid w:val="00BA4E19"/>
    <w:rsid w:val="00BA6436"/>
    <w:rsid w:val="00BA64F2"/>
    <w:rsid w:val="00BA684E"/>
    <w:rsid w:val="00BA6C2B"/>
    <w:rsid w:val="00BA7B64"/>
    <w:rsid w:val="00BB02A3"/>
    <w:rsid w:val="00BB0351"/>
    <w:rsid w:val="00BB15C3"/>
    <w:rsid w:val="00BB1AF4"/>
    <w:rsid w:val="00BB2202"/>
    <w:rsid w:val="00BB3C6B"/>
    <w:rsid w:val="00BB3FD6"/>
    <w:rsid w:val="00BB453F"/>
    <w:rsid w:val="00BB46F3"/>
    <w:rsid w:val="00BB4A71"/>
    <w:rsid w:val="00BB4CB1"/>
    <w:rsid w:val="00BB4F98"/>
    <w:rsid w:val="00BB50C0"/>
    <w:rsid w:val="00BB5AB2"/>
    <w:rsid w:val="00BB5ABF"/>
    <w:rsid w:val="00BB6EA2"/>
    <w:rsid w:val="00BB7142"/>
    <w:rsid w:val="00BB76F3"/>
    <w:rsid w:val="00BB7B5B"/>
    <w:rsid w:val="00BB7EB1"/>
    <w:rsid w:val="00BC003F"/>
    <w:rsid w:val="00BC0930"/>
    <w:rsid w:val="00BC327F"/>
    <w:rsid w:val="00BC3512"/>
    <w:rsid w:val="00BC4B35"/>
    <w:rsid w:val="00BC50BE"/>
    <w:rsid w:val="00BC5332"/>
    <w:rsid w:val="00BC5715"/>
    <w:rsid w:val="00BC5C12"/>
    <w:rsid w:val="00BC641B"/>
    <w:rsid w:val="00BC7154"/>
    <w:rsid w:val="00BC731E"/>
    <w:rsid w:val="00BC7614"/>
    <w:rsid w:val="00BC7EFA"/>
    <w:rsid w:val="00BD041B"/>
    <w:rsid w:val="00BD25BB"/>
    <w:rsid w:val="00BD2AF8"/>
    <w:rsid w:val="00BD366B"/>
    <w:rsid w:val="00BD3C09"/>
    <w:rsid w:val="00BD410B"/>
    <w:rsid w:val="00BD4A73"/>
    <w:rsid w:val="00BD4EDD"/>
    <w:rsid w:val="00BD4EF4"/>
    <w:rsid w:val="00BD6659"/>
    <w:rsid w:val="00BD6C75"/>
    <w:rsid w:val="00BD6D50"/>
    <w:rsid w:val="00BD7105"/>
    <w:rsid w:val="00BD73D2"/>
    <w:rsid w:val="00BE0AD1"/>
    <w:rsid w:val="00BE0EF9"/>
    <w:rsid w:val="00BE10A1"/>
    <w:rsid w:val="00BE18B9"/>
    <w:rsid w:val="00BE190A"/>
    <w:rsid w:val="00BE2495"/>
    <w:rsid w:val="00BE24DD"/>
    <w:rsid w:val="00BE34BB"/>
    <w:rsid w:val="00BE386D"/>
    <w:rsid w:val="00BE4DA9"/>
    <w:rsid w:val="00BE54BF"/>
    <w:rsid w:val="00BE557B"/>
    <w:rsid w:val="00BE55EF"/>
    <w:rsid w:val="00BE7F5F"/>
    <w:rsid w:val="00BF02C8"/>
    <w:rsid w:val="00BF1578"/>
    <w:rsid w:val="00BF15CA"/>
    <w:rsid w:val="00BF1D12"/>
    <w:rsid w:val="00BF1D3A"/>
    <w:rsid w:val="00BF2B5B"/>
    <w:rsid w:val="00BF2D41"/>
    <w:rsid w:val="00BF3274"/>
    <w:rsid w:val="00BF32DC"/>
    <w:rsid w:val="00BF35C9"/>
    <w:rsid w:val="00BF4329"/>
    <w:rsid w:val="00BF4E43"/>
    <w:rsid w:val="00BF5C4C"/>
    <w:rsid w:val="00BF765C"/>
    <w:rsid w:val="00BF77FC"/>
    <w:rsid w:val="00C006D6"/>
    <w:rsid w:val="00C00BD7"/>
    <w:rsid w:val="00C01410"/>
    <w:rsid w:val="00C024BB"/>
    <w:rsid w:val="00C02D23"/>
    <w:rsid w:val="00C03D4D"/>
    <w:rsid w:val="00C044F4"/>
    <w:rsid w:val="00C04B78"/>
    <w:rsid w:val="00C052AA"/>
    <w:rsid w:val="00C06EE3"/>
    <w:rsid w:val="00C07279"/>
    <w:rsid w:val="00C07749"/>
    <w:rsid w:val="00C07C67"/>
    <w:rsid w:val="00C10805"/>
    <w:rsid w:val="00C11244"/>
    <w:rsid w:val="00C118A9"/>
    <w:rsid w:val="00C11D48"/>
    <w:rsid w:val="00C12304"/>
    <w:rsid w:val="00C12316"/>
    <w:rsid w:val="00C1246C"/>
    <w:rsid w:val="00C1493E"/>
    <w:rsid w:val="00C15537"/>
    <w:rsid w:val="00C15DBD"/>
    <w:rsid w:val="00C161C5"/>
    <w:rsid w:val="00C172F7"/>
    <w:rsid w:val="00C2010D"/>
    <w:rsid w:val="00C20CB5"/>
    <w:rsid w:val="00C21430"/>
    <w:rsid w:val="00C216DF"/>
    <w:rsid w:val="00C21E61"/>
    <w:rsid w:val="00C21F94"/>
    <w:rsid w:val="00C224BD"/>
    <w:rsid w:val="00C2272B"/>
    <w:rsid w:val="00C234DB"/>
    <w:rsid w:val="00C23C5C"/>
    <w:rsid w:val="00C2479A"/>
    <w:rsid w:val="00C24903"/>
    <w:rsid w:val="00C2590D"/>
    <w:rsid w:val="00C25D9C"/>
    <w:rsid w:val="00C27913"/>
    <w:rsid w:val="00C27FA7"/>
    <w:rsid w:val="00C300E2"/>
    <w:rsid w:val="00C31F21"/>
    <w:rsid w:val="00C32631"/>
    <w:rsid w:val="00C33301"/>
    <w:rsid w:val="00C33311"/>
    <w:rsid w:val="00C33B68"/>
    <w:rsid w:val="00C34AD4"/>
    <w:rsid w:val="00C35570"/>
    <w:rsid w:val="00C35A2A"/>
    <w:rsid w:val="00C36A79"/>
    <w:rsid w:val="00C401A9"/>
    <w:rsid w:val="00C401D2"/>
    <w:rsid w:val="00C4031A"/>
    <w:rsid w:val="00C405D4"/>
    <w:rsid w:val="00C419D5"/>
    <w:rsid w:val="00C41D54"/>
    <w:rsid w:val="00C42EBB"/>
    <w:rsid w:val="00C435E8"/>
    <w:rsid w:val="00C4513B"/>
    <w:rsid w:val="00C475E8"/>
    <w:rsid w:val="00C50E79"/>
    <w:rsid w:val="00C5197D"/>
    <w:rsid w:val="00C525FB"/>
    <w:rsid w:val="00C5390B"/>
    <w:rsid w:val="00C54257"/>
    <w:rsid w:val="00C54697"/>
    <w:rsid w:val="00C550CE"/>
    <w:rsid w:val="00C553A5"/>
    <w:rsid w:val="00C55402"/>
    <w:rsid w:val="00C5603B"/>
    <w:rsid w:val="00C60AE3"/>
    <w:rsid w:val="00C61F47"/>
    <w:rsid w:val="00C62828"/>
    <w:rsid w:val="00C655DA"/>
    <w:rsid w:val="00C672C1"/>
    <w:rsid w:val="00C706D2"/>
    <w:rsid w:val="00C715CC"/>
    <w:rsid w:val="00C719A3"/>
    <w:rsid w:val="00C71D2F"/>
    <w:rsid w:val="00C72984"/>
    <w:rsid w:val="00C73885"/>
    <w:rsid w:val="00C73C93"/>
    <w:rsid w:val="00C7435A"/>
    <w:rsid w:val="00C747B1"/>
    <w:rsid w:val="00C75510"/>
    <w:rsid w:val="00C755F9"/>
    <w:rsid w:val="00C75752"/>
    <w:rsid w:val="00C75B60"/>
    <w:rsid w:val="00C761EC"/>
    <w:rsid w:val="00C770C9"/>
    <w:rsid w:val="00C8019E"/>
    <w:rsid w:val="00C81070"/>
    <w:rsid w:val="00C8174E"/>
    <w:rsid w:val="00C82191"/>
    <w:rsid w:val="00C83134"/>
    <w:rsid w:val="00C831E7"/>
    <w:rsid w:val="00C832F3"/>
    <w:rsid w:val="00C84307"/>
    <w:rsid w:val="00C845A4"/>
    <w:rsid w:val="00C85545"/>
    <w:rsid w:val="00C855B5"/>
    <w:rsid w:val="00C85F0E"/>
    <w:rsid w:val="00C867F9"/>
    <w:rsid w:val="00C872AA"/>
    <w:rsid w:val="00C87C6B"/>
    <w:rsid w:val="00C90357"/>
    <w:rsid w:val="00C90CF4"/>
    <w:rsid w:val="00C91C20"/>
    <w:rsid w:val="00C922DE"/>
    <w:rsid w:val="00C92843"/>
    <w:rsid w:val="00C92EB6"/>
    <w:rsid w:val="00C93389"/>
    <w:rsid w:val="00C948E6"/>
    <w:rsid w:val="00C94CDD"/>
    <w:rsid w:val="00C95123"/>
    <w:rsid w:val="00C97588"/>
    <w:rsid w:val="00CA0346"/>
    <w:rsid w:val="00CA0BD5"/>
    <w:rsid w:val="00CA0DA1"/>
    <w:rsid w:val="00CA1BD6"/>
    <w:rsid w:val="00CA37FF"/>
    <w:rsid w:val="00CA423A"/>
    <w:rsid w:val="00CA47BC"/>
    <w:rsid w:val="00CA5EAD"/>
    <w:rsid w:val="00CA6AB4"/>
    <w:rsid w:val="00CA7255"/>
    <w:rsid w:val="00CA79E2"/>
    <w:rsid w:val="00CB111E"/>
    <w:rsid w:val="00CB1BEE"/>
    <w:rsid w:val="00CB2351"/>
    <w:rsid w:val="00CB4022"/>
    <w:rsid w:val="00CB4930"/>
    <w:rsid w:val="00CB4BA9"/>
    <w:rsid w:val="00CB4C48"/>
    <w:rsid w:val="00CB4C63"/>
    <w:rsid w:val="00CB5A48"/>
    <w:rsid w:val="00CB5E10"/>
    <w:rsid w:val="00CB613B"/>
    <w:rsid w:val="00CB6152"/>
    <w:rsid w:val="00CB64E1"/>
    <w:rsid w:val="00CB6C6F"/>
    <w:rsid w:val="00CB6E4D"/>
    <w:rsid w:val="00CC009B"/>
    <w:rsid w:val="00CC0834"/>
    <w:rsid w:val="00CC0AEA"/>
    <w:rsid w:val="00CC20FE"/>
    <w:rsid w:val="00CC225C"/>
    <w:rsid w:val="00CC2E7D"/>
    <w:rsid w:val="00CC469E"/>
    <w:rsid w:val="00CC4F0D"/>
    <w:rsid w:val="00CC5BE8"/>
    <w:rsid w:val="00CC612B"/>
    <w:rsid w:val="00CC655F"/>
    <w:rsid w:val="00CC66F9"/>
    <w:rsid w:val="00CC6C2A"/>
    <w:rsid w:val="00CC6FE5"/>
    <w:rsid w:val="00CC7458"/>
    <w:rsid w:val="00CC76BD"/>
    <w:rsid w:val="00CC7A87"/>
    <w:rsid w:val="00CD08BF"/>
    <w:rsid w:val="00CD0D6B"/>
    <w:rsid w:val="00CD1060"/>
    <w:rsid w:val="00CD10A5"/>
    <w:rsid w:val="00CD1129"/>
    <w:rsid w:val="00CD1A80"/>
    <w:rsid w:val="00CD1CB5"/>
    <w:rsid w:val="00CD2076"/>
    <w:rsid w:val="00CD24CE"/>
    <w:rsid w:val="00CD29B5"/>
    <w:rsid w:val="00CD2B78"/>
    <w:rsid w:val="00CD3866"/>
    <w:rsid w:val="00CD3FAB"/>
    <w:rsid w:val="00CD5456"/>
    <w:rsid w:val="00CD5C3E"/>
    <w:rsid w:val="00CD5C57"/>
    <w:rsid w:val="00CD6331"/>
    <w:rsid w:val="00CD7E9E"/>
    <w:rsid w:val="00CE14BE"/>
    <w:rsid w:val="00CE17A4"/>
    <w:rsid w:val="00CE1BA9"/>
    <w:rsid w:val="00CE2D8F"/>
    <w:rsid w:val="00CE3532"/>
    <w:rsid w:val="00CE3E48"/>
    <w:rsid w:val="00CE46C0"/>
    <w:rsid w:val="00CE47B8"/>
    <w:rsid w:val="00CE54FD"/>
    <w:rsid w:val="00CE5C92"/>
    <w:rsid w:val="00CE5E12"/>
    <w:rsid w:val="00CE62FA"/>
    <w:rsid w:val="00CE670B"/>
    <w:rsid w:val="00CE6833"/>
    <w:rsid w:val="00CE7562"/>
    <w:rsid w:val="00CF020B"/>
    <w:rsid w:val="00CF15BF"/>
    <w:rsid w:val="00CF2E4D"/>
    <w:rsid w:val="00CF35A7"/>
    <w:rsid w:val="00CF4205"/>
    <w:rsid w:val="00CF4908"/>
    <w:rsid w:val="00CF51EC"/>
    <w:rsid w:val="00CF545D"/>
    <w:rsid w:val="00CF5873"/>
    <w:rsid w:val="00CF6AB7"/>
    <w:rsid w:val="00CF73AE"/>
    <w:rsid w:val="00CF7777"/>
    <w:rsid w:val="00D0085A"/>
    <w:rsid w:val="00D0197F"/>
    <w:rsid w:val="00D01B31"/>
    <w:rsid w:val="00D0242D"/>
    <w:rsid w:val="00D02716"/>
    <w:rsid w:val="00D03A72"/>
    <w:rsid w:val="00D040DD"/>
    <w:rsid w:val="00D04134"/>
    <w:rsid w:val="00D05C65"/>
    <w:rsid w:val="00D06B56"/>
    <w:rsid w:val="00D06D68"/>
    <w:rsid w:val="00D075BE"/>
    <w:rsid w:val="00D07AFF"/>
    <w:rsid w:val="00D10C15"/>
    <w:rsid w:val="00D11011"/>
    <w:rsid w:val="00D11476"/>
    <w:rsid w:val="00D12C25"/>
    <w:rsid w:val="00D133B4"/>
    <w:rsid w:val="00D13986"/>
    <w:rsid w:val="00D13F3E"/>
    <w:rsid w:val="00D14C5B"/>
    <w:rsid w:val="00D15D3A"/>
    <w:rsid w:val="00D15FED"/>
    <w:rsid w:val="00D16712"/>
    <w:rsid w:val="00D174E0"/>
    <w:rsid w:val="00D214EF"/>
    <w:rsid w:val="00D215B0"/>
    <w:rsid w:val="00D21B36"/>
    <w:rsid w:val="00D21D6D"/>
    <w:rsid w:val="00D21D83"/>
    <w:rsid w:val="00D22A47"/>
    <w:rsid w:val="00D235B7"/>
    <w:rsid w:val="00D23A99"/>
    <w:rsid w:val="00D23FAE"/>
    <w:rsid w:val="00D25F28"/>
    <w:rsid w:val="00D26071"/>
    <w:rsid w:val="00D260C7"/>
    <w:rsid w:val="00D269B9"/>
    <w:rsid w:val="00D27973"/>
    <w:rsid w:val="00D27F3A"/>
    <w:rsid w:val="00D31537"/>
    <w:rsid w:val="00D31E1E"/>
    <w:rsid w:val="00D322A0"/>
    <w:rsid w:val="00D32824"/>
    <w:rsid w:val="00D334E2"/>
    <w:rsid w:val="00D350B1"/>
    <w:rsid w:val="00D35AD6"/>
    <w:rsid w:val="00D35BBB"/>
    <w:rsid w:val="00D35E1A"/>
    <w:rsid w:val="00D36B0A"/>
    <w:rsid w:val="00D36DFB"/>
    <w:rsid w:val="00D36E1C"/>
    <w:rsid w:val="00D373AF"/>
    <w:rsid w:val="00D40556"/>
    <w:rsid w:val="00D41F74"/>
    <w:rsid w:val="00D428C8"/>
    <w:rsid w:val="00D43034"/>
    <w:rsid w:val="00D43ED2"/>
    <w:rsid w:val="00D50F46"/>
    <w:rsid w:val="00D5302A"/>
    <w:rsid w:val="00D533C4"/>
    <w:rsid w:val="00D5384E"/>
    <w:rsid w:val="00D544E7"/>
    <w:rsid w:val="00D5499F"/>
    <w:rsid w:val="00D5560A"/>
    <w:rsid w:val="00D56FBF"/>
    <w:rsid w:val="00D57677"/>
    <w:rsid w:val="00D5781F"/>
    <w:rsid w:val="00D60415"/>
    <w:rsid w:val="00D60DAE"/>
    <w:rsid w:val="00D60E3C"/>
    <w:rsid w:val="00D60FA7"/>
    <w:rsid w:val="00D61FAB"/>
    <w:rsid w:val="00D62C4E"/>
    <w:rsid w:val="00D63BE5"/>
    <w:rsid w:val="00D6475F"/>
    <w:rsid w:val="00D655D4"/>
    <w:rsid w:val="00D66223"/>
    <w:rsid w:val="00D667B8"/>
    <w:rsid w:val="00D67D55"/>
    <w:rsid w:val="00D70289"/>
    <w:rsid w:val="00D7041F"/>
    <w:rsid w:val="00D70822"/>
    <w:rsid w:val="00D72076"/>
    <w:rsid w:val="00D721B4"/>
    <w:rsid w:val="00D726A9"/>
    <w:rsid w:val="00D72DBA"/>
    <w:rsid w:val="00D743E0"/>
    <w:rsid w:val="00D7469D"/>
    <w:rsid w:val="00D7490C"/>
    <w:rsid w:val="00D75AC1"/>
    <w:rsid w:val="00D77252"/>
    <w:rsid w:val="00D8084C"/>
    <w:rsid w:val="00D81809"/>
    <w:rsid w:val="00D82EF1"/>
    <w:rsid w:val="00D84CC9"/>
    <w:rsid w:val="00D84F43"/>
    <w:rsid w:val="00D85114"/>
    <w:rsid w:val="00D85821"/>
    <w:rsid w:val="00D8598C"/>
    <w:rsid w:val="00D87C06"/>
    <w:rsid w:val="00D915EA"/>
    <w:rsid w:val="00D919ED"/>
    <w:rsid w:val="00D922A1"/>
    <w:rsid w:val="00D928BE"/>
    <w:rsid w:val="00D932B8"/>
    <w:rsid w:val="00D932F0"/>
    <w:rsid w:val="00D95302"/>
    <w:rsid w:val="00D95889"/>
    <w:rsid w:val="00D95C5D"/>
    <w:rsid w:val="00D95CBE"/>
    <w:rsid w:val="00D95E7F"/>
    <w:rsid w:val="00D97D00"/>
    <w:rsid w:val="00DA096C"/>
    <w:rsid w:val="00DA1AB6"/>
    <w:rsid w:val="00DA2E65"/>
    <w:rsid w:val="00DA37DE"/>
    <w:rsid w:val="00DA3ADF"/>
    <w:rsid w:val="00DA4174"/>
    <w:rsid w:val="00DA544C"/>
    <w:rsid w:val="00DA5F8E"/>
    <w:rsid w:val="00DA6364"/>
    <w:rsid w:val="00DA7114"/>
    <w:rsid w:val="00DA7C0C"/>
    <w:rsid w:val="00DA7E2F"/>
    <w:rsid w:val="00DB03DD"/>
    <w:rsid w:val="00DB08A9"/>
    <w:rsid w:val="00DB0B33"/>
    <w:rsid w:val="00DB0FD9"/>
    <w:rsid w:val="00DB13EF"/>
    <w:rsid w:val="00DB2DFA"/>
    <w:rsid w:val="00DB2EC8"/>
    <w:rsid w:val="00DB321D"/>
    <w:rsid w:val="00DB459B"/>
    <w:rsid w:val="00DB47FD"/>
    <w:rsid w:val="00DB5E3A"/>
    <w:rsid w:val="00DB5E9A"/>
    <w:rsid w:val="00DB613B"/>
    <w:rsid w:val="00DB657E"/>
    <w:rsid w:val="00DB7342"/>
    <w:rsid w:val="00DB7489"/>
    <w:rsid w:val="00DC0B4D"/>
    <w:rsid w:val="00DC0CBB"/>
    <w:rsid w:val="00DC17D0"/>
    <w:rsid w:val="00DC1E5D"/>
    <w:rsid w:val="00DC2B41"/>
    <w:rsid w:val="00DC2EA7"/>
    <w:rsid w:val="00DC3128"/>
    <w:rsid w:val="00DC435B"/>
    <w:rsid w:val="00DC4AC4"/>
    <w:rsid w:val="00DC53D8"/>
    <w:rsid w:val="00DC56FE"/>
    <w:rsid w:val="00DC5B3B"/>
    <w:rsid w:val="00DC5F11"/>
    <w:rsid w:val="00DC6C2D"/>
    <w:rsid w:val="00DC7B1A"/>
    <w:rsid w:val="00DD04B0"/>
    <w:rsid w:val="00DD129F"/>
    <w:rsid w:val="00DD13FC"/>
    <w:rsid w:val="00DD1A3F"/>
    <w:rsid w:val="00DD29B5"/>
    <w:rsid w:val="00DD32DD"/>
    <w:rsid w:val="00DD33E8"/>
    <w:rsid w:val="00DD5287"/>
    <w:rsid w:val="00DD5B36"/>
    <w:rsid w:val="00DD7849"/>
    <w:rsid w:val="00DE03DE"/>
    <w:rsid w:val="00DE0D8B"/>
    <w:rsid w:val="00DE1237"/>
    <w:rsid w:val="00DE140F"/>
    <w:rsid w:val="00DE17E9"/>
    <w:rsid w:val="00DE2491"/>
    <w:rsid w:val="00DE273F"/>
    <w:rsid w:val="00DE3E22"/>
    <w:rsid w:val="00DE3E5D"/>
    <w:rsid w:val="00DE450F"/>
    <w:rsid w:val="00DE4865"/>
    <w:rsid w:val="00DE5CA6"/>
    <w:rsid w:val="00DE5E55"/>
    <w:rsid w:val="00DE63AE"/>
    <w:rsid w:val="00DE7156"/>
    <w:rsid w:val="00DE7AC8"/>
    <w:rsid w:val="00DF0830"/>
    <w:rsid w:val="00DF2C5D"/>
    <w:rsid w:val="00DF2CD3"/>
    <w:rsid w:val="00DF3643"/>
    <w:rsid w:val="00DF42FF"/>
    <w:rsid w:val="00DF4369"/>
    <w:rsid w:val="00DF4423"/>
    <w:rsid w:val="00DF4ADF"/>
    <w:rsid w:val="00DF57D6"/>
    <w:rsid w:val="00DF5D1E"/>
    <w:rsid w:val="00DF77E4"/>
    <w:rsid w:val="00DF7F88"/>
    <w:rsid w:val="00E00B88"/>
    <w:rsid w:val="00E01C0E"/>
    <w:rsid w:val="00E0368F"/>
    <w:rsid w:val="00E03D73"/>
    <w:rsid w:val="00E03F9A"/>
    <w:rsid w:val="00E040DA"/>
    <w:rsid w:val="00E04694"/>
    <w:rsid w:val="00E05333"/>
    <w:rsid w:val="00E1168B"/>
    <w:rsid w:val="00E12191"/>
    <w:rsid w:val="00E129E7"/>
    <w:rsid w:val="00E12ABE"/>
    <w:rsid w:val="00E12B1E"/>
    <w:rsid w:val="00E135EB"/>
    <w:rsid w:val="00E13995"/>
    <w:rsid w:val="00E1444C"/>
    <w:rsid w:val="00E17262"/>
    <w:rsid w:val="00E17F36"/>
    <w:rsid w:val="00E20016"/>
    <w:rsid w:val="00E2009B"/>
    <w:rsid w:val="00E20BB9"/>
    <w:rsid w:val="00E20BCC"/>
    <w:rsid w:val="00E2251C"/>
    <w:rsid w:val="00E2363D"/>
    <w:rsid w:val="00E23C6A"/>
    <w:rsid w:val="00E2484B"/>
    <w:rsid w:val="00E253A2"/>
    <w:rsid w:val="00E260F6"/>
    <w:rsid w:val="00E27127"/>
    <w:rsid w:val="00E27233"/>
    <w:rsid w:val="00E274BB"/>
    <w:rsid w:val="00E30F15"/>
    <w:rsid w:val="00E31771"/>
    <w:rsid w:val="00E3186D"/>
    <w:rsid w:val="00E31A3E"/>
    <w:rsid w:val="00E32080"/>
    <w:rsid w:val="00E32778"/>
    <w:rsid w:val="00E3309D"/>
    <w:rsid w:val="00E34E3F"/>
    <w:rsid w:val="00E350B1"/>
    <w:rsid w:val="00E35A53"/>
    <w:rsid w:val="00E3634A"/>
    <w:rsid w:val="00E3656B"/>
    <w:rsid w:val="00E3712B"/>
    <w:rsid w:val="00E3724A"/>
    <w:rsid w:val="00E378B1"/>
    <w:rsid w:val="00E41131"/>
    <w:rsid w:val="00E41179"/>
    <w:rsid w:val="00E417BE"/>
    <w:rsid w:val="00E41CD5"/>
    <w:rsid w:val="00E42054"/>
    <w:rsid w:val="00E4372D"/>
    <w:rsid w:val="00E43A9E"/>
    <w:rsid w:val="00E44243"/>
    <w:rsid w:val="00E453F9"/>
    <w:rsid w:val="00E45D7D"/>
    <w:rsid w:val="00E4623F"/>
    <w:rsid w:val="00E4665D"/>
    <w:rsid w:val="00E47854"/>
    <w:rsid w:val="00E478E2"/>
    <w:rsid w:val="00E47EBA"/>
    <w:rsid w:val="00E50156"/>
    <w:rsid w:val="00E504EB"/>
    <w:rsid w:val="00E5076C"/>
    <w:rsid w:val="00E50D2E"/>
    <w:rsid w:val="00E50D7D"/>
    <w:rsid w:val="00E51EF0"/>
    <w:rsid w:val="00E53470"/>
    <w:rsid w:val="00E5368D"/>
    <w:rsid w:val="00E539F6"/>
    <w:rsid w:val="00E54698"/>
    <w:rsid w:val="00E54BE9"/>
    <w:rsid w:val="00E54FB4"/>
    <w:rsid w:val="00E5539A"/>
    <w:rsid w:val="00E55791"/>
    <w:rsid w:val="00E55E1A"/>
    <w:rsid w:val="00E578A2"/>
    <w:rsid w:val="00E579ED"/>
    <w:rsid w:val="00E60043"/>
    <w:rsid w:val="00E61740"/>
    <w:rsid w:val="00E61EB5"/>
    <w:rsid w:val="00E6324D"/>
    <w:rsid w:val="00E647C1"/>
    <w:rsid w:val="00E65084"/>
    <w:rsid w:val="00E6519D"/>
    <w:rsid w:val="00E66062"/>
    <w:rsid w:val="00E6660E"/>
    <w:rsid w:val="00E66768"/>
    <w:rsid w:val="00E67305"/>
    <w:rsid w:val="00E67696"/>
    <w:rsid w:val="00E709AF"/>
    <w:rsid w:val="00E70C5F"/>
    <w:rsid w:val="00E71A58"/>
    <w:rsid w:val="00E728D7"/>
    <w:rsid w:val="00E72A26"/>
    <w:rsid w:val="00E72A7A"/>
    <w:rsid w:val="00E7335A"/>
    <w:rsid w:val="00E73986"/>
    <w:rsid w:val="00E7467D"/>
    <w:rsid w:val="00E747DC"/>
    <w:rsid w:val="00E74A2D"/>
    <w:rsid w:val="00E75C94"/>
    <w:rsid w:val="00E76A08"/>
    <w:rsid w:val="00E76B9B"/>
    <w:rsid w:val="00E76E61"/>
    <w:rsid w:val="00E76EE4"/>
    <w:rsid w:val="00E77CC0"/>
    <w:rsid w:val="00E80B3D"/>
    <w:rsid w:val="00E80CA3"/>
    <w:rsid w:val="00E81AAA"/>
    <w:rsid w:val="00E82618"/>
    <w:rsid w:val="00E82A42"/>
    <w:rsid w:val="00E84E09"/>
    <w:rsid w:val="00E87CE2"/>
    <w:rsid w:val="00E87D5B"/>
    <w:rsid w:val="00E90CA8"/>
    <w:rsid w:val="00E911C6"/>
    <w:rsid w:val="00E920DE"/>
    <w:rsid w:val="00E930A1"/>
    <w:rsid w:val="00E93820"/>
    <w:rsid w:val="00E94A86"/>
    <w:rsid w:val="00E951AB"/>
    <w:rsid w:val="00E953F6"/>
    <w:rsid w:val="00E96143"/>
    <w:rsid w:val="00E96833"/>
    <w:rsid w:val="00E97506"/>
    <w:rsid w:val="00E97BB5"/>
    <w:rsid w:val="00E97D5B"/>
    <w:rsid w:val="00E97F14"/>
    <w:rsid w:val="00EA0C68"/>
    <w:rsid w:val="00EA0E39"/>
    <w:rsid w:val="00EA1D0E"/>
    <w:rsid w:val="00EA2072"/>
    <w:rsid w:val="00EA2841"/>
    <w:rsid w:val="00EA32BC"/>
    <w:rsid w:val="00EA35A7"/>
    <w:rsid w:val="00EA3B32"/>
    <w:rsid w:val="00EA3CEB"/>
    <w:rsid w:val="00EA3D05"/>
    <w:rsid w:val="00EA4222"/>
    <w:rsid w:val="00EA4402"/>
    <w:rsid w:val="00EA4B8D"/>
    <w:rsid w:val="00EA513E"/>
    <w:rsid w:val="00EA7419"/>
    <w:rsid w:val="00EB0E32"/>
    <w:rsid w:val="00EB1CDC"/>
    <w:rsid w:val="00EB1D89"/>
    <w:rsid w:val="00EB3E60"/>
    <w:rsid w:val="00EB4511"/>
    <w:rsid w:val="00EB48D7"/>
    <w:rsid w:val="00EB49F1"/>
    <w:rsid w:val="00EB4A8E"/>
    <w:rsid w:val="00EB4BC5"/>
    <w:rsid w:val="00EB5BF7"/>
    <w:rsid w:val="00EB5E79"/>
    <w:rsid w:val="00EB6DA6"/>
    <w:rsid w:val="00EB6FAC"/>
    <w:rsid w:val="00EB7BAC"/>
    <w:rsid w:val="00EB7CC9"/>
    <w:rsid w:val="00EC03D7"/>
    <w:rsid w:val="00EC13A7"/>
    <w:rsid w:val="00EC2EB6"/>
    <w:rsid w:val="00EC4FFF"/>
    <w:rsid w:val="00EC5517"/>
    <w:rsid w:val="00EC6E8C"/>
    <w:rsid w:val="00ED0962"/>
    <w:rsid w:val="00ED0EF0"/>
    <w:rsid w:val="00ED0F73"/>
    <w:rsid w:val="00ED12B9"/>
    <w:rsid w:val="00ED16B8"/>
    <w:rsid w:val="00ED1959"/>
    <w:rsid w:val="00ED1A00"/>
    <w:rsid w:val="00ED1DF0"/>
    <w:rsid w:val="00ED2386"/>
    <w:rsid w:val="00ED2525"/>
    <w:rsid w:val="00ED2EA1"/>
    <w:rsid w:val="00ED3851"/>
    <w:rsid w:val="00ED3E51"/>
    <w:rsid w:val="00ED3F10"/>
    <w:rsid w:val="00ED3F9B"/>
    <w:rsid w:val="00ED3FB3"/>
    <w:rsid w:val="00ED4D04"/>
    <w:rsid w:val="00ED566D"/>
    <w:rsid w:val="00ED5907"/>
    <w:rsid w:val="00ED5F5B"/>
    <w:rsid w:val="00ED62C6"/>
    <w:rsid w:val="00ED64C1"/>
    <w:rsid w:val="00ED781F"/>
    <w:rsid w:val="00EE0E7E"/>
    <w:rsid w:val="00EE249F"/>
    <w:rsid w:val="00EE2EB4"/>
    <w:rsid w:val="00EE3446"/>
    <w:rsid w:val="00EE3E78"/>
    <w:rsid w:val="00EE41FD"/>
    <w:rsid w:val="00EE460E"/>
    <w:rsid w:val="00EE4B1B"/>
    <w:rsid w:val="00EE5FBA"/>
    <w:rsid w:val="00EE601C"/>
    <w:rsid w:val="00EE6E06"/>
    <w:rsid w:val="00EE7179"/>
    <w:rsid w:val="00EF0D90"/>
    <w:rsid w:val="00EF150D"/>
    <w:rsid w:val="00EF1F5A"/>
    <w:rsid w:val="00EF23B5"/>
    <w:rsid w:val="00EF326A"/>
    <w:rsid w:val="00EF3898"/>
    <w:rsid w:val="00EF47BF"/>
    <w:rsid w:val="00EF52F7"/>
    <w:rsid w:val="00EF59B1"/>
    <w:rsid w:val="00EF5A13"/>
    <w:rsid w:val="00EF5FF9"/>
    <w:rsid w:val="00EF77D4"/>
    <w:rsid w:val="00EF7CC7"/>
    <w:rsid w:val="00F00535"/>
    <w:rsid w:val="00F00853"/>
    <w:rsid w:val="00F00866"/>
    <w:rsid w:val="00F00EC8"/>
    <w:rsid w:val="00F0160B"/>
    <w:rsid w:val="00F0193E"/>
    <w:rsid w:val="00F03E2F"/>
    <w:rsid w:val="00F03F8D"/>
    <w:rsid w:val="00F04811"/>
    <w:rsid w:val="00F0488C"/>
    <w:rsid w:val="00F04955"/>
    <w:rsid w:val="00F052D2"/>
    <w:rsid w:val="00F0730A"/>
    <w:rsid w:val="00F073ED"/>
    <w:rsid w:val="00F07C4C"/>
    <w:rsid w:val="00F07E45"/>
    <w:rsid w:val="00F10F11"/>
    <w:rsid w:val="00F11159"/>
    <w:rsid w:val="00F115E4"/>
    <w:rsid w:val="00F11AC4"/>
    <w:rsid w:val="00F120A5"/>
    <w:rsid w:val="00F12CFB"/>
    <w:rsid w:val="00F13E60"/>
    <w:rsid w:val="00F13FDB"/>
    <w:rsid w:val="00F15AAA"/>
    <w:rsid w:val="00F15BEF"/>
    <w:rsid w:val="00F17898"/>
    <w:rsid w:val="00F204BF"/>
    <w:rsid w:val="00F207C2"/>
    <w:rsid w:val="00F21337"/>
    <w:rsid w:val="00F219A1"/>
    <w:rsid w:val="00F23E20"/>
    <w:rsid w:val="00F24407"/>
    <w:rsid w:val="00F249CE"/>
    <w:rsid w:val="00F24FAA"/>
    <w:rsid w:val="00F25040"/>
    <w:rsid w:val="00F269D7"/>
    <w:rsid w:val="00F27071"/>
    <w:rsid w:val="00F27331"/>
    <w:rsid w:val="00F276D3"/>
    <w:rsid w:val="00F27EE5"/>
    <w:rsid w:val="00F27FB1"/>
    <w:rsid w:val="00F27FD6"/>
    <w:rsid w:val="00F307CB"/>
    <w:rsid w:val="00F30C0C"/>
    <w:rsid w:val="00F30C65"/>
    <w:rsid w:val="00F321D2"/>
    <w:rsid w:val="00F32649"/>
    <w:rsid w:val="00F33523"/>
    <w:rsid w:val="00F3364D"/>
    <w:rsid w:val="00F33914"/>
    <w:rsid w:val="00F349BF"/>
    <w:rsid w:val="00F34DDC"/>
    <w:rsid w:val="00F36191"/>
    <w:rsid w:val="00F3629F"/>
    <w:rsid w:val="00F36DF3"/>
    <w:rsid w:val="00F37362"/>
    <w:rsid w:val="00F37EDC"/>
    <w:rsid w:val="00F437CC"/>
    <w:rsid w:val="00F44537"/>
    <w:rsid w:val="00F46185"/>
    <w:rsid w:val="00F46423"/>
    <w:rsid w:val="00F4696A"/>
    <w:rsid w:val="00F47067"/>
    <w:rsid w:val="00F47234"/>
    <w:rsid w:val="00F51ADD"/>
    <w:rsid w:val="00F525AB"/>
    <w:rsid w:val="00F525EB"/>
    <w:rsid w:val="00F52CB5"/>
    <w:rsid w:val="00F53378"/>
    <w:rsid w:val="00F53917"/>
    <w:rsid w:val="00F53A68"/>
    <w:rsid w:val="00F54934"/>
    <w:rsid w:val="00F55A92"/>
    <w:rsid w:val="00F5615B"/>
    <w:rsid w:val="00F575D3"/>
    <w:rsid w:val="00F57983"/>
    <w:rsid w:val="00F57A76"/>
    <w:rsid w:val="00F57D57"/>
    <w:rsid w:val="00F6178B"/>
    <w:rsid w:val="00F62BFF"/>
    <w:rsid w:val="00F62CCE"/>
    <w:rsid w:val="00F63092"/>
    <w:rsid w:val="00F63AAE"/>
    <w:rsid w:val="00F63DDE"/>
    <w:rsid w:val="00F63FB7"/>
    <w:rsid w:val="00F6421B"/>
    <w:rsid w:val="00F647F1"/>
    <w:rsid w:val="00F649D2"/>
    <w:rsid w:val="00F64D5A"/>
    <w:rsid w:val="00F6602B"/>
    <w:rsid w:val="00F6799D"/>
    <w:rsid w:val="00F7150B"/>
    <w:rsid w:val="00F717E4"/>
    <w:rsid w:val="00F71DE6"/>
    <w:rsid w:val="00F72D71"/>
    <w:rsid w:val="00F7381C"/>
    <w:rsid w:val="00F73A0C"/>
    <w:rsid w:val="00F752DC"/>
    <w:rsid w:val="00F7549F"/>
    <w:rsid w:val="00F756DB"/>
    <w:rsid w:val="00F766BE"/>
    <w:rsid w:val="00F767A8"/>
    <w:rsid w:val="00F77590"/>
    <w:rsid w:val="00F77A50"/>
    <w:rsid w:val="00F82D14"/>
    <w:rsid w:val="00F84E7D"/>
    <w:rsid w:val="00F85066"/>
    <w:rsid w:val="00F874F8"/>
    <w:rsid w:val="00F87A4D"/>
    <w:rsid w:val="00F90EEB"/>
    <w:rsid w:val="00F9135C"/>
    <w:rsid w:val="00F91B66"/>
    <w:rsid w:val="00F93688"/>
    <w:rsid w:val="00F939F3"/>
    <w:rsid w:val="00F93C6E"/>
    <w:rsid w:val="00F93F2C"/>
    <w:rsid w:val="00F947E9"/>
    <w:rsid w:val="00F962AD"/>
    <w:rsid w:val="00F9644E"/>
    <w:rsid w:val="00FA0105"/>
    <w:rsid w:val="00FA05A0"/>
    <w:rsid w:val="00FA0AEF"/>
    <w:rsid w:val="00FA17CC"/>
    <w:rsid w:val="00FA1CFE"/>
    <w:rsid w:val="00FA1EE7"/>
    <w:rsid w:val="00FA1F01"/>
    <w:rsid w:val="00FA26DF"/>
    <w:rsid w:val="00FA32BC"/>
    <w:rsid w:val="00FA3FA8"/>
    <w:rsid w:val="00FA4059"/>
    <w:rsid w:val="00FA4574"/>
    <w:rsid w:val="00FA48A4"/>
    <w:rsid w:val="00FA4CB7"/>
    <w:rsid w:val="00FA5112"/>
    <w:rsid w:val="00FA5526"/>
    <w:rsid w:val="00FA5D4D"/>
    <w:rsid w:val="00FA6CB6"/>
    <w:rsid w:val="00FA70D3"/>
    <w:rsid w:val="00FA7AEC"/>
    <w:rsid w:val="00FB0AEA"/>
    <w:rsid w:val="00FB0EE2"/>
    <w:rsid w:val="00FB1A79"/>
    <w:rsid w:val="00FB208B"/>
    <w:rsid w:val="00FB2B2D"/>
    <w:rsid w:val="00FB542E"/>
    <w:rsid w:val="00FB5580"/>
    <w:rsid w:val="00FB564F"/>
    <w:rsid w:val="00FB7DBB"/>
    <w:rsid w:val="00FC05F8"/>
    <w:rsid w:val="00FC077B"/>
    <w:rsid w:val="00FC0E5F"/>
    <w:rsid w:val="00FC1070"/>
    <w:rsid w:val="00FC1266"/>
    <w:rsid w:val="00FC1A95"/>
    <w:rsid w:val="00FC1ED4"/>
    <w:rsid w:val="00FC3BEC"/>
    <w:rsid w:val="00FC42C5"/>
    <w:rsid w:val="00FC440B"/>
    <w:rsid w:val="00FC56DE"/>
    <w:rsid w:val="00FC63D9"/>
    <w:rsid w:val="00FC64DE"/>
    <w:rsid w:val="00FC6785"/>
    <w:rsid w:val="00FC684B"/>
    <w:rsid w:val="00FC7D98"/>
    <w:rsid w:val="00FD1135"/>
    <w:rsid w:val="00FD3265"/>
    <w:rsid w:val="00FD3CF7"/>
    <w:rsid w:val="00FD4124"/>
    <w:rsid w:val="00FD4916"/>
    <w:rsid w:val="00FD4D12"/>
    <w:rsid w:val="00FD4F73"/>
    <w:rsid w:val="00FD595E"/>
    <w:rsid w:val="00FD7802"/>
    <w:rsid w:val="00FD7D3B"/>
    <w:rsid w:val="00FD7FBE"/>
    <w:rsid w:val="00FE27C7"/>
    <w:rsid w:val="00FE2C7E"/>
    <w:rsid w:val="00FE2F78"/>
    <w:rsid w:val="00FE3137"/>
    <w:rsid w:val="00FE346B"/>
    <w:rsid w:val="00FE346F"/>
    <w:rsid w:val="00FE431E"/>
    <w:rsid w:val="00FE460E"/>
    <w:rsid w:val="00FE48E4"/>
    <w:rsid w:val="00FE5466"/>
    <w:rsid w:val="00FE634C"/>
    <w:rsid w:val="00FE6E69"/>
    <w:rsid w:val="00FE6F59"/>
    <w:rsid w:val="00FF01B6"/>
    <w:rsid w:val="00FF0989"/>
    <w:rsid w:val="00FF0F79"/>
    <w:rsid w:val="00FF1136"/>
    <w:rsid w:val="00FF3D76"/>
    <w:rsid w:val="00FF5B8C"/>
    <w:rsid w:val="00FF63E6"/>
    <w:rsid w:val="00FF72DC"/>
    <w:rsid w:val="00FF7B96"/>
    <w:rsid w:val="0523CDF2"/>
    <w:rsid w:val="06B1A837"/>
    <w:rsid w:val="12650F4E"/>
    <w:rsid w:val="1394E51D"/>
    <w:rsid w:val="2A0E9F3A"/>
    <w:rsid w:val="2A2A6298"/>
    <w:rsid w:val="38C72AFC"/>
    <w:rsid w:val="3E4A9713"/>
    <w:rsid w:val="48038D4B"/>
    <w:rsid w:val="49E8263C"/>
    <w:rsid w:val="50A35788"/>
    <w:rsid w:val="52944939"/>
    <w:rsid w:val="5CF587E8"/>
    <w:rsid w:val="6AEA4E8B"/>
    <w:rsid w:val="75B5B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5D395025"/>
  <w15:docId w15:val="{65A7C2A9-88C6-491F-A56E-5229398B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draznn">
    <w:name w:val="Emphasis"/>
    <w:basedOn w:val="Standardnpsmoodstavce"/>
    <w:uiPriority w:val="20"/>
    <w:qFormat/>
    <w:rsid w:val="00965797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Nadpis12">
    <w:name w:val="Nadpis 12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Textpoznpodarou1">
    <w:name w:val="Text pozn. pod čarou1"/>
    <w:basedOn w:val="Normln"/>
    <w:qFormat/>
    <w:rsid w:val="002F4AD8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spelle">
    <w:name w:val="spelle"/>
    <w:basedOn w:val="Standardnpsmoodstavce"/>
    <w:rsid w:val="00830AEA"/>
  </w:style>
  <w:style w:type="paragraph" w:styleId="Revize">
    <w:name w:val="Revision"/>
    <w:hidden/>
    <w:uiPriority w:val="99"/>
    <w:semiHidden/>
    <w:rsid w:val="005D66E6"/>
    <w:rPr>
      <w:rFonts w:ascii="Arial" w:eastAsia="Times New Roman" w:hAnsi="Arial"/>
      <w:szCs w:val="24"/>
      <w:lang w:eastAsia="cs-CZ"/>
    </w:rPr>
  </w:style>
  <w:style w:type="character" w:customStyle="1" w:styleId="odkaz-style-wrapper">
    <w:name w:val="odkaz-style-wrapper"/>
    <w:basedOn w:val="Standardnpsmoodstavce"/>
    <w:rsid w:val="00524385"/>
  </w:style>
  <w:style w:type="character" w:customStyle="1" w:styleId="tabulka">
    <w:name w:val="tabulka"/>
    <w:basedOn w:val="Standardnpsmoodstavce"/>
    <w:rsid w:val="0074499B"/>
  </w:style>
  <w:style w:type="paragraph" w:customStyle="1" w:styleId="Default">
    <w:name w:val="Default"/>
    <w:rsid w:val="00100A8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F77A5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hart" Target="charts/chart2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chart" Target="charts/chart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hart" Target="charts/chart5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chart" Target="charts/chart4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hart" Target="charts/chart3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Q-makro-2022\Celorok-2022\Odv&#283;tv&#237;\Odv&#283;tv&#237;_grafy-rok-202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Q-makro-2022\Celorok-2022\Odv&#283;tv&#237;\Odv&#283;tv&#237;_grafy-rok-202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Q-makro-2022\Celorok-2022\Odv&#283;tv&#237;\Odv&#283;tv&#237;_grafy-rok-2022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Q-makro-2022\Celorok-2022\Odv&#283;tv&#237;\Odv&#283;tv&#237;_grafy-rok-2022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Q-makro-2022\Celorok-2022\Odv&#283;tv&#237;\Odv&#283;tv&#237;_grafy-rok-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6610992424025109E-2"/>
          <c:y val="1.5804777005479883E-2"/>
          <c:w val="0.84419102795189604"/>
          <c:h val="0.70867754321612231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'GRAF příspěvky IPP'!$A$27</c:f>
              <c:strCache>
                <c:ptCount val="1"/>
                <c:pt idx="0">
                  <c:v>Výroba dopravních prostředků (29, 30)</c:v>
                </c:pt>
              </c:strCache>
            </c:strRef>
          </c:tx>
          <c:spPr>
            <a:solidFill>
              <a:srgbClr val="E8AFB2"/>
            </a:solidFill>
          </c:spPr>
          <c:invertIfNegative val="0"/>
          <c:cat>
            <c:multiLvlStrRef>
              <c:f>'GRAF příspěvky IPP'!$R$25:$AW$26</c:f>
              <c:multiLvlStrCache>
                <c:ptCount val="3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</c:lvl>
              </c:multiLvlStrCache>
            </c:multiLvlStrRef>
          </c:cat>
          <c:val>
            <c:numRef>
              <c:f>'GRAF příspěvky IPP'!$R$27:$AW$27</c:f>
              <c:numCache>
                <c:formatCode>0.0</c:formatCode>
                <c:ptCount val="32"/>
                <c:pt idx="0">
                  <c:v>1.5414336001551836</c:v>
                </c:pt>
                <c:pt idx="1">
                  <c:v>2.1741500812415602</c:v>
                </c:pt>
                <c:pt idx="2">
                  <c:v>2.3807451285231696</c:v>
                </c:pt>
                <c:pt idx="3">
                  <c:v>2.8689756615217954</c:v>
                </c:pt>
                <c:pt idx="4">
                  <c:v>3.3341210196737827</c:v>
                </c:pt>
                <c:pt idx="5">
                  <c:v>2.686672264317759</c:v>
                </c:pt>
                <c:pt idx="6">
                  <c:v>1.4809491976121276</c:v>
                </c:pt>
                <c:pt idx="7">
                  <c:v>1.0295786410238899</c:v>
                </c:pt>
                <c:pt idx="8">
                  <c:v>1.7176851530772046</c:v>
                </c:pt>
                <c:pt idx="9">
                  <c:v>2.162430036953364</c:v>
                </c:pt>
                <c:pt idx="10">
                  <c:v>1.6010808371876544</c:v>
                </c:pt>
                <c:pt idx="11">
                  <c:v>1.6765308689366043</c:v>
                </c:pt>
                <c:pt idx="12">
                  <c:v>0.76463369901420963</c:v>
                </c:pt>
                <c:pt idx="13">
                  <c:v>0.53745054525373026</c:v>
                </c:pt>
                <c:pt idx="14">
                  <c:v>0.24390176608722364</c:v>
                </c:pt>
                <c:pt idx="15">
                  <c:v>0.97145099568383719</c:v>
                </c:pt>
                <c:pt idx="16">
                  <c:v>-0.22653642884122777</c:v>
                </c:pt>
                <c:pt idx="17">
                  <c:v>0.48861091853368632</c:v>
                </c:pt>
                <c:pt idx="18">
                  <c:v>0.80855917746087291</c:v>
                </c:pt>
                <c:pt idx="19">
                  <c:v>-1.0897983527427599</c:v>
                </c:pt>
                <c:pt idx="20">
                  <c:v>-1.5435543851935798</c:v>
                </c:pt>
                <c:pt idx="21">
                  <c:v>-9.4039632081130193</c:v>
                </c:pt>
                <c:pt idx="22">
                  <c:v>-0.18743733484121575</c:v>
                </c:pt>
                <c:pt idx="23">
                  <c:v>2.0451875585567296</c:v>
                </c:pt>
                <c:pt idx="24">
                  <c:v>1.8998981300154258</c:v>
                </c:pt>
                <c:pt idx="25">
                  <c:v>10.981696435394754</c:v>
                </c:pt>
                <c:pt idx="26">
                  <c:v>-3.7777447309199408</c:v>
                </c:pt>
                <c:pt idx="27">
                  <c:v>-3.2745552925864532</c:v>
                </c:pt>
                <c:pt idx="28">
                  <c:v>-1.9102799380643063</c:v>
                </c:pt>
                <c:pt idx="29">
                  <c:v>7.1908710545503615E-2</c:v>
                </c:pt>
                <c:pt idx="30">
                  <c:v>5.6241519876439341</c:v>
                </c:pt>
                <c:pt idx="31">
                  <c:v>4.0478662222931554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BA-453B-9D1F-1EE109E2DCED}"/>
            </c:ext>
          </c:extLst>
        </c:ser>
        <c:ser>
          <c:idx val="1"/>
          <c:order val="1"/>
          <c:tx>
            <c:strRef>
              <c:f>'GRAF příspěvky IPP'!$A$28</c:f>
              <c:strCache>
                <c:ptCount val="1"/>
                <c:pt idx="0">
                  <c:v>Gumárenství, elektrotechnický pr. (22, 27)</c:v>
                </c:pt>
              </c:strCache>
            </c:strRef>
          </c:tx>
          <c:spPr>
            <a:solidFill>
              <a:srgbClr val="BD1B21"/>
            </a:solidFill>
          </c:spPr>
          <c:invertIfNegative val="0"/>
          <c:cat>
            <c:multiLvlStrRef>
              <c:f>'GRAF příspěvky IPP'!$R$25:$AW$26</c:f>
              <c:multiLvlStrCache>
                <c:ptCount val="3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</c:lvl>
              </c:multiLvlStrCache>
            </c:multiLvlStrRef>
          </c:cat>
          <c:val>
            <c:numRef>
              <c:f>'GRAF příspěvky IPP'!$R$28:$AW$28</c:f>
              <c:numCache>
                <c:formatCode>0.0</c:formatCode>
                <c:ptCount val="32"/>
                <c:pt idx="0">
                  <c:v>1.0327842576995614</c:v>
                </c:pt>
                <c:pt idx="1">
                  <c:v>1.2398193770878803</c:v>
                </c:pt>
                <c:pt idx="2">
                  <c:v>1.4194520754584399</c:v>
                </c:pt>
                <c:pt idx="3">
                  <c:v>0.62945179373892213</c:v>
                </c:pt>
                <c:pt idx="4">
                  <c:v>0.81066950070394839</c:v>
                </c:pt>
                <c:pt idx="5">
                  <c:v>0.15910929112689315</c:v>
                </c:pt>
                <c:pt idx="6">
                  <c:v>0.27430884251769189</c:v>
                </c:pt>
                <c:pt idx="7">
                  <c:v>0.42966812397126047</c:v>
                </c:pt>
                <c:pt idx="8">
                  <c:v>0.81190885185629913</c:v>
                </c:pt>
                <c:pt idx="9">
                  <c:v>1.4478162783570216</c:v>
                </c:pt>
                <c:pt idx="10">
                  <c:v>0.86831270392558868</c:v>
                </c:pt>
                <c:pt idx="11">
                  <c:v>1.6467937182997419</c:v>
                </c:pt>
                <c:pt idx="12">
                  <c:v>0.99355825089751959</c:v>
                </c:pt>
                <c:pt idx="13">
                  <c:v>0.32981714268582202</c:v>
                </c:pt>
                <c:pt idx="14">
                  <c:v>0.43066392508053108</c:v>
                </c:pt>
                <c:pt idx="15">
                  <c:v>-5.4042637097958611E-2</c:v>
                </c:pt>
                <c:pt idx="16">
                  <c:v>0.52511448325990218</c:v>
                </c:pt>
                <c:pt idx="17">
                  <c:v>0.41827161057405132</c:v>
                </c:pt>
                <c:pt idx="18">
                  <c:v>0.20321919004157399</c:v>
                </c:pt>
                <c:pt idx="19">
                  <c:v>0.40664545615593128</c:v>
                </c:pt>
                <c:pt idx="20">
                  <c:v>-0.54518803499189361</c:v>
                </c:pt>
                <c:pt idx="21">
                  <c:v>-4.0594843067761044</c:v>
                </c:pt>
                <c:pt idx="22">
                  <c:v>-0.42308415860457271</c:v>
                </c:pt>
                <c:pt idx="23">
                  <c:v>0.57531703991443739</c:v>
                </c:pt>
                <c:pt idx="24">
                  <c:v>0.72127374997619453</c:v>
                </c:pt>
                <c:pt idx="25">
                  <c:v>5.5133080211538479</c:v>
                </c:pt>
                <c:pt idx="26">
                  <c:v>0.63109141066247476</c:v>
                </c:pt>
                <c:pt idx="27">
                  <c:v>-0.40575686667122407</c:v>
                </c:pt>
                <c:pt idx="28">
                  <c:v>9.5649941631887267E-2</c:v>
                </c:pt>
                <c:pt idx="29">
                  <c:v>0.14616646719142384</c:v>
                </c:pt>
                <c:pt idx="30">
                  <c:v>0.53290769757744694</c:v>
                </c:pt>
                <c:pt idx="31">
                  <c:v>0.60794822436824103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EBA-453B-9D1F-1EE109E2DCED}"/>
            </c:ext>
          </c:extLst>
        </c:ser>
        <c:ser>
          <c:idx val="2"/>
          <c:order val="2"/>
          <c:tx>
            <c:strRef>
              <c:f>'GRAF příspěvky IPP'!$A$29</c:f>
              <c:strCache>
                <c:ptCount val="1"/>
                <c:pt idx="0">
                  <c:v>Strojírenství (28)</c:v>
                </c:pt>
              </c:strCache>
            </c:strRef>
          </c:tx>
          <c:spPr>
            <a:solidFill>
              <a:srgbClr val="BFE3F7"/>
            </a:solidFill>
          </c:spPr>
          <c:invertIfNegative val="0"/>
          <c:cat>
            <c:multiLvlStrRef>
              <c:f>'GRAF příspěvky IPP'!$R$25:$AW$26</c:f>
              <c:multiLvlStrCache>
                <c:ptCount val="3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</c:lvl>
              </c:multiLvlStrCache>
            </c:multiLvlStrRef>
          </c:cat>
          <c:val>
            <c:numRef>
              <c:f>'GRAF příspěvky IPP'!$R$29:$AW$29</c:f>
              <c:numCache>
                <c:formatCode>0.0</c:formatCode>
                <c:ptCount val="32"/>
                <c:pt idx="0">
                  <c:v>0.27352741322260504</c:v>
                </c:pt>
                <c:pt idx="1">
                  <c:v>0.29435778863230155</c:v>
                </c:pt>
                <c:pt idx="2">
                  <c:v>0.38381901893821552</c:v>
                </c:pt>
                <c:pt idx="3">
                  <c:v>1.9907538862099922E-2</c:v>
                </c:pt>
                <c:pt idx="4">
                  <c:v>0.36213267281302258</c:v>
                </c:pt>
                <c:pt idx="5">
                  <c:v>-6.5064708510287728E-2</c:v>
                </c:pt>
                <c:pt idx="6">
                  <c:v>0.19502661099256188</c:v>
                </c:pt>
                <c:pt idx="7">
                  <c:v>0.31976595271137093</c:v>
                </c:pt>
                <c:pt idx="8">
                  <c:v>0.36260721751312475</c:v>
                </c:pt>
                <c:pt idx="9">
                  <c:v>1.0676230430151585</c:v>
                </c:pt>
                <c:pt idx="10">
                  <c:v>0.84856622097502898</c:v>
                </c:pt>
                <c:pt idx="11">
                  <c:v>0.8011679796708624</c:v>
                </c:pt>
                <c:pt idx="12">
                  <c:v>0.47154480134890697</c:v>
                </c:pt>
                <c:pt idx="13">
                  <c:v>0.14539794495792599</c:v>
                </c:pt>
                <c:pt idx="14">
                  <c:v>0.18518957990291937</c:v>
                </c:pt>
                <c:pt idx="15">
                  <c:v>-0.19190856298894723</c:v>
                </c:pt>
                <c:pt idx="16">
                  <c:v>0.14248219231403378</c:v>
                </c:pt>
                <c:pt idx="17">
                  <c:v>-2.1421773901395606E-2</c:v>
                </c:pt>
                <c:pt idx="18">
                  <c:v>-0.25698546548398382</c:v>
                </c:pt>
                <c:pt idx="19">
                  <c:v>-0.1385976419695116</c:v>
                </c:pt>
                <c:pt idx="20">
                  <c:v>-0.69677730727295739</c:v>
                </c:pt>
                <c:pt idx="21">
                  <c:v>-2.1434069100206701</c:v>
                </c:pt>
                <c:pt idx="22">
                  <c:v>-0.80071965285565583</c:v>
                </c:pt>
                <c:pt idx="23">
                  <c:v>-0.53337369043417615</c:v>
                </c:pt>
                <c:pt idx="24">
                  <c:v>7.0388429332234728E-2</c:v>
                </c:pt>
                <c:pt idx="25">
                  <c:v>2.1082132332125232</c:v>
                </c:pt>
                <c:pt idx="26">
                  <c:v>0.54002718228061808</c:v>
                </c:pt>
                <c:pt idx="27">
                  <c:v>0.28651169955913558</c:v>
                </c:pt>
                <c:pt idx="28">
                  <c:v>0.38259176655886912</c:v>
                </c:pt>
                <c:pt idx="29">
                  <c:v>0.10571776271065519</c:v>
                </c:pt>
                <c:pt idx="30">
                  <c:v>0.49644675486725792</c:v>
                </c:pt>
                <c:pt idx="31">
                  <c:v>0.65963565268528634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EBA-453B-9D1F-1EE109E2DCED}"/>
            </c:ext>
          </c:extLst>
        </c:ser>
        <c:ser>
          <c:idx val="3"/>
          <c:order val="3"/>
          <c:tx>
            <c:strRef>
              <c:f>'GRAF příspěvky IPP'!$A$30</c:f>
              <c:strCache>
                <c:ptCount val="1"/>
                <c:pt idx="0">
                  <c:v>Kovodělný průmysl (25)</c:v>
                </c:pt>
              </c:strCache>
            </c:strRef>
          </c:tx>
          <c:spPr>
            <a:solidFill>
              <a:srgbClr val="48AEE7"/>
            </a:solidFill>
          </c:spPr>
          <c:invertIfNegative val="0"/>
          <c:cat>
            <c:multiLvlStrRef>
              <c:f>'GRAF příspěvky IPP'!$R$25:$AW$26</c:f>
              <c:multiLvlStrCache>
                <c:ptCount val="3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</c:lvl>
              </c:multiLvlStrCache>
            </c:multiLvlStrRef>
          </c:cat>
          <c:val>
            <c:numRef>
              <c:f>'GRAF příspěvky IPP'!$R$30:$AW$30</c:f>
              <c:numCache>
                <c:formatCode>0.0</c:formatCode>
                <c:ptCount val="32"/>
                <c:pt idx="0">
                  <c:v>0.69497691812608697</c:v>
                </c:pt>
                <c:pt idx="1">
                  <c:v>0.7850872599759442</c:v>
                </c:pt>
                <c:pt idx="2">
                  <c:v>0.99073344247385264</c:v>
                </c:pt>
                <c:pt idx="3">
                  <c:v>0.60112803930591463</c:v>
                </c:pt>
                <c:pt idx="4">
                  <c:v>0.8056510855242317</c:v>
                </c:pt>
                <c:pt idx="5">
                  <c:v>0.37292975928366623</c:v>
                </c:pt>
                <c:pt idx="6">
                  <c:v>0.22874403118707326</c:v>
                </c:pt>
                <c:pt idx="7">
                  <c:v>0.25105221227274938</c:v>
                </c:pt>
                <c:pt idx="8">
                  <c:v>0.39859566543955594</c:v>
                </c:pt>
                <c:pt idx="9">
                  <c:v>0.93860836876068798</c:v>
                </c:pt>
                <c:pt idx="10">
                  <c:v>0.85733344200421968</c:v>
                </c:pt>
                <c:pt idx="11">
                  <c:v>0.96180148351524553</c:v>
                </c:pt>
                <c:pt idx="12">
                  <c:v>0.66382399405022563</c:v>
                </c:pt>
                <c:pt idx="13">
                  <c:v>0.46639173271760581</c:v>
                </c:pt>
                <c:pt idx="14">
                  <c:v>0.40419840691742392</c:v>
                </c:pt>
                <c:pt idx="15">
                  <c:v>0.1444093288361632</c:v>
                </c:pt>
                <c:pt idx="16">
                  <c:v>0.25807569584954476</c:v>
                </c:pt>
                <c:pt idx="17">
                  <c:v>1.4459010693799897E-2</c:v>
                </c:pt>
                <c:pt idx="18">
                  <c:v>-0.2565104921358744</c:v>
                </c:pt>
                <c:pt idx="19">
                  <c:v>-0.34928328908715461</c:v>
                </c:pt>
                <c:pt idx="20">
                  <c:v>-0.60808014688232759</c:v>
                </c:pt>
                <c:pt idx="21">
                  <c:v>-2.0880437771647515</c:v>
                </c:pt>
                <c:pt idx="22">
                  <c:v>-0.5397213489370003</c:v>
                </c:pt>
                <c:pt idx="23">
                  <c:v>0.14511452076092651</c:v>
                </c:pt>
                <c:pt idx="24">
                  <c:v>0.49633095542560107</c:v>
                </c:pt>
                <c:pt idx="25">
                  <c:v>3.0129249260537696</c:v>
                </c:pt>
                <c:pt idx="26">
                  <c:v>0.73648478182031019</c:v>
                </c:pt>
                <c:pt idx="27">
                  <c:v>-5.6080447887036491E-2</c:v>
                </c:pt>
                <c:pt idx="28">
                  <c:v>0.15052763981480349</c:v>
                </c:pt>
                <c:pt idx="29">
                  <c:v>-0.43513827220515988</c:v>
                </c:pt>
                <c:pt idx="30">
                  <c:v>-0.39420121684574316</c:v>
                </c:pt>
                <c:pt idx="31">
                  <c:v>-0.25494692912799488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EBA-453B-9D1F-1EE109E2DCED}"/>
            </c:ext>
          </c:extLst>
        </c:ser>
        <c:ser>
          <c:idx val="4"/>
          <c:order val="4"/>
          <c:tx>
            <c:strRef>
              <c:f>'GRAF příspěvky IPP'!$A$31</c:f>
              <c:strCache>
                <c:ptCount val="1"/>
                <c:pt idx="0">
                  <c:v>Výroba PC, elektronic. a optic. přístr. (26)</c:v>
                </c:pt>
              </c:strCache>
            </c:strRef>
          </c:tx>
          <c:spPr>
            <a:solidFill>
              <a:srgbClr val="FDDEB3"/>
            </a:solidFill>
          </c:spPr>
          <c:invertIfNegative val="0"/>
          <c:cat>
            <c:multiLvlStrRef>
              <c:f>'GRAF příspěvky IPP'!$R$25:$AW$26</c:f>
              <c:multiLvlStrCache>
                <c:ptCount val="3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</c:lvl>
              </c:multiLvlStrCache>
            </c:multiLvlStrRef>
          </c:cat>
          <c:val>
            <c:numRef>
              <c:f>'GRAF příspěvky IPP'!$R$31:$AW$31</c:f>
              <c:numCache>
                <c:formatCode>0.0</c:formatCode>
                <c:ptCount val="32"/>
                <c:pt idx="0">
                  <c:v>0.10273275765267498</c:v>
                </c:pt>
                <c:pt idx="1">
                  <c:v>1.7022273503113715E-2</c:v>
                </c:pt>
                <c:pt idx="2">
                  <c:v>3.1451678515104962E-2</c:v>
                </c:pt>
                <c:pt idx="3">
                  <c:v>-6.7148299810871767E-2</c:v>
                </c:pt>
                <c:pt idx="4">
                  <c:v>-1.2685476667277843E-2</c:v>
                </c:pt>
                <c:pt idx="5">
                  <c:v>7.6588175669582967E-2</c:v>
                </c:pt>
                <c:pt idx="6">
                  <c:v>4.5204856094121497E-2</c:v>
                </c:pt>
                <c:pt idx="7">
                  <c:v>0.16194666355811346</c:v>
                </c:pt>
                <c:pt idx="8">
                  <c:v>0.16169573185966213</c:v>
                </c:pt>
                <c:pt idx="9">
                  <c:v>0.34034954986554078</c:v>
                </c:pt>
                <c:pt idx="10">
                  <c:v>0.22387493834902866</c:v>
                </c:pt>
                <c:pt idx="11">
                  <c:v>0.2347488357417308</c:v>
                </c:pt>
                <c:pt idx="12">
                  <c:v>0.37691682805498272</c:v>
                </c:pt>
                <c:pt idx="13">
                  <c:v>0.16170745152429084</c:v>
                </c:pt>
                <c:pt idx="14">
                  <c:v>0.63541368560223865</c:v>
                </c:pt>
                <c:pt idx="15">
                  <c:v>0.32151776055716935</c:v>
                </c:pt>
                <c:pt idx="16">
                  <c:v>-0.11432204894408443</c:v>
                </c:pt>
                <c:pt idx="17">
                  <c:v>-5.1757146500390386E-2</c:v>
                </c:pt>
                <c:pt idx="18">
                  <c:v>-0.58706510968263648</c:v>
                </c:pt>
                <c:pt idx="19">
                  <c:v>-0.35487188237441086</c:v>
                </c:pt>
                <c:pt idx="20">
                  <c:v>-8.5397778834990529E-2</c:v>
                </c:pt>
                <c:pt idx="21">
                  <c:v>-0.27817734072291866</c:v>
                </c:pt>
                <c:pt idx="22">
                  <c:v>-2.9065624151318075E-3</c:v>
                </c:pt>
                <c:pt idx="23">
                  <c:v>-5.9498285904227757E-3</c:v>
                </c:pt>
                <c:pt idx="24">
                  <c:v>0.12344573775217323</c:v>
                </c:pt>
                <c:pt idx="25">
                  <c:v>0.16503598968244643</c:v>
                </c:pt>
                <c:pt idx="26">
                  <c:v>0.21876908691427951</c:v>
                </c:pt>
                <c:pt idx="27">
                  <c:v>-0.21769009003114997</c:v>
                </c:pt>
                <c:pt idx="28">
                  <c:v>1.9919062957815682E-2</c:v>
                </c:pt>
                <c:pt idx="29">
                  <c:v>-9.7779772813260876E-3</c:v>
                </c:pt>
                <c:pt idx="30">
                  <c:v>6.4933152168677274E-2</c:v>
                </c:pt>
                <c:pt idx="31">
                  <c:v>0.43528438515827717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EBA-453B-9D1F-1EE109E2DCED}"/>
            </c:ext>
          </c:extLst>
        </c:ser>
        <c:ser>
          <c:idx val="5"/>
          <c:order val="5"/>
          <c:tx>
            <c:strRef>
              <c:f>'GRAF příspěvky IPP'!$A$32</c:f>
              <c:strCache>
                <c:ptCount val="1"/>
                <c:pt idx="0">
                  <c:v>Chemický a farmaceutický pr. (20, 21)</c:v>
                </c:pt>
              </c:strCache>
            </c:strRef>
          </c:tx>
          <c:spPr>
            <a:solidFill>
              <a:srgbClr val="F8A124"/>
            </a:solidFill>
            <a:ln>
              <a:noFill/>
            </a:ln>
          </c:spPr>
          <c:invertIfNegative val="0"/>
          <c:cat>
            <c:multiLvlStrRef>
              <c:f>'GRAF příspěvky IPP'!$R$25:$AW$26</c:f>
              <c:multiLvlStrCache>
                <c:ptCount val="3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</c:lvl>
              </c:multiLvlStrCache>
            </c:multiLvlStrRef>
          </c:cat>
          <c:val>
            <c:numRef>
              <c:f>'GRAF příspěvky IPP'!$R$32:$AW$32</c:f>
              <c:numCache>
                <c:formatCode>0.0</c:formatCode>
                <c:ptCount val="32"/>
                <c:pt idx="0">
                  <c:v>7.7208317080078304E-2</c:v>
                </c:pt>
                <c:pt idx="1">
                  <c:v>0.23592866818826699</c:v>
                </c:pt>
                <c:pt idx="2">
                  <c:v>-0.16336143877828871</c:v>
                </c:pt>
                <c:pt idx="3">
                  <c:v>-0.33439989501658013</c:v>
                </c:pt>
                <c:pt idx="4">
                  <c:v>-0.41779515285163221</c:v>
                </c:pt>
                <c:pt idx="5">
                  <c:v>-0.42569819359762051</c:v>
                </c:pt>
                <c:pt idx="6">
                  <c:v>-0.10788089066016887</c:v>
                </c:pt>
                <c:pt idx="7">
                  <c:v>0.23743965472329753</c:v>
                </c:pt>
                <c:pt idx="8">
                  <c:v>0.52311070740015453</c:v>
                </c:pt>
                <c:pt idx="9">
                  <c:v>0.82341422334347258</c:v>
                </c:pt>
                <c:pt idx="10">
                  <c:v>0.65076836480306144</c:v>
                </c:pt>
                <c:pt idx="11">
                  <c:v>0.50493978173151799</c:v>
                </c:pt>
                <c:pt idx="12">
                  <c:v>0.40295639892988111</c:v>
                </c:pt>
                <c:pt idx="13">
                  <c:v>8.0557374992047265E-2</c:v>
                </c:pt>
                <c:pt idx="14">
                  <c:v>-5.3154805616806716E-2</c:v>
                </c:pt>
                <c:pt idx="15">
                  <c:v>-6.7994611415210363E-2</c:v>
                </c:pt>
                <c:pt idx="16">
                  <c:v>0.10386183133359356</c:v>
                </c:pt>
                <c:pt idx="17">
                  <c:v>4.7610492592970489E-2</c:v>
                </c:pt>
                <c:pt idx="18">
                  <c:v>0.23071819932128149</c:v>
                </c:pt>
                <c:pt idx="19">
                  <c:v>3.0462943071166673E-2</c:v>
                </c:pt>
                <c:pt idx="20">
                  <c:v>-3.1218778316377285E-2</c:v>
                </c:pt>
                <c:pt idx="21">
                  <c:v>-0.54858975903434926</c:v>
                </c:pt>
                <c:pt idx="22">
                  <c:v>-0.21411469460909971</c:v>
                </c:pt>
                <c:pt idx="23">
                  <c:v>0.43233148897113949</c:v>
                </c:pt>
                <c:pt idx="24">
                  <c:v>0.28829426971776523</c:v>
                </c:pt>
                <c:pt idx="25">
                  <c:v>0.79933281321603367</c:v>
                </c:pt>
                <c:pt idx="26">
                  <c:v>0.31192170113272555</c:v>
                </c:pt>
                <c:pt idx="27">
                  <c:v>7.2471498351694669E-2</c:v>
                </c:pt>
                <c:pt idx="28">
                  <c:v>0.25226208715448517</c:v>
                </c:pt>
                <c:pt idx="29">
                  <c:v>0.17185604089715331</c:v>
                </c:pt>
                <c:pt idx="30">
                  <c:v>-8.9143418130066682E-2</c:v>
                </c:pt>
                <c:pt idx="31">
                  <c:v>-0.2677945907823418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EBA-453B-9D1F-1EE109E2DCED}"/>
            </c:ext>
          </c:extLst>
        </c:ser>
        <c:ser>
          <c:idx val="6"/>
          <c:order val="6"/>
          <c:tx>
            <c:strRef>
              <c:f>'GRAF příspěvky IPP'!$A$33</c:f>
              <c:strCache>
                <c:ptCount val="1"/>
                <c:pt idx="0">
                  <c:v>Zbývající zpracovatelský průmysl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</c:spPr>
          <c:invertIfNegative val="0"/>
          <c:cat>
            <c:multiLvlStrRef>
              <c:f>'GRAF příspěvky IPP'!$R$25:$AW$26</c:f>
              <c:multiLvlStrCache>
                <c:ptCount val="3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</c:lvl>
              </c:multiLvlStrCache>
            </c:multiLvlStrRef>
          </c:cat>
          <c:val>
            <c:numRef>
              <c:f>'GRAF příspěvky IPP'!$R$33:$AW$33</c:f>
              <c:numCache>
                <c:formatCode>0.0</c:formatCode>
                <c:ptCount val="32"/>
                <c:pt idx="0">
                  <c:v>0.98358746940884201</c:v>
                </c:pt>
                <c:pt idx="1">
                  <c:v>0.89923246363091303</c:v>
                </c:pt>
                <c:pt idx="2">
                  <c:v>1.0053837817799574</c:v>
                </c:pt>
                <c:pt idx="3">
                  <c:v>-0.19974639261354685</c:v>
                </c:pt>
                <c:pt idx="4">
                  <c:v>0.24329990001740046</c:v>
                </c:pt>
                <c:pt idx="5">
                  <c:v>-0.35930073634947668</c:v>
                </c:pt>
                <c:pt idx="6">
                  <c:v>5.4611870755817526E-2</c:v>
                </c:pt>
                <c:pt idx="7">
                  <c:v>0.57938738739229778</c:v>
                </c:pt>
                <c:pt idx="8">
                  <c:v>0.10796722998385255</c:v>
                </c:pt>
                <c:pt idx="9">
                  <c:v>1.4849667962274027</c:v>
                </c:pt>
                <c:pt idx="10">
                  <c:v>0.76494329225869195</c:v>
                </c:pt>
                <c:pt idx="11">
                  <c:v>0.92981101776031461</c:v>
                </c:pt>
                <c:pt idx="12">
                  <c:v>1.1595945228996394</c:v>
                </c:pt>
                <c:pt idx="13">
                  <c:v>0.67905455733759568</c:v>
                </c:pt>
                <c:pt idx="14">
                  <c:v>1.1071544502276862</c:v>
                </c:pt>
                <c:pt idx="15">
                  <c:v>0.4584448107077318</c:v>
                </c:pt>
                <c:pt idx="16">
                  <c:v>-4.2034374602800031E-2</c:v>
                </c:pt>
                <c:pt idx="17">
                  <c:v>4.7080538912348473E-2</c:v>
                </c:pt>
                <c:pt idx="18">
                  <c:v>-0.67715517865176977</c:v>
                </c:pt>
                <c:pt idx="19">
                  <c:v>-0.19783909206023401</c:v>
                </c:pt>
                <c:pt idx="20">
                  <c:v>7.5330777097780618E-2</c:v>
                </c:pt>
                <c:pt idx="21">
                  <c:v>-2.8438492263065807</c:v>
                </c:pt>
                <c:pt idx="22">
                  <c:v>8.8873578450232568E-2</c:v>
                </c:pt>
                <c:pt idx="23">
                  <c:v>0.13876281570829024</c:v>
                </c:pt>
                <c:pt idx="24">
                  <c:v>0.21014615403229506</c:v>
                </c:pt>
                <c:pt idx="25">
                  <c:v>5.1936386612240169</c:v>
                </c:pt>
                <c:pt idx="26">
                  <c:v>1.0321859362308046</c:v>
                </c:pt>
                <c:pt idx="27">
                  <c:v>0.89717493659966963</c:v>
                </c:pt>
                <c:pt idx="28">
                  <c:v>1.4488761025604118</c:v>
                </c:pt>
                <c:pt idx="29">
                  <c:v>0.43148107157606858</c:v>
                </c:pt>
                <c:pt idx="30">
                  <c:v>-0.5586959794592925</c:v>
                </c:pt>
                <c:pt idx="31">
                  <c:v>-0.67912238159015614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EBA-453B-9D1F-1EE109E2DCED}"/>
            </c:ext>
          </c:extLst>
        </c:ser>
        <c:ser>
          <c:idx val="7"/>
          <c:order val="7"/>
          <c:tx>
            <c:strRef>
              <c:f>'GRAF příspěvky IPP'!$A$34</c:f>
              <c:strCache>
                <c:ptCount val="1"/>
                <c:pt idx="0">
                  <c:v>Těžba a energetika (B, D)</c:v>
                </c:pt>
              </c:strCache>
            </c:strRef>
          </c:tx>
          <c:spPr>
            <a:solidFill>
              <a:srgbClr val="808080"/>
            </a:solidFill>
          </c:spPr>
          <c:invertIfNegative val="0"/>
          <c:cat>
            <c:multiLvlStrRef>
              <c:f>'GRAF příspěvky IPP'!$R$25:$AW$26</c:f>
              <c:multiLvlStrCache>
                <c:ptCount val="3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</c:lvl>
              </c:multiLvlStrCache>
            </c:multiLvlStrRef>
          </c:cat>
          <c:val>
            <c:numRef>
              <c:f>'GRAF příspěvky IPP'!$R$34:$AW$34</c:f>
              <c:numCache>
                <c:formatCode>0.0</c:formatCode>
                <c:ptCount val="32"/>
                <c:pt idx="0">
                  <c:v>0.1453689780549717</c:v>
                </c:pt>
                <c:pt idx="1">
                  <c:v>-0.33983324755997296</c:v>
                </c:pt>
                <c:pt idx="2">
                  <c:v>-0.39725135811041795</c:v>
                </c:pt>
                <c:pt idx="3">
                  <c:v>-1.114644115487744</c:v>
                </c:pt>
                <c:pt idx="4">
                  <c:v>-0.64587487131351229</c:v>
                </c:pt>
                <c:pt idx="5">
                  <c:v>9.8834575359488239E-2</c:v>
                </c:pt>
                <c:pt idx="6">
                  <c:v>-0.47676721369922492</c:v>
                </c:pt>
                <c:pt idx="7">
                  <c:v>0.50385695934700236</c:v>
                </c:pt>
                <c:pt idx="8">
                  <c:v>0.66227118757014136</c:v>
                </c:pt>
                <c:pt idx="9">
                  <c:v>-0.18254891472265231</c:v>
                </c:pt>
                <c:pt idx="10">
                  <c:v>0.77170124339672352</c:v>
                </c:pt>
                <c:pt idx="11">
                  <c:v>0.73276064564397958</c:v>
                </c:pt>
                <c:pt idx="12">
                  <c:v>-0.53888499639537135</c:v>
                </c:pt>
                <c:pt idx="13">
                  <c:v>4.2147847309763065E-3</c:v>
                </c:pt>
                <c:pt idx="14">
                  <c:v>0.78783573859879152</c:v>
                </c:pt>
                <c:pt idx="15">
                  <c:v>0.33124933161720838</c:v>
                </c:pt>
                <c:pt idx="16">
                  <c:v>0.21326825173098607</c:v>
                </c:pt>
                <c:pt idx="17">
                  <c:v>4.5891627194929625E-2</c:v>
                </c:pt>
                <c:pt idx="18">
                  <c:v>-0.66559651426950006</c:v>
                </c:pt>
                <c:pt idx="19">
                  <c:v>-0.33090808889302392</c:v>
                </c:pt>
                <c:pt idx="20">
                  <c:v>-0.97342506810566554</c:v>
                </c:pt>
                <c:pt idx="21">
                  <c:v>-1.5875613971615934</c:v>
                </c:pt>
                <c:pt idx="22">
                  <c:v>-0.71564578738754903</c:v>
                </c:pt>
                <c:pt idx="23">
                  <c:v>-0.69506985368693874</c:v>
                </c:pt>
                <c:pt idx="24">
                  <c:v>0.48072477574831796</c:v>
                </c:pt>
                <c:pt idx="25">
                  <c:v>0.46331760076263334</c:v>
                </c:pt>
                <c:pt idx="26">
                  <c:v>0.22196846067872944</c:v>
                </c:pt>
                <c:pt idx="27">
                  <c:v>0.81349879426535543</c:v>
                </c:pt>
                <c:pt idx="28">
                  <c:v>-0.17502569401397033</c:v>
                </c:pt>
                <c:pt idx="29">
                  <c:v>0.27464113436568205</c:v>
                </c:pt>
                <c:pt idx="30">
                  <c:v>0.37981651547778411</c:v>
                </c:pt>
                <c:pt idx="31">
                  <c:v>-1.3730226786044635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5EBA-453B-9D1F-1EE109E2DC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"/>
        <c:overlap val="100"/>
        <c:axId val="75403264"/>
        <c:axId val="75404800"/>
      </c:barChart>
      <c:lineChart>
        <c:grouping val="standard"/>
        <c:varyColors val="0"/>
        <c:ser>
          <c:idx val="8"/>
          <c:order val="8"/>
          <c:tx>
            <c:strRef>
              <c:f>'GRAF příspěvky IPP'!$A$35</c:f>
              <c:strCache>
                <c:ptCount val="1"/>
                <c:pt idx="0">
                  <c:v>Průmysl celkem (NACE B až D)</c:v>
                </c:pt>
              </c:strCache>
            </c:strRef>
          </c:tx>
          <c:spPr>
            <a:ln w="19050">
              <a:noFill/>
            </a:ln>
          </c:spPr>
          <c:marker>
            <c:symbol val="circle"/>
            <c:size val="4"/>
            <c:spPr>
              <a:solidFill>
                <a:schemeClr val="bg1"/>
              </a:solidFill>
              <a:ln>
                <a:solidFill>
                  <a:schemeClr val="tx1">
                    <a:lumMod val="95000"/>
                    <a:lumOff val="5000"/>
                  </a:schemeClr>
                </a:solidFill>
              </a:ln>
            </c:spPr>
          </c:marker>
          <c:cat>
            <c:multiLvlStrRef>
              <c:f>'GRAF příspěvky IPP'!$R$25:$AW$26</c:f>
              <c:multiLvlStrCache>
                <c:ptCount val="3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</c:lvl>
              </c:multiLvlStrCache>
            </c:multiLvlStrRef>
          </c:cat>
          <c:val>
            <c:numRef>
              <c:f>'GRAF příspěvky IPP'!$R$35:$AW$35</c:f>
              <c:numCache>
                <c:formatCode>0.0</c:formatCode>
                <c:ptCount val="32"/>
                <c:pt idx="0">
                  <c:v>4.8516197114000095</c:v>
                </c:pt>
                <c:pt idx="1">
                  <c:v>5.3057646647000078</c:v>
                </c:pt>
                <c:pt idx="2">
                  <c:v>5.6509723288000355</c:v>
                </c:pt>
                <c:pt idx="3">
                  <c:v>2.4035243304999891</c:v>
                </c:pt>
                <c:pt idx="4">
                  <c:v>4.4795186778999661</c:v>
                </c:pt>
                <c:pt idx="5">
                  <c:v>2.5440704273000043</c:v>
                </c:pt>
                <c:pt idx="6">
                  <c:v>1.6941973048000019</c:v>
                </c:pt>
                <c:pt idx="7">
                  <c:v>3.5126955949999807</c:v>
                </c:pt>
                <c:pt idx="8">
                  <c:v>4.7458417446999954</c:v>
                </c:pt>
                <c:pt idx="9">
                  <c:v>8.0826593818000028</c:v>
                </c:pt>
                <c:pt idx="10">
                  <c:v>6.5865810428999945</c:v>
                </c:pt>
                <c:pt idx="11">
                  <c:v>7.4885543312999898</c:v>
                </c:pt>
                <c:pt idx="12">
                  <c:v>4.2941434987999925</c:v>
                </c:pt>
                <c:pt idx="13">
                  <c:v>2.4045915341999944</c:v>
                </c:pt>
                <c:pt idx="14">
                  <c:v>3.7412027468000102</c:v>
                </c:pt>
                <c:pt idx="15">
                  <c:v>1.9131264158999912</c:v>
                </c:pt>
                <c:pt idx="16">
                  <c:v>0.8599096020999486</c:v>
                </c:pt>
                <c:pt idx="17">
                  <c:v>0.98874527810000012</c:v>
                </c:pt>
                <c:pt idx="18">
                  <c:v>-1.2008161934000359</c:v>
                </c:pt>
                <c:pt idx="19">
                  <c:v>-2.0241899478999996</c:v>
                </c:pt>
                <c:pt idx="20">
                  <c:v>-4.408310722500012</c:v>
                </c:pt>
                <c:pt idx="21">
                  <c:v>-22.953075925300016</c:v>
                </c:pt>
                <c:pt idx="22">
                  <c:v>-2.7947559611999915</c:v>
                </c:pt>
                <c:pt idx="23">
                  <c:v>2.1023200511999853</c:v>
                </c:pt>
                <c:pt idx="24">
                  <c:v>4.2905022020000079</c:v>
                </c:pt>
                <c:pt idx="25">
                  <c:v>28.237467680700014</c:v>
                </c:pt>
                <c:pt idx="26">
                  <c:v>-8.5296171199999812E-2</c:v>
                </c:pt>
                <c:pt idx="27">
                  <c:v>-1.8844257684000061</c:v>
                </c:pt>
                <c:pt idx="28">
                  <c:v>0.26452096859999608</c:v>
                </c:pt>
                <c:pt idx="29">
                  <c:v>0.75685493780000046</c:v>
                </c:pt>
                <c:pt idx="30">
                  <c:v>6.0562154933000034</c:v>
                </c:pt>
                <c:pt idx="31">
                  <c:v>3.175847904399999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5EBA-453B-9D1F-1EE109E2DC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5403264"/>
        <c:axId val="75404800"/>
      </c:lineChart>
      <c:lineChart>
        <c:grouping val="standard"/>
        <c:varyColors val="0"/>
        <c:ser>
          <c:idx val="9"/>
          <c:order val="9"/>
          <c:tx>
            <c:strRef>
              <c:f>'GRAF příspěvky IPP'!$A$36</c:f>
              <c:strCache>
                <c:ptCount val="1"/>
              </c:strCache>
            </c:strRef>
          </c:tx>
          <c:spPr>
            <a:ln w="15875">
              <a:noFill/>
              <a:prstDash val="sysDot"/>
            </a:ln>
          </c:spPr>
          <c:marker>
            <c:symbol val="none"/>
          </c:marker>
          <c:cat>
            <c:multiLvlStrRef>
              <c:f>'GRAF příspěvky IPP'!$R$25:$AW$26</c:f>
              <c:multiLvlStrCache>
                <c:ptCount val="3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</c:lvl>
              </c:multiLvlStrCache>
            </c:multiLvlStrRef>
          </c:cat>
          <c:val>
            <c:numRef>
              <c:f>'GRAF příspěvky IPP'!$R$36:$AW$36</c:f>
              <c:numCache>
                <c:formatCode>General</c:formatCode>
                <c:ptCount val="32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5EBA-453B-9D1F-1EE109E2DCED}"/>
            </c:ext>
          </c:extLst>
        </c:ser>
        <c:ser>
          <c:idx val="10"/>
          <c:order val="10"/>
          <c:tx>
            <c:strRef>
              <c:f>'GRAF příspěvky IPP'!$A$37</c:f>
              <c:strCache>
                <c:ptCount val="1"/>
                <c:pt idx="0">
                  <c:v>Produkce, prům. celkem (báze 2015=100)</c:v>
                </c:pt>
              </c:strCache>
            </c:strRef>
          </c:tx>
          <c:spPr>
            <a:ln w="15875">
              <a:solidFill>
                <a:schemeClr val="tx1">
                  <a:lumMod val="95000"/>
                  <a:lumOff val="5000"/>
                </a:schemeClr>
              </a:solidFill>
            </a:ln>
          </c:spPr>
          <c:marker>
            <c:symbol val="none"/>
          </c:marker>
          <c:cat>
            <c:multiLvlStrRef>
              <c:f>'GRAF příspěvky IPP'!$R$25:$AW$26</c:f>
              <c:multiLvlStrCache>
                <c:ptCount val="3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</c:lvl>
              </c:multiLvlStrCache>
            </c:multiLvlStrRef>
          </c:cat>
          <c:val>
            <c:numRef>
              <c:f>'GRAF příspěvky IPP'!$R$37:$AW$37</c:f>
              <c:numCache>
                <c:formatCode>##0.0</c:formatCode>
                <c:ptCount val="32"/>
                <c:pt idx="0">
                  <c:v>98.64560247999998</c:v>
                </c:pt>
                <c:pt idx="1">
                  <c:v>100.18242374</c:v>
                </c:pt>
                <c:pt idx="2">
                  <c:v>101.2850845633</c:v>
                </c:pt>
                <c:pt idx="3">
                  <c:v>100.52111345000006</c:v>
                </c:pt>
                <c:pt idx="4">
                  <c:v>103.0563593</c:v>
                </c:pt>
                <c:pt idx="5">
                  <c:v>102.59927942330008</c:v>
                </c:pt>
                <c:pt idx="6">
                  <c:v>102.83954233669988</c:v>
                </c:pt>
                <c:pt idx="7">
                  <c:v>104.07328304329998</c:v>
                </c:pt>
                <c:pt idx="8">
                  <c:v>107.56794223670001</c:v>
                </c:pt>
                <c:pt idx="9">
                  <c:v>110.67653847999991</c:v>
                </c:pt>
                <c:pt idx="10">
                  <c:v>109.9586102967</c:v>
                </c:pt>
                <c:pt idx="11">
                  <c:v>112.16043972999998</c:v>
                </c:pt>
                <c:pt idx="12">
                  <c:v>112.4788675433</c:v>
                </c:pt>
                <c:pt idx="13">
                  <c:v>113.5077588266999</c:v>
                </c:pt>
                <c:pt idx="14">
                  <c:v>114.2538401132999</c:v>
                </c:pt>
                <c:pt idx="15">
                  <c:v>113.8813012366999</c:v>
                </c:pt>
                <c:pt idx="16">
                  <c:v>113.38844283329988</c:v>
                </c:pt>
                <c:pt idx="17">
                  <c:v>115.08486213330001</c:v>
                </c:pt>
                <c:pt idx="18">
                  <c:v>112.53550211669985</c:v>
                </c:pt>
                <c:pt idx="19">
                  <c:v>111.44039929330008</c:v>
                </c:pt>
                <c:pt idx="20">
                  <c:v>108.6749157867</c:v>
                </c:pt>
                <c:pt idx="21">
                  <c:v>88.9758235133</c:v>
                </c:pt>
                <c:pt idx="22">
                  <c:v>109.4050159767</c:v>
                </c:pt>
                <c:pt idx="23">
                  <c:v>113.95534516999994</c:v>
                </c:pt>
                <c:pt idx="24">
                  <c:v>112.2920782132999</c:v>
                </c:pt>
                <c:pt idx="25">
                  <c:v>113.25779428000006</c:v>
                </c:pt>
                <c:pt idx="26">
                  <c:v>110.35191377330005</c:v>
                </c:pt>
                <c:pt idx="27">
                  <c:v>111.2413768733</c:v>
                </c:pt>
                <c:pt idx="28">
                  <c:v>113.30469189999998</c:v>
                </c:pt>
                <c:pt idx="29">
                  <c:v>114.2816303</c:v>
                </c:pt>
                <c:pt idx="30">
                  <c:v>116.43548958330005</c:v>
                </c:pt>
                <c:pt idx="31">
                  <c:v>115.1998627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A-5EBA-453B-9D1F-1EE109E2DCED}"/>
            </c:ext>
          </c:extLst>
        </c:ser>
        <c:ser>
          <c:idx val="11"/>
          <c:order val="11"/>
          <c:tx>
            <c:strRef>
              <c:f>'GRAF příspěvky IPP'!$A$38</c:f>
              <c:strCache>
                <c:ptCount val="1"/>
                <c:pt idx="0">
                  <c:v>Tržby, prům. celkem (báze 2015=100)</c:v>
                </c:pt>
              </c:strCache>
            </c:strRef>
          </c:tx>
          <c:spPr>
            <a:ln w="15875">
              <a:solidFill>
                <a:schemeClr val="tx1">
                  <a:lumMod val="50000"/>
                  <a:lumOff val="50000"/>
                </a:schemeClr>
              </a:solidFill>
              <a:prstDash val="sysDash"/>
            </a:ln>
          </c:spPr>
          <c:marker>
            <c:symbol val="none"/>
          </c:marker>
          <c:cat>
            <c:multiLvlStrRef>
              <c:f>'GRAF příspěvky IPP'!$R$25:$AW$26</c:f>
              <c:multiLvlStrCache>
                <c:ptCount val="3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</c:lvl>
              </c:multiLvlStrCache>
            </c:multiLvlStrRef>
          </c:cat>
          <c:val>
            <c:numRef>
              <c:f>'GRAF příspěvky IPP'!$R$38:$AW$38</c:f>
              <c:numCache>
                <c:formatCode>##0.0</c:formatCode>
                <c:ptCount val="32"/>
                <c:pt idx="0">
                  <c:v>98.928647706699905</c:v>
                </c:pt>
                <c:pt idx="1">
                  <c:v>100.52995774670001</c:v>
                </c:pt>
                <c:pt idx="2">
                  <c:v>100.75502845</c:v>
                </c:pt>
                <c:pt idx="3">
                  <c:v>99.786366096699894</c:v>
                </c:pt>
                <c:pt idx="4">
                  <c:v>100.23325782000002</c:v>
                </c:pt>
                <c:pt idx="5">
                  <c:v>99.062532509999926</c:v>
                </c:pt>
                <c:pt idx="6">
                  <c:v>100.58475803669985</c:v>
                </c:pt>
                <c:pt idx="7">
                  <c:v>103.3260101132999</c:v>
                </c:pt>
                <c:pt idx="8">
                  <c:v>106.91453119329998</c:v>
                </c:pt>
                <c:pt idx="9">
                  <c:v>109.5325771032999</c:v>
                </c:pt>
                <c:pt idx="10">
                  <c:v>107.5092221533</c:v>
                </c:pt>
                <c:pt idx="11">
                  <c:v>109.11652482000002</c:v>
                </c:pt>
                <c:pt idx="12">
                  <c:v>110.0374085</c:v>
                </c:pt>
                <c:pt idx="13">
                  <c:v>110.9731715833</c:v>
                </c:pt>
                <c:pt idx="14">
                  <c:v>113.0288010532999</c:v>
                </c:pt>
                <c:pt idx="15">
                  <c:v>114.48280249</c:v>
                </c:pt>
                <c:pt idx="16">
                  <c:v>113.39006210999995</c:v>
                </c:pt>
                <c:pt idx="17">
                  <c:v>115.2735759566999</c:v>
                </c:pt>
                <c:pt idx="18">
                  <c:v>112.1540635667</c:v>
                </c:pt>
                <c:pt idx="19">
                  <c:v>111.52589050329991</c:v>
                </c:pt>
                <c:pt idx="20">
                  <c:v>109.6038404266999</c:v>
                </c:pt>
                <c:pt idx="21">
                  <c:v>88.713331716699855</c:v>
                </c:pt>
                <c:pt idx="22">
                  <c:v>110.6502057333</c:v>
                </c:pt>
                <c:pt idx="23">
                  <c:v>116.5514529133</c:v>
                </c:pt>
                <c:pt idx="24">
                  <c:v>116.5100608533</c:v>
                </c:pt>
                <c:pt idx="25">
                  <c:v>118.2855516467</c:v>
                </c:pt>
                <c:pt idx="26">
                  <c:v>115.0804897467</c:v>
                </c:pt>
                <c:pt idx="27">
                  <c:v>120.3196722533</c:v>
                </c:pt>
                <c:pt idx="28">
                  <c:v>128.94960383999998</c:v>
                </c:pt>
                <c:pt idx="29">
                  <c:v>134.39103933000015</c:v>
                </c:pt>
                <c:pt idx="30">
                  <c:v>142.03097292669997</c:v>
                </c:pt>
                <c:pt idx="31">
                  <c:v>140.65698159329997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5EBA-453B-9D1F-1EE109E2DC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6042624"/>
        <c:axId val="75859840"/>
      </c:lineChart>
      <c:catAx>
        <c:axId val="75403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cs-CZ"/>
          </a:p>
        </c:txPr>
        <c:crossAx val="75404800"/>
        <c:crosses val="autoZero"/>
        <c:auto val="1"/>
        <c:lblAlgn val="ctr"/>
        <c:lblOffset val="0"/>
        <c:noMultiLvlLbl val="0"/>
      </c:catAx>
      <c:valAx>
        <c:axId val="75404800"/>
        <c:scaling>
          <c:orientation val="minMax"/>
          <c:max val="31.5"/>
          <c:min val="-25"/>
        </c:scaling>
        <c:delete val="0"/>
        <c:axPos val="l"/>
        <c:majorGridlines>
          <c:spPr>
            <a:ln>
              <a:solidFill>
                <a:srgbClr val="BEBEBE"/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700" b="0" i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r>
                  <a:rPr lang="cs-CZ" sz="700" b="0" i="1">
                    <a:latin typeface="Arial" panose="020B0604020202020204" pitchFamily="34" charset="0"/>
                    <a:cs typeface="Arial" panose="020B0604020202020204" pitchFamily="34" charset="0"/>
                  </a:rPr>
                  <a:t>Průmysl.</a:t>
                </a:r>
                <a:r>
                  <a:rPr lang="cs-CZ" sz="700" b="0" i="1" baseline="0">
                    <a:latin typeface="Arial" panose="020B0604020202020204" pitchFamily="34" charset="0"/>
                    <a:cs typeface="Arial" panose="020B0604020202020204" pitchFamily="34" charset="0"/>
                  </a:rPr>
                  <a:t> produkce v dílčích odvětvích (příspěvek k růstu)</a:t>
                </a:r>
                <a:endParaRPr lang="cs-CZ" sz="700" b="0" i="1"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layout>
            <c:manualLayout>
              <c:xMode val="edge"/>
              <c:yMode val="edge"/>
              <c:x val="0"/>
              <c:y val="5.1905346109932297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cs-CZ"/>
          </a:p>
        </c:txPr>
        <c:crossAx val="75403264"/>
        <c:crosses val="autoZero"/>
        <c:crossBetween val="between"/>
        <c:majorUnit val="5"/>
      </c:valAx>
      <c:valAx>
        <c:axId val="75859840"/>
        <c:scaling>
          <c:orientation val="minMax"/>
          <c:max val="143"/>
          <c:min val="30"/>
        </c:scaling>
        <c:delete val="0"/>
        <c:axPos val="r"/>
        <c:title>
          <c:tx>
            <c:rich>
              <a:bodyPr/>
              <a:lstStyle/>
              <a:p>
                <a:pPr>
                  <a:defRPr sz="700" b="0" i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r>
                  <a:rPr lang="cs-CZ" sz="700" b="0" i="1">
                    <a:latin typeface="Arial" panose="020B0604020202020204" pitchFamily="34" charset="0"/>
                    <a:cs typeface="Arial" panose="020B0604020202020204" pitchFamily="34" charset="0"/>
                  </a:rPr>
                  <a:t>Produkce,</a:t>
                </a:r>
                <a:r>
                  <a:rPr lang="cs-CZ" sz="700" b="0" i="1" baseline="0">
                    <a:latin typeface="Arial" panose="020B0604020202020204" pitchFamily="34" charset="0"/>
                    <a:cs typeface="Arial" panose="020B0604020202020204" pitchFamily="34" charset="0"/>
                  </a:rPr>
                  <a:t> tržby v celém průmyslu (báze 2015=100)</a:t>
                </a:r>
                <a:endParaRPr lang="cs-CZ" sz="700" b="0" i="1"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layout>
            <c:manualLayout>
              <c:xMode val="edge"/>
              <c:yMode val="edge"/>
              <c:x val="0.97073906692287315"/>
              <c:y val="0.10785719131595946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cs-CZ"/>
          </a:p>
        </c:txPr>
        <c:crossAx val="76042624"/>
        <c:crosses val="max"/>
        <c:crossBetween val="between"/>
        <c:majorUnit val="10"/>
      </c:valAx>
      <c:catAx>
        <c:axId val="7604262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75859840"/>
        <c:crosses val="autoZero"/>
        <c:auto val="1"/>
        <c:lblAlgn val="ctr"/>
        <c:lblOffset val="100"/>
        <c:noMultiLvlLbl val="0"/>
      </c:catAx>
      <c:spPr>
        <a:noFill/>
        <a:ln w="6350">
          <a:solidFill>
            <a:prstClr val="black">
              <a:lumMod val="95000"/>
              <a:lumOff val="5000"/>
            </a:prstClr>
          </a:solidFill>
        </a:ln>
      </c:spPr>
    </c:plotArea>
    <c:legend>
      <c:legendPos val="r"/>
      <c:layout>
        <c:manualLayout>
          <c:xMode val="edge"/>
          <c:yMode val="edge"/>
          <c:x val="5.279966237038131E-3"/>
          <c:y val="0.8254338599583817"/>
          <c:w val="0.98919860566585194"/>
          <c:h val="0.16756133452824229"/>
        </c:manualLayout>
      </c:layout>
      <c:overlay val="0"/>
      <c:spPr>
        <a:ln w="6350">
          <a:solidFill>
            <a:prstClr val="black">
              <a:lumMod val="95000"/>
              <a:lumOff val="5000"/>
            </a:prstClr>
          </a:solidFill>
        </a:ln>
      </c:spPr>
      <c:txPr>
        <a:bodyPr/>
        <a:lstStyle/>
        <a:p>
          <a:pPr>
            <a:defRPr sz="750">
              <a:latin typeface="Arial" pitchFamily="34" charset="0"/>
              <a:cs typeface="Arial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3688042665536843E-2"/>
          <c:y val="1.5647041011259362E-2"/>
          <c:w val="0.84974974879787546"/>
          <c:h val="0.7506360221430858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'výkonnost odvětví 2'!$A$36</c:f>
              <c:strCache>
                <c:ptCount val="1"/>
                <c:pt idx="0">
                  <c:v>Průmyslové zakázky celkem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noFill/>
            </a:ln>
          </c:spPr>
          <c:invertIfNegative val="0"/>
          <c:cat>
            <c:multiLvlStrRef>
              <c:f>'výkonnost odvětví 2'!$R$34:$AX$35</c:f>
              <c:multiLvlStrCache>
                <c:ptCount val="3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'výkonnost odvětví 2'!$R$36:$AX$36</c:f>
              <c:numCache>
                <c:formatCode>##0.0</c:formatCode>
                <c:ptCount val="33"/>
                <c:pt idx="0">
                  <c:v>8.5353894548000024</c:v>
                </c:pt>
                <c:pt idx="1">
                  <c:v>6.3740032441999945</c:v>
                </c:pt>
                <c:pt idx="2">
                  <c:v>6.0540271236999956</c:v>
                </c:pt>
                <c:pt idx="3">
                  <c:v>5.2610868973000002</c:v>
                </c:pt>
                <c:pt idx="4">
                  <c:v>2.6398924800999999</c:v>
                </c:pt>
                <c:pt idx="5">
                  <c:v>7.5233833736999962</c:v>
                </c:pt>
                <c:pt idx="6">
                  <c:v>2.3667401951999931</c:v>
                </c:pt>
                <c:pt idx="7">
                  <c:v>6.6372980220999978</c:v>
                </c:pt>
                <c:pt idx="8">
                  <c:v>7.2642637417000095</c:v>
                </c:pt>
                <c:pt idx="9">
                  <c:v>8.2151073244999964</c:v>
                </c:pt>
                <c:pt idx="10">
                  <c:v>7.9541665196999913</c:v>
                </c:pt>
                <c:pt idx="11">
                  <c:v>7.3518853409999938</c:v>
                </c:pt>
                <c:pt idx="12">
                  <c:v>3.4479253911000001</c:v>
                </c:pt>
                <c:pt idx="13">
                  <c:v>3.7095478141000058</c:v>
                </c:pt>
                <c:pt idx="14">
                  <c:v>3.8047927777000012</c:v>
                </c:pt>
                <c:pt idx="15">
                  <c:v>3.0958525625999997</c:v>
                </c:pt>
                <c:pt idx="16">
                  <c:v>3.2186335616000012</c:v>
                </c:pt>
                <c:pt idx="17">
                  <c:v>1.4218114762000056</c:v>
                </c:pt>
                <c:pt idx="18">
                  <c:v>-0.25322037120000146</c:v>
                </c:pt>
                <c:pt idx="19">
                  <c:v>-3.8029715272000004</c:v>
                </c:pt>
                <c:pt idx="20">
                  <c:v>-2.0918519482000022</c:v>
                </c:pt>
                <c:pt idx="21">
                  <c:v>-27.667187618300005</c:v>
                </c:pt>
                <c:pt idx="22">
                  <c:v>-1.310591588500003</c:v>
                </c:pt>
                <c:pt idx="23">
                  <c:v>7.1560873368999944</c:v>
                </c:pt>
                <c:pt idx="24">
                  <c:v>8.4043556738999996</c:v>
                </c:pt>
                <c:pt idx="25">
                  <c:v>47.896596400900002</c:v>
                </c:pt>
                <c:pt idx="26">
                  <c:v>7.3132490553000089</c:v>
                </c:pt>
                <c:pt idx="27">
                  <c:v>3.5880299908999982</c:v>
                </c:pt>
                <c:pt idx="28">
                  <c:v>6.0548908874999876</c:v>
                </c:pt>
                <c:pt idx="29">
                  <c:v>9.8146200177000011</c:v>
                </c:pt>
                <c:pt idx="30">
                  <c:v>14.8892243215</c:v>
                </c:pt>
                <c:pt idx="31">
                  <c:v>12.496406793800015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D5E-4E02-9229-586A0C1E7A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axId val="68608000"/>
        <c:axId val="68609920"/>
      </c:barChart>
      <c:lineChart>
        <c:grouping val="standard"/>
        <c:varyColors val="0"/>
        <c:ser>
          <c:idx val="1"/>
          <c:order val="1"/>
          <c:tx>
            <c:strRef>
              <c:f>'výkonnost odvětví 2'!$A$37</c:f>
              <c:strCache>
                <c:ptCount val="1"/>
                <c:pt idx="0">
                  <c:v>z toho: zakázky z tuzemska</c:v>
                </c:pt>
              </c:strCache>
            </c:strRef>
          </c:tx>
          <c:spPr>
            <a:ln w="15875">
              <a:noFill/>
              <a:prstDash val="sysDot"/>
            </a:ln>
          </c:spPr>
          <c:marker>
            <c:symbol val="diamond"/>
            <c:size val="5"/>
            <c:spPr>
              <a:solidFill>
                <a:srgbClr val="984807"/>
              </a:solidFill>
              <a:ln>
                <a:noFill/>
              </a:ln>
            </c:spPr>
          </c:marker>
          <c:cat>
            <c:multiLvlStrRef>
              <c:f>'výkonnost odvětví 2'!$R$34:$AX$35</c:f>
              <c:multiLvlStrCache>
                <c:ptCount val="3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'výkonnost odvětví 2'!$R$37:$AX$37</c:f>
              <c:numCache>
                <c:formatCode>#\ ##0.0</c:formatCode>
                <c:ptCount val="33"/>
                <c:pt idx="0">
                  <c:v>4.3678555677999977</c:v>
                </c:pt>
                <c:pt idx="1">
                  <c:v>9.9380074582000049</c:v>
                </c:pt>
                <c:pt idx="2">
                  <c:v>-2.8625917786000086</c:v>
                </c:pt>
                <c:pt idx="3">
                  <c:v>-0.24449638430000697</c:v>
                </c:pt>
                <c:pt idx="4">
                  <c:v>1.560855605599996</c:v>
                </c:pt>
                <c:pt idx="5">
                  <c:v>1.4530189575000059</c:v>
                </c:pt>
                <c:pt idx="6">
                  <c:v>0.19507191760000342</c:v>
                </c:pt>
                <c:pt idx="7">
                  <c:v>2.810568046100002</c:v>
                </c:pt>
                <c:pt idx="8">
                  <c:v>12.6195755233</c:v>
                </c:pt>
                <c:pt idx="9">
                  <c:v>15.740843176199999</c:v>
                </c:pt>
                <c:pt idx="10">
                  <c:v>15.881411785300003</c:v>
                </c:pt>
                <c:pt idx="11">
                  <c:v>15.4396235432</c:v>
                </c:pt>
                <c:pt idx="12">
                  <c:v>1.4059943362999952</c:v>
                </c:pt>
                <c:pt idx="13">
                  <c:v>2.5119296337000043</c:v>
                </c:pt>
                <c:pt idx="14">
                  <c:v>4.7248831052000071</c:v>
                </c:pt>
                <c:pt idx="15">
                  <c:v>3.527328847899998</c:v>
                </c:pt>
                <c:pt idx="16">
                  <c:v>8.0476176921000029</c:v>
                </c:pt>
                <c:pt idx="17">
                  <c:v>5.2936390825999986</c:v>
                </c:pt>
                <c:pt idx="18">
                  <c:v>0.41940306940000482</c:v>
                </c:pt>
                <c:pt idx="19">
                  <c:v>-1.3456257084999934</c:v>
                </c:pt>
                <c:pt idx="20">
                  <c:v>5.5521264895999956</c:v>
                </c:pt>
                <c:pt idx="21">
                  <c:v>-25.896794335699987</c:v>
                </c:pt>
                <c:pt idx="22">
                  <c:v>-3.0500801793999983</c:v>
                </c:pt>
                <c:pt idx="23">
                  <c:v>6.9104797819999995</c:v>
                </c:pt>
                <c:pt idx="24">
                  <c:v>-2.8581604621000025</c:v>
                </c:pt>
                <c:pt idx="25">
                  <c:v>43.475840820900011</c:v>
                </c:pt>
                <c:pt idx="26">
                  <c:v>9.2869426111000024</c:v>
                </c:pt>
                <c:pt idx="27">
                  <c:v>5.3976112146000048</c:v>
                </c:pt>
                <c:pt idx="28">
                  <c:v>7.1489622175999967</c:v>
                </c:pt>
                <c:pt idx="29">
                  <c:v>14.097792744900005</c:v>
                </c:pt>
                <c:pt idx="30">
                  <c:v>25.327159451300005</c:v>
                </c:pt>
                <c:pt idx="31">
                  <c:v>16.556125444499997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D5E-4E02-9229-586A0C1E7A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8608000"/>
        <c:axId val="68609920"/>
      </c:lineChart>
      <c:lineChart>
        <c:grouping val="standard"/>
        <c:varyColors val="0"/>
        <c:ser>
          <c:idx val="2"/>
          <c:order val="2"/>
          <c:tx>
            <c:strRef>
              <c:f>'výkonnost odvětví 2'!$A$38</c:f>
              <c:strCache>
                <c:ptCount val="1"/>
                <c:pt idx="0">
                  <c:v>Využití výrob. kapacit v průmyslu celkem</c:v>
                </c:pt>
              </c:strCache>
            </c:strRef>
          </c:tx>
          <c:spPr>
            <a:ln w="15875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multiLvlStrRef>
              <c:f>'výkonnost odvětví 2'!$R$34:$AX$35</c:f>
              <c:multiLvlStrCache>
                <c:ptCount val="3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'výkonnost odvětví 2'!$R$38:$AX$38</c:f>
              <c:numCache>
                <c:formatCode>##0.0</c:formatCode>
                <c:ptCount val="33"/>
                <c:pt idx="0">
                  <c:v>85.4</c:v>
                </c:pt>
                <c:pt idx="1">
                  <c:v>85.1</c:v>
                </c:pt>
                <c:pt idx="2">
                  <c:v>85</c:v>
                </c:pt>
                <c:pt idx="3">
                  <c:v>84.1</c:v>
                </c:pt>
                <c:pt idx="4">
                  <c:v>83.7</c:v>
                </c:pt>
                <c:pt idx="5">
                  <c:v>85.2</c:v>
                </c:pt>
                <c:pt idx="6">
                  <c:v>84.4</c:v>
                </c:pt>
                <c:pt idx="7">
                  <c:v>84.7</c:v>
                </c:pt>
                <c:pt idx="8">
                  <c:v>84.4</c:v>
                </c:pt>
                <c:pt idx="9">
                  <c:v>83.4</c:v>
                </c:pt>
                <c:pt idx="10">
                  <c:v>84.2</c:v>
                </c:pt>
                <c:pt idx="11">
                  <c:v>84.7</c:v>
                </c:pt>
                <c:pt idx="12">
                  <c:v>85.8</c:v>
                </c:pt>
                <c:pt idx="13">
                  <c:v>85.4</c:v>
                </c:pt>
                <c:pt idx="14">
                  <c:v>86.2</c:v>
                </c:pt>
                <c:pt idx="15">
                  <c:v>85.7</c:v>
                </c:pt>
                <c:pt idx="16">
                  <c:v>85.7</c:v>
                </c:pt>
                <c:pt idx="17">
                  <c:v>85.7</c:v>
                </c:pt>
                <c:pt idx="18">
                  <c:v>84.8</c:v>
                </c:pt>
                <c:pt idx="19">
                  <c:v>84</c:v>
                </c:pt>
                <c:pt idx="20">
                  <c:v>84.3</c:v>
                </c:pt>
                <c:pt idx="21">
                  <c:v>69.400000000000006</c:v>
                </c:pt>
                <c:pt idx="22">
                  <c:v>76.2</c:v>
                </c:pt>
                <c:pt idx="23">
                  <c:v>83</c:v>
                </c:pt>
                <c:pt idx="24">
                  <c:v>85.7</c:v>
                </c:pt>
                <c:pt idx="25">
                  <c:v>85</c:v>
                </c:pt>
                <c:pt idx="26">
                  <c:v>88.1</c:v>
                </c:pt>
                <c:pt idx="27">
                  <c:v>76.5</c:v>
                </c:pt>
                <c:pt idx="28">
                  <c:v>83.3</c:v>
                </c:pt>
                <c:pt idx="29">
                  <c:v>81.599999999999994</c:v>
                </c:pt>
                <c:pt idx="30">
                  <c:v>83.2</c:v>
                </c:pt>
                <c:pt idx="31">
                  <c:v>80.5</c:v>
                </c:pt>
                <c:pt idx="32">
                  <c:v>80.900000000000006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D5E-4E02-9229-586A0C1E7A98}"/>
            </c:ext>
          </c:extLst>
        </c:ser>
        <c:ser>
          <c:idx val="3"/>
          <c:order val="3"/>
          <c:tx>
            <c:strRef>
              <c:f>'výkonnost odvětví 2'!$A$39</c:f>
              <c:strCache>
                <c:ptCount val="1"/>
                <c:pt idx="0">
                  <c:v>Využití výrob. kapacit v automobil. prům.</c:v>
                </c:pt>
              </c:strCache>
            </c:strRef>
          </c:tx>
          <c:spPr>
            <a:ln w="15875">
              <a:solidFill>
                <a:schemeClr val="accent6">
                  <a:lumMod val="75000"/>
                </a:schemeClr>
              </a:solidFill>
              <a:prstDash val="sysDash"/>
            </a:ln>
          </c:spPr>
          <c:marker>
            <c:symbol val="none"/>
          </c:marker>
          <c:cat>
            <c:multiLvlStrRef>
              <c:f>'výkonnost odvětví 2'!$R$34:$AX$35</c:f>
              <c:multiLvlStrCache>
                <c:ptCount val="3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'výkonnost odvětví 2'!$R$39:$AX$39</c:f>
              <c:numCache>
                <c:formatCode>##0.0</c:formatCode>
                <c:ptCount val="33"/>
                <c:pt idx="0">
                  <c:v>91.4</c:v>
                </c:pt>
                <c:pt idx="1">
                  <c:v>91.4</c:v>
                </c:pt>
                <c:pt idx="2">
                  <c:v>91.5</c:v>
                </c:pt>
                <c:pt idx="3">
                  <c:v>88.8</c:v>
                </c:pt>
                <c:pt idx="4">
                  <c:v>90.2</c:v>
                </c:pt>
                <c:pt idx="5">
                  <c:v>91.8</c:v>
                </c:pt>
                <c:pt idx="6">
                  <c:v>92.2</c:v>
                </c:pt>
                <c:pt idx="7">
                  <c:v>91.5</c:v>
                </c:pt>
                <c:pt idx="8">
                  <c:v>92.4</c:v>
                </c:pt>
                <c:pt idx="9">
                  <c:v>87.9</c:v>
                </c:pt>
                <c:pt idx="10">
                  <c:v>90.8</c:v>
                </c:pt>
                <c:pt idx="11">
                  <c:v>90.5</c:v>
                </c:pt>
                <c:pt idx="12">
                  <c:v>91.4</c:v>
                </c:pt>
                <c:pt idx="13">
                  <c:v>91.3</c:v>
                </c:pt>
                <c:pt idx="14">
                  <c:v>92.9</c:v>
                </c:pt>
                <c:pt idx="15">
                  <c:v>92.5</c:v>
                </c:pt>
                <c:pt idx="16">
                  <c:v>92.9</c:v>
                </c:pt>
                <c:pt idx="17">
                  <c:v>92.7</c:v>
                </c:pt>
                <c:pt idx="18">
                  <c:v>92.8</c:v>
                </c:pt>
                <c:pt idx="19">
                  <c:v>93</c:v>
                </c:pt>
                <c:pt idx="20">
                  <c:v>90.6</c:v>
                </c:pt>
                <c:pt idx="21">
                  <c:v>45</c:v>
                </c:pt>
                <c:pt idx="22">
                  <c:v>79.099999999999994</c:v>
                </c:pt>
                <c:pt idx="23">
                  <c:v>96.9</c:v>
                </c:pt>
                <c:pt idx="24">
                  <c:v>94.9</c:v>
                </c:pt>
                <c:pt idx="25">
                  <c:v>89.6</c:v>
                </c:pt>
                <c:pt idx="26">
                  <c:v>95.3</c:v>
                </c:pt>
                <c:pt idx="27">
                  <c:v>55.8</c:v>
                </c:pt>
                <c:pt idx="28">
                  <c:v>84.5</c:v>
                </c:pt>
                <c:pt idx="29">
                  <c:v>76.7</c:v>
                </c:pt>
                <c:pt idx="30">
                  <c:v>79</c:v>
                </c:pt>
                <c:pt idx="31">
                  <c:v>74.099999999999994</c:v>
                </c:pt>
                <c:pt idx="32">
                  <c:v>79.400000000000006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6D5E-4E02-9229-586A0C1E7A98}"/>
            </c:ext>
          </c:extLst>
        </c:ser>
        <c:ser>
          <c:idx val="4"/>
          <c:order val="4"/>
          <c:tx>
            <c:strRef>
              <c:f>'výkonnost odvětví 2'!$A$40</c:f>
              <c:strCache>
                <c:ptCount val="1"/>
                <c:pt idx="0">
                  <c:v>Bariéra růstu: nedostatečná poptávka</c:v>
                </c:pt>
              </c:strCache>
            </c:strRef>
          </c:tx>
          <c:spPr>
            <a:ln w="15875">
              <a:solidFill>
                <a:srgbClr val="00B050"/>
              </a:solidFill>
              <a:prstDash val="solid"/>
            </a:ln>
          </c:spPr>
          <c:marker>
            <c:symbol val="none"/>
          </c:marker>
          <c:cat>
            <c:multiLvlStrRef>
              <c:f>'výkonnost odvětví 2'!$R$34:$AX$35</c:f>
              <c:multiLvlStrCache>
                <c:ptCount val="3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'výkonnost odvětví 2'!$R$40:$AX$40</c:f>
              <c:numCache>
                <c:formatCode>#\ ##0.0</c:formatCode>
                <c:ptCount val="33"/>
                <c:pt idx="0">
                  <c:v>45.3</c:v>
                </c:pt>
                <c:pt idx="1">
                  <c:v>49.6</c:v>
                </c:pt>
                <c:pt idx="2">
                  <c:v>49.7</c:v>
                </c:pt>
                <c:pt idx="3">
                  <c:v>46.4</c:v>
                </c:pt>
                <c:pt idx="4">
                  <c:v>45.9</c:v>
                </c:pt>
                <c:pt idx="5">
                  <c:v>44.6</c:v>
                </c:pt>
                <c:pt idx="6">
                  <c:v>43.8</c:v>
                </c:pt>
                <c:pt idx="7">
                  <c:v>42.9</c:v>
                </c:pt>
                <c:pt idx="8">
                  <c:v>42.7</c:v>
                </c:pt>
                <c:pt idx="9">
                  <c:v>41</c:v>
                </c:pt>
                <c:pt idx="10">
                  <c:v>41.2</c:v>
                </c:pt>
                <c:pt idx="11">
                  <c:v>35.800000000000004</c:v>
                </c:pt>
                <c:pt idx="12">
                  <c:v>35.4</c:v>
                </c:pt>
                <c:pt idx="13">
                  <c:v>36.300000000000004</c:v>
                </c:pt>
                <c:pt idx="14">
                  <c:v>32.4</c:v>
                </c:pt>
                <c:pt idx="15">
                  <c:v>32.9</c:v>
                </c:pt>
                <c:pt idx="16">
                  <c:v>33.800000000000004</c:v>
                </c:pt>
                <c:pt idx="17">
                  <c:v>36.200000000000003</c:v>
                </c:pt>
                <c:pt idx="18">
                  <c:v>41</c:v>
                </c:pt>
                <c:pt idx="19">
                  <c:v>47.1</c:v>
                </c:pt>
                <c:pt idx="20">
                  <c:v>49.8</c:v>
                </c:pt>
                <c:pt idx="21">
                  <c:v>58.8</c:v>
                </c:pt>
                <c:pt idx="22">
                  <c:v>63</c:v>
                </c:pt>
                <c:pt idx="23">
                  <c:v>44.4</c:v>
                </c:pt>
                <c:pt idx="24">
                  <c:v>46.9</c:v>
                </c:pt>
                <c:pt idx="25">
                  <c:v>38.700000000000003</c:v>
                </c:pt>
                <c:pt idx="26">
                  <c:v>25.4</c:v>
                </c:pt>
                <c:pt idx="27">
                  <c:v>27.9</c:v>
                </c:pt>
                <c:pt idx="28">
                  <c:v>29.9</c:v>
                </c:pt>
                <c:pt idx="29">
                  <c:v>21.3</c:v>
                </c:pt>
                <c:pt idx="30">
                  <c:v>18.7</c:v>
                </c:pt>
                <c:pt idx="31">
                  <c:v>29.4</c:v>
                </c:pt>
                <c:pt idx="32">
                  <c:v>42.5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6D5E-4E02-9229-586A0C1E7A98}"/>
            </c:ext>
          </c:extLst>
        </c:ser>
        <c:ser>
          <c:idx val="5"/>
          <c:order val="5"/>
          <c:tx>
            <c:strRef>
              <c:f>'výkonnost odvětví 2'!$A$41</c:f>
              <c:strCache>
                <c:ptCount val="1"/>
                <c:pt idx="0">
                  <c:v>Bariéra růstu: nedostatek pracovníků</c:v>
                </c:pt>
              </c:strCache>
            </c:strRef>
          </c:tx>
          <c:spPr>
            <a:ln w="15875">
              <a:solidFill>
                <a:schemeClr val="accent3">
                  <a:lumMod val="75000"/>
                </a:schemeClr>
              </a:solidFill>
              <a:prstDash val="sysDash"/>
            </a:ln>
          </c:spPr>
          <c:marker>
            <c:symbol val="none"/>
          </c:marker>
          <c:cat>
            <c:multiLvlStrRef>
              <c:f>'výkonnost odvětví 2'!$R$34:$AX$35</c:f>
              <c:multiLvlStrCache>
                <c:ptCount val="3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'výkonnost odvětví 2'!$R$41:$AX$41</c:f>
              <c:numCache>
                <c:formatCode>#\ ##0.0</c:formatCode>
                <c:ptCount val="33"/>
                <c:pt idx="0">
                  <c:v>6.1</c:v>
                </c:pt>
                <c:pt idx="1">
                  <c:v>6.9</c:v>
                </c:pt>
                <c:pt idx="2">
                  <c:v>8.7000000000000011</c:v>
                </c:pt>
                <c:pt idx="3">
                  <c:v>14</c:v>
                </c:pt>
                <c:pt idx="4">
                  <c:v>14.8</c:v>
                </c:pt>
                <c:pt idx="5">
                  <c:v>16.5</c:v>
                </c:pt>
                <c:pt idx="6">
                  <c:v>18.899999999999999</c:v>
                </c:pt>
                <c:pt idx="7">
                  <c:v>30.1</c:v>
                </c:pt>
                <c:pt idx="8">
                  <c:v>32.700000000000003</c:v>
                </c:pt>
                <c:pt idx="9">
                  <c:v>33.5</c:v>
                </c:pt>
                <c:pt idx="10">
                  <c:v>40.5</c:v>
                </c:pt>
                <c:pt idx="11">
                  <c:v>38.700000000000003</c:v>
                </c:pt>
                <c:pt idx="12">
                  <c:v>43.5</c:v>
                </c:pt>
                <c:pt idx="13">
                  <c:v>42.3</c:v>
                </c:pt>
                <c:pt idx="14">
                  <c:v>43.2</c:v>
                </c:pt>
                <c:pt idx="15">
                  <c:v>46.3</c:v>
                </c:pt>
                <c:pt idx="16">
                  <c:v>39</c:v>
                </c:pt>
                <c:pt idx="17">
                  <c:v>35.1</c:v>
                </c:pt>
                <c:pt idx="18">
                  <c:v>40.200000000000003</c:v>
                </c:pt>
                <c:pt idx="19">
                  <c:v>39.200000000000003</c:v>
                </c:pt>
                <c:pt idx="20">
                  <c:v>27.7</c:v>
                </c:pt>
                <c:pt idx="21">
                  <c:v>13.5</c:v>
                </c:pt>
                <c:pt idx="22">
                  <c:v>16.7</c:v>
                </c:pt>
                <c:pt idx="23">
                  <c:v>17.600000000000001</c:v>
                </c:pt>
                <c:pt idx="24">
                  <c:v>22</c:v>
                </c:pt>
                <c:pt idx="25">
                  <c:v>18.399999999999999</c:v>
                </c:pt>
                <c:pt idx="26">
                  <c:v>27.6</c:v>
                </c:pt>
                <c:pt idx="27">
                  <c:v>22.6</c:v>
                </c:pt>
                <c:pt idx="28">
                  <c:v>24.9</c:v>
                </c:pt>
                <c:pt idx="29">
                  <c:v>18.600000000000001</c:v>
                </c:pt>
                <c:pt idx="30">
                  <c:v>26.1</c:v>
                </c:pt>
                <c:pt idx="31">
                  <c:v>24.9</c:v>
                </c:pt>
                <c:pt idx="32">
                  <c:v>16.600000000000001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6D5E-4E02-9229-586A0C1E7A98}"/>
            </c:ext>
          </c:extLst>
        </c:ser>
        <c:ser>
          <c:idx val="6"/>
          <c:order val="6"/>
          <c:tx>
            <c:strRef>
              <c:f>'výkonnost odvětví 2'!$A$42</c:f>
              <c:strCache>
                <c:ptCount val="1"/>
                <c:pt idx="0">
                  <c:v>Bariéra růstu: nedost. materiálu a zařízení</c:v>
                </c:pt>
              </c:strCache>
            </c:strRef>
          </c:tx>
          <c:spPr>
            <a:ln w="15875">
              <a:solidFill>
                <a:srgbClr val="1EB222"/>
              </a:solidFill>
              <a:prstDash val="dash"/>
            </a:ln>
          </c:spPr>
          <c:marker>
            <c:symbol val="none"/>
          </c:marker>
          <c:cat>
            <c:multiLvlStrRef>
              <c:f>'výkonnost odvětví 2'!$R$34:$AX$35</c:f>
              <c:multiLvlStrCache>
                <c:ptCount val="3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'výkonnost odvětví 2'!$R$42:$AX$42</c:f>
              <c:numCache>
                <c:formatCode>#\ ##0.0</c:formatCode>
                <c:ptCount val="33"/>
                <c:pt idx="0">
                  <c:v>5.9</c:v>
                </c:pt>
                <c:pt idx="1">
                  <c:v>11.3</c:v>
                </c:pt>
                <c:pt idx="2">
                  <c:v>10</c:v>
                </c:pt>
                <c:pt idx="3">
                  <c:v>9.9</c:v>
                </c:pt>
                <c:pt idx="4">
                  <c:v>8.9</c:v>
                </c:pt>
                <c:pt idx="5">
                  <c:v>7.7</c:v>
                </c:pt>
                <c:pt idx="6">
                  <c:v>8.9</c:v>
                </c:pt>
                <c:pt idx="7">
                  <c:v>8.5</c:v>
                </c:pt>
                <c:pt idx="8">
                  <c:v>8.8000000000000007</c:v>
                </c:pt>
                <c:pt idx="9">
                  <c:v>8.3000000000000007</c:v>
                </c:pt>
                <c:pt idx="10">
                  <c:v>10.9</c:v>
                </c:pt>
                <c:pt idx="11">
                  <c:v>22.7</c:v>
                </c:pt>
                <c:pt idx="12">
                  <c:v>11.9</c:v>
                </c:pt>
                <c:pt idx="13">
                  <c:v>11.7</c:v>
                </c:pt>
                <c:pt idx="14">
                  <c:v>13.9</c:v>
                </c:pt>
                <c:pt idx="15">
                  <c:v>23.5</c:v>
                </c:pt>
                <c:pt idx="16">
                  <c:v>26.4</c:v>
                </c:pt>
                <c:pt idx="17">
                  <c:v>24.7</c:v>
                </c:pt>
                <c:pt idx="18">
                  <c:v>22</c:v>
                </c:pt>
                <c:pt idx="19">
                  <c:v>10.5</c:v>
                </c:pt>
                <c:pt idx="20">
                  <c:v>17.899999999999999</c:v>
                </c:pt>
                <c:pt idx="21">
                  <c:v>10.200000000000001</c:v>
                </c:pt>
                <c:pt idx="22">
                  <c:v>6.7</c:v>
                </c:pt>
                <c:pt idx="23">
                  <c:v>10.9</c:v>
                </c:pt>
                <c:pt idx="24">
                  <c:v>23.1</c:v>
                </c:pt>
                <c:pt idx="25">
                  <c:v>32.1</c:v>
                </c:pt>
                <c:pt idx="26">
                  <c:v>45.9</c:v>
                </c:pt>
                <c:pt idx="27">
                  <c:v>41.2</c:v>
                </c:pt>
                <c:pt idx="28">
                  <c:v>39.300000000000004</c:v>
                </c:pt>
                <c:pt idx="29">
                  <c:v>47.8</c:v>
                </c:pt>
                <c:pt idx="30">
                  <c:v>53.4</c:v>
                </c:pt>
                <c:pt idx="31">
                  <c:v>46.4</c:v>
                </c:pt>
                <c:pt idx="32">
                  <c:v>37.4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6D5E-4E02-9229-586A0C1E7A98}"/>
            </c:ext>
          </c:extLst>
        </c:ser>
        <c:ser>
          <c:idx val="7"/>
          <c:order val="7"/>
          <c:tx>
            <c:strRef>
              <c:f>'výkonnost odvětví 2'!$A$43</c:f>
              <c:strCache>
                <c:ptCount val="1"/>
                <c:pt idx="0">
                  <c:v>Saldo souhrn. indik. důvěry v průmyslu</c:v>
                </c:pt>
              </c:strCache>
            </c:strRef>
          </c:tx>
          <c:spPr>
            <a:ln w="15875">
              <a:solidFill>
                <a:schemeClr val="bg1">
                  <a:lumMod val="65000"/>
                </a:schemeClr>
              </a:solidFill>
              <a:prstDash val="sysDot"/>
            </a:ln>
          </c:spPr>
          <c:marker>
            <c:symbol val="circle"/>
            <c:size val="5"/>
            <c:spPr>
              <a:solidFill>
                <a:srgbClr val="FFFF00"/>
              </a:solidFill>
              <a:ln>
                <a:solidFill>
                  <a:schemeClr val="tx1">
                    <a:lumMod val="50000"/>
                    <a:lumOff val="50000"/>
                  </a:schemeClr>
                </a:solidFill>
              </a:ln>
            </c:spPr>
          </c:marker>
          <c:cat>
            <c:multiLvlStrRef>
              <c:f>'výkonnost odvětví 2'!$R$34:$AX$35</c:f>
              <c:multiLvlStrCache>
                <c:ptCount val="3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'výkonnost odvětví 2'!$R$43:$AX$43</c:f>
              <c:numCache>
                <c:formatCode>#\ ##0.0</c:formatCode>
                <c:ptCount val="33"/>
                <c:pt idx="0">
                  <c:v>2.2999999999999998</c:v>
                </c:pt>
                <c:pt idx="1">
                  <c:v>3.3</c:v>
                </c:pt>
                <c:pt idx="2">
                  <c:v>3</c:v>
                </c:pt>
                <c:pt idx="3">
                  <c:v>1</c:v>
                </c:pt>
                <c:pt idx="4">
                  <c:v>3.7</c:v>
                </c:pt>
                <c:pt idx="5">
                  <c:v>2.7</c:v>
                </c:pt>
                <c:pt idx="6">
                  <c:v>5</c:v>
                </c:pt>
                <c:pt idx="7">
                  <c:v>6.3</c:v>
                </c:pt>
                <c:pt idx="8">
                  <c:v>3.7</c:v>
                </c:pt>
                <c:pt idx="9">
                  <c:v>0.5</c:v>
                </c:pt>
                <c:pt idx="10">
                  <c:v>4</c:v>
                </c:pt>
                <c:pt idx="11">
                  <c:v>4.7</c:v>
                </c:pt>
                <c:pt idx="12">
                  <c:v>3.7</c:v>
                </c:pt>
                <c:pt idx="13">
                  <c:v>2</c:v>
                </c:pt>
                <c:pt idx="14">
                  <c:v>2.2999999999999998</c:v>
                </c:pt>
                <c:pt idx="15">
                  <c:v>2.2999999999999998</c:v>
                </c:pt>
                <c:pt idx="16">
                  <c:v>0.30000000000000021</c:v>
                </c:pt>
                <c:pt idx="17">
                  <c:v>-2</c:v>
                </c:pt>
                <c:pt idx="18">
                  <c:v>-3</c:v>
                </c:pt>
                <c:pt idx="19">
                  <c:v>-6.7</c:v>
                </c:pt>
                <c:pt idx="20">
                  <c:v>-5</c:v>
                </c:pt>
                <c:pt idx="21">
                  <c:v>-25</c:v>
                </c:pt>
                <c:pt idx="22">
                  <c:v>-6.3</c:v>
                </c:pt>
                <c:pt idx="23">
                  <c:v>-10</c:v>
                </c:pt>
                <c:pt idx="24">
                  <c:v>-1.3</c:v>
                </c:pt>
                <c:pt idx="25">
                  <c:v>5.3</c:v>
                </c:pt>
                <c:pt idx="26">
                  <c:v>-1.3</c:v>
                </c:pt>
                <c:pt idx="27">
                  <c:v>-5.3</c:v>
                </c:pt>
                <c:pt idx="28">
                  <c:v>-0.30000000000000021</c:v>
                </c:pt>
                <c:pt idx="29">
                  <c:v>8.3000000000000007</c:v>
                </c:pt>
                <c:pt idx="30">
                  <c:v>-1.7</c:v>
                </c:pt>
                <c:pt idx="31">
                  <c:v>-8.3000000000000007</c:v>
                </c:pt>
                <c:pt idx="32">
                  <c:v>-10.1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6D5E-4E02-9229-586A0C1E7A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8614016"/>
        <c:axId val="68612096"/>
      </c:lineChart>
      <c:catAx>
        <c:axId val="686080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crossAx val="68609920"/>
        <c:crosses val="autoZero"/>
        <c:auto val="1"/>
        <c:lblAlgn val="ctr"/>
        <c:lblOffset val="0"/>
        <c:noMultiLvlLbl val="0"/>
      </c:catAx>
      <c:valAx>
        <c:axId val="68609920"/>
        <c:scaling>
          <c:orientation val="minMax"/>
          <c:max val="90"/>
          <c:min val="-40"/>
        </c:scaling>
        <c:delete val="0"/>
        <c:axPos val="l"/>
        <c:majorGridlines>
          <c:spPr>
            <a:ln>
              <a:solidFill>
                <a:srgbClr val="BEBEBE"/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700" b="0" i="1"/>
                </a:pPr>
                <a:r>
                  <a:rPr lang="cs-CZ" sz="700" b="0" i="1"/>
                  <a:t>Zakázky</a:t>
                </a:r>
              </a:p>
            </c:rich>
          </c:tx>
          <c:overlay val="0"/>
        </c:title>
        <c:numFmt formatCode="0" sourceLinked="0"/>
        <c:majorTickMark val="out"/>
        <c:minorTickMark val="none"/>
        <c:tickLblPos val="nextTo"/>
        <c:crossAx val="68608000"/>
        <c:crosses val="autoZero"/>
        <c:crossBetween val="between"/>
        <c:majorUnit val="10"/>
      </c:valAx>
      <c:valAx>
        <c:axId val="68612096"/>
        <c:scaling>
          <c:orientation val="minMax"/>
          <c:max val="100"/>
          <c:min val="-30"/>
        </c:scaling>
        <c:delete val="0"/>
        <c:axPos val="r"/>
        <c:title>
          <c:tx>
            <c:rich>
              <a:bodyPr/>
              <a:lstStyle/>
              <a:p>
                <a:pPr marL="0" marR="0" lvl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700" b="0" i="1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 sz="700" b="0" i="1"/>
                  <a:t>Využití výrob.</a:t>
                </a:r>
                <a:r>
                  <a:rPr lang="cs-CZ" sz="700" b="0" i="1" baseline="0"/>
                  <a:t> </a:t>
                </a:r>
                <a:r>
                  <a:rPr lang="cs-CZ" sz="700" b="0" i="1"/>
                  <a:t>kapacit, bariéry růstu, </a:t>
                </a:r>
                <a:r>
                  <a:rPr lang="cs-CZ" sz="700" b="0" i="1" baseline="0">
                    <a:effectLst/>
                  </a:rPr>
                  <a:t>saldo důvěry</a:t>
                </a:r>
                <a:endParaRPr lang="cs-CZ" sz="700" i="1">
                  <a:effectLst/>
                </a:endParaRPr>
              </a:p>
            </c:rich>
          </c:tx>
          <c:overlay val="0"/>
        </c:title>
        <c:numFmt formatCode="#,##0" sourceLinked="0"/>
        <c:majorTickMark val="out"/>
        <c:minorTickMark val="none"/>
        <c:tickLblPos val="nextTo"/>
        <c:crossAx val="68614016"/>
        <c:crosses val="max"/>
        <c:crossBetween val="between"/>
        <c:majorUnit val="10"/>
      </c:valAx>
      <c:catAx>
        <c:axId val="6861401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68612096"/>
        <c:crosses val="autoZero"/>
        <c:auto val="1"/>
        <c:lblAlgn val="ctr"/>
        <c:lblOffset val="100"/>
        <c:noMultiLvlLbl val="0"/>
      </c:catAx>
      <c:spPr>
        <a:noFill/>
        <a:ln w="6350">
          <a:solidFill>
            <a:prstClr val="black">
              <a:lumMod val="95000"/>
              <a:lumOff val="5000"/>
            </a:prstClr>
          </a:solidFill>
        </a:ln>
      </c:spPr>
    </c:plotArea>
    <c:legend>
      <c:legendPos val="r"/>
      <c:layout>
        <c:manualLayout>
          <c:xMode val="edge"/>
          <c:yMode val="edge"/>
          <c:x val="1.062395230772256E-2"/>
          <c:y val="0.85586448957034"/>
          <c:w val="0.98342327494608206"/>
          <c:h val="0.14063307954958187"/>
        </c:manualLayout>
      </c:layout>
      <c:overlay val="0"/>
      <c:spPr>
        <a:ln w="6350">
          <a:solidFill>
            <a:prstClr val="black">
              <a:lumMod val="95000"/>
              <a:lumOff val="5000"/>
            </a:prstClr>
          </a:solidFill>
        </a:ln>
      </c:spPr>
      <c:txPr>
        <a:bodyPr/>
        <a:lstStyle/>
        <a:p>
          <a:pPr>
            <a:defRPr sz="780"/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3695346289980299E-2"/>
          <c:y val="1.5663550999370293E-2"/>
          <c:w val="0.85237839893753009"/>
          <c:h val="0.75413191483370401"/>
        </c:manualLayout>
      </c:layout>
      <c:barChart>
        <c:barDir val="col"/>
        <c:grouping val="stacked"/>
        <c:varyColors val="0"/>
        <c:ser>
          <c:idx val="1"/>
          <c:order val="1"/>
          <c:tx>
            <c:strRef>
              <c:f>'výkonnost odvětví 3'!$Y$10</c:f>
              <c:strCache>
                <c:ptCount val="1"/>
                <c:pt idx="0">
                  <c:v>Pozemní stavitelství (příspěvek v p. b.)</c:v>
                </c:pt>
              </c:strCache>
            </c:strRef>
          </c:tx>
          <c:spPr>
            <a:solidFill>
              <a:srgbClr val="A6CDE9"/>
            </a:solidFill>
            <a:ln>
              <a:noFill/>
            </a:ln>
          </c:spPr>
          <c:invertIfNegative val="0"/>
          <c:cat>
            <c:multiLvlStrRef>
              <c:f>'výkonnost odvětví 3'!$V$31:$W$63</c:f>
              <c:multiLvlStrCache>
                <c:ptCount val="3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'výkonnost odvětví 3'!$Y$31:$Y$63</c:f>
              <c:numCache>
                <c:formatCode>0.0</c:formatCode>
                <c:ptCount val="33"/>
                <c:pt idx="0">
                  <c:v>6.1561626309009005</c:v>
                </c:pt>
                <c:pt idx="1">
                  <c:v>5.2198061741317501</c:v>
                </c:pt>
                <c:pt idx="2">
                  <c:v>0.81121749109615049</c:v>
                </c:pt>
                <c:pt idx="3">
                  <c:v>-1.7822785638123877</c:v>
                </c:pt>
                <c:pt idx="4">
                  <c:v>-4.9474983218352611</c:v>
                </c:pt>
                <c:pt idx="5">
                  <c:v>-5.3410137900175894</c:v>
                </c:pt>
                <c:pt idx="6">
                  <c:v>0.85472628808719631</c:v>
                </c:pt>
                <c:pt idx="7">
                  <c:v>4.0254222391977077</c:v>
                </c:pt>
                <c:pt idx="8">
                  <c:v>2.017572625987365</c:v>
                </c:pt>
                <c:pt idx="9">
                  <c:v>10.474566164887008</c:v>
                </c:pt>
                <c:pt idx="10">
                  <c:v>3.5905235492018619</c:v>
                </c:pt>
                <c:pt idx="11">
                  <c:v>2.5447811488700287</c:v>
                </c:pt>
                <c:pt idx="12">
                  <c:v>13.855995105276014</c:v>
                </c:pt>
                <c:pt idx="13">
                  <c:v>6.2297897206962016</c:v>
                </c:pt>
                <c:pt idx="14">
                  <c:v>7.7185371709558845</c:v>
                </c:pt>
                <c:pt idx="15">
                  <c:v>2.6447791693670242</c:v>
                </c:pt>
                <c:pt idx="16">
                  <c:v>2.9154958090698768</c:v>
                </c:pt>
                <c:pt idx="17">
                  <c:v>2.5181773768727012</c:v>
                </c:pt>
                <c:pt idx="18">
                  <c:v>-0.93944398979144517</c:v>
                </c:pt>
                <c:pt idx="19">
                  <c:v>2.5303698836274942</c:v>
                </c:pt>
                <c:pt idx="20">
                  <c:v>-0.46960829875990717</c:v>
                </c:pt>
                <c:pt idx="21">
                  <c:v>-7.4218468389728374</c:v>
                </c:pt>
                <c:pt idx="22">
                  <c:v>-7.096270025046679</c:v>
                </c:pt>
                <c:pt idx="23">
                  <c:v>-8.6039821749857008</c:v>
                </c:pt>
                <c:pt idx="24">
                  <c:v>-5.1060484442398515</c:v>
                </c:pt>
                <c:pt idx="25">
                  <c:v>3.0894144911689372</c:v>
                </c:pt>
                <c:pt idx="26">
                  <c:v>3.0581483596865797</c:v>
                </c:pt>
                <c:pt idx="27">
                  <c:v>5.9641153438617955</c:v>
                </c:pt>
                <c:pt idx="28">
                  <c:v>7.6985733618147503</c:v>
                </c:pt>
                <c:pt idx="29">
                  <c:v>3.7816260772697343</c:v>
                </c:pt>
                <c:pt idx="30">
                  <c:v>-0.85167488545055614</c:v>
                </c:pt>
                <c:pt idx="31">
                  <c:v>-1.064293824011652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79E-49E6-8ED5-57CF2C2ACC39}"/>
            </c:ext>
          </c:extLst>
        </c:ser>
        <c:ser>
          <c:idx val="2"/>
          <c:order val="2"/>
          <c:tx>
            <c:strRef>
              <c:f>'výkonnost odvětví 3'!$Z$10</c:f>
              <c:strCache>
                <c:ptCount val="1"/>
                <c:pt idx="0">
                  <c:v>Inženýrské stavitelství (příspěvek v p. b.)</c:v>
                </c:pt>
              </c:strCache>
            </c:strRef>
          </c:tx>
          <c:spPr>
            <a:solidFill>
              <a:srgbClr val="E8AFB2"/>
            </a:solidFill>
            <a:ln>
              <a:noFill/>
            </a:ln>
          </c:spPr>
          <c:invertIfNegative val="0"/>
          <c:cat>
            <c:multiLvlStrRef>
              <c:f>'výkonnost odvětví 3'!$V$31:$W$63</c:f>
              <c:multiLvlStrCache>
                <c:ptCount val="3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'výkonnost odvětví 3'!$Z$31:$Z$63</c:f>
              <c:numCache>
                <c:formatCode>0.0</c:formatCode>
                <c:ptCount val="33"/>
                <c:pt idx="0">
                  <c:v>3.0695976370766149</c:v>
                </c:pt>
                <c:pt idx="1">
                  <c:v>6.8687640563901562</c:v>
                </c:pt>
                <c:pt idx="2">
                  <c:v>7.0024284830594636</c:v>
                </c:pt>
                <c:pt idx="3">
                  <c:v>2.7837014139812042</c:v>
                </c:pt>
                <c:pt idx="4">
                  <c:v>-1.1579843374442889</c:v>
                </c:pt>
                <c:pt idx="5">
                  <c:v>-5.3321915124459931</c:v>
                </c:pt>
                <c:pt idx="6">
                  <c:v>-6.6730867722657479</c:v>
                </c:pt>
                <c:pt idx="7">
                  <c:v>-5.6953151664187196</c:v>
                </c:pt>
                <c:pt idx="8">
                  <c:v>-3.3415683870294464</c:v>
                </c:pt>
                <c:pt idx="9">
                  <c:v>-0.92513468206673821</c:v>
                </c:pt>
                <c:pt idx="10">
                  <c:v>-1.3825682431716371</c:v>
                </c:pt>
                <c:pt idx="11">
                  <c:v>0.15379376908864856</c:v>
                </c:pt>
                <c:pt idx="12">
                  <c:v>1.8552559317982529</c:v>
                </c:pt>
                <c:pt idx="13">
                  <c:v>1.1686216071454012</c:v>
                </c:pt>
                <c:pt idx="14">
                  <c:v>4.7418799981741344</c:v>
                </c:pt>
                <c:pt idx="15">
                  <c:v>1.6348281993667251</c:v>
                </c:pt>
                <c:pt idx="16">
                  <c:v>0.73841178948747288</c:v>
                </c:pt>
                <c:pt idx="17">
                  <c:v>1.9442793930587439</c:v>
                </c:pt>
                <c:pt idx="18">
                  <c:v>0.54106169015283734</c:v>
                </c:pt>
                <c:pt idx="19">
                  <c:v>0.95067687240436216</c:v>
                </c:pt>
                <c:pt idx="20">
                  <c:v>3.1447236799020808</c:v>
                </c:pt>
                <c:pt idx="21">
                  <c:v>1.2065846288621398</c:v>
                </c:pt>
                <c:pt idx="22">
                  <c:v>-1.801440216744884</c:v>
                </c:pt>
                <c:pt idx="23">
                  <c:v>0.40724127593117326</c:v>
                </c:pt>
                <c:pt idx="24">
                  <c:v>-3.7728807524338895E-2</c:v>
                </c:pt>
                <c:pt idx="25">
                  <c:v>0.87829300361278184</c:v>
                </c:pt>
                <c:pt idx="26">
                  <c:v>-0.16995879442567768</c:v>
                </c:pt>
                <c:pt idx="27">
                  <c:v>-0.94797535997122129</c:v>
                </c:pt>
                <c:pt idx="28">
                  <c:v>3.6282601585830592</c:v>
                </c:pt>
                <c:pt idx="29">
                  <c:v>0.20418944444674317</c:v>
                </c:pt>
                <c:pt idx="30">
                  <c:v>2.9660301568950578E-2</c:v>
                </c:pt>
                <c:pt idx="31">
                  <c:v>0.93183034570182299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79E-49E6-8ED5-57CF2C2ACC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overlap val="100"/>
        <c:axId val="69602304"/>
        <c:axId val="69608576"/>
      </c:barChart>
      <c:lineChart>
        <c:grouping val="standard"/>
        <c:varyColors val="0"/>
        <c:ser>
          <c:idx val="0"/>
          <c:order val="0"/>
          <c:tx>
            <c:strRef>
              <c:f>'výkonnost odvětví 3'!$X$10</c:f>
              <c:strCache>
                <c:ptCount val="1"/>
                <c:pt idx="0">
                  <c:v>Celková stavební produkce</c:v>
                </c:pt>
              </c:strCache>
            </c:strRef>
          </c:tx>
          <c:spPr>
            <a:ln>
              <a:noFill/>
            </a:ln>
          </c:spPr>
          <c:marker>
            <c:symbol val="diamond"/>
            <c:size val="5"/>
            <c:spPr>
              <a:solidFill>
                <a:schemeClr val="bg1"/>
              </a:solidFill>
              <a:ln>
                <a:solidFill>
                  <a:schemeClr val="tx1">
                    <a:lumMod val="95000"/>
                    <a:lumOff val="5000"/>
                  </a:schemeClr>
                </a:solidFill>
              </a:ln>
            </c:spPr>
          </c:marker>
          <c:cat>
            <c:multiLvlStrRef>
              <c:f>'výkonnost odvětví 3'!$V$31:$W$63</c:f>
              <c:multiLvlStrCache>
                <c:ptCount val="3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'výkonnost odvětví 3'!$X$31:$X$63</c:f>
              <c:numCache>
                <c:formatCode>0.0</c:formatCode>
                <c:ptCount val="33"/>
                <c:pt idx="0">
                  <c:v>9.225760267977499</c:v>
                </c:pt>
                <c:pt idx="1">
                  <c:v>12.088570230521924</c:v>
                </c:pt>
                <c:pt idx="2">
                  <c:v>7.8136459741555875</c:v>
                </c:pt>
                <c:pt idx="3">
                  <c:v>1.0014228501687938</c:v>
                </c:pt>
                <c:pt idx="4">
                  <c:v>-6.1054826592795273</c:v>
                </c:pt>
                <c:pt idx="5">
                  <c:v>-10.673205302463581</c:v>
                </c:pt>
                <c:pt idx="6">
                  <c:v>-5.8183604841785446</c:v>
                </c:pt>
                <c:pt idx="7">
                  <c:v>-1.6698929272209995</c:v>
                </c:pt>
                <c:pt idx="8">
                  <c:v>-1.3239957610420978</c:v>
                </c:pt>
                <c:pt idx="9">
                  <c:v>9.5494314828202391</c:v>
                </c:pt>
                <c:pt idx="10">
                  <c:v>2.2079553060302146</c:v>
                </c:pt>
                <c:pt idx="11">
                  <c:v>2.6985749179586662</c:v>
                </c:pt>
                <c:pt idx="12">
                  <c:v>15.71125103707427</c:v>
                </c:pt>
                <c:pt idx="13">
                  <c:v>7.3984113278415968</c:v>
                </c:pt>
                <c:pt idx="14">
                  <c:v>12.460417169130025</c:v>
                </c:pt>
                <c:pt idx="15">
                  <c:v>4.2796073687337399</c:v>
                </c:pt>
                <c:pt idx="16">
                  <c:v>3.6539075985573706</c:v>
                </c:pt>
                <c:pt idx="17">
                  <c:v>4.4624567699314603</c:v>
                </c:pt>
                <c:pt idx="18">
                  <c:v>-0.39838229963861294</c:v>
                </c:pt>
                <c:pt idx="19">
                  <c:v>3.4810467560318732</c:v>
                </c:pt>
                <c:pt idx="20">
                  <c:v>2.6751153811421782</c:v>
                </c:pt>
                <c:pt idx="21">
                  <c:v>-6.2152622101107093</c:v>
                </c:pt>
                <c:pt idx="22">
                  <c:v>-8.8977102417915539</c:v>
                </c:pt>
                <c:pt idx="23">
                  <c:v>-8.1967408990545607</c:v>
                </c:pt>
                <c:pt idx="24">
                  <c:v>-5.143777251764206</c:v>
                </c:pt>
                <c:pt idx="25">
                  <c:v>3.9677074947817061</c:v>
                </c:pt>
                <c:pt idx="26">
                  <c:v>2.8881895652609191</c:v>
                </c:pt>
                <c:pt idx="27">
                  <c:v>5.0161399838906124</c:v>
                </c:pt>
                <c:pt idx="28">
                  <c:v>11.3268335203978</c:v>
                </c:pt>
                <c:pt idx="29">
                  <c:v>3.9858155217164608</c:v>
                </c:pt>
                <c:pt idx="30">
                  <c:v>-0.82201458388159654</c:v>
                </c:pt>
                <c:pt idx="31">
                  <c:v>-0.1324634783098447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79E-49E6-8ED5-57CF2C2ACC39}"/>
            </c:ext>
          </c:extLst>
        </c:ser>
        <c:ser>
          <c:idx val="3"/>
          <c:order val="3"/>
          <c:tx>
            <c:strRef>
              <c:f>'výkonnost odvětví 3'!$AA$10</c:f>
              <c:strCache>
                <c:ptCount val="1"/>
                <c:pt idx="0">
                  <c:v>Nové stavební zakázky v tuzemsku</c:v>
                </c:pt>
              </c:strCache>
            </c:strRef>
          </c:tx>
          <c:spPr>
            <a:ln w="15875">
              <a:solidFill>
                <a:srgbClr val="984807"/>
              </a:solidFill>
            </a:ln>
          </c:spPr>
          <c:marker>
            <c:symbol val="none"/>
          </c:marker>
          <c:cat>
            <c:multiLvlStrRef>
              <c:f>'výkonnost odvětví 3'!$V$31:$W$63</c:f>
              <c:multiLvlStrCache>
                <c:ptCount val="3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'výkonnost odvětví 3'!$AA$31:$AA$63</c:f>
              <c:numCache>
                <c:formatCode>0.0</c:formatCode>
                <c:ptCount val="33"/>
                <c:pt idx="0">
                  <c:v>-3.1547956675580053</c:v>
                </c:pt>
                <c:pt idx="1">
                  <c:v>9.7504961091663276</c:v>
                </c:pt>
                <c:pt idx="2">
                  <c:v>-1.0976060227612559</c:v>
                </c:pt>
                <c:pt idx="3">
                  <c:v>-2.3987783410040464</c:v>
                </c:pt>
                <c:pt idx="4">
                  <c:v>-6.6406358945753805</c:v>
                </c:pt>
                <c:pt idx="5">
                  <c:v>-0.49977652269311085</c:v>
                </c:pt>
                <c:pt idx="6">
                  <c:v>-7.0322087253454839</c:v>
                </c:pt>
                <c:pt idx="7">
                  <c:v>10.122126124559955</c:v>
                </c:pt>
                <c:pt idx="8">
                  <c:v>16.177217458847451</c:v>
                </c:pt>
                <c:pt idx="9">
                  <c:v>9.5350878984013079</c:v>
                </c:pt>
                <c:pt idx="10">
                  <c:v>-1.2817324431350698</c:v>
                </c:pt>
                <c:pt idx="11">
                  <c:v>15.620806693503823</c:v>
                </c:pt>
                <c:pt idx="12">
                  <c:v>30.106973873688574</c:v>
                </c:pt>
                <c:pt idx="13">
                  <c:v>32.836878110611956</c:v>
                </c:pt>
                <c:pt idx="14">
                  <c:v>5.2768249907951237</c:v>
                </c:pt>
                <c:pt idx="15">
                  <c:v>1.894456581103229</c:v>
                </c:pt>
                <c:pt idx="16">
                  <c:v>14.157245632065782</c:v>
                </c:pt>
                <c:pt idx="17">
                  <c:v>-9.3849543241233224</c:v>
                </c:pt>
                <c:pt idx="18">
                  <c:v>17.407871000993993</c:v>
                </c:pt>
                <c:pt idx="19">
                  <c:v>5.8323004254463804</c:v>
                </c:pt>
                <c:pt idx="20">
                  <c:v>-12.441635069859252</c:v>
                </c:pt>
                <c:pt idx="21">
                  <c:v>7.4973457220286726</c:v>
                </c:pt>
                <c:pt idx="22">
                  <c:v>2.0599736606932861</c:v>
                </c:pt>
                <c:pt idx="23">
                  <c:v>7.5507850088630155</c:v>
                </c:pt>
                <c:pt idx="24">
                  <c:v>28.856340981154403</c:v>
                </c:pt>
                <c:pt idx="25">
                  <c:v>22.047871359987191</c:v>
                </c:pt>
                <c:pt idx="26">
                  <c:v>10.015015612184266</c:v>
                </c:pt>
                <c:pt idx="27">
                  <c:v>1.0053213537781134</c:v>
                </c:pt>
                <c:pt idx="28">
                  <c:v>13.067478460417863</c:v>
                </c:pt>
                <c:pt idx="29">
                  <c:v>17.619163607261132</c:v>
                </c:pt>
                <c:pt idx="30">
                  <c:v>12.421954480552532</c:v>
                </c:pt>
                <c:pt idx="31">
                  <c:v>13.031852753748723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679E-49E6-8ED5-57CF2C2ACC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9602304"/>
        <c:axId val="69608576"/>
      </c:lineChart>
      <c:lineChart>
        <c:grouping val="standard"/>
        <c:varyColors val="0"/>
        <c:ser>
          <c:idx val="4"/>
          <c:order val="4"/>
          <c:tx>
            <c:strRef>
              <c:f>'výkonnost odvětví 3'!$AB$10</c:f>
              <c:strCache>
                <c:ptCount val="1"/>
                <c:pt idx="0">
                  <c:v>Bariéra růstu: nedostatečná poptávka</c:v>
                </c:pt>
              </c:strCache>
            </c:strRef>
          </c:tx>
          <c:spPr>
            <a:ln w="15875">
              <a:solidFill>
                <a:srgbClr val="92D050"/>
              </a:solidFill>
              <a:prstDash val="dash"/>
            </a:ln>
          </c:spPr>
          <c:marker>
            <c:symbol val="none"/>
          </c:marker>
          <c:cat>
            <c:multiLvlStrRef>
              <c:f>'výkonnost odvětví 3'!$V$31:$W$63</c:f>
              <c:multiLvlStrCache>
                <c:ptCount val="3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'výkonnost odvětví 3'!$AB$31:$AB$63</c:f>
              <c:numCache>
                <c:formatCode>#\ ##0.0</c:formatCode>
                <c:ptCount val="33"/>
                <c:pt idx="0">
                  <c:v>67.3</c:v>
                </c:pt>
                <c:pt idx="1">
                  <c:v>60.7</c:v>
                </c:pt>
                <c:pt idx="2">
                  <c:v>58.6</c:v>
                </c:pt>
                <c:pt idx="3">
                  <c:v>58.2</c:v>
                </c:pt>
                <c:pt idx="4">
                  <c:v>58.5</c:v>
                </c:pt>
                <c:pt idx="5">
                  <c:v>62.6</c:v>
                </c:pt>
                <c:pt idx="6">
                  <c:v>60.3</c:v>
                </c:pt>
                <c:pt idx="7">
                  <c:v>55.7</c:v>
                </c:pt>
                <c:pt idx="8">
                  <c:v>55.7</c:v>
                </c:pt>
                <c:pt idx="9">
                  <c:v>54.8</c:v>
                </c:pt>
                <c:pt idx="10">
                  <c:v>49.1</c:v>
                </c:pt>
                <c:pt idx="11">
                  <c:v>47.1</c:v>
                </c:pt>
                <c:pt idx="12">
                  <c:v>40.1</c:v>
                </c:pt>
                <c:pt idx="13">
                  <c:v>39.4</c:v>
                </c:pt>
                <c:pt idx="14">
                  <c:v>33</c:v>
                </c:pt>
                <c:pt idx="15">
                  <c:v>23.3</c:v>
                </c:pt>
                <c:pt idx="16">
                  <c:v>26.5</c:v>
                </c:pt>
                <c:pt idx="17">
                  <c:v>26.7</c:v>
                </c:pt>
                <c:pt idx="18">
                  <c:v>18.899999999999999</c:v>
                </c:pt>
                <c:pt idx="19">
                  <c:v>19.600000000000001</c:v>
                </c:pt>
                <c:pt idx="20">
                  <c:v>31.6</c:v>
                </c:pt>
                <c:pt idx="21">
                  <c:v>31.3</c:v>
                </c:pt>
                <c:pt idx="22">
                  <c:v>38.6</c:v>
                </c:pt>
                <c:pt idx="23" formatCode="General">
                  <c:v>39.200000000000003</c:v>
                </c:pt>
                <c:pt idx="24">
                  <c:v>30.8</c:v>
                </c:pt>
                <c:pt idx="25">
                  <c:v>35.9</c:v>
                </c:pt>
                <c:pt idx="26">
                  <c:v>23.2</c:v>
                </c:pt>
                <c:pt idx="27" formatCode="#\ ##0.##########">
                  <c:v>19.5</c:v>
                </c:pt>
                <c:pt idx="28" formatCode="#\ ##0.##########">
                  <c:v>21.3</c:v>
                </c:pt>
                <c:pt idx="29" formatCode="#\ ##0.##########">
                  <c:v>21.1</c:v>
                </c:pt>
                <c:pt idx="30" formatCode="#\ ##0.##########">
                  <c:v>19.3</c:v>
                </c:pt>
                <c:pt idx="31" formatCode="#\ ##0.##########">
                  <c:v>20.6</c:v>
                </c:pt>
                <c:pt idx="32" formatCode="#\ ##0.##########">
                  <c:v>31.9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679E-49E6-8ED5-57CF2C2ACC39}"/>
            </c:ext>
          </c:extLst>
        </c:ser>
        <c:ser>
          <c:idx val="5"/>
          <c:order val="5"/>
          <c:tx>
            <c:strRef>
              <c:f>'výkonnost odvětví 3'!$AC$10</c:f>
              <c:strCache>
                <c:ptCount val="1"/>
                <c:pt idx="0">
                  <c:v>Bariéra růstu: nedostatek pracovníků</c:v>
                </c:pt>
              </c:strCache>
            </c:strRef>
          </c:tx>
          <c:spPr>
            <a:ln w="15875">
              <a:solidFill>
                <a:srgbClr val="00B050"/>
              </a:solidFill>
              <a:prstDash val="solid"/>
            </a:ln>
          </c:spPr>
          <c:marker>
            <c:symbol val="none"/>
          </c:marker>
          <c:cat>
            <c:multiLvlStrRef>
              <c:f>'výkonnost odvětví 3'!$V$31:$W$63</c:f>
              <c:multiLvlStrCache>
                <c:ptCount val="3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'výkonnost odvětví 3'!$AC$31:$AC$63</c:f>
              <c:numCache>
                <c:formatCode>#\ ##0.0</c:formatCode>
                <c:ptCount val="33"/>
                <c:pt idx="0">
                  <c:v>8.3000000000000007</c:v>
                </c:pt>
                <c:pt idx="1">
                  <c:v>8.1</c:v>
                </c:pt>
                <c:pt idx="2">
                  <c:v>6.1</c:v>
                </c:pt>
                <c:pt idx="3">
                  <c:v>6</c:v>
                </c:pt>
                <c:pt idx="4">
                  <c:v>6.5</c:v>
                </c:pt>
                <c:pt idx="5">
                  <c:v>7.2</c:v>
                </c:pt>
                <c:pt idx="6">
                  <c:v>7</c:v>
                </c:pt>
                <c:pt idx="7">
                  <c:v>10.4</c:v>
                </c:pt>
                <c:pt idx="8">
                  <c:v>14</c:v>
                </c:pt>
                <c:pt idx="9">
                  <c:v>14.8</c:v>
                </c:pt>
                <c:pt idx="10">
                  <c:v>21.4</c:v>
                </c:pt>
                <c:pt idx="11">
                  <c:v>21.1</c:v>
                </c:pt>
                <c:pt idx="12">
                  <c:v>27.3</c:v>
                </c:pt>
                <c:pt idx="13">
                  <c:v>30.1</c:v>
                </c:pt>
                <c:pt idx="14">
                  <c:v>28.1</c:v>
                </c:pt>
                <c:pt idx="15">
                  <c:v>38.200000000000003</c:v>
                </c:pt>
                <c:pt idx="16">
                  <c:v>36.9</c:v>
                </c:pt>
                <c:pt idx="17">
                  <c:v>43.4</c:v>
                </c:pt>
                <c:pt idx="18">
                  <c:v>49.6</c:v>
                </c:pt>
                <c:pt idx="19">
                  <c:v>46.2</c:v>
                </c:pt>
                <c:pt idx="20">
                  <c:v>52.5</c:v>
                </c:pt>
                <c:pt idx="21">
                  <c:v>46</c:v>
                </c:pt>
                <c:pt idx="22">
                  <c:v>35.300000000000004</c:v>
                </c:pt>
                <c:pt idx="23" formatCode="0.0">
                  <c:v>31.9</c:v>
                </c:pt>
                <c:pt idx="24">
                  <c:v>48.6</c:v>
                </c:pt>
                <c:pt idx="25">
                  <c:v>31.6</c:v>
                </c:pt>
                <c:pt idx="26">
                  <c:v>40.700000000000003</c:v>
                </c:pt>
                <c:pt idx="27">
                  <c:v>42</c:v>
                </c:pt>
                <c:pt idx="28">
                  <c:v>58</c:v>
                </c:pt>
                <c:pt idx="29" formatCode="#\ ##0.##########">
                  <c:v>44.4</c:v>
                </c:pt>
                <c:pt idx="30">
                  <c:v>39</c:v>
                </c:pt>
                <c:pt idx="31" formatCode="#\ ##0.##########">
                  <c:v>46.8</c:v>
                </c:pt>
                <c:pt idx="32" formatCode="#\ ##0.##########">
                  <c:v>40.1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679E-49E6-8ED5-57CF2C2ACC39}"/>
            </c:ext>
          </c:extLst>
        </c:ser>
        <c:ser>
          <c:idx val="6"/>
          <c:order val="6"/>
          <c:tx>
            <c:strRef>
              <c:f>'výkonnost odvětví 3'!$AD$10</c:f>
              <c:strCache>
                <c:ptCount val="1"/>
                <c:pt idx="0">
                  <c:v>Bariéra růstu: nedost. materiálu a vybavení</c:v>
                </c:pt>
              </c:strCache>
            </c:strRef>
          </c:tx>
          <c:spPr>
            <a:ln w="15875">
              <a:solidFill>
                <a:srgbClr val="00B050"/>
              </a:solidFill>
              <a:prstDash val="sysDash"/>
            </a:ln>
          </c:spPr>
          <c:marker>
            <c:symbol val="none"/>
          </c:marker>
          <c:cat>
            <c:multiLvlStrRef>
              <c:f>'výkonnost odvětví 3'!$V$31:$W$63</c:f>
              <c:multiLvlStrCache>
                <c:ptCount val="3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'výkonnost odvětví 3'!$AD$31:$AD$63</c:f>
              <c:numCache>
                <c:formatCode>#\ ##0.0</c:formatCode>
                <c:ptCount val="33"/>
                <c:pt idx="0">
                  <c:v>0.1</c:v>
                </c:pt>
                <c:pt idx="1">
                  <c:v>0.4</c:v>
                </c:pt>
                <c:pt idx="2">
                  <c:v>4</c:v>
                </c:pt>
                <c:pt idx="3">
                  <c:v>0.5</c:v>
                </c:pt>
                <c:pt idx="4">
                  <c:v>0.4</c:v>
                </c:pt>
                <c:pt idx="5">
                  <c:v>0.5</c:v>
                </c:pt>
                <c:pt idx="6">
                  <c:v>0.5</c:v>
                </c:pt>
                <c:pt idx="7">
                  <c:v>1.5</c:v>
                </c:pt>
                <c:pt idx="8">
                  <c:v>0.30000000000000021</c:v>
                </c:pt>
                <c:pt idx="9">
                  <c:v>0.30000000000000021</c:v>
                </c:pt>
                <c:pt idx="10">
                  <c:v>3.3</c:v>
                </c:pt>
                <c:pt idx="11">
                  <c:v>4.2</c:v>
                </c:pt>
                <c:pt idx="12">
                  <c:v>5.5</c:v>
                </c:pt>
                <c:pt idx="13">
                  <c:v>1.2</c:v>
                </c:pt>
                <c:pt idx="14">
                  <c:v>6.8</c:v>
                </c:pt>
                <c:pt idx="15">
                  <c:v>3.5</c:v>
                </c:pt>
                <c:pt idx="16">
                  <c:v>4.3</c:v>
                </c:pt>
                <c:pt idx="17">
                  <c:v>5.7</c:v>
                </c:pt>
                <c:pt idx="18">
                  <c:v>5.3</c:v>
                </c:pt>
                <c:pt idx="19">
                  <c:v>4</c:v>
                </c:pt>
                <c:pt idx="20">
                  <c:v>1.9000000000000001</c:v>
                </c:pt>
                <c:pt idx="21">
                  <c:v>3.4</c:v>
                </c:pt>
                <c:pt idx="22">
                  <c:v>1.3</c:v>
                </c:pt>
                <c:pt idx="23">
                  <c:v>0.8</c:v>
                </c:pt>
                <c:pt idx="24">
                  <c:v>1.3</c:v>
                </c:pt>
                <c:pt idx="25">
                  <c:v>4.3</c:v>
                </c:pt>
                <c:pt idx="26">
                  <c:v>16.3</c:v>
                </c:pt>
                <c:pt idx="27" formatCode="#\ ##0.##########">
                  <c:v>22.8</c:v>
                </c:pt>
                <c:pt idx="28" formatCode="#\ ##0.##########">
                  <c:v>24.7</c:v>
                </c:pt>
                <c:pt idx="29" formatCode="#\ ##0.##########">
                  <c:v>41.3</c:v>
                </c:pt>
                <c:pt idx="30" formatCode="#\ ##0.##########">
                  <c:v>38.6</c:v>
                </c:pt>
                <c:pt idx="31" formatCode="#\ ##0.##########">
                  <c:v>23.4</c:v>
                </c:pt>
                <c:pt idx="32" formatCode="#\ ##0.##########">
                  <c:v>19.5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679E-49E6-8ED5-57CF2C2ACC39}"/>
            </c:ext>
          </c:extLst>
        </c:ser>
        <c:ser>
          <c:idx val="7"/>
          <c:order val="7"/>
          <c:tx>
            <c:strRef>
              <c:f>'výkonnost odvětví 3'!$AE$10</c:f>
              <c:strCache>
                <c:ptCount val="1"/>
                <c:pt idx="0">
                  <c:v>Saldo indikátoru důvěry ve stavebnictví</c:v>
                </c:pt>
              </c:strCache>
            </c:strRef>
          </c:tx>
          <c:spPr>
            <a:ln w="15875">
              <a:solidFill>
                <a:schemeClr val="bg1">
                  <a:lumMod val="65000"/>
                </a:schemeClr>
              </a:solidFill>
              <a:prstDash val="sysDot"/>
            </a:ln>
          </c:spPr>
          <c:marker>
            <c:symbol val="circle"/>
            <c:size val="5"/>
            <c:spPr>
              <a:solidFill>
                <a:srgbClr val="FFFF00"/>
              </a:solidFill>
              <a:ln>
                <a:solidFill>
                  <a:schemeClr val="tx1">
                    <a:lumMod val="50000"/>
                    <a:lumOff val="50000"/>
                  </a:schemeClr>
                </a:solidFill>
              </a:ln>
            </c:spPr>
          </c:marker>
          <c:cat>
            <c:multiLvlStrRef>
              <c:f>'výkonnost odvětví 3'!$V$31:$W$63</c:f>
              <c:multiLvlStrCache>
                <c:ptCount val="3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'výkonnost odvětví 3'!$AE$31:$AE$63</c:f>
              <c:numCache>
                <c:formatCode>0.0</c:formatCode>
                <c:ptCount val="33"/>
                <c:pt idx="0">
                  <c:v>-21</c:v>
                </c:pt>
                <c:pt idx="1">
                  <c:v>-16</c:v>
                </c:pt>
                <c:pt idx="2">
                  <c:v>-20</c:v>
                </c:pt>
                <c:pt idx="3">
                  <c:v>-14.5</c:v>
                </c:pt>
                <c:pt idx="4">
                  <c:v>-14.5</c:v>
                </c:pt>
                <c:pt idx="5">
                  <c:v>-25.5</c:v>
                </c:pt>
                <c:pt idx="6">
                  <c:v>-24.5</c:v>
                </c:pt>
                <c:pt idx="7">
                  <c:v>-23</c:v>
                </c:pt>
                <c:pt idx="8">
                  <c:v>-22.5</c:v>
                </c:pt>
                <c:pt idx="9">
                  <c:v>-24.5</c:v>
                </c:pt>
                <c:pt idx="10">
                  <c:v>-18.5</c:v>
                </c:pt>
                <c:pt idx="11">
                  <c:v>-15</c:v>
                </c:pt>
                <c:pt idx="12">
                  <c:v>-9</c:v>
                </c:pt>
                <c:pt idx="13">
                  <c:v>-6</c:v>
                </c:pt>
                <c:pt idx="14">
                  <c:v>-2</c:v>
                </c:pt>
                <c:pt idx="15">
                  <c:v>1</c:v>
                </c:pt>
                <c:pt idx="16">
                  <c:v>3.5</c:v>
                </c:pt>
                <c:pt idx="17">
                  <c:v>4</c:v>
                </c:pt>
                <c:pt idx="18">
                  <c:v>-1</c:v>
                </c:pt>
                <c:pt idx="19">
                  <c:v>1</c:v>
                </c:pt>
                <c:pt idx="20">
                  <c:v>-3</c:v>
                </c:pt>
                <c:pt idx="21">
                  <c:v>-15</c:v>
                </c:pt>
                <c:pt idx="22">
                  <c:v>-13</c:v>
                </c:pt>
                <c:pt idx="23">
                  <c:v>-11.5</c:v>
                </c:pt>
                <c:pt idx="24">
                  <c:v>-6</c:v>
                </c:pt>
                <c:pt idx="25">
                  <c:v>-5.5</c:v>
                </c:pt>
                <c:pt idx="26">
                  <c:v>-4.5</c:v>
                </c:pt>
                <c:pt idx="27">
                  <c:v>-6.5</c:v>
                </c:pt>
                <c:pt idx="28">
                  <c:v>6.5</c:v>
                </c:pt>
                <c:pt idx="29">
                  <c:v>-2</c:v>
                </c:pt>
                <c:pt idx="30">
                  <c:v>-9</c:v>
                </c:pt>
                <c:pt idx="31">
                  <c:v>-4.5</c:v>
                </c:pt>
                <c:pt idx="32">
                  <c:v>-11.5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679E-49E6-8ED5-57CF2C2ACC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9612672"/>
        <c:axId val="69610496"/>
      </c:lineChart>
      <c:catAx>
        <c:axId val="69602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cs-CZ"/>
          </a:p>
        </c:txPr>
        <c:crossAx val="69608576"/>
        <c:crosses val="autoZero"/>
        <c:auto val="1"/>
        <c:lblAlgn val="ctr"/>
        <c:lblOffset val="0"/>
        <c:noMultiLvlLbl val="0"/>
      </c:catAx>
      <c:valAx>
        <c:axId val="69608576"/>
        <c:scaling>
          <c:orientation val="minMax"/>
          <c:max val="80"/>
          <c:min val="-20"/>
        </c:scaling>
        <c:delete val="0"/>
        <c:axPos val="l"/>
        <c:majorGridlines>
          <c:spPr>
            <a:ln>
              <a:solidFill>
                <a:srgbClr val="BEBEBE"/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700" b="0" i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r>
                  <a:rPr lang="cs-CZ" sz="700" b="0" i="1">
                    <a:latin typeface="Arial" panose="020B0604020202020204" pitchFamily="34" charset="0"/>
                    <a:cs typeface="Arial" panose="020B0604020202020204" pitchFamily="34" charset="0"/>
                  </a:rPr>
                  <a:t>Zakázky, příspěvky k změně stavební produkce</a:t>
                </a:r>
              </a:p>
            </c:rich>
          </c:tx>
          <c:overlay val="0"/>
        </c:title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cs-CZ"/>
          </a:p>
        </c:txPr>
        <c:crossAx val="69602304"/>
        <c:crosses val="autoZero"/>
        <c:crossBetween val="between"/>
        <c:majorUnit val="10"/>
      </c:valAx>
      <c:valAx>
        <c:axId val="69610496"/>
        <c:scaling>
          <c:orientation val="minMax"/>
          <c:max val="100"/>
          <c:min val="-100"/>
        </c:scaling>
        <c:delete val="0"/>
        <c:axPos val="r"/>
        <c:title>
          <c:tx>
            <c:rich>
              <a:bodyPr/>
              <a:lstStyle/>
              <a:p>
                <a:pPr>
                  <a:defRPr sz="700" b="0" i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r>
                  <a:rPr lang="cs-CZ" sz="700" b="0" i="1">
                    <a:latin typeface="Arial" panose="020B0604020202020204" pitchFamily="34" charset="0"/>
                    <a:cs typeface="Arial" panose="020B0604020202020204" pitchFamily="34" charset="0"/>
                  </a:rPr>
                  <a:t>Saldo důvěry, bariéry růstu</a:t>
                </a:r>
              </a:p>
            </c:rich>
          </c:tx>
          <c:overlay val="0"/>
        </c:title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cs-CZ"/>
          </a:p>
        </c:txPr>
        <c:crossAx val="69612672"/>
        <c:crosses val="max"/>
        <c:crossBetween val="between"/>
        <c:majorUnit val="20"/>
      </c:valAx>
      <c:catAx>
        <c:axId val="6961267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69610496"/>
        <c:crosses val="autoZero"/>
        <c:auto val="1"/>
        <c:lblAlgn val="ctr"/>
        <c:lblOffset val="100"/>
        <c:noMultiLvlLbl val="0"/>
      </c:catAx>
      <c:spPr>
        <a:noFill/>
        <a:ln w="6350">
          <a:solidFill>
            <a:prstClr val="black">
              <a:lumMod val="95000"/>
              <a:lumOff val="5000"/>
            </a:prstClr>
          </a:solidFill>
        </a:ln>
      </c:spPr>
    </c:plotArea>
    <c:legend>
      <c:legendPos val="r"/>
      <c:layout>
        <c:manualLayout>
          <c:xMode val="edge"/>
          <c:yMode val="edge"/>
          <c:x val="1.8499319708759499E-2"/>
          <c:y val="0.85936703322638652"/>
          <c:w val="0.96925714241885441"/>
          <c:h val="0.13362821778942569"/>
        </c:manualLayout>
      </c:layout>
      <c:overlay val="0"/>
      <c:spPr>
        <a:ln w="6350">
          <a:solidFill>
            <a:prstClr val="black">
              <a:lumMod val="95000"/>
              <a:lumOff val="5000"/>
            </a:prstClr>
          </a:solidFill>
        </a:ln>
      </c:spPr>
      <c:txPr>
        <a:bodyPr/>
        <a:lstStyle/>
        <a:p>
          <a:pPr>
            <a:defRPr sz="750">
              <a:latin typeface="Arial" pitchFamily="34" charset="0"/>
              <a:cs typeface="Arial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0426691729323407E-2"/>
          <c:y val="1.5803328678987472E-2"/>
          <c:w val="0.85048169060633572"/>
          <c:h val="0.69902590308489521"/>
        </c:manualLayout>
      </c:layout>
      <c:barChart>
        <c:barDir val="col"/>
        <c:grouping val="stacked"/>
        <c:varyColors val="0"/>
        <c:ser>
          <c:idx val="0"/>
          <c:order val="1"/>
          <c:tx>
            <c:strRef>
              <c:f>'Služby-příspěvkyk růstu-4'!$D$33</c:f>
              <c:strCache>
                <c:ptCount val="1"/>
                <c:pt idx="0">
                  <c:v>Doprava a skladování (p. b.)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</c:spPr>
          <c:invertIfNegative val="0"/>
          <c:cat>
            <c:multiLvlStrRef>
              <c:f>'Služby-příspěvkyk růstu-4'!$A$46:$B$78</c:f>
              <c:multiLvlStrCache>
                <c:ptCount val="3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'Služby-příspěvkyk růstu-4'!$D$46:$D$78</c:f>
              <c:numCache>
                <c:formatCode>0.0</c:formatCode>
                <c:ptCount val="33"/>
                <c:pt idx="0">
                  <c:v>0.17627373165999941</c:v>
                </c:pt>
                <c:pt idx="1">
                  <c:v>-4.1398260783598463E-2</c:v>
                </c:pt>
                <c:pt idx="2">
                  <c:v>0.20127676583260184</c:v>
                </c:pt>
                <c:pt idx="3">
                  <c:v>4.2331882175001882E-2</c:v>
                </c:pt>
                <c:pt idx="4">
                  <c:v>0.2604828945619988</c:v>
                </c:pt>
                <c:pt idx="5">
                  <c:v>0.20044719477909842</c:v>
                </c:pt>
                <c:pt idx="6">
                  <c:v>0.14004615678000049</c:v>
                </c:pt>
                <c:pt idx="7">
                  <c:v>0.86059283114800145</c:v>
                </c:pt>
                <c:pt idx="8">
                  <c:v>1.6559965627289979</c:v>
                </c:pt>
                <c:pt idx="9">
                  <c:v>1.0934548874629979</c:v>
                </c:pt>
                <c:pt idx="10">
                  <c:v>1.1374484601479997</c:v>
                </c:pt>
                <c:pt idx="11">
                  <c:v>0.6047080971790002</c:v>
                </c:pt>
                <c:pt idx="12">
                  <c:v>1.7518533558900002</c:v>
                </c:pt>
                <c:pt idx="13">
                  <c:v>1.9191714775479998</c:v>
                </c:pt>
                <c:pt idx="14">
                  <c:v>1.4689069805629977</c:v>
                </c:pt>
                <c:pt idx="15">
                  <c:v>0.49822211685500067</c:v>
                </c:pt>
                <c:pt idx="16">
                  <c:v>0.75210969494300184</c:v>
                </c:pt>
                <c:pt idx="17">
                  <c:v>-7.8943058121998602E-2</c:v>
                </c:pt>
                <c:pt idx="18">
                  <c:v>-0.6761559609970017</c:v>
                </c:pt>
                <c:pt idx="19">
                  <c:v>-0.53883087511919914</c:v>
                </c:pt>
                <c:pt idx="20">
                  <c:v>-1.7873099078691983</c:v>
                </c:pt>
                <c:pt idx="21">
                  <c:v>-6.8790162520431002</c:v>
                </c:pt>
                <c:pt idx="22">
                  <c:v>-4.215675848624997</c:v>
                </c:pt>
                <c:pt idx="23">
                  <c:v>-1.7596921701599983</c:v>
                </c:pt>
                <c:pt idx="24">
                  <c:v>-0.1501713878405998</c:v>
                </c:pt>
                <c:pt idx="25">
                  <c:v>6.9506599035744037</c:v>
                </c:pt>
                <c:pt idx="26">
                  <c:v>4.0996709945155994</c:v>
                </c:pt>
                <c:pt idx="27">
                  <c:v>4.5444705336066278</c:v>
                </c:pt>
                <c:pt idx="28">
                  <c:v>4.6409021990874102</c:v>
                </c:pt>
                <c:pt idx="29">
                  <c:v>4.7982665196474699</c:v>
                </c:pt>
                <c:pt idx="30">
                  <c:v>3.7712235020789051</c:v>
                </c:pt>
                <c:pt idx="31">
                  <c:v>-0.10353535826759964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962-4907-BBF4-F202050585F3}"/>
            </c:ext>
          </c:extLst>
        </c:ser>
        <c:ser>
          <c:idx val="1"/>
          <c:order val="2"/>
          <c:tx>
            <c:strRef>
              <c:f>'Služby-příspěvkyk růstu-4'!$E$33</c:f>
              <c:strCache>
                <c:ptCount val="1"/>
                <c:pt idx="0">
                  <c:v>Ubytování, stravování a pohostinství (p. b.)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</c:spPr>
          <c:invertIfNegative val="0"/>
          <c:cat>
            <c:multiLvlStrRef>
              <c:f>'Služby-příspěvkyk růstu-4'!$A$46:$B$78</c:f>
              <c:multiLvlStrCache>
                <c:ptCount val="3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'Služby-příspěvkyk růstu-4'!$E$46:$E$78</c:f>
              <c:numCache>
                <c:formatCode>0.0</c:formatCode>
                <c:ptCount val="33"/>
                <c:pt idx="0">
                  <c:v>0.23064326026020021</c:v>
                </c:pt>
                <c:pt idx="1">
                  <c:v>0.65490030172000013</c:v>
                </c:pt>
                <c:pt idx="2">
                  <c:v>0.65615704203699965</c:v>
                </c:pt>
                <c:pt idx="3">
                  <c:v>0.40198126828160052</c:v>
                </c:pt>
                <c:pt idx="4">
                  <c:v>0.47264498177679992</c:v>
                </c:pt>
                <c:pt idx="5">
                  <c:v>0.16809598308499987</c:v>
                </c:pt>
                <c:pt idx="6">
                  <c:v>0.5678502803826001</c:v>
                </c:pt>
                <c:pt idx="7">
                  <c:v>0.60026021753880121</c:v>
                </c:pt>
                <c:pt idx="8">
                  <c:v>0.90716175756749962</c:v>
                </c:pt>
                <c:pt idx="9">
                  <c:v>1.2351843183735998</c:v>
                </c:pt>
                <c:pt idx="10">
                  <c:v>0.55372633890920031</c:v>
                </c:pt>
                <c:pt idx="11">
                  <c:v>0.45414701226059939</c:v>
                </c:pt>
                <c:pt idx="12">
                  <c:v>0.20562277238639989</c:v>
                </c:pt>
                <c:pt idx="13">
                  <c:v>4.6481198053399876E-2</c:v>
                </c:pt>
                <c:pt idx="14">
                  <c:v>5.8790755202600173E-2</c:v>
                </c:pt>
                <c:pt idx="15">
                  <c:v>-3.8611122396599751E-2</c:v>
                </c:pt>
                <c:pt idx="16">
                  <c:v>0.19877668230760023</c:v>
                </c:pt>
                <c:pt idx="17">
                  <c:v>0.19106550885020049</c:v>
                </c:pt>
                <c:pt idx="18">
                  <c:v>-2.1031638824599935E-2</c:v>
                </c:pt>
                <c:pt idx="19">
                  <c:v>-1.8881872245599843E-2</c:v>
                </c:pt>
                <c:pt idx="20">
                  <c:v>-1.1578648579121602</c:v>
                </c:pt>
                <c:pt idx="21">
                  <c:v>-4.9674966649835008</c:v>
                </c:pt>
                <c:pt idx="22">
                  <c:v>-1.9520417393251039</c:v>
                </c:pt>
                <c:pt idx="23">
                  <c:v>-4.5017067627894276</c:v>
                </c:pt>
                <c:pt idx="24">
                  <c:v>-3.6933845036437498</c:v>
                </c:pt>
                <c:pt idx="25">
                  <c:v>1.3724082127149841</c:v>
                </c:pt>
                <c:pt idx="26">
                  <c:v>0.6361791628575002</c:v>
                </c:pt>
                <c:pt idx="27">
                  <c:v>2.8391165022808131</c:v>
                </c:pt>
                <c:pt idx="28">
                  <c:v>2.9560910977845003</c:v>
                </c:pt>
                <c:pt idx="29">
                  <c:v>2.6813527792266059</c:v>
                </c:pt>
                <c:pt idx="30">
                  <c:v>-0.42127815127457607</c:v>
                </c:pt>
                <c:pt idx="31">
                  <c:v>0.60069715770430021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962-4907-BBF4-F202050585F3}"/>
            </c:ext>
          </c:extLst>
        </c:ser>
        <c:ser>
          <c:idx val="2"/>
          <c:order val="3"/>
          <c:tx>
            <c:strRef>
              <c:f>'Služby-příspěvkyk růstu-4'!$F$33</c:f>
              <c:strCache>
                <c:ptCount val="1"/>
                <c:pt idx="0">
                  <c:v>Informační a komunikační činnosti (p. b.)</c:v>
                </c:pt>
              </c:strCache>
            </c:strRef>
          </c:tx>
          <c:spPr>
            <a:solidFill>
              <a:srgbClr val="E6E100"/>
            </a:solidFill>
            <a:ln>
              <a:noFill/>
            </a:ln>
          </c:spPr>
          <c:invertIfNegative val="0"/>
          <c:cat>
            <c:multiLvlStrRef>
              <c:f>'Služby-příspěvkyk růstu-4'!$A$46:$B$78</c:f>
              <c:multiLvlStrCache>
                <c:ptCount val="3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'Služby-příspěvkyk růstu-4'!$F$46:$F$78</c:f>
              <c:numCache>
                <c:formatCode>0.0</c:formatCode>
                <c:ptCount val="33"/>
                <c:pt idx="0">
                  <c:v>1.4083798915137009</c:v>
                </c:pt>
                <c:pt idx="1">
                  <c:v>0.82540650715499952</c:v>
                </c:pt>
                <c:pt idx="2">
                  <c:v>0.80424272675400077</c:v>
                </c:pt>
                <c:pt idx="3">
                  <c:v>1.3174140502479983</c:v>
                </c:pt>
                <c:pt idx="4">
                  <c:v>0.35985664064800132</c:v>
                </c:pt>
                <c:pt idx="5">
                  <c:v>0.15751383681999892</c:v>
                </c:pt>
                <c:pt idx="6">
                  <c:v>0.32598498922400015</c:v>
                </c:pt>
                <c:pt idx="7">
                  <c:v>0.17761340848900078</c:v>
                </c:pt>
                <c:pt idx="8">
                  <c:v>0.76438636704000096</c:v>
                </c:pt>
                <c:pt idx="9">
                  <c:v>0.98207704425299891</c:v>
                </c:pt>
                <c:pt idx="10">
                  <c:v>0.77093881661000241</c:v>
                </c:pt>
                <c:pt idx="11">
                  <c:v>0.58294315828299859</c:v>
                </c:pt>
                <c:pt idx="12">
                  <c:v>1.4398200028309982</c:v>
                </c:pt>
                <c:pt idx="13">
                  <c:v>0.76531943813199965</c:v>
                </c:pt>
                <c:pt idx="14">
                  <c:v>1.415831001736001</c:v>
                </c:pt>
                <c:pt idx="15">
                  <c:v>0.98684323348800185</c:v>
                </c:pt>
                <c:pt idx="16">
                  <c:v>1.2348474246799996</c:v>
                </c:pt>
                <c:pt idx="17">
                  <c:v>1.1603884990620001</c:v>
                </c:pt>
                <c:pt idx="18">
                  <c:v>0.91591834325400012</c:v>
                </c:pt>
                <c:pt idx="19">
                  <c:v>1.1621880049516025</c:v>
                </c:pt>
                <c:pt idx="20">
                  <c:v>0.8191341781949999</c:v>
                </c:pt>
                <c:pt idx="21">
                  <c:v>1.3223529237600385E-2</c:v>
                </c:pt>
                <c:pt idx="22">
                  <c:v>-0.20840783961800002</c:v>
                </c:pt>
                <c:pt idx="23">
                  <c:v>-0.54142483054800206</c:v>
                </c:pt>
                <c:pt idx="24">
                  <c:v>0.71316924858200104</c:v>
                </c:pt>
                <c:pt idx="25">
                  <c:v>1.5486406955901642</c:v>
                </c:pt>
                <c:pt idx="26">
                  <c:v>1.4405780988855996</c:v>
                </c:pt>
                <c:pt idx="27">
                  <c:v>1.9065499671602741</c:v>
                </c:pt>
                <c:pt idx="28">
                  <c:v>1.4244171805708015</c:v>
                </c:pt>
                <c:pt idx="29">
                  <c:v>0.86601556785599998</c:v>
                </c:pt>
                <c:pt idx="30">
                  <c:v>0.69557852668386988</c:v>
                </c:pt>
                <c:pt idx="31">
                  <c:v>0.23404973529411641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962-4907-BBF4-F202050585F3}"/>
            </c:ext>
          </c:extLst>
        </c:ser>
        <c:ser>
          <c:idx val="4"/>
          <c:order val="4"/>
          <c:tx>
            <c:strRef>
              <c:f>'Služby-příspěvkyk růstu-4'!$G$33</c:f>
              <c:strCache>
                <c:ptCount val="1"/>
                <c:pt idx="0">
                  <c:v>Činnosti v oblasti nemovitostí (p. b.)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ln>
              <a:noFill/>
              <a:prstDash val="sysDash"/>
            </a:ln>
          </c:spPr>
          <c:invertIfNegative val="0"/>
          <c:cat>
            <c:multiLvlStrRef>
              <c:f>'Služby-příspěvkyk růstu-4'!$A$46:$B$78</c:f>
              <c:multiLvlStrCache>
                <c:ptCount val="3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'Služby-příspěvkyk růstu-4'!$G$46:$G$78</c:f>
              <c:numCache>
                <c:formatCode>0.0</c:formatCode>
                <c:ptCount val="33"/>
                <c:pt idx="0">
                  <c:v>4.7588818498199952E-2</c:v>
                </c:pt>
                <c:pt idx="1">
                  <c:v>-7.3007550905993838E-3</c:v>
                </c:pt>
                <c:pt idx="2">
                  <c:v>0.12810762983039936</c:v>
                </c:pt>
                <c:pt idx="3">
                  <c:v>2.4617916117599486E-2</c:v>
                </c:pt>
                <c:pt idx="4">
                  <c:v>0.25752090895740026</c:v>
                </c:pt>
                <c:pt idx="5">
                  <c:v>-4.2228184845005514E-3</c:v>
                </c:pt>
                <c:pt idx="6">
                  <c:v>0.14993183101380081</c:v>
                </c:pt>
                <c:pt idx="7">
                  <c:v>-6.6530028186599505E-2</c:v>
                </c:pt>
                <c:pt idx="8">
                  <c:v>0.20977398058900038</c:v>
                </c:pt>
                <c:pt idx="9">
                  <c:v>0.44953617213779962</c:v>
                </c:pt>
                <c:pt idx="10">
                  <c:v>-2.2338348474500516E-2</c:v>
                </c:pt>
                <c:pt idx="11">
                  <c:v>0.13984723093740006</c:v>
                </c:pt>
                <c:pt idx="12">
                  <c:v>2.6966101253399585E-2</c:v>
                </c:pt>
                <c:pt idx="13">
                  <c:v>-0.24884766500039987</c:v>
                </c:pt>
                <c:pt idx="14">
                  <c:v>-0.12645184379759991</c:v>
                </c:pt>
                <c:pt idx="15">
                  <c:v>-0.22378801642200064</c:v>
                </c:pt>
                <c:pt idx="16">
                  <c:v>0.14753986907940037</c:v>
                </c:pt>
                <c:pt idx="17">
                  <c:v>-7.3797086292003737E-3</c:v>
                </c:pt>
                <c:pt idx="18">
                  <c:v>-0.23287434101939941</c:v>
                </c:pt>
                <c:pt idx="19">
                  <c:v>-0.1014703732620004</c:v>
                </c:pt>
                <c:pt idx="20">
                  <c:v>0.42431890762080116</c:v>
                </c:pt>
                <c:pt idx="21">
                  <c:v>-0.29919163957060046</c:v>
                </c:pt>
                <c:pt idx="22">
                  <c:v>-0.26426338474666694</c:v>
                </c:pt>
                <c:pt idx="23">
                  <c:v>-0.23118426949069976</c:v>
                </c:pt>
                <c:pt idx="24">
                  <c:v>-0.20085438476490081</c:v>
                </c:pt>
                <c:pt idx="25">
                  <c:v>0.43434705815385066</c:v>
                </c:pt>
                <c:pt idx="26">
                  <c:v>2.9423998310004183E-3</c:v>
                </c:pt>
                <c:pt idx="27">
                  <c:v>0.23837123738399993</c:v>
                </c:pt>
                <c:pt idx="28">
                  <c:v>0.9322155451648001</c:v>
                </c:pt>
                <c:pt idx="29">
                  <c:v>0.47129681106399984</c:v>
                </c:pt>
                <c:pt idx="30">
                  <c:v>0.24123096528157922</c:v>
                </c:pt>
                <c:pt idx="31">
                  <c:v>0.36200260791666655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962-4907-BBF4-F202050585F3}"/>
            </c:ext>
          </c:extLst>
        </c:ser>
        <c:ser>
          <c:idx val="5"/>
          <c:order val="5"/>
          <c:tx>
            <c:strRef>
              <c:f>'Služby-příspěvkyk růstu-4'!$H$33</c:f>
              <c:strCache>
                <c:ptCount val="1"/>
                <c:pt idx="0">
                  <c:v>Profesní, vědecké a technické činnosti (p. b.)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</c:spPr>
          <c:invertIfNegative val="0"/>
          <c:cat>
            <c:multiLvlStrRef>
              <c:f>'Služby-příspěvkyk růstu-4'!$A$46:$B$78</c:f>
              <c:multiLvlStrCache>
                <c:ptCount val="3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'Služby-příspěvkyk růstu-4'!$H$46:$H$78</c:f>
              <c:numCache>
                <c:formatCode>0.0</c:formatCode>
                <c:ptCount val="33"/>
                <c:pt idx="0">
                  <c:v>1.0468505532869989</c:v>
                </c:pt>
                <c:pt idx="1">
                  <c:v>0.72007462620000018</c:v>
                </c:pt>
                <c:pt idx="2">
                  <c:v>1.0906393004399992</c:v>
                </c:pt>
                <c:pt idx="3">
                  <c:v>-4.2990021238901457E-2</c:v>
                </c:pt>
                <c:pt idx="4">
                  <c:v>-0.43098075353700138</c:v>
                </c:pt>
                <c:pt idx="5">
                  <c:v>-1.3389465804999978</c:v>
                </c:pt>
                <c:pt idx="6">
                  <c:v>3.0728374200130306E-4</c:v>
                </c:pt>
                <c:pt idx="7">
                  <c:v>-0.31210716654949933</c:v>
                </c:pt>
                <c:pt idx="8">
                  <c:v>0.95807798756000062</c:v>
                </c:pt>
                <c:pt idx="9">
                  <c:v>0.5944783948877993</c:v>
                </c:pt>
                <c:pt idx="10">
                  <c:v>0.30863690562090024</c:v>
                </c:pt>
                <c:pt idx="11">
                  <c:v>0.42814590144940107</c:v>
                </c:pt>
                <c:pt idx="12">
                  <c:v>1.0521629274264996</c:v>
                </c:pt>
                <c:pt idx="13">
                  <c:v>0.5501113250554992</c:v>
                </c:pt>
                <c:pt idx="14">
                  <c:v>0.3596254694963989</c:v>
                </c:pt>
                <c:pt idx="15">
                  <c:v>-0.26680052765060164</c:v>
                </c:pt>
                <c:pt idx="16">
                  <c:v>0.7098884861869007</c:v>
                </c:pt>
                <c:pt idx="17">
                  <c:v>0.5915662586714</c:v>
                </c:pt>
                <c:pt idx="18">
                  <c:v>-0.7775404471821008</c:v>
                </c:pt>
                <c:pt idx="19">
                  <c:v>-0.56889162352000056</c:v>
                </c:pt>
                <c:pt idx="20">
                  <c:v>-0.86298756252779962</c:v>
                </c:pt>
                <c:pt idx="21">
                  <c:v>-3.1826786933129987</c:v>
                </c:pt>
                <c:pt idx="22">
                  <c:v>-1.4951268594295071</c:v>
                </c:pt>
                <c:pt idx="23">
                  <c:v>-1.5495215129057986</c:v>
                </c:pt>
                <c:pt idx="24">
                  <c:v>-1.5897570854689647</c:v>
                </c:pt>
                <c:pt idx="25">
                  <c:v>2.7177633580318035</c:v>
                </c:pt>
                <c:pt idx="26">
                  <c:v>1.7630975025485993</c:v>
                </c:pt>
                <c:pt idx="27">
                  <c:v>2.0930310136979391</c:v>
                </c:pt>
                <c:pt idx="28">
                  <c:v>2.2712332019112011</c:v>
                </c:pt>
                <c:pt idx="29">
                  <c:v>1.2345356208000011</c:v>
                </c:pt>
                <c:pt idx="30">
                  <c:v>1.0042919833478259</c:v>
                </c:pt>
                <c:pt idx="31">
                  <c:v>3.0320654721429776E-2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962-4907-BBF4-F202050585F3}"/>
            </c:ext>
          </c:extLst>
        </c:ser>
        <c:ser>
          <c:idx val="6"/>
          <c:order val="6"/>
          <c:tx>
            <c:strRef>
              <c:f>'Služby-příspěvkyk růstu-4'!$I$33</c:f>
              <c:strCache>
                <c:ptCount val="1"/>
                <c:pt idx="0">
                  <c:v>Administr. a podpůrné čin. (příspěvek v p. b.)</c:v>
                </c:pt>
              </c:strCache>
            </c:strRef>
          </c:tx>
          <c:spPr>
            <a:solidFill>
              <a:schemeClr val="accent1">
                <a:lumMod val="20000"/>
                <a:lumOff val="80000"/>
              </a:schemeClr>
            </a:solidFill>
            <a:ln>
              <a:noFill/>
            </a:ln>
          </c:spPr>
          <c:invertIfNegative val="0"/>
          <c:cat>
            <c:multiLvlStrRef>
              <c:f>'Služby-příspěvkyk růstu-4'!$A$46:$B$78</c:f>
              <c:multiLvlStrCache>
                <c:ptCount val="3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'Služby-příspěvkyk růstu-4'!$I$46:$I$78</c:f>
              <c:numCache>
                <c:formatCode>0.0</c:formatCode>
                <c:ptCount val="33"/>
                <c:pt idx="0">
                  <c:v>0.5155037038964998</c:v>
                </c:pt>
                <c:pt idx="1">
                  <c:v>0.62101310773750029</c:v>
                </c:pt>
                <c:pt idx="2">
                  <c:v>0.43506961802500066</c:v>
                </c:pt>
                <c:pt idx="3">
                  <c:v>0.50168865387909989</c:v>
                </c:pt>
                <c:pt idx="4">
                  <c:v>0.4550707532813994</c:v>
                </c:pt>
                <c:pt idx="5">
                  <c:v>0.16398578688570084</c:v>
                </c:pt>
                <c:pt idx="6">
                  <c:v>0.26977885261849965</c:v>
                </c:pt>
                <c:pt idx="7">
                  <c:v>0.51378188366290034</c:v>
                </c:pt>
                <c:pt idx="8">
                  <c:v>1.320133173034</c:v>
                </c:pt>
                <c:pt idx="9">
                  <c:v>1.0879288678140997</c:v>
                </c:pt>
                <c:pt idx="10">
                  <c:v>0.64134107873250035</c:v>
                </c:pt>
                <c:pt idx="11">
                  <c:v>0.30531118010650082</c:v>
                </c:pt>
                <c:pt idx="12">
                  <c:v>0.53332072309840062</c:v>
                </c:pt>
                <c:pt idx="13">
                  <c:v>0.37840292387820096</c:v>
                </c:pt>
                <c:pt idx="14">
                  <c:v>0.43569101400389965</c:v>
                </c:pt>
                <c:pt idx="15">
                  <c:v>-1.3079338160200678E-2</c:v>
                </c:pt>
                <c:pt idx="16">
                  <c:v>0.47288540072630031</c:v>
                </c:pt>
                <c:pt idx="17">
                  <c:v>0.12968213694649988</c:v>
                </c:pt>
                <c:pt idx="18">
                  <c:v>-0.12322397481159982</c:v>
                </c:pt>
                <c:pt idx="19">
                  <c:v>-0.21537552647130034</c:v>
                </c:pt>
                <c:pt idx="20">
                  <c:v>-1.1051686942919998</c:v>
                </c:pt>
                <c:pt idx="21">
                  <c:v>-4.3129281059486004</c:v>
                </c:pt>
                <c:pt idx="22">
                  <c:v>-4.4460675231578985</c:v>
                </c:pt>
                <c:pt idx="23">
                  <c:v>-2.3716048373777987</c:v>
                </c:pt>
                <c:pt idx="24">
                  <c:v>-1.4732703403763998</c:v>
                </c:pt>
                <c:pt idx="25">
                  <c:v>1.7697809683939403</c:v>
                </c:pt>
                <c:pt idx="26">
                  <c:v>1.8505450464600013</c:v>
                </c:pt>
                <c:pt idx="27">
                  <c:v>1.0498709638992363</c:v>
                </c:pt>
                <c:pt idx="28">
                  <c:v>1.8426107071999986</c:v>
                </c:pt>
                <c:pt idx="29">
                  <c:v>2.1450414215999998</c:v>
                </c:pt>
                <c:pt idx="30">
                  <c:v>1.8856484780316995</c:v>
                </c:pt>
                <c:pt idx="31">
                  <c:v>0.46921732515000031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962-4907-BBF4-F202050585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0"/>
        <c:overlap val="100"/>
        <c:axId val="69651840"/>
        <c:axId val="69657728"/>
      </c:barChart>
      <c:lineChart>
        <c:grouping val="standard"/>
        <c:varyColors val="0"/>
        <c:ser>
          <c:idx val="3"/>
          <c:order val="0"/>
          <c:tx>
            <c:strRef>
              <c:f>'Služby-příspěvkyk růstu-4'!$C$33</c:f>
              <c:strCache>
                <c:ptCount val="1"/>
                <c:pt idx="0">
                  <c:v>Služby celkem (meziroční růst v %)</c:v>
                </c:pt>
              </c:strCache>
            </c:strRef>
          </c:tx>
          <c:spPr>
            <a:ln>
              <a:noFill/>
            </a:ln>
          </c:spPr>
          <c:marker>
            <c:symbol val="dot"/>
            <c:size val="7"/>
            <c:spPr>
              <a:solidFill>
                <a:schemeClr val="tx1">
                  <a:lumMod val="95000"/>
                  <a:lumOff val="5000"/>
                </a:schemeClr>
              </a:solidFill>
              <a:ln>
                <a:noFill/>
              </a:ln>
            </c:spPr>
          </c:marker>
          <c:cat>
            <c:multiLvlStrRef>
              <c:f>'Služby-příspěvkyk růstu-4'!$A$46:$B$78</c:f>
              <c:multiLvlStrCache>
                <c:ptCount val="3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'Služby-příspěvkyk růstu-4'!$C$46:$C$78</c:f>
              <c:numCache>
                <c:formatCode>0.0</c:formatCode>
                <c:ptCount val="33"/>
                <c:pt idx="0">
                  <c:v>3.3387856580999942</c:v>
                </c:pt>
                <c:pt idx="1">
                  <c:v>2.7067375338999984</c:v>
                </c:pt>
                <c:pt idx="2">
                  <c:v>3.2734904207</c:v>
                </c:pt>
                <c:pt idx="3">
                  <c:v>2.2083913160000059</c:v>
                </c:pt>
                <c:pt idx="4">
                  <c:v>1.3295921479000015</c:v>
                </c:pt>
                <c:pt idx="5">
                  <c:v>-0.87633228709999855</c:v>
                </c:pt>
                <c:pt idx="6">
                  <c:v>1.4335470749000061</c:v>
                </c:pt>
                <c:pt idx="7">
                  <c:v>1.6242102724999938</c:v>
                </c:pt>
                <c:pt idx="8">
                  <c:v>5.6462151451000011</c:v>
                </c:pt>
                <c:pt idx="9">
                  <c:v>5.4476828922000093</c:v>
                </c:pt>
                <c:pt idx="10">
                  <c:v>3.4016118395999939</c:v>
                </c:pt>
                <c:pt idx="11">
                  <c:v>2.5063195031000021</c:v>
                </c:pt>
                <c:pt idx="12">
                  <c:v>5.0712886034999975</c:v>
                </c:pt>
                <c:pt idx="13">
                  <c:v>3.4823349595999975</c:v>
                </c:pt>
                <c:pt idx="14">
                  <c:v>3.6926675579999984</c:v>
                </c:pt>
                <c:pt idx="15">
                  <c:v>1.067151455499995</c:v>
                </c:pt>
                <c:pt idx="16">
                  <c:v>3.5777212416000062</c:v>
                </c:pt>
                <c:pt idx="17">
                  <c:v>1.9765133558999959</c:v>
                </c:pt>
                <c:pt idx="18">
                  <c:v>-0.81695782319999966</c:v>
                </c:pt>
                <c:pt idx="19">
                  <c:v>-0.15568719549999357</c:v>
                </c:pt>
                <c:pt idx="20">
                  <c:v>-3.6980250129000041</c:v>
                </c:pt>
                <c:pt idx="21">
                  <c:v>-19.645345248799977</c:v>
                </c:pt>
                <c:pt idx="22">
                  <c:v>-12.600965308100001</c:v>
                </c:pt>
                <c:pt idx="23">
                  <c:v>-10.912584080000009</c:v>
                </c:pt>
                <c:pt idx="24">
                  <c:v>-6.394268453512618</c:v>
                </c:pt>
                <c:pt idx="25">
                  <c:v>14.793600196459142</c:v>
                </c:pt>
                <c:pt idx="26">
                  <c:v>9.7930132050982976</c:v>
                </c:pt>
                <c:pt idx="27">
                  <c:v>12.671410218028896</c:v>
                </c:pt>
                <c:pt idx="28">
                  <c:v>14.067469931718719</c:v>
                </c:pt>
                <c:pt idx="29">
                  <c:v>12.196508720194069</c:v>
                </c:pt>
                <c:pt idx="30">
                  <c:v>7.1766953041493062</c:v>
                </c:pt>
                <c:pt idx="31">
                  <c:v>1.5927521225189143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3962-4907-BBF4-F202050585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9651840"/>
        <c:axId val="69657728"/>
      </c:lineChart>
      <c:lineChart>
        <c:grouping val="standard"/>
        <c:varyColors val="0"/>
        <c:ser>
          <c:idx val="7"/>
          <c:order val="7"/>
          <c:tx>
            <c:strRef>
              <c:f>'Služby-příspěvkyk růstu-4'!$J$33</c:f>
              <c:strCache>
                <c:ptCount val="1"/>
                <c:pt idx="0">
                  <c:v>Saldo indikátoru důvěry ve službách</c:v>
                </c:pt>
              </c:strCache>
            </c:strRef>
          </c:tx>
          <c:spPr>
            <a:ln w="3175">
              <a:solidFill>
                <a:schemeClr val="bg1">
                  <a:lumMod val="50000"/>
                </a:schemeClr>
              </a:solidFill>
              <a:prstDash val="sysDash"/>
            </a:ln>
          </c:spPr>
          <c:marker>
            <c:symbol val="diamond"/>
            <c:size val="5"/>
            <c:spPr>
              <a:solidFill>
                <a:srgbClr val="FFFF00"/>
              </a:solidFill>
              <a:ln w="6350">
                <a:solidFill>
                  <a:schemeClr val="tx1">
                    <a:lumMod val="85000"/>
                    <a:lumOff val="15000"/>
                  </a:schemeClr>
                </a:solidFill>
              </a:ln>
            </c:spPr>
          </c:marker>
          <c:cat>
            <c:multiLvlStrRef>
              <c:f>'Služby-příspěvkyk růstu-4'!$A$46:$B$78</c:f>
              <c:multiLvlStrCache>
                <c:ptCount val="3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'Služby-příspěvkyk růstu-4'!$J$46:$J$78</c:f>
              <c:numCache>
                <c:formatCode>0.0</c:formatCode>
                <c:ptCount val="33"/>
                <c:pt idx="0">
                  <c:v>29.7</c:v>
                </c:pt>
                <c:pt idx="1">
                  <c:v>28.7</c:v>
                </c:pt>
                <c:pt idx="2">
                  <c:v>31.3</c:v>
                </c:pt>
                <c:pt idx="3">
                  <c:v>32.700000000000003</c:v>
                </c:pt>
                <c:pt idx="4">
                  <c:v>32.300000000000004</c:v>
                </c:pt>
                <c:pt idx="5">
                  <c:v>33</c:v>
                </c:pt>
                <c:pt idx="6">
                  <c:v>33</c:v>
                </c:pt>
                <c:pt idx="7">
                  <c:v>37.700000000000003</c:v>
                </c:pt>
                <c:pt idx="8">
                  <c:v>35.300000000000004</c:v>
                </c:pt>
                <c:pt idx="9">
                  <c:v>37.700000000000003</c:v>
                </c:pt>
                <c:pt idx="10">
                  <c:v>37.300000000000004</c:v>
                </c:pt>
                <c:pt idx="11">
                  <c:v>35.700000000000003</c:v>
                </c:pt>
                <c:pt idx="12">
                  <c:v>38.300000000000004</c:v>
                </c:pt>
                <c:pt idx="13">
                  <c:v>37</c:v>
                </c:pt>
                <c:pt idx="14">
                  <c:v>38.300000000000004</c:v>
                </c:pt>
                <c:pt idx="15">
                  <c:v>40.700000000000003</c:v>
                </c:pt>
                <c:pt idx="16">
                  <c:v>39.300000000000004</c:v>
                </c:pt>
                <c:pt idx="17">
                  <c:v>33.700000000000003</c:v>
                </c:pt>
                <c:pt idx="18">
                  <c:v>35</c:v>
                </c:pt>
                <c:pt idx="19">
                  <c:v>32.700000000000003</c:v>
                </c:pt>
                <c:pt idx="20">
                  <c:v>29</c:v>
                </c:pt>
                <c:pt idx="21">
                  <c:v>-13.3</c:v>
                </c:pt>
                <c:pt idx="22">
                  <c:v>1</c:v>
                </c:pt>
                <c:pt idx="23">
                  <c:v>-5</c:v>
                </c:pt>
                <c:pt idx="24">
                  <c:v>8</c:v>
                </c:pt>
                <c:pt idx="25">
                  <c:v>22.3</c:v>
                </c:pt>
                <c:pt idx="26">
                  <c:v>24.3</c:v>
                </c:pt>
                <c:pt idx="27">
                  <c:v>27</c:v>
                </c:pt>
                <c:pt idx="28">
                  <c:v>31</c:v>
                </c:pt>
                <c:pt idx="29">
                  <c:v>40</c:v>
                </c:pt>
                <c:pt idx="30">
                  <c:v>27.7</c:v>
                </c:pt>
                <c:pt idx="31">
                  <c:v>21.3</c:v>
                </c:pt>
                <c:pt idx="32">
                  <c:v>24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3962-4907-BBF4-F202050585F3}"/>
            </c:ext>
          </c:extLst>
        </c:ser>
        <c:ser>
          <c:idx val="8"/>
          <c:order val="8"/>
          <c:tx>
            <c:strRef>
              <c:f>'Služby-příspěvkyk růstu-4'!$K$33</c:f>
              <c:strCache>
                <c:ptCount val="1"/>
                <c:pt idx="0">
                  <c:v>Bariéra růstu: nedostatečná poptávka</c:v>
                </c:pt>
              </c:strCache>
            </c:strRef>
          </c:tx>
          <c:spPr>
            <a:ln w="15875">
              <a:solidFill>
                <a:srgbClr val="C35D09"/>
              </a:solidFill>
              <a:prstDash val="sysDash"/>
            </a:ln>
          </c:spPr>
          <c:marker>
            <c:symbol val="none"/>
          </c:marker>
          <c:cat>
            <c:multiLvlStrRef>
              <c:f>'Služby-příspěvkyk růstu-4'!$A$46:$B$78</c:f>
              <c:multiLvlStrCache>
                <c:ptCount val="3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'Služby-příspěvkyk růstu-4'!$K$46:$K$78</c:f>
              <c:numCache>
                <c:formatCode>#\ ##0.0</c:formatCode>
                <c:ptCount val="33"/>
                <c:pt idx="0">
                  <c:v>26</c:v>
                </c:pt>
                <c:pt idx="1">
                  <c:v>29.3</c:v>
                </c:pt>
                <c:pt idx="2">
                  <c:v>26.1</c:v>
                </c:pt>
                <c:pt idx="3">
                  <c:v>24.7</c:v>
                </c:pt>
                <c:pt idx="4">
                  <c:v>23.3</c:v>
                </c:pt>
                <c:pt idx="5">
                  <c:v>25.1</c:v>
                </c:pt>
                <c:pt idx="6">
                  <c:v>20.2</c:v>
                </c:pt>
                <c:pt idx="7">
                  <c:v>24.4</c:v>
                </c:pt>
                <c:pt idx="8">
                  <c:v>25.8</c:v>
                </c:pt>
                <c:pt idx="9">
                  <c:v>20.5</c:v>
                </c:pt>
                <c:pt idx="10">
                  <c:v>18.399999999999999</c:v>
                </c:pt>
                <c:pt idx="11">
                  <c:v>21.6</c:v>
                </c:pt>
                <c:pt idx="12">
                  <c:v>16.899999999999999</c:v>
                </c:pt>
                <c:pt idx="13">
                  <c:v>19.399999999999999</c:v>
                </c:pt>
                <c:pt idx="14">
                  <c:v>17.899999999999999</c:v>
                </c:pt>
                <c:pt idx="15">
                  <c:v>20.7</c:v>
                </c:pt>
                <c:pt idx="16">
                  <c:v>20.6</c:v>
                </c:pt>
                <c:pt idx="17">
                  <c:v>16.899999999999999</c:v>
                </c:pt>
                <c:pt idx="18">
                  <c:v>20.5</c:v>
                </c:pt>
                <c:pt idx="19">
                  <c:v>14.4</c:v>
                </c:pt>
                <c:pt idx="20">
                  <c:v>21.3</c:v>
                </c:pt>
                <c:pt idx="21">
                  <c:v>30.2</c:v>
                </c:pt>
                <c:pt idx="22">
                  <c:v>30.4</c:v>
                </c:pt>
                <c:pt idx="23">
                  <c:v>39.200000000000003</c:v>
                </c:pt>
                <c:pt idx="24">
                  <c:v>34.800000000000004</c:v>
                </c:pt>
                <c:pt idx="25">
                  <c:v>36.800000000000004</c:v>
                </c:pt>
                <c:pt idx="26">
                  <c:v>28.9</c:v>
                </c:pt>
                <c:pt idx="27">
                  <c:v>26.3</c:v>
                </c:pt>
                <c:pt idx="28">
                  <c:v>31.6</c:v>
                </c:pt>
                <c:pt idx="29">
                  <c:v>15</c:v>
                </c:pt>
                <c:pt idx="30">
                  <c:v>30.2</c:v>
                </c:pt>
                <c:pt idx="31">
                  <c:v>17.600000000000001</c:v>
                </c:pt>
                <c:pt idx="32">
                  <c:v>25.4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3962-4907-BBF4-F202050585F3}"/>
            </c:ext>
          </c:extLst>
        </c:ser>
        <c:ser>
          <c:idx val="9"/>
          <c:order val="9"/>
          <c:tx>
            <c:strRef>
              <c:f>'Služby-příspěvkyk růstu-4'!$L$33</c:f>
              <c:strCache>
                <c:ptCount val="1"/>
                <c:pt idx="0">
                  <c:v>Bariéra růstu: nedostatek pracovníků</c:v>
                </c:pt>
              </c:strCache>
            </c:strRef>
          </c:tx>
          <c:spPr>
            <a:ln w="15875">
              <a:solidFill>
                <a:srgbClr val="CA945E"/>
              </a:solidFill>
              <a:prstDash val="lgDash"/>
            </a:ln>
          </c:spPr>
          <c:marker>
            <c:symbol val="none"/>
          </c:marker>
          <c:cat>
            <c:multiLvlStrRef>
              <c:f>'Služby-příspěvkyk růstu-4'!$A$46:$B$78</c:f>
              <c:multiLvlStrCache>
                <c:ptCount val="3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'Služby-příspěvkyk růstu-4'!$L$46:$L$78</c:f>
              <c:numCache>
                <c:formatCode>#\ ##0.0</c:formatCode>
                <c:ptCount val="33"/>
                <c:pt idx="0">
                  <c:v>1.3</c:v>
                </c:pt>
                <c:pt idx="1">
                  <c:v>6</c:v>
                </c:pt>
                <c:pt idx="2">
                  <c:v>7.2</c:v>
                </c:pt>
                <c:pt idx="3">
                  <c:v>5.6</c:v>
                </c:pt>
                <c:pt idx="4">
                  <c:v>7.5</c:v>
                </c:pt>
                <c:pt idx="5">
                  <c:v>4.5</c:v>
                </c:pt>
                <c:pt idx="6">
                  <c:v>7.9</c:v>
                </c:pt>
                <c:pt idx="7">
                  <c:v>9.5</c:v>
                </c:pt>
                <c:pt idx="8">
                  <c:v>9.4</c:v>
                </c:pt>
                <c:pt idx="9">
                  <c:v>9.7000000000000011</c:v>
                </c:pt>
                <c:pt idx="10">
                  <c:v>9.8000000000000007</c:v>
                </c:pt>
                <c:pt idx="11">
                  <c:v>12.8</c:v>
                </c:pt>
                <c:pt idx="12">
                  <c:v>13.9</c:v>
                </c:pt>
                <c:pt idx="13">
                  <c:v>16.3</c:v>
                </c:pt>
                <c:pt idx="14">
                  <c:v>17.5</c:v>
                </c:pt>
                <c:pt idx="15">
                  <c:v>18.899999999999999</c:v>
                </c:pt>
                <c:pt idx="16">
                  <c:v>19.3</c:v>
                </c:pt>
                <c:pt idx="17">
                  <c:v>15</c:v>
                </c:pt>
                <c:pt idx="18">
                  <c:v>21.5</c:v>
                </c:pt>
                <c:pt idx="19">
                  <c:v>19.8</c:v>
                </c:pt>
                <c:pt idx="20">
                  <c:v>19.5</c:v>
                </c:pt>
                <c:pt idx="21">
                  <c:v>10</c:v>
                </c:pt>
                <c:pt idx="22">
                  <c:v>10</c:v>
                </c:pt>
                <c:pt idx="23">
                  <c:v>12.6</c:v>
                </c:pt>
                <c:pt idx="24">
                  <c:v>12.7</c:v>
                </c:pt>
                <c:pt idx="25">
                  <c:v>8.5</c:v>
                </c:pt>
                <c:pt idx="26">
                  <c:v>17.399999999999999</c:v>
                </c:pt>
                <c:pt idx="27">
                  <c:v>20.6</c:v>
                </c:pt>
                <c:pt idx="28">
                  <c:v>20.2</c:v>
                </c:pt>
                <c:pt idx="29">
                  <c:v>10.9</c:v>
                </c:pt>
                <c:pt idx="30">
                  <c:v>17.899999999999999</c:v>
                </c:pt>
                <c:pt idx="31">
                  <c:v>6.6</c:v>
                </c:pt>
                <c:pt idx="32">
                  <c:v>9.3000000000000007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3962-4907-BBF4-F202050585F3}"/>
            </c:ext>
          </c:extLst>
        </c:ser>
        <c:ser>
          <c:idx val="10"/>
          <c:order val="10"/>
          <c:tx>
            <c:strRef>
              <c:f>'Služby-příspěvkyk růstu-4'!$M$33</c:f>
              <c:strCache>
                <c:ptCount val="1"/>
                <c:pt idx="0">
                  <c:v>Tržby celkem (báze 2015=100, stálé ceny)</c:v>
                </c:pt>
              </c:strCache>
            </c:strRef>
          </c:tx>
          <c:spPr>
            <a:ln w="15875">
              <a:solidFill>
                <a:schemeClr val="tx1"/>
              </a:solidFill>
            </a:ln>
          </c:spPr>
          <c:marker>
            <c:symbol val="none"/>
          </c:marker>
          <c:cat>
            <c:multiLvlStrRef>
              <c:f>'Služby-příspěvkyk růstu-4'!$A$46:$B$78</c:f>
              <c:multiLvlStrCache>
                <c:ptCount val="3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'Služby-příspěvkyk růstu-4'!$M$46:$M$78</c:f>
              <c:numCache>
                <c:formatCode>0.0</c:formatCode>
                <c:ptCount val="33"/>
                <c:pt idx="0">
                  <c:v>98.905869400000057</c:v>
                </c:pt>
                <c:pt idx="1">
                  <c:v>99.939744966700005</c:v>
                </c:pt>
                <c:pt idx="2">
                  <c:v>100.46069412999999</c:v>
                </c:pt>
                <c:pt idx="3">
                  <c:v>100.69369150670001</c:v>
                </c:pt>
                <c:pt idx="4">
                  <c:v>99.506269490000079</c:v>
                </c:pt>
                <c:pt idx="5">
                  <c:v>99.882932769999925</c:v>
                </c:pt>
                <c:pt idx="6">
                  <c:v>101.6454132667</c:v>
                </c:pt>
                <c:pt idx="7">
                  <c:v>103.1425757933</c:v>
                </c:pt>
                <c:pt idx="8">
                  <c:v>103.7536856167</c:v>
                </c:pt>
                <c:pt idx="9">
                  <c:v>105.1986778866999</c:v>
                </c:pt>
                <c:pt idx="10">
                  <c:v>105.3356622867</c:v>
                </c:pt>
                <c:pt idx="11">
                  <c:v>106.72097377670001</c:v>
                </c:pt>
                <c:pt idx="12">
                  <c:v>107.9153511366999</c:v>
                </c:pt>
                <c:pt idx="13">
                  <c:v>108.70616911330002</c:v>
                </c:pt>
                <c:pt idx="14">
                  <c:v>109.37278169669985</c:v>
                </c:pt>
                <c:pt idx="15">
                  <c:v>108.88805681669984</c:v>
                </c:pt>
                <c:pt idx="16">
                  <c:v>110.44627128330011</c:v>
                </c:pt>
                <c:pt idx="17">
                  <c:v>110.87756216</c:v>
                </c:pt>
                <c:pt idx="18">
                  <c:v>109.16473103669988</c:v>
                </c:pt>
                <c:pt idx="19">
                  <c:v>108.93584104999998</c:v>
                </c:pt>
                <c:pt idx="20">
                  <c:v>105.36793023669991</c:v>
                </c:pt>
                <c:pt idx="21">
                  <c:v>90.203880829999989</c:v>
                </c:pt>
                <c:pt idx="22">
                  <c:v>97.528267896699916</c:v>
                </c:pt>
                <c:pt idx="23">
                  <c:v>95.952761640000006</c:v>
                </c:pt>
                <c:pt idx="24">
                  <c:v>97.5220549533</c:v>
                </c:pt>
                <c:pt idx="25">
                  <c:v>102.23534626670001</c:v>
                </c:pt>
                <c:pt idx="26">
                  <c:v>106.43087342000005</c:v>
                </c:pt>
                <c:pt idx="27">
                  <c:v>109.40181647330006</c:v>
                </c:pt>
                <c:pt idx="28">
                  <c:v>111.6927019732999</c:v>
                </c:pt>
                <c:pt idx="29">
                  <c:v>113.62394018329989</c:v>
                </c:pt>
                <c:pt idx="30">
                  <c:v>113.26823950000002</c:v>
                </c:pt>
                <c:pt idx="31">
                  <c:v>112.2029968233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A-3962-4907-BBF4-F202050585F3}"/>
            </c:ext>
          </c:extLst>
        </c:ser>
        <c:ser>
          <c:idx val="11"/>
          <c:order val="11"/>
          <c:tx>
            <c:strRef>
              <c:f>'Služby-příspěvkyk růstu-4'!$N$33</c:f>
              <c:strCache>
                <c:ptCount val="1"/>
                <c:pt idx="0">
                  <c:v>Tržby celkem (báze 2015=100, běžné ceny)</c:v>
                </c:pt>
              </c:strCache>
            </c:strRef>
          </c:tx>
          <c:spPr>
            <a:ln w="15875">
              <a:solidFill>
                <a:schemeClr val="bg2">
                  <a:lumMod val="25000"/>
                </a:schemeClr>
              </a:solidFill>
              <a:prstDash val="sysDash"/>
            </a:ln>
          </c:spPr>
          <c:marker>
            <c:symbol val="none"/>
          </c:marker>
          <c:cat>
            <c:multiLvlStrRef>
              <c:f>'Služby-příspěvkyk růstu-4'!$A$46:$B$78</c:f>
              <c:multiLvlStrCache>
                <c:ptCount val="3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'Služby-příspěvkyk růstu-4'!$N$46:$N$78</c:f>
              <c:numCache>
                <c:formatCode>0.0</c:formatCode>
                <c:ptCount val="33"/>
                <c:pt idx="0">
                  <c:v>98.878809526699854</c:v>
                </c:pt>
                <c:pt idx="1">
                  <c:v>99.932801119999894</c:v>
                </c:pt>
                <c:pt idx="2">
                  <c:v>100.47612456000006</c:v>
                </c:pt>
                <c:pt idx="3">
                  <c:v>100.71226479000011</c:v>
                </c:pt>
                <c:pt idx="4">
                  <c:v>99.601623460000098</c:v>
                </c:pt>
                <c:pt idx="5">
                  <c:v>100.2234790433</c:v>
                </c:pt>
                <c:pt idx="6">
                  <c:v>102.1359375799999</c:v>
                </c:pt>
                <c:pt idx="7">
                  <c:v>103.95381924330007</c:v>
                </c:pt>
                <c:pt idx="8">
                  <c:v>105.28339829999994</c:v>
                </c:pt>
                <c:pt idx="9">
                  <c:v>107.13280340670001</c:v>
                </c:pt>
                <c:pt idx="10">
                  <c:v>107.78245525</c:v>
                </c:pt>
                <c:pt idx="11">
                  <c:v>109.74135017</c:v>
                </c:pt>
                <c:pt idx="12">
                  <c:v>111.4458726133</c:v>
                </c:pt>
                <c:pt idx="13">
                  <c:v>112.96754313330005</c:v>
                </c:pt>
                <c:pt idx="14">
                  <c:v>114.3275498366999</c:v>
                </c:pt>
                <c:pt idx="15">
                  <c:v>114.67629783669985</c:v>
                </c:pt>
                <c:pt idx="16">
                  <c:v>116.72200621330001</c:v>
                </c:pt>
                <c:pt idx="17">
                  <c:v>118.4237964933</c:v>
                </c:pt>
                <c:pt idx="18">
                  <c:v>117.19000776670001</c:v>
                </c:pt>
                <c:pt idx="19">
                  <c:v>117.1905607767</c:v>
                </c:pt>
                <c:pt idx="20">
                  <c:v>113.2309142367</c:v>
                </c:pt>
                <c:pt idx="21">
                  <c:v>96.647774276699906</c:v>
                </c:pt>
                <c:pt idx="22">
                  <c:v>105.48850793</c:v>
                </c:pt>
                <c:pt idx="23">
                  <c:v>103.67207354999989</c:v>
                </c:pt>
                <c:pt idx="24">
                  <c:v>105.51279886669988</c:v>
                </c:pt>
                <c:pt idx="25">
                  <c:v>111.3587283799999</c:v>
                </c:pt>
                <c:pt idx="26">
                  <c:v>117.05419338670002</c:v>
                </c:pt>
                <c:pt idx="27">
                  <c:v>121.50671411669988</c:v>
                </c:pt>
                <c:pt idx="28">
                  <c:v>126.89412667000011</c:v>
                </c:pt>
                <c:pt idx="29">
                  <c:v>131.74343791000001</c:v>
                </c:pt>
                <c:pt idx="30">
                  <c:v>134.23996963999988</c:v>
                </c:pt>
                <c:pt idx="31">
                  <c:v>135.51628179669996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3962-4907-BBF4-F202050585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9661824"/>
        <c:axId val="69659648"/>
      </c:lineChart>
      <c:catAx>
        <c:axId val="696518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txPr>
          <a:bodyPr/>
          <a:lstStyle/>
          <a:p>
            <a:pPr>
              <a:defRPr sz="800"/>
            </a:pPr>
            <a:endParaRPr lang="cs-CZ"/>
          </a:p>
        </c:txPr>
        <c:crossAx val="69657728"/>
        <c:crosses val="autoZero"/>
        <c:auto val="1"/>
        <c:lblAlgn val="ctr"/>
        <c:lblOffset val="0"/>
        <c:noMultiLvlLbl val="0"/>
      </c:catAx>
      <c:valAx>
        <c:axId val="69657728"/>
        <c:scaling>
          <c:orientation val="minMax"/>
          <c:max val="25"/>
          <c:min val="-30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700" b="0" i="1"/>
                </a:pPr>
                <a:r>
                  <a:rPr lang="cs-CZ" sz="700" b="0" i="1"/>
                  <a:t>Příspěvky ke změně tržeb ve službách</a:t>
                </a:r>
              </a:p>
            </c:rich>
          </c:tx>
          <c:overlay val="0"/>
        </c:title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69651840"/>
        <c:crosses val="autoZero"/>
        <c:crossBetween val="between"/>
        <c:majorUnit val="5"/>
      </c:valAx>
      <c:valAx>
        <c:axId val="69659648"/>
        <c:scaling>
          <c:orientation val="minMax"/>
          <c:max val="140"/>
          <c:min val="-20"/>
        </c:scaling>
        <c:delete val="0"/>
        <c:axPos val="r"/>
        <c:title>
          <c:tx>
            <c:rich>
              <a:bodyPr/>
              <a:lstStyle/>
              <a:p>
                <a:pPr marL="0" marR="0" lvl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700" b="0" i="1" u="none" strike="noStrike" kern="1200" baseline="0">
                    <a:solidFill>
                      <a:sysClr val="windowText" lastClr="000000"/>
                    </a:solidFill>
                    <a:latin typeface="Arial" pitchFamily="34" charset="0"/>
                    <a:ea typeface="+mn-ea"/>
                    <a:cs typeface="+mn-cs"/>
                  </a:defRPr>
                </a:pPr>
                <a:r>
                  <a:rPr lang="cs-CZ" sz="700" b="0" i="1" baseline="0">
                    <a:effectLst/>
                  </a:rPr>
                  <a:t>Tržby celkem (báze 2015=100)</a:t>
                </a:r>
                <a:r>
                  <a:rPr lang="cs-CZ" sz="700" b="0" i="1"/>
                  <a:t>,Saldo důvěry, bariéry růstu</a:t>
                </a:r>
              </a:p>
            </c:rich>
          </c:tx>
          <c:layout>
            <c:manualLayout>
              <c:xMode val="edge"/>
              <c:yMode val="edge"/>
              <c:x val="0.97059971540629864"/>
              <c:y val="1.8415267943787519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69661824"/>
        <c:crosses val="max"/>
        <c:crossBetween val="between"/>
        <c:majorUnit val="10"/>
      </c:valAx>
      <c:catAx>
        <c:axId val="6966182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69659648"/>
        <c:crosses val="autoZero"/>
        <c:auto val="1"/>
        <c:lblAlgn val="ctr"/>
        <c:lblOffset val="100"/>
        <c:noMultiLvlLbl val="0"/>
      </c:catAx>
      <c:spPr>
        <a:ln>
          <a:solidFill>
            <a:schemeClr val="tx1"/>
          </a:solidFill>
        </a:ln>
      </c:spPr>
    </c:plotArea>
    <c:legend>
      <c:legendPos val="r"/>
      <c:layout>
        <c:manualLayout>
          <c:xMode val="edge"/>
          <c:yMode val="edge"/>
          <c:x val="2.7894149438737284E-3"/>
          <c:y val="0.80683901693256166"/>
          <c:w val="0.99229354112782953"/>
          <c:h val="0.18952404020147046"/>
        </c:manualLayout>
      </c:layout>
      <c:overlay val="0"/>
      <c:spPr>
        <a:ln w="6350">
          <a:solidFill>
            <a:schemeClr val="tx1"/>
          </a:solidFill>
        </a:ln>
      </c:spPr>
      <c:txPr>
        <a:bodyPr/>
        <a:lstStyle/>
        <a:p>
          <a:pPr>
            <a:defRPr sz="720"/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500" baseline="0">
          <a:latin typeface="Arial" pitchFamily="34" charset="0"/>
        </a:defRPr>
      </a:pPr>
      <a:endParaRPr lang="cs-CZ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5121841398004157E-2"/>
          <c:y val="1.5803328678987472E-2"/>
          <c:w val="0.85082101335719484"/>
          <c:h val="0.74167997750452386"/>
        </c:manualLayout>
      </c:layout>
      <c:barChart>
        <c:barDir val="col"/>
        <c:grouping val="stacked"/>
        <c:varyColors val="0"/>
        <c:ser>
          <c:idx val="0"/>
          <c:order val="1"/>
          <c:tx>
            <c:strRef>
              <c:f>'výkonnost odvětví 5a'!$E$66</c:f>
              <c:strCache>
                <c:ptCount val="1"/>
                <c:pt idx="0">
                  <c:v>Maloobchod s potravinami (příspěvek)</c:v>
                </c:pt>
              </c:strCache>
            </c:strRef>
          </c:tx>
          <c:spPr>
            <a:solidFill>
              <a:srgbClr val="92D050"/>
            </a:solidFill>
            <a:ln w="15875">
              <a:noFill/>
            </a:ln>
          </c:spPr>
          <c:invertIfNegative val="0"/>
          <c:cat>
            <c:multiLvlStrRef>
              <c:f>'výkonnost odvětví 5a'!$B$67:$C$99</c:f>
              <c:multiLvlStrCache>
                <c:ptCount val="3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'výkonnost odvětví 5a'!$E$67:$E$99</c:f>
              <c:numCache>
                <c:formatCode>#\ ##0.0</c:formatCode>
                <c:ptCount val="33"/>
                <c:pt idx="0">
                  <c:v>1.7954327905527792</c:v>
                </c:pt>
                <c:pt idx="1">
                  <c:v>1.1808546019719857</c:v>
                </c:pt>
                <c:pt idx="2">
                  <c:v>1.8980626361950701</c:v>
                </c:pt>
                <c:pt idx="3">
                  <c:v>1.45126392469867</c:v>
                </c:pt>
                <c:pt idx="4">
                  <c:v>1.7579883859404457</c:v>
                </c:pt>
                <c:pt idx="5">
                  <c:v>1.4597731408051358</c:v>
                </c:pt>
                <c:pt idx="6">
                  <c:v>0.98265625342777962</c:v>
                </c:pt>
                <c:pt idx="7">
                  <c:v>-8.365647432698825E-2</c:v>
                </c:pt>
                <c:pt idx="8">
                  <c:v>0.720624419136359</c:v>
                </c:pt>
                <c:pt idx="9">
                  <c:v>1.331624668965157</c:v>
                </c:pt>
                <c:pt idx="10">
                  <c:v>1.1433353439469673</c:v>
                </c:pt>
                <c:pt idx="11">
                  <c:v>0.89977373461403165</c:v>
                </c:pt>
                <c:pt idx="12">
                  <c:v>1.5115509798562705</c:v>
                </c:pt>
                <c:pt idx="13">
                  <c:v>0.54228532610479852</c:v>
                </c:pt>
                <c:pt idx="14">
                  <c:v>0.98484864986744458</c:v>
                </c:pt>
                <c:pt idx="15">
                  <c:v>0.4620082520491276</c:v>
                </c:pt>
                <c:pt idx="16">
                  <c:v>0.67301078642127365</c:v>
                </c:pt>
                <c:pt idx="17">
                  <c:v>1.1975749453062758</c:v>
                </c:pt>
                <c:pt idx="18">
                  <c:v>0.63652202044636153</c:v>
                </c:pt>
                <c:pt idx="19">
                  <c:v>0.62331153305833653</c:v>
                </c:pt>
                <c:pt idx="20">
                  <c:v>0.96372431228354627</c:v>
                </c:pt>
                <c:pt idx="21">
                  <c:v>-1.1892501751301241</c:v>
                </c:pt>
                <c:pt idx="22">
                  <c:v>-0.41434297088657107</c:v>
                </c:pt>
                <c:pt idx="23">
                  <c:v>0.25231592150964405</c:v>
                </c:pt>
                <c:pt idx="24">
                  <c:v>-0.45560759819109725</c:v>
                </c:pt>
                <c:pt idx="25">
                  <c:v>0.4367541962264474</c:v>
                </c:pt>
                <c:pt idx="26">
                  <c:v>-0.30064320672318329</c:v>
                </c:pt>
                <c:pt idx="27">
                  <c:v>-0.18775849051188631</c:v>
                </c:pt>
                <c:pt idx="28">
                  <c:v>-0.51549456327988841</c:v>
                </c:pt>
                <c:pt idx="29">
                  <c:v>-1.4600466044669602</c:v>
                </c:pt>
                <c:pt idx="30">
                  <c:v>-2.0321719074398343</c:v>
                </c:pt>
                <c:pt idx="31">
                  <c:v>-3.0175568399977597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6F6-410E-8ACA-DB89B068A11B}"/>
            </c:ext>
          </c:extLst>
        </c:ser>
        <c:ser>
          <c:idx val="1"/>
          <c:order val="2"/>
          <c:tx>
            <c:strRef>
              <c:f>'výkonnost odvětví 5a'!$F$66</c:f>
              <c:strCache>
                <c:ptCount val="1"/>
                <c:pt idx="0">
                  <c:v>Mal. s nepotravinářským zbož. (příspěvek)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 w="15875">
              <a:noFill/>
            </a:ln>
          </c:spPr>
          <c:invertIfNegative val="0"/>
          <c:cat>
            <c:multiLvlStrRef>
              <c:f>'výkonnost odvětví 5a'!$B$67:$C$99</c:f>
              <c:multiLvlStrCache>
                <c:ptCount val="3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'výkonnost odvětví 5a'!$F$67:$F$99</c:f>
              <c:numCache>
                <c:formatCode>#\ ##0.0</c:formatCode>
                <c:ptCount val="33"/>
                <c:pt idx="0">
                  <c:v>3.5348176440085197</c:v>
                </c:pt>
                <c:pt idx="1">
                  <c:v>4.0403927957890939</c:v>
                </c:pt>
                <c:pt idx="2">
                  <c:v>2.8491583908636717</c:v>
                </c:pt>
                <c:pt idx="3">
                  <c:v>3.7649034189564605</c:v>
                </c:pt>
                <c:pt idx="4">
                  <c:v>2.9159862756005075</c:v>
                </c:pt>
                <c:pt idx="5">
                  <c:v>2.6692840179601989</c:v>
                </c:pt>
                <c:pt idx="6">
                  <c:v>3.3517584585588138</c:v>
                </c:pt>
                <c:pt idx="7">
                  <c:v>3.6403131961317072</c:v>
                </c:pt>
                <c:pt idx="8">
                  <c:v>4.2755993300345985</c:v>
                </c:pt>
                <c:pt idx="9">
                  <c:v>4.6181656067499901</c:v>
                </c:pt>
                <c:pt idx="10">
                  <c:v>4.1974804776960726</c:v>
                </c:pt>
                <c:pt idx="11">
                  <c:v>4.8260964478037458</c:v>
                </c:pt>
                <c:pt idx="12">
                  <c:v>4.1871547212749967</c:v>
                </c:pt>
                <c:pt idx="13">
                  <c:v>3.5059801620938762</c:v>
                </c:pt>
                <c:pt idx="14">
                  <c:v>2.8195561267975404</c:v>
                </c:pt>
                <c:pt idx="15">
                  <c:v>3.9521324238296986</c:v>
                </c:pt>
                <c:pt idx="16">
                  <c:v>4.4423302425101463</c:v>
                </c:pt>
                <c:pt idx="17">
                  <c:v>3.3722130230140639</c:v>
                </c:pt>
                <c:pt idx="18">
                  <c:v>3.7144530757170515</c:v>
                </c:pt>
                <c:pt idx="19">
                  <c:v>3.4471029244431404</c:v>
                </c:pt>
                <c:pt idx="20">
                  <c:v>4.0056202134999983E-2</c:v>
                </c:pt>
                <c:pt idx="21">
                  <c:v>0.37119655070725932</c:v>
                </c:pt>
                <c:pt idx="22">
                  <c:v>1.756384174377116</c:v>
                </c:pt>
                <c:pt idx="23">
                  <c:v>-1.0635995175948723</c:v>
                </c:pt>
                <c:pt idx="24">
                  <c:v>1.05650696278897</c:v>
                </c:pt>
                <c:pt idx="25">
                  <c:v>5.718080658115845</c:v>
                </c:pt>
                <c:pt idx="26">
                  <c:v>3.8086850458419543</c:v>
                </c:pt>
                <c:pt idx="27">
                  <c:v>5.2451695472478281</c:v>
                </c:pt>
                <c:pt idx="28">
                  <c:v>5.4605957230962705</c:v>
                </c:pt>
                <c:pt idx="29">
                  <c:v>-1.0836129740522924</c:v>
                </c:pt>
                <c:pt idx="30">
                  <c:v>-3.8357602115722784</c:v>
                </c:pt>
                <c:pt idx="31">
                  <c:v>-5.4319509747093395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6F6-410E-8ACA-DB89B068A11B}"/>
            </c:ext>
          </c:extLst>
        </c:ser>
        <c:ser>
          <c:idx val="4"/>
          <c:order val="3"/>
          <c:tx>
            <c:strRef>
              <c:f>'výkonnost odvětví 5a'!$G$66</c:f>
              <c:strCache>
                <c:ptCount val="1"/>
                <c:pt idx="0">
                  <c:v>Maloobchodní prodej PHM (příspěvek)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  <a:ln w="15875">
              <a:noFill/>
            </a:ln>
          </c:spPr>
          <c:invertIfNegative val="0"/>
          <c:cat>
            <c:multiLvlStrRef>
              <c:f>'výkonnost odvětví 5a'!$B$67:$C$99</c:f>
              <c:multiLvlStrCache>
                <c:ptCount val="3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'výkonnost odvětví 5a'!$G$67:$G$99</c:f>
              <c:numCache>
                <c:formatCode>#\ ##0.0</c:formatCode>
                <c:ptCount val="33"/>
                <c:pt idx="0">
                  <c:v>0.75373799686577803</c:v>
                </c:pt>
                <c:pt idx="1">
                  <c:v>0.58821059894444716</c:v>
                </c:pt>
                <c:pt idx="2">
                  <c:v>0.79387895299348599</c:v>
                </c:pt>
                <c:pt idx="3">
                  <c:v>0.93965372963044991</c:v>
                </c:pt>
                <c:pt idx="4">
                  <c:v>0.67343888771248062</c:v>
                </c:pt>
                <c:pt idx="5">
                  <c:v>0.70462601902805855</c:v>
                </c:pt>
                <c:pt idx="6">
                  <c:v>0.62808372581017569</c:v>
                </c:pt>
                <c:pt idx="7">
                  <c:v>0.62560948668929295</c:v>
                </c:pt>
                <c:pt idx="8">
                  <c:v>0.53739987511050835</c:v>
                </c:pt>
                <c:pt idx="9">
                  <c:v>0.77313131276884284</c:v>
                </c:pt>
                <c:pt idx="10">
                  <c:v>0.84835732550660681</c:v>
                </c:pt>
                <c:pt idx="11">
                  <c:v>0.68455496519870951</c:v>
                </c:pt>
                <c:pt idx="12">
                  <c:v>0.67556451520783967</c:v>
                </c:pt>
                <c:pt idx="13">
                  <c:v>0.59080209268699768</c:v>
                </c:pt>
                <c:pt idx="14">
                  <c:v>0.37399638976140837</c:v>
                </c:pt>
                <c:pt idx="15">
                  <c:v>0.42680859486818884</c:v>
                </c:pt>
                <c:pt idx="16">
                  <c:v>0.55628133832534898</c:v>
                </c:pt>
                <c:pt idx="17">
                  <c:v>0.26290255761000081</c:v>
                </c:pt>
                <c:pt idx="18">
                  <c:v>0.19439517076933396</c:v>
                </c:pt>
                <c:pt idx="19">
                  <c:v>5.585559339908714E-2</c:v>
                </c:pt>
                <c:pt idx="20">
                  <c:v>-0.76759105911378112</c:v>
                </c:pt>
                <c:pt idx="21">
                  <c:v>-2.0525636652551777</c:v>
                </c:pt>
                <c:pt idx="22">
                  <c:v>-4.8190565938666122E-2</c:v>
                </c:pt>
                <c:pt idx="23">
                  <c:v>-1.2030433782358598</c:v>
                </c:pt>
                <c:pt idx="24">
                  <c:v>-0.80249013033675154</c:v>
                </c:pt>
                <c:pt idx="25">
                  <c:v>1.0345884225732012</c:v>
                </c:pt>
                <c:pt idx="26">
                  <c:v>0.39020781556166612</c:v>
                </c:pt>
                <c:pt idx="27">
                  <c:v>0.99376502890666729</c:v>
                </c:pt>
                <c:pt idx="28">
                  <c:v>1.4238597783800468</c:v>
                </c:pt>
                <c:pt idx="29">
                  <c:v>-0.42444319481434389</c:v>
                </c:pt>
                <c:pt idx="30">
                  <c:v>-1.2177131082280754</c:v>
                </c:pt>
                <c:pt idx="31">
                  <c:v>-0.2073618371637079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6F6-410E-8ACA-DB89B068A1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1"/>
        <c:overlap val="100"/>
        <c:axId val="69972736"/>
        <c:axId val="69974656"/>
      </c:barChart>
      <c:lineChart>
        <c:grouping val="standard"/>
        <c:varyColors val="0"/>
        <c:ser>
          <c:idx val="3"/>
          <c:order val="0"/>
          <c:tx>
            <c:strRef>
              <c:f>'výkonnost odvětví 5a'!$D$66</c:f>
              <c:strCache>
                <c:ptCount val="1"/>
                <c:pt idx="0">
                  <c:v>Maloobchod celkem (meziroční růst)</c:v>
                </c:pt>
              </c:strCache>
            </c:strRef>
          </c:tx>
          <c:spPr>
            <a:ln>
              <a:noFill/>
            </a:ln>
          </c:spPr>
          <c:marker>
            <c:symbol val="dash"/>
            <c:size val="7"/>
            <c:spPr>
              <a:solidFill>
                <a:schemeClr val="tx1">
                  <a:lumMod val="85000"/>
                  <a:lumOff val="15000"/>
                </a:schemeClr>
              </a:solidFill>
              <a:ln w="6350">
                <a:noFill/>
              </a:ln>
            </c:spPr>
          </c:marker>
          <c:cat>
            <c:multiLvlStrRef>
              <c:f>'výkonnost odvětví 5a'!$B$67:$C$99</c:f>
              <c:multiLvlStrCache>
                <c:ptCount val="3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'výkonnost odvětví 5a'!$D$67:$D$99</c:f>
              <c:numCache>
                <c:formatCode>#\ ##0.0</c:formatCode>
                <c:ptCount val="33"/>
                <c:pt idx="0">
                  <c:v>5.9629437730999904</c:v>
                </c:pt>
                <c:pt idx="1">
                  <c:v>5.5942049783999943</c:v>
                </c:pt>
                <c:pt idx="2">
                  <c:v>5.5012484798999992</c:v>
                </c:pt>
                <c:pt idx="3">
                  <c:v>6.0276233044999969</c:v>
                </c:pt>
                <c:pt idx="4">
                  <c:v>5.2867215003000076</c:v>
                </c:pt>
                <c:pt idx="5">
                  <c:v>4.7635779651999961</c:v>
                </c:pt>
                <c:pt idx="6">
                  <c:v>4.7795776032999981</c:v>
                </c:pt>
                <c:pt idx="7">
                  <c:v>3.896489932299998</c:v>
                </c:pt>
                <c:pt idx="8">
                  <c:v>5.2310555753000054</c:v>
                </c:pt>
                <c:pt idx="9">
                  <c:v>6.4725508764000033</c:v>
                </c:pt>
                <c:pt idx="10">
                  <c:v>5.9734111239999974</c:v>
                </c:pt>
                <c:pt idx="11">
                  <c:v>6.1682850682000021</c:v>
                </c:pt>
                <c:pt idx="12">
                  <c:v>6.34130978810001</c:v>
                </c:pt>
                <c:pt idx="13">
                  <c:v>4.6706928929999973</c:v>
                </c:pt>
                <c:pt idx="14">
                  <c:v>4.2011641704000064</c:v>
                </c:pt>
                <c:pt idx="15">
                  <c:v>4.8161828602999961</c:v>
                </c:pt>
                <c:pt idx="16">
                  <c:v>5.6537188417999946</c:v>
                </c:pt>
                <c:pt idx="17">
                  <c:v>4.8265636037999968</c:v>
                </c:pt>
                <c:pt idx="18">
                  <c:v>4.5452014837000023</c:v>
                </c:pt>
                <c:pt idx="19">
                  <c:v>4.1996486233999963</c:v>
                </c:pt>
                <c:pt idx="20">
                  <c:v>6.0491738300001471E-2</c:v>
                </c:pt>
                <c:pt idx="21">
                  <c:v>-2.8962995720000038</c:v>
                </c:pt>
                <c:pt idx="22">
                  <c:v>1.3291675252000061</c:v>
                </c:pt>
                <c:pt idx="23">
                  <c:v>-2.0263752827000019</c:v>
                </c:pt>
                <c:pt idx="24">
                  <c:v>-0.1841270346999978</c:v>
                </c:pt>
                <c:pt idx="25">
                  <c:v>7.2801836782000002</c:v>
                </c:pt>
                <c:pt idx="26">
                  <c:v>3.9051822130000033</c:v>
                </c:pt>
                <c:pt idx="27">
                  <c:v>6.1725521780000001</c:v>
                </c:pt>
                <c:pt idx="28">
                  <c:v>6.5221106164999929</c:v>
                </c:pt>
                <c:pt idx="29">
                  <c:v>-2.964924188599996</c:v>
                </c:pt>
                <c:pt idx="30">
                  <c:v>-7.4721003682000005</c:v>
                </c:pt>
                <c:pt idx="31">
                  <c:v>-9.1632942709000051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56F6-410E-8ACA-DB89B068A1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9972736"/>
        <c:axId val="69974656"/>
      </c:lineChart>
      <c:lineChart>
        <c:grouping val="standard"/>
        <c:varyColors val="0"/>
        <c:ser>
          <c:idx val="5"/>
          <c:order val="4"/>
          <c:tx>
            <c:strRef>
              <c:f>'výkonnost odvětví 5a'!$H$66</c:f>
              <c:strCache>
                <c:ptCount val="1"/>
                <c:pt idx="0">
                  <c:v>Maloobchod, bez motor. segm. (2015=100)</c:v>
                </c:pt>
              </c:strCache>
            </c:strRef>
          </c:tx>
          <c:spPr>
            <a:ln w="15875">
              <a:solidFill>
                <a:schemeClr val="tx1">
                  <a:lumMod val="95000"/>
                  <a:lumOff val="5000"/>
                </a:schemeClr>
              </a:solidFill>
              <a:prstDash val="solid"/>
            </a:ln>
          </c:spPr>
          <c:marker>
            <c:symbol val="none"/>
          </c:marker>
          <c:cat>
            <c:multiLvlStrRef>
              <c:f>'výkonnost odvětví 5a'!$B$67:$C$99</c:f>
              <c:multiLvlStrCache>
                <c:ptCount val="3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'výkonnost odvětví 5a'!$H$67:$H$99</c:f>
              <c:numCache>
                <c:formatCode>#\ ##0.0</c:formatCode>
                <c:ptCount val="33"/>
                <c:pt idx="0">
                  <c:v>98.182102983299941</c:v>
                </c:pt>
                <c:pt idx="1">
                  <c:v>99.137603143299998</c:v>
                </c:pt>
                <c:pt idx="2">
                  <c:v>100.1790029199999</c:v>
                </c:pt>
                <c:pt idx="3">
                  <c:v>102.50129096670005</c:v>
                </c:pt>
                <c:pt idx="4">
                  <c:v>103.13571403329991</c:v>
                </c:pt>
                <c:pt idx="5">
                  <c:v>103.9351803667</c:v>
                </c:pt>
                <c:pt idx="6">
                  <c:v>105.1890713999999</c:v>
                </c:pt>
                <c:pt idx="7">
                  <c:v>106.6400906667</c:v>
                </c:pt>
                <c:pt idx="8">
                  <c:v>108.29302090000006</c:v>
                </c:pt>
                <c:pt idx="9">
                  <c:v>110.5603038667</c:v>
                </c:pt>
                <c:pt idx="10">
                  <c:v>111.7185620333</c:v>
                </c:pt>
                <c:pt idx="11">
                  <c:v>113.10479650000001</c:v>
                </c:pt>
                <c:pt idx="12">
                  <c:v>114.79604070000002</c:v>
                </c:pt>
                <c:pt idx="13">
                  <c:v>115.93791803329998</c:v>
                </c:pt>
                <c:pt idx="14">
                  <c:v>116.7740435</c:v>
                </c:pt>
                <c:pt idx="15">
                  <c:v>118.44014076670005</c:v>
                </c:pt>
                <c:pt idx="16">
                  <c:v>120.8630658333</c:v>
                </c:pt>
                <c:pt idx="17">
                  <c:v>121.79026133000002</c:v>
                </c:pt>
                <c:pt idx="18">
                  <c:v>122.36688694670001</c:v>
                </c:pt>
                <c:pt idx="19">
                  <c:v>123.29103059329998</c:v>
                </c:pt>
                <c:pt idx="20">
                  <c:v>120.69862361000006</c:v>
                </c:pt>
                <c:pt idx="21">
                  <c:v>118.79257757000001</c:v>
                </c:pt>
                <c:pt idx="22">
                  <c:v>124.45742695000006</c:v>
                </c:pt>
                <c:pt idx="23">
                  <c:v>120.35418919999998</c:v>
                </c:pt>
                <c:pt idx="24">
                  <c:v>118.8138527566999</c:v>
                </c:pt>
                <c:pt idx="25">
                  <c:v>127.69453672669992</c:v>
                </c:pt>
                <c:pt idx="26">
                  <c:v>130.12631178000001</c:v>
                </c:pt>
                <c:pt idx="27">
                  <c:v>128.46986089329999</c:v>
                </c:pt>
                <c:pt idx="28">
                  <c:v>126.85609396330005</c:v>
                </c:pt>
                <c:pt idx="29">
                  <c:v>123.27142680670001</c:v>
                </c:pt>
                <c:pt idx="30">
                  <c:v>120.59046767330005</c:v>
                </c:pt>
                <c:pt idx="31">
                  <c:v>118.11222493330006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56F6-410E-8ACA-DB89B068A11B}"/>
            </c:ext>
          </c:extLst>
        </c:ser>
        <c:ser>
          <c:idx val="2"/>
          <c:order val="5"/>
          <c:tx>
            <c:strRef>
              <c:f>'výkonnost odvětví 5a'!$I$66</c:f>
              <c:strCache>
                <c:ptCount val="1"/>
                <c:pt idx="0">
                  <c:v>Maloobchodní prodej PHM (2015=100)</c:v>
                </c:pt>
              </c:strCache>
            </c:strRef>
          </c:tx>
          <c:spPr>
            <a:ln w="15875">
              <a:solidFill>
                <a:schemeClr val="bg2">
                  <a:lumMod val="50000"/>
                </a:schemeClr>
              </a:solidFill>
              <a:prstDash val="sysDash"/>
            </a:ln>
          </c:spPr>
          <c:marker>
            <c:symbol val="none"/>
          </c:marker>
          <c:cat>
            <c:multiLvlStrRef>
              <c:f>'výkonnost odvětví 5a'!$B$67:$C$99</c:f>
              <c:multiLvlStrCache>
                <c:ptCount val="3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'výkonnost odvětví 5a'!$I$67:$I$99</c:f>
              <c:numCache>
                <c:formatCode>#\ ##0.0</c:formatCode>
                <c:ptCount val="33"/>
                <c:pt idx="0">
                  <c:v>99.513139306699941</c:v>
                </c:pt>
                <c:pt idx="1">
                  <c:v>98.324028400000003</c:v>
                </c:pt>
                <c:pt idx="2">
                  <c:v>99.345746029999958</c:v>
                </c:pt>
                <c:pt idx="3">
                  <c:v>102.8170862667</c:v>
                </c:pt>
                <c:pt idx="4">
                  <c:v>104.40801960000007</c:v>
                </c:pt>
                <c:pt idx="5">
                  <c:v>103.76125656670006</c:v>
                </c:pt>
                <c:pt idx="6">
                  <c:v>103.8894186</c:v>
                </c:pt>
                <c:pt idx="7">
                  <c:v>108.06889986669992</c:v>
                </c:pt>
                <c:pt idx="8">
                  <c:v>108.91256546670006</c:v>
                </c:pt>
                <c:pt idx="9">
                  <c:v>110.0281492667</c:v>
                </c:pt>
                <c:pt idx="10">
                  <c:v>110.24816973330007</c:v>
                </c:pt>
                <c:pt idx="11">
                  <c:v>114.9077460667</c:v>
                </c:pt>
                <c:pt idx="12">
                  <c:v>115.15612109999998</c:v>
                </c:pt>
                <c:pt idx="13">
                  <c:v>115.32029416669992</c:v>
                </c:pt>
                <c:pt idx="14">
                  <c:v>113.3013183332999</c:v>
                </c:pt>
                <c:pt idx="15">
                  <c:v>118.5502795</c:v>
                </c:pt>
                <c:pt idx="16">
                  <c:v>120.6878189266999</c:v>
                </c:pt>
                <c:pt idx="17">
                  <c:v>117.99417203</c:v>
                </c:pt>
                <c:pt idx="18">
                  <c:v>114.4818178733</c:v>
                </c:pt>
                <c:pt idx="19">
                  <c:v>119.40882049330006</c:v>
                </c:pt>
                <c:pt idx="20">
                  <c:v>113.0155670067</c:v>
                </c:pt>
                <c:pt idx="21">
                  <c:v>97.645228860000003</c:v>
                </c:pt>
                <c:pt idx="22">
                  <c:v>113.35676879330001</c:v>
                </c:pt>
                <c:pt idx="23">
                  <c:v>105.9359390533</c:v>
                </c:pt>
                <c:pt idx="24">
                  <c:v>104.16116508670002</c:v>
                </c:pt>
                <c:pt idx="25">
                  <c:v>110.80961229</c:v>
                </c:pt>
                <c:pt idx="26">
                  <c:v>117.50596787000001</c:v>
                </c:pt>
                <c:pt idx="27">
                  <c:v>114.32534237329985</c:v>
                </c:pt>
                <c:pt idx="28">
                  <c:v>115.9798556667</c:v>
                </c:pt>
                <c:pt idx="29">
                  <c:v>106.77754146330005</c:v>
                </c:pt>
                <c:pt idx="30">
                  <c:v>106.47598888329991</c:v>
                </c:pt>
                <c:pt idx="31">
                  <c:v>112.12877881999979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56F6-410E-8ACA-DB89B068A11B}"/>
            </c:ext>
          </c:extLst>
        </c:ser>
        <c:ser>
          <c:idx val="6"/>
          <c:order val="6"/>
          <c:tx>
            <c:strRef>
              <c:f>'výkonnost odvětví 5a'!$J$66</c:f>
              <c:strCache>
                <c:ptCount val="1"/>
                <c:pt idx="0">
                  <c:v>Obchod a opravy motor. vozidel (2015=100)</c:v>
                </c:pt>
              </c:strCache>
            </c:strRef>
          </c:tx>
          <c:spPr>
            <a:ln w="15875">
              <a:solidFill>
                <a:srgbClr val="984807"/>
              </a:solidFill>
              <a:prstDash val="solid"/>
            </a:ln>
          </c:spPr>
          <c:marker>
            <c:symbol val="none"/>
          </c:marker>
          <c:cat>
            <c:multiLvlStrRef>
              <c:f>'výkonnost odvětví 5a'!$B$67:$C$99</c:f>
              <c:multiLvlStrCache>
                <c:ptCount val="3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'výkonnost odvětví 5a'!$J$67:$J$99</c:f>
              <c:numCache>
                <c:formatCode>#\ ##0.0</c:formatCode>
                <c:ptCount val="33"/>
                <c:pt idx="0">
                  <c:v>95.697367796699893</c:v>
                </c:pt>
                <c:pt idx="1">
                  <c:v>98.531720309999983</c:v>
                </c:pt>
                <c:pt idx="2">
                  <c:v>101.3260702666999</c:v>
                </c:pt>
                <c:pt idx="3">
                  <c:v>104.44484163330006</c:v>
                </c:pt>
                <c:pt idx="4">
                  <c:v>105.1626406667</c:v>
                </c:pt>
                <c:pt idx="5">
                  <c:v>106.8068112</c:v>
                </c:pt>
                <c:pt idx="6">
                  <c:v>108.91789203330002</c:v>
                </c:pt>
                <c:pt idx="7">
                  <c:v>109.8263580332999</c:v>
                </c:pt>
                <c:pt idx="8">
                  <c:v>111.08373136669985</c:v>
                </c:pt>
                <c:pt idx="9">
                  <c:v>111.3580627666999</c:v>
                </c:pt>
                <c:pt idx="10">
                  <c:v>109.57350293330001</c:v>
                </c:pt>
                <c:pt idx="11">
                  <c:v>112.03916993330006</c:v>
                </c:pt>
                <c:pt idx="12">
                  <c:v>110.5959055333</c:v>
                </c:pt>
                <c:pt idx="13">
                  <c:v>109.9283487666999</c:v>
                </c:pt>
                <c:pt idx="14">
                  <c:v>108.91076590000006</c:v>
                </c:pt>
                <c:pt idx="15">
                  <c:v>106.41696350000009</c:v>
                </c:pt>
                <c:pt idx="16">
                  <c:v>109.54775435329998</c:v>
                </c:pt>
                <c:pt idx="17">
                  <c:v>110.8073262667</c:v>
                </c:pt>
                <c:pt idx="18">
                  <c:v>109.5778583732999</c:v>
                </c:pt>
                <c:pt idx="19">
                  <c:v>110.06150255670001</c:v>
                </c:pt>
                <c:pt idx="20">
                  <c:v>96.457729993300077</c:v>
                </c:pt>
                <c:pt idx="21">
                  <c:v>77.460500006700002</c:v>
                </c:pt>
                <c:pt idx="22">
                  <c:v>100.49268490000006</c:v>
                </c:pt>
                <c:pt idx="23">
                  <c:v>102.1841167867</c:v>
                </c:pt>
                <c:pt idx="24">
                  <c:v>102.6393273066999</c:v>
                </c:pt>
                <c:pt idx="25">
                  <c:v>105.1354328999999</c:v>
                </c:pt>
                <c:pt idx="26">
                  <c:v>99.462158689999995</c:v>
                </c:pt>
                <c:pt idx="27">
                  <c:v>97.778743680000005</c:v>
                </c:pt>
                <c:pt idx="28">
                  <c:v>98.273929570000007</c:v>
                </c:pt>
                <c:pt idx="29">
                  <c:v>96.855290976699905</c:v>
                </c:pt>
                <c:pt idx="30">
                  <c:v>96.170951396699849</c:v>
                </c:pt>
                <c:pt idx="31">
                  <c:v>96.947600030000075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56F6-410E-8ACA-DB89B068A11B}"/>
            </c:ext>
          </c:extLst>
        </c:ser>
        <c:ser>
          <c:idx val="7"/>
          <c:order val="7"/>
          <c:tx>
            <c:strRef>
              <c:f>'výkonnost odvětví 5a'!$K$66</c:f>
              <c:strCache>
                <c:ptCount val="1"/>
              </c:strCache>
            </c:strRef>
          </c:tx>
          <c:spPr>
            <a:ln w="3175">
              <a:noFill/>
              <a:prstDash val="sysDash"/>
            </a:ln>
          </c:spPr>
          <c:marker>
            <c:symbol val="none"/>
          </c:marker>
          <c:cat>
            <c:multiLvlStrRef>
              <c:f>'výkonnost odvětví 5a'!$B$67:$C$99</c:f>
              <c:multiLvlStrCache>
                <c:ptCount val="3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'výkonnost odvětví 5a'!$K$67:$K$99</c:f>
              <c:numCache>
                <c:formatCode>General</c:formatCode>
                <c:ptCount val="33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56F6-410E-8ACA-DB89B068A11B}"/>
            </c:ext>
          </c:extLst>
        </c:ser>
        <c:ser>
          <c:idx val="8"/>
          <c:order val="8"/>
          <c:tx>
            <c:strRef>
              <c:f>'výkonnost odvětví 5a'!$L$66</c:f>
              <c:strCache>
                <c:ptCount val="1"/>
                <c:pt idx="0">
                  <c:v>Saldo indikátoru důvěry spotřebitelů</c:v>
                </c:pt>
              </c:strCache>
            </c:strRef>
          </c:tx>
          <c:spPr>
            <a:ln w="12700">
              <a:solidFill>
                <a:schemeClr val="bg1">
                  <a:lumMod val="50000"/>
                </a:schemeClr>
              </a:solidFill>
              <a:prstDash val="sysDot"/>
            </a:ln>
          </c:spPr>
          <c:marker>
            <c:symbol val="circle"/>
            <c:size val="5"/>
            <c:spPr>
              <a:solidFill>
                <a:srgbClr val="FFFF00"/>
              </a:solidFill>
              <a:ln>
                <a:solidFill>
                  <a:schemeClr val="bg1">
                    <a:lumMod val="50000"/>
                  </a:schemeClr>
                </a:solidFill>
              </a:ln>
            </c:spPr>
          </c:marker>
          <c:cat>
            <c:multiLvlStrRef>
              <c:f>'výkonnost odvětví 5a'!$B$67:$C$99</c:f>
              <c:multiLvlStrCache>
                <c:ptCount val="3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'výkonnost odvětví 5a'!$L$67:$L$99</c:f>
              <c:numCache>
                <c:formatCode>0.0</c:formatCode>
                <c:ptCount val="33"/>
                <c:pt idx="0">
                  <c:v>-1.75</c:v>
                </c:pt>
                <c:pt idx="1">
                  <c:v>0.25</c:v>
                </c:pt>
                <c:pt idx="2">
                  <c:v>-3.75</c:v>
                </c:pt>
                <c:pt idx="3">
                  <c:v>-0.25</c:v>
                </c:pt>
                <c:pt idx="4">
                  <c:v>-1.5</c:v>
                </c:pt>
                <c:pt idx="5">
                  <c:v>0</c:v>
                </c:pt>
                <c:pt idx="6">
                  <c:v>-2.25</c:v>
                </c:pt>
                <c:pt idx="7">
                  <c:v>0.75000000000000044</c:v>
                </c:pt>
                <c:pt idx="8">
                  <c:v>1.25</c:v>
                </c:pt>
                <c:pt idx="9">
                  <c:v>-0.5</c:v>
                </c:pt>
                <c:pt idx="10">
                  <c:v>0.5</c:v>
                </c:pt>
                <c:pt idx="11">
                  <c:v>5</c:v>
                </c:pt>
                <c:pt idx="12">
                  <c:v>3.75</c:v>
                </c:pt>
                <c:pt idx="13">
                  <c:v>6</c:v>
                </c:pt>
                <c:pt idx="14">
                  <c:v>4</c:v>
                </c:pt>
                <c:pt idx="15">
                  <c:v>1</c:v>
                </c:pt>
                <c:pt idx="16">
                  <c:v>3.25</c:v>
                </c:pt>
                <c:pt idx="17">
                  <c:v>0</c:v>
                </c:pt>
                <c:pt idx="18">
                  <c:v>2.25</c:v>
                </c:pt>
                <c:pt idx="19">
                  <c:v>-0.5</c:v>
                </c:pt>
                <c:pt idx="20">
                  <c:v>-1.75</c:v>
                </c:pt>
                <c:pt idx="21">
                  <c:v>-9.25</c:v>
                </c:pt>
                <c:pt idx="22">
                  <c:v>-8.75</c:v>
                </c:pt>
                <c:pt idx="23">
                  <c:v>-18.5</c:v>
                </c:pt>
                <c:pt idx="24">
                  <c:v>-16.25</c:v>
                </c:pt>
                <c:pt idx="25">
                  <c:v>-6.75</c:v>
                </c:pt>
                <c:pt idx="26">
                  <c:v>-4.5</c:v>
                </c:pt>
                <c:pt idx="27">
                  <c:v>-17</c:v>
                </c:pt>
                <c:pt idx="28">
                  <c:v>-16.5</c:v>
                </c:pt>
                <c:pt idx="29">
                  <c:v>-31</c:v>
                </c:pt>
                <c:pt idx="30">
                  <c:v>-29.8</c:v>
                </c:pt>
                <c:pt idx="31">
                  <c:v>-30.8</c:v>
                </c:pt>
                <c:pt idx="32">
                  <c:v>-21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56F6-410E-8ACA-DB89B068A11B}"/>
            </c:ext>
          </c:extLst>
        </c:ser>
        <c:ser>
          <c:idx val="9"/>
          <c:order val="9"/>
          <c:tx>
            <c:strRef>
              <c:f>'výkonnost odvětví 5a'!$M$66</c:f>
              <c:strCache>
                <c:ptCount val="1"/>
                <c:pt idx="0">
                  <c:v>Saldo indikátoru důvěry obchodníků</c:v>
                </c:pt>
              </c:strCache>
            </c:strRef>
          </c:tx>
          <c:spPr>
            <a:ln w="6350">
              <a:solidFill>
                <a:schemeClr val="bg1">
                  <a:lumMod val="50000"/>
                </a:schemeClr>
              </a:solidFill>
              <a:prstDash val="sysDash"/>
            </a:ln>
          </c:spPr>
          <c:marker>
            <c:symbol val="triangle"/>
            <c:size val="5"/>
            <c:spPr>
              <a:solidFill>
                <a:schemeClr val="accent6">
                  <a:lumMod val="40000"/>
                  <a:lumOff val="60000"/>
                </a:schemeClr>
              </a:solidFill>
              <a:ln>
                <a:solidFill>
                  <a:schemeClr val="bg1">
                    <a:lumMod val="50000"/>
                  </a:schemeClr>
                </a:solidFill>
              </a:ln>
            </c:spPr>
          </c:marker>
          <c:cat>
            <c:multiLvlStrRef>
              <c:f>'výkonnost odvětví 5a'!$B$67:$C$99</c:f>
              <c:multiLvlStrCache>
                <c:ptCount val="3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'výkonnost odvětví 5a'!$M$67:$M$99</c:f>
              <c:numCache>
                <c:formatCode>0.0</c:formatCode>
                <c:ptCount val="33"/>
                <c:pt idx="0">
                  <c:v>20</c:v>
                </c:pt>
                <c:pt idx="1">
                  <c:v>20.7</c:v>
                </c:pt>
                <c:pt idx="2">
                  <c:v>17.600000000000001</c:v>
                </c:pt>
                <c:pt idx="3">
                  <c:v>19.7</c:v>
                </c:pt>
                <c:pt idx="4">
                  <c:v>22.7</c:v>
                </c:pt>
                <c:pt idx="5">
                  <c:v>17.7</c:v>
                </c:pt>
                <c:pt idx="6">
                  <c:v>17.7</c:v>
                </c:pt>
                <c:pt idx="7">
                  <c:v>21</c:v>
                </c:pt>
                <c:pt idx="8">
                  <c:v>24.3</c:v>
                </c:pt>
                <c:pt idx="9">
                  <c:v>17.3</c:v>
                </c:pt>
                <c:pt idx="10">
                  <c:v>22.7</c:v>
                </c:pt>
                <c:pt idx="11">
                  <c:v>21.7</c:v>
                </c:pt>
                <c:pt idx="12">
                  <c:v>23.3</c:v>
                </c:pt>
                <c:pt idx="13">
                  <c:v>17.3</c:v>
                </c:pt>
                <c:pt idx="14">
                  <c:v>15.6</c:v>
                </c:pt>
                <c:pt idx="15">
                  <c:v>15</c:v>
                </c:pt>
                <c:pt idx="16">
                  <c:v>12.7</c:v>
                </c:pt>
                <c:pt idx="17">
                  <c:v>12.3</c:v>
                </c:pt>
                <c:pt idx="18">
                  <c:v>14.7</c:v>
                </c:pt>
                <c:pt idx="19">
                  <c:v>14.7</c:v>
                </c:pt>
                <c:pt idx="20">
                  <c:v>18.7</c:v>
                </c:pt>
                <c:pt idx="21">
                  <c:v>-1</c:v>
                </c:pt>
                <c:pt idx="22">
                  <c:v>12</c:v>
                </c:pt>
                <c:pt idx="23">
                  <c:v>7</c:v>
                </c:pt>
                <c:pt idx="24">
                  <c:v>1.3</c:v>
                </c:pt>
                <c:pt idx="25">
                  <c:v>15</c:v>
                </c:pt>
                <c:pt idx="26">
                  <c:v>18.3</c:v>
                </c:pt>
                <c:pt idx="27">
                  <c:v>21.3</c:v>
                </c:pt>
                <c:pt idx="28">
                  <c:v>19.7</c:v>
                </c:pt>
                <c:pt idx="29">
                  <c:v>19.600000000000001</c:v>
                </c:pt>
                <c:pt idx="30">
                  <c:v>10.3</c:v>
                </c:pt>
                <c:pt idx="31">
                  <c:v>14.7</c:v>
                </c:pt>
                <c:pt idx="32">
                  <c:v>9.3000000000000007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56F6-410E-8ACA-DB89B068A1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0191744"/>
        <c:axId val="70189824"/>
      </c:lineChart>
      <c:catAx>
        <c:axId val="699727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txPr>
          <a:bodyPr/>
          <a:lstStyle/>
          <a:p>
            <a:pPr>
              <a:defRPr sz="800"/>
            </a:pPr>
            <a:endParaRPr lang="cs-CZ"/>
          </a:p>
        </c:txPr>
        <c:crossAx val="69974656"/>
        <c:crosses val="autoZero"/>
        <c:auto val="1"/>
        <c:lblAlgn val="ctr"/>
        <c:lblOffset val="0"/>
        <c:noMultiLvlLbl val="0"/>
      </c:catAx>
      <c:valAx>
        <c:axId val="69974656"/>
        <c:scaling>
          <c:orientation val="minMax"/>
          <c:max val="12"/>
          <c:min val="-10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750" b="0" i="1"/>
                </a:pPr>
                <a:r>
                  <a:rPr lang="cs-CZ" sz="750" b="0" i="1"/>
                  <a:t>Tržby</a:t>
                </a:r>
                <a:r>
                  <a:rPr lang="cs-CZ" sz="750" b="0" i="1" baseline="0"/>
                  <a:t> (příspěvěk k meziroč. růstu)</a:t>
                </a:r>
                <a:endParaRPr lang="cs-CZ" sz="750" b="0" i="1"/>
              </a:p>
            </c:rich>
          </c:tx>
          <c:layout>
            <c:manualLayout>
              <c:xMode val="edge"/>
              <c:yMode val="edge"/>
              <c:x val="2.6087065478328985E-3"/>
              <c:y val="0.18186950815930628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69972736"/>
        <c:crosses val="autoZero"/>
        <c:crossBetween val="between"/>
        <c:majorUnit val="2"/>
      </c:valAx>
      <c:valAx>
        <c:axId val="70189824"/>
        <c:scaling>
          <c:orientation val="minMax"/>
          <c:max val="140"/>
          <c:min val="-40"/>
        </c:scaling>
        <c:delete val="0"/>
        <c:axPos val="r"/>
        <c:title>
          <c:tx>
            <c:rich>
              <a:bodyPr/>
              <a:lstStyle/>
              <a:p>
                <a:pPr>
                  <a:defRPr sz="750" b="0" i="1"/>
                </a:pPr>
                <a:r>
                  <a:rPr lang="cs-CZ" sz="750" b="0" i="1">
                    <a:latin typeface="Arial" panose="020B0604020202020204" pitchFamily="34" charset="0"/>
                    <a:cs typeface="Arial" panose="020B0604020202020204" pitchFamily="34" charset="0"/>
                  </a:rPr>
                  <a:t>Tržby</a:t>
                </a:r>
                <a:r>
                  <a:rPr lang="cs-CZ" sz="750" b="0" i="1" baseline="0">
                    <a:latin typeface="Arial" panose="020B0604020202020204" pitchFamily="34" charset="0"/>
                    <a:cs typeface="Arial" panose="020B0604020202020204" pitchFamily="34" charset="0"/>
                  </a:rPr>
                  <a:t> (rok 2015=100), </a:t>
                </a:r>
                <a:r>
                  <a:rPr lang="cs-CZ" sz="750" b="0" i="1" u="none" strike="noStrike" baseline="0">
                    <a:effectLst/>
                    <a:latin typeface="Arial" panose="020B0604020202020204" pitchFamily="34" charset="0"/>
                    <a:cs typeface="Arial" panose="020B0604020202020204" pitchFamily="34" charset="0"/>
                  </a:rPr>
                  <a:t>důvěra domácností (p. b.)</a:t>
                </a:r>
                <a:endParaRPr lang="cs-CZ" sz="750" b="0" i="1"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70191744"/>
        <c:crosses val="max"/>
        <c:crossBetween val="between"/>
        <c:majorUnit val="10"/>
      </c:valAx>
      <c:catAx>
        <c:axId val="7019174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70189824"/>
        <c:crosses val="autoZero"/>
        <c:auto val="1"/>
        <c:lblAlgn val="ctr"/>
        <c:lblOffset val="100"/>
        <c:noMultiLvlLbl val="0"/>
      </c:catAx>
      <c:spPr>
        <a:ln>
          <a:solidFill>
            <a:schemeClr val="tx1"/>
          </a:solidFill>
        </a:ln>
      </c:spPr>
    </c:plotArea>
    <c:legend>
      <c:legendPos val="r"/>
      <c:layout>
        <c:manualLayout>
          <c:xMode val="edge"/>
          <c:yMode val="edge"/>
          <c:x val="7.8026315789473683E-3"/>
          <c:y val="0.83721607601948345"/>
          <c:w val="0.98158751044277359"/>
          <c:h val="0.15565653623547093"/>
        </c:manualLayout>
      </c:layout>
      <c:overlay val="0"/>
      <c:spPr>
        <a:ln w="6350">
          <a:solidFill>
            <a:schemeClr val="tx1"/>
          </a:solidFill>
        </a:ln>
      </c:spPr>
      <c:txPr>
        <a:bodyPr/>
        <a:lstStyle/>
        <a:p>
          <a:pPr>
            <a:defRPr sz="750"/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500" baseline="0">
          <a:latin typeface="Arial" pitchFamily="34" charset="0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1BBA9E39CFCF469C5C18733081B222" ma:contentTypeVersion="2" ma:contentTypeDescription="Vytvoří nový dokument" ma:contentTypeScope="" ma:versionID="eb01c1c0223ab0a1c9372071ddfa2e5f">
  <xsd:schema xmlns:xsd="http://www.w3.org/2001/XMLSchema" xmlns:xs="http://www.w3.org/2001/XMLSchema" xmlns:p="http://schemas.microsoft.com/office/2006/metadata/properties" xmlns:ns2="eabc42bd-08fe-4a27-9645-04f6ad96d74a" targetNamespace="http://schemas.microsoft.com/office/2006/metadata/properties" ma:root="true" ma:fieldsID="3d4f44d82d427914eb8ec1afbd279452" ns2:_="">
    <xsd:import namespace="eabc42bd-08fe-4a27-9645-04f6ad96d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c42bd-08fe-4a27-9645-04f6ad96d7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7926D-EFC2-4F8B-B71C-495191F493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70C5A8-E1D4-45B9-A6FC-B1B245DAB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bc42bd-08fe-4a27-9645-04f6ad96d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238702-393C-4E0B-95FC-639749005827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eabc42bd-08fe-4a27-9645-04f6ad96d74a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7D090CF-62AF-4131-9322-2E648D49B25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0075E46-B04D-41F5-8C6A-84D308B12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</Template>
  <TotalTime>2</TotalTime>
  <Pages>10</Pages>
  <Words>4528</Words>
  <Characters>26719</Characters>
  <Application>Microsoft Office Word</Application>
  <DocSecurity>0</DocSecurity>
  <Lines>222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31185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Karolína Súkupová</dc:creator>
  <cp:lastModifiedBy>Karolína Zábojníková</cp:lastModifiedBy>
  <cp:revision>4</cp:revision>
  <cp:lastPrinted>2019-04-08T10:52:00Z</cp:lastPrinted>
  <dcterms:created xsi:type="dcterms:W3CDTF">2023-03-21T09:13:00Z</dcterms:created>
  <dcterms:modified xsi:type="dcterms:W3CDTF">2023-03-21T09:19:00Z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0x010100331BBA9E39CFCF469C5C18733081B222</vt:lpwstr>
  </property>
</Properties>
</file>