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0D3C" w14:textId="77777777" w:rsidR="009908AF" w:rsidRDefault="009908AF" w:rsidP="009908AF">
      <w:pPr>
        <w:pStyle w:val="Nadpis11"/>
        <w:spacing w:after="120"/>
      </w:pPr>
      <w:bookmarkStart w:id="0" w:name="_Toc130286021"/>
      <w:r w:rsidRPr="00B43216">
        <w:t>6. Trh práce</w:t>
      </w:r>
      <w:bookmarkEnd w:id="0"/>
    </w:p>
    <w:tbl>
      <w:tblPr>
        <w:tblW w:w="9674" w:type="dxa"/>
        <w:tblInd w:w="-3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3"/>
        <w:gridCol w:w="202"/>
        <w:gridCol w:w="7749"/>
      </w:tblGrid>
      <w:tr w:rsidR="001C3855" w:rsidRPr="00FE39EE" w14:paraId="3D9A95BD" w14:textId="77777777" w:rsidTr="52944939">
        <w:trPr>
          <w:trHeight w:val="155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6485E18E" w14:textId="77777777" w:rsidR="001C3855" w:rsidRDefault="001C3855" w:rsidP="00C8019E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Na pracovním trhu v ČR se ve 2. pololetí 2022 začaly objevovat zřetelné známky ochlazení související s cyklickým útlumem ekonomiky.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</w:tcMar>
          </w:tcPr>
          <w:p w14:paraId="7F2AE265" w14:textId="77777777" w:rsidR="001C3855" w:rsidRPr="009F0D7F" w:rsidRDefault="001C3855" w:rsidP="00C8019E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2B3C266B" w14:textId="77777777" w:rsidR="001C3855" w:rsidRPr="00FE39EE" w:rsidRDefault="001C3855" w:rsidP="00C8019E">
            <w:pPr>
              <w:rPr>
                <w:color w:val="0D0D0D" w:themeColor="text1" w:themeTint="F2"/>
                <w:spacing w:val="-4"/>
              </w:rPr>
            </w:pPr>
            <w:r w:rsidRPr="00FE39EE">
              <w:rPr>
                <w:color w:val="0D0D0D" w:themeColor="text1" w:themeTint="F2"/>
                <w:spacing w:val="-4"/>
              </w:rPr>
              <w:t>Tuzemský trh práce</w:t>
            </w:r>
            <w:r>
              <w:rPr>
                <w:color w:val="0D0D0D" w:themeColor="text1" w:themeTint="F2"/>
                <w:spacing w:val="-4"/>
              </w:rPr>
              <w:t xml:space="preserve">, jenž se po </w:t>
            </w:r>
            <w:r w:rsidRPr="00FE39EE">
              <w:rPr>
                <w:color w:val="0D0D0D" w:themeColor="text1" w:themeTint="F2"/>
                <w:spacing w:val="-4"/>
              </w:rPr>
              <w:t xml:space="preserve">odeznění dopadů protipandemických restrikcí </w:t>
            </w:r>
            <w:r>
              <w:rPr>
                <w:color w:val="0D0D0D" w:themeColor="text1" w:themeTint="F2"/>
                <w:spacing w:val="-4"/>
              </w:rPr>
              <w:t xml:space="preserve">znovu </w:t>
            </w:r>
            <w:r w:rsidRPr="00FE39EE">
              <w:rPr>
                <w:color w:val="0D0D0D" w:themeColor="text1" w:themeTint="F2"/>
                <w:spacing w:val="-4"/>
              </w:rPr>
              <w:t>rozvíjel, z</w:t>
            </w:r>
            <w:r>
              <w:rPr>
                <w:color w:val="0D0D0D" w:themeColor="text1" w:themeTint="F2"/>
                <w:spacing w:val="-4"/>
              </w:rPr>
              <w:t>ažil ve druhé polovině loňského roku</w:t>
            </w:r>
            <w:r w:rsidRPr="00FE39EE">
              <w:rPr>
                <w:color w:val="0D0D0D" w:themeColor="text1" w:themeTint="F2"/>
                <w:spacing w:val="-4"/>
              </w:rPr>
              <w:t xml:space="preserve"> postupné ochlazení. Zatímco růst zaměstnanosti</w:t>
            </w:r>
            <w:r w:rsidRPr="00FE39EE">
              <w:rPr>
                <w:color w:val="0D0D0D" w:themeColor="text1" w:themeTint="F2"/>
                <w:spacing w:val="-4"/>
                <w:vertAlign w:val="superscript"/>
              </w:rPr>
              <w:footnoteReference w:id="1"/>
            </w:r>
            <w:r w:rsidRPr="00FE39EE">
              <w:rPr>
                <w:color w:val="0D0D0D" w:themeColor="text1" w:themeTint="F2"/>
                <w:spacing w:val="-4"/>
              </w:rPr>
              <w:t xml:space="preserve"> dosáhl v </w:t>
            </w:r>
            <w:proofErr w:type="spellStart"/>
            <w:r w:rsidRPr="00FE39EE">
              <w:rPr>
                <w:color w:val="0D0D0D" w:themeColor="text1" w:themeTint="F2"/>
                <w:spacing w:val="-4"/>
              </w:rPr>
              <w:t>mezikvartálním</w:t>
            </w:r>
            <w:proofErr w:type="spellEnd"/>
            <w:r w:rsidRPr="00FE39EE">
              <w:rPr>
                <w:color w:val="0D0D0D" w:themeColor="text1" w:themeTint="F2"/>
                <w:spacing w:val="-4"/>
              </w:rPr>
              <w:t xml:space="preserve"> vy</w:t>
            </w:r>
            <w:r>
              <w:rPr>
                <w:color w:val="0D0D0D" w:themeColor="text1" w:themeTint="F2"/>
                <w:spacing w:val="-4"/>
              </w:rPr>
              <w:t>jádření ještě ve 2.</w:t>
            </w:r>
            <w:r w:rsidRPr="00FE39EE">
              <w:rPr>
                <w:color w:val="0D0D0D" w:themeColor="text1" w:themeTint="F2"/>
                <w:spacing w:val="-4"/>
              </w:rPr>
              <w:t xml:space="preserve"> čtvrtletí </w:t>
            </w:r>
            <w:r>
              <w:rPr>
                <w:color w:val="0D0D0D" w:themeColor="text1" w:themeTint="F2"/>
                <w:spacing w:val="-4"/>
              </w:rPr>
              <w:t xml:space="preserve">2022 </w:t>
            </w:r>
            <w:r w:rsidRPr="00FE39EE">
              <w:rPr>
                <w:color w:val="0D0D0D" w:themeColor="text1" w:themeTint="F2"/>
                <w:spacing w:val="-4"/>
              </w:rPr>
              <w:t xml:space="preserve">silných 1,5 % (a počet pracovníků poprvé </w:t>
            </w:r>
            <w:r>
              <w:rPr>
                <w:color w:val="0D0D0D" w:themeColor="text1" w:themeTint="F2"/>
                <w:spacing w:val="-4"/>
              </w:rPr>
              <w:t xml:space="preserve">lehce </w:t>
            </w:r>
            <w:r w:rsidRPr="00FE39EE">
              <w:rPr>
                <w:color w:val="0D0D0D" w:themeColor="text1" w:themeTint="F2"/>
                <w:spacing w:val="-4"/>
              </w:rPr>
              <w:t>překonal rekordní úroveň z vrcholu předpandemické konjunktury</w:t>
            </w:r>
            <w:r>
              <w:rPr>
                <w:color w:val="0D0D0D" w:themeColor="text1" w:themeTint="F2"/>
                <w:spacing w:val="-4"/>
              </w:rPr>
              <w:t xml:space="preserve"> – 5,45 mil. osob</w:t>
            </w:r>
            <w:r w:rsidRPr="00FE39EE">
              <w:rPr>
                <w:color w:val="0D0D0D" w:themeColor="text1" w:themeTint="F2"/>
                <w:spacing w:val="-4"/>
              </w:rPr>
              <w:t xml:space="preserve">), v následující části roku se stavy pracovníků </w:t>
            </w:r>
            <w:r>
              <w:rPr>
                <w:color w:val="0D0D0D" w:themeColor="text1" w:themeTint="F2"/>
                <w:spacing w:val="-4"/>
              </w:rPr>
              <w:t>již mírně</w:t>
            </w:r>
            <w:r w:rsidRPr="00FE39EE">
              <w:rPr>
                <w:color w:val="0D0D0D" w:themeColor="text1" w:themeTint="F2"/>
                <w:spacing w:val="-4"/>
              </w:rPr>
              <w:t xml:space="preserve"> redukovaly (v úhrnu za celé pololetí o</w:t>
            </w:r>
            <w:r>
              <w:rPr>
                <w:color w:val="0D0D0D" w:themeColor="text1" w:themeTint="F2"/>
                <w:spacing w:val="-4"/>
              </w:rPr>
              <w:t> 27 tis., resp. 0,5</w:t>
            </w:r>
            <w:r w:rsidRPr="00FE39EE">
              <w:rPr>
                <w:color w:val="0D0D0D" w:themeColor="text1" w:themeTint="F2"/>
                <w:spacing w:val="-4"/>
              </w:rPr>
              <w:t xml:space="preserve"> %). Klesající poptávku po pracovní síle dokresloval rovněž úbytek volných pracovních míst</w:t>
            </w:r>
            <w:r>
              <w:rPr>
                <w:color w:val="0D0D0D" w:themeColor="text1" w:themeTint="F2"/>
                <w:spacing w:val="-4"/>
              </w:rPr>
              <w:t xml:space="preserve"> nebo</w:t>
            </w:r>
            <w:r w:rsidRPr="00FE39EE">
              <w:rPr>
                <w:color w:val="0D0D0D" w:themeColor="text1" w:themeTint="F2"/>
                <w:spacing w:val="-4"/>
              </w:rPr>
              <w:t xml:space="preserve"> zhoršení krátkodobých očekávání podniků v oblasti </w:t>
            </w:r>
            <w:r>
              <w:rPr>
                <w:color w:val="0D0D0D" w:themeColor="text1" w:themeTint="F2"/>
                <w:spacing w:val="-4"/>
              </w:rPr>
              <w:t>zaměstnanosti, k němuž došlo napříč hlavními odvětvími</w:t>
            </w:r>
            <w:r w:rsidRPr="00FE39EE">
              <w:rPr>
                <w:color w:val="0D0D0D" w:themeColor="text1" w:themeTint="F2"/>
                <w:spacing w:val="-4"/>
              </w:rPr>
              <w:t>. To spolu s poklesem HDP podtrhlo skutečnost, že českou ekonomiku postihla recese. Vzhledem k povaze hospodářské</w:t>
            </w:r>
            <w:r>
              <w:rPr>
                <w:color w:val="0D0D0D" w:themeColor="text1" w:themeTint="F2"/>
                <w:spacing w:val="-4"/>
              </w:rPr>
              <w:t>ho</w:t>
            </w:r>
            <w:r w:rsidRPr="00FE39EE">
              <w:rPr>
                <w:color w:val="0D0D0D" w:themeColor="text1" w:themeTint="F2"/>
                <w:spacing w:val="-4"/>
              </w:rPr>
              <w:t xml:space="preserve"> útlumu není překvapivé, že pracovní pozice </w:t>
            </w:r>
            <w:r w:rsidRPr="00FE39EE">
              <w:rPr>
                <w:color w:val="0D0D0D" w:themeColor="text1" w:themeTint="F2"/>
                <w:spacing w:val="-6"/>
              </w:rPr>
              <w:t xml:space="preserve">ztrácelo </w:t>
            </w:r>
            <w:r>
              <w:rPr>
                <w:color w:val="0D0D0D" w:themeColor="text1" w:themeTint="F2"/>
                <w:spacing w:val="-6"/>
              </w:rPr>
              <w:t xml:space="preserve">během </w:t>
            </w:r>
            <w:r w:rsidRPr="00FE39EE">
              <w:rPr>
                <w:color w:val="0D0D0D" w:themeColor="text1" w:themeTint="F2"/>
                <w:spacing w:val="-6"/>
              </w:rPr>
              <w:t>2. pololetí především uskupení obchod, doprava, ubytování a pohostinství</w:t>
            </w:r>
            <w:r>
              <w:rPr>
                <w:color w:val="0D0D0D" w:themeColor="text1" w:themeTint="F2"/>
                <w:spacing w:val="-6"/>
              </w:rPr>
              <w:t xml:space="preserve"> (−28</w:t>
            </w:r>
            <w:r w:rsidRPr="00FE39EE">
              <w:rPr>
                <w:color w:val="0D0D0D" w:themeColor="text1" w:themeTint="F2"/>
                <w:spacing w:val="-6"/>
              </w:rPr>
              <w:t> tis.</w:t>
            </w:r>
            <w:r>
              <w:rPr>
                <w:color w:val="0D0D0D" w:themeColor="text1" w:themeTint="F2"/>
                <w:spacing w:val="-6"/>
              </w:rPr>
              <w:t xml:space="preserve"> osob</w:t>
            </w:r>
            <w:r w:rsidRPr="00FE39EE">
              <w:rPr>
                <w:color w:val="0D0D0D" w:themeColor="text1" w:themeTint="F2"/>
                <w:spacing w:val="-6"/>
              </w:rPr>
              <w:t>).</w:t>
            </w:r>
            <w:r>
              <w:rPr>
                <w:color w:val="0D0D0D" w:themeColor="text1" w:themeTint="F2"/>
                <w:spacing w:val="-4"/>
              </w:rPr>
              <w:t xml:space="preserve"> K poklesu došlo i</w:t>
            </w:r>
            <w:r w:rsidRPr="00FE39EE">
              <w:rPr>
                <w:color w:val="0D0D0D" w:themeColor="text1" w:themeTint="F2"/>
                <w:spacing w:val="-4"/>
              </w:rPr>
              <w:t xml:space="preserve"> ve váhově dominantním odvětví – zpracovatelském průmyslu</w:t>
            </w:r>
            <w:r>
              <w:rPr>
                <w:color w:val="0D0D0D" w:themeColor="text1" w:themeTint="F2"/>
                <w:spacing w:val="-4"/>
              </w:rPr>
              <w:t xml:space="preserve"> (−15 tis osob.). P</w:t>
            </w:r>
            <w:r w:rsidRPr="00FE39EE">
              <w:rPr>
                <w:color w:val="0D0D0D" w:themeColor="text1" w:themeTint="F2"/>
                <w:spacing w:val="-4"/>
              </w:rPr>
              <w:t xml:space="preserve">roti hlubší redukci zaměstnanosti v ekonomice </w:t>
            </w:r>
            <w:r>
              <w:rPr>
                <w:color w:val="0D0D0D" w:themeColor="text1" w:themeTint="F2"/>
                <w:spacing w:val="-4"/>
              </w:rPr>
              <w:t xml:space="preserve">naopak </w:t>
            </w:r>
            <w:r w:rsidRPr="00FE39EE">
              <w:rPr>
                <w:color w:val="0D0D0D" w:themeColor="text1" w:themeTint="F2"/>
                <w:spacing w:val="-4"/>
              </w:rPr>
              <w:t>působila nejvíce dlouhodobě rost</w:t>
            </w:r>
            <w:r>
              <w:rPr>
                <w:color w:val="0D0D0D" w:themeColor="text1" w:themeTint="F2"/>
                <w:spacing w:val="-4"/>
              </w:rPr>
              <w:t>oucí poptávka po pracovnících v </w:t>
            </w:r>
            <w:r w:rsidRPr="00FE39EE">
              <w:rPr>
                <w:color w:val="0D0D0D" w:themeColor="text1" w:themeTint="F2"/>
                <w:spacing w:val="-4"/>
              </w:rPr>
              <w:t>oblasti veřejných služeb a také v informačních a komunikačních činnostech.</w:t>
            </w:r>
          </w:p>
        </w:tc>
      </w:tr>
      <w:tr w:rsidR="001C3855" w14:paraId="2C6EB655" w14:textId="77777777" w:rsidTr="52944939">
        <w:trPr>
          <w:trHeight w:val="155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6E6F3658" w14:textId="77777777" w:rsidR="001C3855" w:rsidRDefault="001C3855" w:rsidP="00C8019E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V celoročním pohledu stále převládal efekt postpandemického oživení. K růstu zaměstnanosti přispěly skoro ze tří čtvrtin služby.</w:t>
            </w:r>
          </w:p>
          <w:p w14:paraId="3B84C122" w14:textId="77777777" w:rsidR="001C3855" w:rsidRDefault="001C3855" w:rsidP="00C8019E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  <w:p w14:paraId="6EF2163B" w14:textId="77777777" w:rsidR="001C3855" w:rsidRDefault="001C3855" w:rsidP="00C8019E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  <w:p w14:paraId="584BD051" w14:textId="77777777" w:rsidR="001C3855" w:rsidRDefault="001C3855" w:rsidP="00C8019E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  <w:p w14:paraId="6F838911" w14:textId="77777777" w:rsidR="001C3855" w:rsidRDefault="001C3855" w:rsidP="00C8019E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  <w:p w14:paraId="242E429F" w14:textId="77777777" w:rsidR="001C3855" w:rsidRDefault="001C3855" w:rsidP="00C8019E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Průmyslové podniky přistupovaly obezřetně k vytváření nových pracovních míst.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</w:tcMar>
          </w:tcPr>
          <w:p w14:paraId="1DBE818A" w14:textId="77777777" w:rsidR="001C3855" w:rsidRPr="009F0D7F" w:rsidRDefault="001C3855" w:rsidP="00C8019E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307C5251" w14:textId="77777777" w:rsidR="001C3855" w:rsidRDefault="001C3855" w:rsidP="00C8019E">
            <w:pPr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 xml:space="preserve">V úhrnu za loňský rok ovšem celková zaměstnanost stále svižně rostla (+1,7 %, nejvíce po roce 2008). Stála za tím primárně nižší srovnávací základna, neboť v roce 2021 byl tuzemský trh práce ještě významně ovlivněn dopady protipandemických restrikcí a v řadě klíčových odvětví se tak počet pracovníků nezvyšoval. K loňskému růstu celkové zaměstnanosti (+93 tis. osob) zásadně přispěli samotní zaměstnanci, neboť počet </w:t>
            </w:r>
            <w:proofErr w:type="spellStart"/>
            <w:r>
              <w:rPr>
                <w:spacing w:val="-5"/>
              </w:rPr>
              <w:t>sebezaměstnaných</w:t>
            </w:r>
            <w:proofErr w:type="spellEnd"/>
            <w:r>
              <w:rPr>
                <w:spacing w:val="-5"/>
              </w:rPr>
              <w:t xml:space="preserve"> fakticky stagnoval</w:t>
            </w:r>
            <w:r>
              <w:rPr>
                <w:rStyle w:val="Znakapoznpodarou"/>
                <w:spacing w:val="-5"/>
              </w:rPr>
              <w:footnoteReference w:id="2"/>
            </w:r>
            <w:r>
              <w:rPr>
                <w:spacing w:val="-5"/>
              </w:rPr>
              <w:t>. Jestliže navýšení u zaměstnanců mělo spíše plošný charakter, drobní podnikatelé v některých odvětvích stále čelili slabší poptávce (zpracovatelský průmysl, p</w:t>
            </w:r>
            <w:r w:rsidRPr="00A15324">
              <w:rPr>
                <w:spacing w:val="-5"/>
              </w:rPr>
              <w:t>rofesní, vědecké, technické a administrativní činnosti</w:t>
            </w:r>
            <w:r>
              <w:rPr>
                <w:spacing w:val="-5"/>
              </w:rPr>
              <w:t xml:space="preserve">). Růst celkového počtu pracovníků byl takřka ze tří čtvrtin </w:t>
            </w:r>
            <w:r w:rsidRPr="00122079">
              <w:rPr>
                <w:color w:val="0D0D0D" w:themeColor="text1" w:themeTint="F2"/>
                <w:spacing w:val="-5"/>
              </w:rPr>
              <w:t>tažen sektorem služeb</w:t>
            </w:r>
            <w:r>
              <w:rPr>
                <w:spacing w:val="-5"/>
              </w:rPr>
              <w:t>. Šlo v prvé řadě o uskupení o</w:t>
            </w:r>
            <w:r w:rsidRPr="00FD05EB">
              <w:rPr>
                <w:spacing w:val="-5"/>
              </w:rPr>
              <w:t>bchod, doprava, ubytování a pohostinství</w:t>
            </w:r>
            <w:r>
              <w:rPr>
                <w:spacing w:val="-5"/>
              </w:rPr>
              <w:t xml:space="preserve"> (+26 tis.) a </w:t>
            </w:r>
            <w:r>
              <w:rPr>
                <w:spacing w:val="-4"/>
              </w:rPr>
              <w:t>veřejné služby</w:t>
            </w:r>
            <w:r>
              <w:rPr>
                <w:rStyle w:val="Znakapoznpodarou"/>
                <w:spacing w:val="-4"/>
              </w:rPr>
              <w:footnoteReference w:id="3"/>
            </w:r>
            <w:r>
              <w:rPr>
                <w:spacing w:val="-4"/>
              </w:rPr>
              <w:t xml:space="preserve"> (+24 tis.), v nichž shodně jako v předchozích letech stát reagoval na zvýšenou poptávku hlavně v oblasti vzdělávání a zdravotní i sociální péče. Alespoň mírný růst zaměstnanosti ovšem loni nastal ve všech hlavních odvětvích </w:t>
            </w:r>
            <w:r w:rsidRPr="00D91858">
              <w:rPr>
                <w:color w:val="0D0D0D" w:themeColor="text1" w:themeTint="F2"/>
                <w:spacing w:val="-4"/>
              </w:rPr>
              <w:t>služeb. Mimo terciární sféru</w:t>
            </w:r>
            <w:r>
              <w:rPr>
                <w:color w:val="0D0D0D" w:themeColor="text1" w:themeTint="F2"/>
                <w:spacing w:val="-4"/>
              </w:rPr>
              <w:t xml:space="preserve"> navyšovalo pracovní místa nejvíce stavebnictví (+14</w:t>
            </w:r>
            <w:r w:rsidRPr="00D91858">
              <w:rPr>
                <w:color w:val="0D0D0D" w:themeColor="text1" w:themeTint="F2"/>
                <w:spacing w:val="-4"/>
              </w:rPr>
              <w:t xml:space="preserve"> tis. osob),</w:t>
            </w:r>
            <w:r>
              <w:rPr>
                <w:color w:val="0D0D0D" w:themeColor="text1" w:themeTint="F2"/>
                <w:spacing w:val="-4"/>
              </w:rPr>
              <w:t xml:space="preserve"> jež těžilo ze solidní dynamiky veřejných investic na dopravní stavby na sklonku programového období EU. Zaměstnanost v průmyslu pod vlivem přetrvávajících problémů s dodavatelskými řetězci i silných nákladových tlaků vyvolaných prudkým růstem energií rostla mírněji (+0,7 %), z toho v nezpracovatelském segmentu těžby a energetiky celkově stagnovala (obdobně jako po většinu předchozí dekády). </w:t>
            </w:r>
          </w:p>
        </w:tc>
      </w:tr>
      <w:tr w:rsidR="001C3855" w:rsidRPr="007A3342" w14:paraId="097337D3" w14:textId="77777777" w:rsidTr="52944939">
        <w:trPr>
          <w:trHeight w:val="155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2E55AA9B" w14:textId="77777777" w:rsidR="001C3855" w:rsidRDefault="001C3855" w:rsidP="00C8019E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Na konci roku rostla zaměstnanost relativně nejvíce v oblastech ICT. K úbytku došlo v tzv. ostatních službách.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</w:tcMar>
          </w:tcPr>
          <w:p w14:paraId="277EB9FA" w14:textId="77777777" w:rsidR="001C3855" w:rsidRPr="009F0D7F" w:rsidRDefault="001C3855" w:rsidP="00C8019E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43B1721A" w14:textId="77777777" w:rsidR="001C3855" w:rsidRPr="007A3342" w:rsidRDefault="001C3855" w:rsidP="00C8019E">
            <w:pPr>
              <w:rPr>
                <w:spacing w:val="-5"/>
              </w:rPr>
            </w:pPr>
            <w:r>
              <w:rPr>
                <w:spacing w:val="-5"/>
              </w:rPr>
              <w:t>Celková zaměstnanost se ve 4. čtvrtletí meziročně zvýšila o 1,3 %, převážně zásluhou veřejných služeb. Relativně nejvíce však přibylo pracovníků v i</w:t>
            </w:r>
            <w:r w:rsidRPr="006139DE">
              <w:rPr>
                <w:spacing w:val="-5"/>
              </w:rPr>
              <w:t>nformační</w:t>
            </w:r>
            <w:r>
              <w:rPr>
                <w:spacing w:val="-5"/>
              </w:rPr>
              <w:t>ch</w:t>
            </w:r>
            <w:r w:rsidRPr="006139DE">
              <w:rPr>
                <w:spacing w:val="-5"/>
              </w:rPr>
              <w:t xml:space="preserve"> a komunikační</w:t>
            </w:r>
            <w:r>
              <w:rPr>
                <w:spacing w:val="-5"/>
              </w:rPr>
              <w:t>ch činnostech (+5,5 %), dařilo se i oblasti nemovitostí (+2,1 %). Naopak tzv.</w:t>
            </w:r>
            <w:r>
              <w:rPr>
                <w:spacing w:val="-4"/>
              </w:rPr>
              <w:t xml:space="preserve"> ostatní služby</w:t>
            </w:r>
            <w:r>
              <w:rPr>
                <w:rStyle w:val="Znakapoznpodarou"/>
                <w:spacing w:val="-4"/>
              </w:rPr>
              <w:footnoteReference w:id="4"/>
            </w:r>
            <w:r>
              <w:rPr>
                <w:spacing w:val="-4"/>
              </w:rPr>
              <w:t xml:space="preserve"> zaznamenaly téměř 2% pokles. To mohlo souviset s omezováním výdajů domácností na „zbytné“ služby. Ve srovnání s vrcholem předpandemické konjunktury (období 2015 až 2019) ubylo v tomto odvětví 7 % pracovníků, v odvětví peněžnictví a pojišťovnictví šlo dokonce o 13 % (zde však za poklesem stáli z významné části drobní podnikatelé). Za předpandemickou úrovní zaostávala na konci loňského roku také zaměstnanost v průmyslu (o 4%) či v zemědělství a lesnictví (5,5 %), naopak v oblastech ICT, nemovitostí či veřejných službách tuto úroveň zřetelně převyšovala (o 6 až 9 %). </w:t>
            </w:r>
          </w:p>
        </w:tc>
      </w:tr>
      <w:tr w:rsidR="001C3855" w14:paraId="587897E1" w14:textId="77777777" w:rsidTr="52944939">
        <w:trPr>
          <w:trHeight w:val="155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24314E1B" w14:textId="77777777" w:rsidR="001C3855" w:rsidRDefault="001C3855" w:rsidP="00C8019E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 w:rsidRPr="00631DC2">
              <w:rPr>
                <w:spacing w:val="-5"/>
              </w:rPr>
              <w:lastRenderedPageBreak/>
              <w:t>Růst počtu cizinců pracujících v Česku zrychlil.</w:t>
            </w:r>
            <w:r>
              <w:rPr>
                <w:spacing w:val="-5"/>
              </w:rPr>
              <w:t xml:space="preserve"> Byl podpořen</w:t>
            </w:r>
            <w:r w:rsidRPr="00631DC2">
              <w:rPr>
                <w:spacing w:val="-5"/>
              </w:rPr>
              <w:t xml:space="preserve"> </w:t>
            </w:r>
            <w:r>
              <w:rPr>
                <w:spacing w:val="-5"/>
              </w:rPr>
              <w:t>i</w:t>
            </w:r>
            <w:r>
              <w:rPr>
                <w:color w:val="0D0D0D" w:themeColor="text1" w:themeTint="F2"/>
                <w:spacing w:val="-4"/>
              </w:rPr>
              <w:t> </w:t>
            </w:r>
            <w:r>
              <w:rPr>
                <w:spacing w:val="-5"/>
              </w:rPr>
              <w:t>počínající integrací</w:t>
            </w:r>
            <w:r w:rsidRPr="00631DC2">
              <w:rPr>
                <w:spacing w:val="-5"/>
              </w:rPr>
              <w:t xml:space="preserve"> uprchlíků z</w:t>
            </w:r>
            <w:r>
              <w:rPr>
                <w:spacing w:val="-5"/>
              </w:rPr>
              <w:t> </w:t>
            </w:r>
            <w:r w:rsidRPr="00631DC2">
              <w:rPr>
                <w:spacing w:val="-5"/>
              </w:rPr>
              <w:t>Ukrajiny</w:t>
            </w:r>
            <w:r>
              <w:rPr>
                <w:spacing w:val="-5"/>
              </w:rPr>
              <w:t>.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</w:tcMar>
          </w:tcPr>
          <w:p w14:paraId="128E1AFB" w14:textId="77777777" w:rsidR="001C3855" w:rsidRPr="009F0D7F" w:rsidRDefault="001C3855" w:rsidP="00C8019E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70ADD95C" w14:textId="77777777" w:rsidR="001C3855" w:rsidRDefault="001C3855" w:rsidP="00C8019E">
            <w:pPr>
              <w:spacing w:after="20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Také v roce 2022 vykrývaly podniky (zejména v průmyslu, stavebnictví i v některých „</w:t>
            </w:r>
            <w:proofErr w:type="spellStart"/>
            <w:r>
              <w:rPr>
                <w:color w:val="0D0D0D" w:themeColor="text1" w:themeTint="F2"/>
                <w:spacing w:val="-4"/>
              </w:rPr>
              <w:t>nízkovýdělkových</w:t>
            </w:r>
            <w:proofErr w:type="spellEnd"/>
            <w:r>
              <w:rPr>
                <w:color w:val="0D0D0D" w:themeColor="text1" w:themeTint="F2"/>
                <w:spacing w:val="-4"/>
              </w:rPr>
              <w:t xml:space="preserve">“ odvětvích služeb) z významné části poptávku po volné pracovní síle </w:t>
            </w:r>
            <w:r>
              <w:rPr>
                <w:spacing w:val="-4"/>
              </w:rPr>
              <w:t xml:space="preserve">náborem </w:t>
            </w:r>
            <w:r w:rsidRPr="003278DA">
              <w:rPr>
                <w:color w:val="0D0D0D" w:themeColor="text1" w:themeTint="F2"/>
                <w:spacing w:val="-4"/>
              </w:rPr>
              <w:t>ze zahraničí</w:t>
            </w:r>
            <w:r>
              <w:rPr>
                <w:color w:val="0D0D0D" w:themeColor="text1" w:themeTint="F2"/>
                <w:spacing w:val="-4"/>
              </w:rPr>
              <w:t>, neboť rezervoár potenciální pracovní síly z tuzemska se za poslední roky takřka vyčerpal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5"/>
            </w:r>
            <w:r>
              <w:rPr>
                <w:color w:val="0D0D0D" w:themeColor="text1" w:themeTint="F2"/>
                <w:spacing w:val="-4"/>
              </w:rPr>
              <w:t xml:space="preserve">. </w:t>
            </w:r>
            <w:r w:rsidRPr="00DD3343">
              <w:rPr>
                <w:spacing w:val="-4"/>
              </w:rPr>
              <w:t>Růst po</w:t>
            </w:r>
            <w:r>
              <w:rPr>
                <w:spacing w:val="-4"/>
              </w:rPr>
              <w:t>čtu cizinců pracujících v Česku loni znatel</w:t>
            </w:r>
            <w:r w:rsidRPr="00DD3343">
              <w:rPr>
                <w:spacing w:val="-4"/>
              </w:rPr>
              <w:t>ně zrychlil</w:t>
            </w:r>
            <w:r>
              <w:rPr>
                <w:spacing w:val="-4"/>
              </w:rPr>
              <w:t>, v listopadu dosáhl u zaměstnanců rekordních 800 tis</w:t>
            </w:r>
            <w:r w:rsidRPr="003278DA">
              <w:rPr>
                <w:rStyle w:val="Znakapoznpodarou"/>
                <w:color w:val="0D0D0D" w:themeColor="text1" w:themeTint="F2"/>
                <w:spacing w:val="-4"/>
              </w:rPr>
              <w:footnoteReference w:id="6"/>
            </w:r>
            <w:r w:rsidRPr="00DD3343">
              <w:rPr>
                <w:spacing w:val="-4"/>
              </w:rPr>
              <w:t xml:space="preserve">. </w:t>
            </w:r>
            <w:r>
              <w:rPr>
                <w:spacing w:val="-4"/>
              </w:rPr>
              <w:t>Projevila se zde</w:t>
            </w:r>
            <w:r w:rsidRPr="00DD3343">
              <w:rPr>
                <w:spacing w:val="-4"/>
              </w:rPr>
              <w:t xml:space="preserve"> počínající integrace uprchlíků z Ukrajiny</w:t>
            </w:r>
            <w:r>
              <w:rPr>
                <w:rStyle w:val="Znakapoznpodarou"/>
                <w:spacing w:val="-4"/>
              </w:rPr>
              <w:footnoteReference w:id="7"/>
            </w:r>
            <w:r w:rsidRPr="00DD3343">
              <w:rPr>
                <w:spacing w:val="-4"/>
              </w:rPr>
              <w:t>, řádově menší vliv měla pokračující ekonomická migrace z hospodářsky slabších regionů EU i ze států mimo EU</w:t>
            </w:r>
            <w:r>
              <w:rPr>
                <w:spacing w:val="-4"/>
              </w:rPr>
              <w:t>.</w:t>
            </w:r>
          </w:p>
        </w:tc>
      </w:tr>
      <w:tr w:rsidR="001C3855" w:rsidRPr="00303551" w14:paraId="3560C851" w14:textId="77777777" w:rsidTr="52944939">
        <w:trPr>
          <w:trHeight w:val="155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25677D83" w14:textId="77777777" w:rsidR="001C3855" w:rsidRDefault="001C3855" w:rsidP="00C8019E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Růst hodinové produktivity práce se loni zastavil. Produktivita na pracovníka se však mírně navýšila a přiblížila se úrovni z roku 2019.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</w:tcMar>
          </w:tcPr>
          <w:p w14:paraId="0E46DE37" w14:textId="77777777" w:rsidR="001C3855" w:rsidRPr="009F0D7F" w:rsidRDefault="001C3855" w:rsidP="00C8019E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4FC78C5E" w14:textId="77777777" w:rsidR="001C3855" w:rsidRPr="00303551" w:rsidRDefault="001C3855" w:rsidP="00C8019E">
            <w:pPr>
              <w:spacing w:after="220"/>
              <w:rPr>
                <w:color w:val="0D0D0D" w:themeColor="text1" w:themeTint="F2"/>
                <w:spacing w:val="-5"/>
              </w:rPr>
            </w:pPr>
            <w:r w:rsidRPr="00303551">
              <w:rPr>
                <w:color w:val="0D0D0D" w:themeColor="text1" w:themeTint="F2"/>
                <w:spacing w:val="-5"/>
              </w:rPr>
              <w:t xml:space="preserve">Produktivita práce vyjádřená reálnou výší vytvořené hrubé přidané hodnoty na jednoho pracovníka se loni meziročně mírně zvýšila </w:t>
            </w:r>
            <w:r>
              <w:rPr>
                <w:color w:val="0D0D0D" w:themeColor="text1" w:themeTint="F2"/>
                <w:spacing w:val="-5"/>
              </w:rPr>
              <w:t>(o 0,7 %) a téměř dosáhla úrovně</w:t>
            </w:r>
            <w:r w:rsidRPr="00303551">
              <w:rPr>
                <w:color w:val="0D0D0D" w:themeColor="text1" w:themeTint="F2"/>
                <w:spacing w:val="-5"/>
              </w:rPr>
              <w:t xml:space="preserve"> z roku 2019. </w:t>
            </w:r>
            <w:r>
              <w:rPr>
                <w:color w:val="0D0D0D" w:themeColor="text1" w:themeTint="F2"/>
                <w:spacing w:val="-5"/>
              </w:rPr>
              <w:t>Z pozice</w:t>
            </w:r>
            <w:r w:rsidRPr="00303551">
              <w:rPr>
                <w:color w:val="0D0D0D" w:themeColor="text1" w:themeTint="F2"/>
                <w:spacing w:val="-5"/>
              </w:rPr>
              <w:t xml:space="preserve"> celé ekonomiky byl loni hlavním tahounem vyšší produktivity zpracovatelský průmysl (byť ještě zcela nedohnal propad z roku 2020), z dlouhodobějšího pohledu pak finančnictví. Národohospodářská produktivita vztažená na odpracovanou hodinu se loni reálně o 1,1 % snížila a klesla poprvé za posledních šest let. Loňský výsledek byl negativně ovlivněn zejména skupinou odvětví obchod, doprava, ubytování i pohostinství a rovněž veřejnými službami, u</w:t>
            </w:r>
            <w:r>
              <w:rPr>
                <w:color w:val="0D0D0D" w:themeColor="text1" w:themeTint="F2"/>
                <w:spacing w:val="-5"/>
              </w:rPr>
              <w:t> </w:t>
            </w:r>
            <w:r w:rsidRPr="00303551">
              <w:rPr>
                <w:color w:val="0D0D0D" w:themeColor="text1" w:themeTint="F2"/>
                <w:spacing w:val="-5"/>
              </w:rPr>
              <w:t xml:space="preserve">kterých se vytížení (z pohledu průměrné odpracované doby) v některých jejich segmentech od ústupu pandemie snížilo. Ve srovnání s rokem 2019 zde však hodinová produktivita skoro o 5 % narostla, vyšší byla i ve většině dalších hlavních odvětví služeb (vyjma činnosti v oblasti nemovitostí, v nichž </w:t>
            </w:r>
            <w:r>
              <w:rPr>
                <w:color w:val="0D0D0D" w:themeColor="text1" w:themeTint="F2"/>
                <w:spacing w:val="-5"/>
              </w:rPr>
              <w:t xml:space="preserve">zaostávala o více než desetinu </w:t>
            </w:r>
            <w:r w:rsidRPr="00303551">
              <w:rPr>
                <w:color w:val="0D0D0D" w:themeColor="text1" w:themeTint="F2"/>
                <w:spacing w:val="-5"/>
              </w:rPr>
              <w:t>za předkrizovou úrovní). Podobný odstup mělo loni také stavebnictví (</w:t>
            </w:r>
            <w:r>
              <w:rPr>
                <w:color w:val="0D0D0D" w:themeColor="text1" w:themeTint="F2"/>
                <w:spacing w:val="-5"/>
              </w:rPr>
              <w:t>−12 %). N</w:t>
            </w:r>
            <w:r w:rsidRPr="00303551">
              <w:rPr>
                <w:color w:val="0D0D0D" w:themeColor="text1" w:themeTint="F2"/>
                <w:spacing w:val="-5"/>
              </w:rPr>
              <w:t>aopak produkti</w:t>
            </w:r>
            <w:r>
              <w:rPr>
                <w:color w:val="0D0D0D" w:themeColor="text1" w:themeTint="F2"/>
                <w:spacing w:val="-5"/>
              </w:rPr>
              <w:t>vita v průmyslu</w:t>
            </w:r>
            <w:r w:rsidRPr="00303551">
              <w:rPr>
                <w:color w:val="0D0D0D" w:themeColor="text1" w:themeTint="F2"/>
                <w:spacing w:val="-5"/>
              </w:rPr>
              <w:t xml:space="preserve"> dosáhla výše z roku 2019, a to výhradně díky zpracovatelský</w:t>
            </w:r>
            <w:r>
              <w:rPr>
                <w:color w:val="0D0D0D" w:themeColor="text1" w:themeTint="F2"/>
                <w:spacing w:val="-5"/>
              </w:rPr>
              <w:t xml:space="preserve">m </w:t>
            </w:r>
            <w:r w:rsidRPr="00303551">
              <w:rPr>
                <w:color w:val="0D0D0D" w:themeColor="text1" w:themeTint="F2"/>
                <w:spacing w:val="-5"/>
              </w:rPr>
              <w:t>odv</w:t>
            </w:r>
            <w:r>
              <w:rPr>
                <w:color w:val="0D0D0D" w:themeColor="text1" w:themeTint="F2"/>
                <w:spacing w:val="-5"/>
              </w:rPr>
              <w:t>ětvím (+0,7 %), neboť v těžbě i </w:t>
            </w:r>
            <w:r w:rsidRPr="00303551">
              <w:rPr>
                <w:color w:val="0D0D0D" w:themeColor="text1" w:themeTint="F2"/>
                <w:spacing w:val="-5"/>
              </w:rPr>
              <w:t xml:space="preserve">energetice </w:t>
            </w:r>
            <w:r>
              <w:rPr>
                <w:color w:val="0D0D0D" w:themeColor="text1" w:themeTint="F2"/>
                <w:spacing w:val="-5"/>
              </w:rPr>
              <w:t xml:space="preserve">stále znatelně zaostávala </w:t>
            </w:r>
            <w:r w:rsidRPr="00303551">
              <w:rPr>
                <w:color w:val="0D0D0D" w:themeColor="text1" w:themeTint="F2"/>
                <w:spacing w:val="-5"/>
              </w:rPr>
              <w:t>za předpa</w:t>
            </w:r>
            <w:r>
              <w:rPr>
                <w:color w:val="0D0D0D" w:themeColor="text1" w:themeTint="F2"/>
                <w:spacing w:val="-5"/>
              </w:rPr>
              <w:t>n</w:t>
            </w:r>
            <w:r w:rsidRPr="00303551">
              <w:rPr>
                <w:color w:val="0D0D0D" w:themeColor="text1" w:themeTint="F2"/>
                <w:spacing w:val="-5"/>
              </w:rPr>
              <w:t>demickou úrovní.</w:t>
            </w:r>
          </w:p>
        </w:tc>
      </w:tr>
      <w:tr w:rsidR="001C3855" w14:paraId="365D755F" w14:textId="77777777" w:rsidTr="52944939">
        <w:trPr>
          <w:trHeight w:val="155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5CF1A0EB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Očekávání podniků v oblasti zaměstnanosti se loni postupně zhoršovala. Mírný optimismus si stále udržovali obchodníci. </w:t>
            </w:r>
          </w:p>
          <w:p w14:paraId="3CB73AE0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5C5A859B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17C46A2C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6529CBCF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0F7CBC63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</w:p>
          <w:p w14:paraId="3F53E2EE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>Nedostatek pracovníků zůstává hlavní růstovou bariérou ve stavebnictví, jinde jeho role spíše oslabovala.</w:t>
            </w:r>
          </w:p>
          <w:p w14:paraId="10358A72" w14:textId="77777777" w:rsidR="001C3855" w:rsidRDefault="001C3855" w:rsidP="00C8019E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213" w:type="dxa"/>
            <w:shd w:val="clear" w:color="auto" w:fill="auto"/>
            <w:tcMar>
              <w:left w:w="0" w:type="dxa"/>
            </w:tcMar>
          </w:tcPr>
          <w:p w14:paraId="710D03EA" w14:textId="77777777" w:rsidR="001C3855" w:rsidRPr="009F0D7F" w:rsidRDefault="001C3855" w:rsidP="00C8019E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1B5C134F" w14:textId="77777777" w:rsidR="001C3855" w:rsidRDefault="001C3855" w:rsidP="00C8019E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A60C4D">
              <w:rPr>
                <w:color w:val="0D0D0D" w:themeColor="text1" w:themeTint="F2"/>
                <w:spacing w:val="-4"/>
              </w:rPr>
              <w:t>Krátkodobá očekávání podniků v celé ekonomic</w:t>
            </w:r>
            <w:r>
              <w:rPr>
                <w:color w:val="0D0D0D" w:themeColor="text1" w:themeTint="F2"/>
                <w:spacing w:val="-4"/>
              </w:rPr>
              <w:t xml:space="preserve">e v oblasti zaměstnanosti se po </w:t>
            </w:r>
            <w:r w:rsidRPr="00A60C4D">
              <w:rPr>
                <w:color w:val="0D0D0D" w:themeColor="text1" w:themeTint="F2"/>
                <w:spacing w:val="-4"/>
              </w:rPr>
              <w:t xml:space="preserve">optimistických výhledech z počátku </w:t>
            </w:r>
            <w:r>
              <w:rPr>
                <w:color w:val="0D0D0D" w:themeColor="text1" w:themeTint="F2"/>
                <w:spacing w:val="-4"/>
              </w:rPr>
              <w:t>loňského roku (kdy byla nejpříznivěj</w:t>
            </w:r>
            <w:r w:rsidRPr="00A60C4D">
              <w:rPr>
                <w:color w:val="0D0D0D" w:themeColor="text1" w:themeTint="F2"/>
                <w:spacing w:val="-4"/>
              </w:rPr>
              <w:t xml:space="preserve">ší od léta 2019) postupně mírně zhoršovala. </w:t>
            </w:r>
            <w:r>
              <w:rPr>
                <w:color w:val="0D0D0D" w:themeColor="text1" w:themeTint="F2"/>
                <w:spacing w:val="-4"/>
              </w:rPr>
              <w:t xml:space="preserve">V únoru 2023 sestoupila na nejnižší úroveň od března 2021 (kdy protipandemická opatření vrcholila). Negativní tendence byly patrné hlavně v průmyslu a stavebnictví. V maloobchodu i službách se výhledy zaměstnanosti po většinu loňského roku příliš neměnily, na přelomu let 2022 a 2023 došlo ovšem ke zhoršení i zde. Pouze podniky v obchodě si uchovávaly mírný optimismus, který kontrastoval s velmi nízkou spotřebitelskou </w:t>
            </w:r>
            <w:r w:rsidRPr="00A26315">
              <w:rPr>
                <w:color w:val="0D0D0D" w:themeColor="text1" w:themeTint="F2"/>
                <w:spacing w:val="-4"/>
              </w:rPr>
              <w:t>důvěrou. Letos v lednu plánovalo redukci stavů zaměstnanců (v nejbližších třech měsících) v obchodě 10 % firem (obdobný podíl předpokládal naopak vytvářet nová místa), v průmyslu 13 %, ve stavebnictví 18 % a ve službách 21 %</w:t>
            </w:r>
            <w:r w:rsidRPr="00A26315">
              <w:rPr>
                <w:rStyle w:val="Znakapoznpodarou"/>
                <w:color w:val="0D0D0D" w:themeColor="text1" w:themeTint="F2"/>
                <w:spacing w:val="-4"/>
              </w:rPr>
              <w:footnoteReference w:id="8"/>
            </w:r>
            <w:r w:rsidRPr="00A26315">
              <w:rPr>
                <w:color w:val="0D0D0D" w:themeColor="text1" w:themeTint="F2"/>
                <w:spacing w:val="-4"/>
              </w:rPr>
              <w:t>. Nelze opomenout</w:t>
            </w:r>
            <w:r>
              <w:rPr>
                <w:color w:val="0D0D0D" w:themeColor="text1" w:themeTint="F2"/>
                <w:spacing w:val="-4"/>
              </w:rPr>
              <w:t>, že situace na úrovni dílčích odvětví v rámci průmyslu i služeb se odlišovala</w:t>
            </w:r>
            <w:r w:rsidRPr="00A60C4D">
              <w:rPr>
                <w:rStyle w:val="Znakapoznpodarou"/>
                <w:color w:val="0D0D0D" w:themeColor="text1" w:themeTint="F2"/>
                <w:spacing w:val="-4"/>
              </w:rPr>
              <w:footnoteReference w:id="9"/>
            </w:r>
            <w:r w:rsidRPr="00A60C4D">
              <w:rPr>
                <w:color w:val="0D0D0D" w:themeColor="text1" w:themeTint="F2"/>
                <w:spacing w:val="-4"/>
              </w:rPr>
              <w:t xml:space="preserve">. </w:t>
            </w:r>
            <w:r>
              <w:rPr>
                <w:color w:val="0D0D0D" w:themeColor="text1" w:themeTint="F2"/>
                <w:spacing w:val="-4"/>
              </w:rPr>
              <w:t>Vlivem zhoršení</w:t>
            </w:r>
            <w:r w:rsidRPr="00A60C4D">
              <w:rPr>
                <w:color w:val="0D0D0D" w:themeColor="text1" w:themeTint="F2"/>
                <w:spacing w:val="-4"/>
              </w:rPr>
              <w:t xml:space="preserve"> celkových ekonomických výhledů</w:t>
            </w:r>
            <w:r>
              <w:rPr>
                <w:color w:val="0D0D0D" w:themeColor="text1" w:themeTint="F2"/>
                <w:spacing w:val="-4"/>
              </w:rPr>
              <w:t xml:space="preserve"> i neočekávaného většího přílivu osob z Ukrajiny na tuzemský pracovní trh klesl během loňského</w:t>
            </w:r>
            <w:r w:rsidRPr="00A60C4D">
              <w:rPr>
                <w:color w:val="0D0D0D" w:themeColor="text1" w:themeTint="F2"/>
                <w:spacing w:val="-4"/>
              </w:rPr>
              <w:t xml:space="preserve"> roku </w:t>
            </w:r>
            <w:r>
              <w:rPr>
                <w:color w:val="0D0D0D" w:themeColor="text1" w:themeTint="F2"/>
                <w:spacing w:val="-4"/>
              </w:rPr>
              <w:t>ve většině</w:t>
            </w:r>
            <w:r w:rsidRPr="00A60C4D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>hlavních odvětví</w:t>
            </w:r>
            <w:r w:rsidRPr="00A60C4D">
              <w:rPr>
                <w:color w:val="0D0D0D" w:themeColor="text1" w:themeTint="F2"/>
                <w:spacing w:val="-4"/>
              </w:rPr>
              <w:t xml:space="preserve"> </w:t>
            </w:r>
            <w:r>
              <w:rPr>
                <w:color w:val="0D0D0D" w:themeColor="text1" w:themeTint="F2"/>
                <w:spacing w:val="-4"/>
              </w:rPr>
              <w:t>podíl</w:t>
            </w:r>
            <w:r w:rsidRPr="00A60C4D">
              <w:rPr>
                <w:color w:val="0D0D0D" w:themeColor="text1" w:themeTint="F2"/>
                <w:spacing w:val="-4"/>
              </w:rPr>
              <w:t xml:space="preserve"> podniků, pro něž představuje nedostatek pracovní síly jednu z </w:t>
            </w:r>
            <w:r>
              <w:rPr>
                <w:color w:val="0D0D0D" w:themeColor="text1" w:themeTint="F2"/>
                <w:spacing w:val="-4"/>
              </w:rPr>
              <w:t>významných růstových bariér (např. ve službách označilo tuto bariéru loni v lednu 20 % podniků, o rok později jen 9 %). V</w:t>
            </w:r>
            <w:r w:rsidRPr="00A60C4D">
              <w:rPr>
                <w:color w:val="0D0D0D" w:themeColor="text1" w:themeTint="F2"/>
                <w:spacing w:val="-4"/>
              </w:rPr>
              <w:t>e stavebnictví ovšem zůstával tento problé</w:t>
            </w:r>
            <w:r>
              <w:rPr>
                <w:color w:val="0D0D0D" w:themeColor="text1" w:themeTint="F2"/>
                <w:spacing w:val="-4"/>
              </w:rPr>
              <w:t>m stále palčivý, protože i na počátku</w:t>
            </w:r>
            <w:r w:rsidRPr="00A60C4D">
              <w:rPr>
                <w:color w:val="0D0D0D" w:themeColor="text1" w:themeTint="F2"/>
                <w:spacing w:val="-4"/>
              </w:rPr>
              <w:t xml:space="preserve"> roku </w:t>
            </w:r>
            <w:r>
              <w:rPr>
                <w:color w:val="0D0D0D" w:themeColor="text1" w:themeTint="F2"/>
                <w:spacing w:val="-4"/>
              </w:rPr>
              <w:t xml:space="preserve">2023 </w:t>
            </w:r>
            <w:r w:rsidRPr="00A60C4D">
              <w:rPr>
                <w:color w:val="0D0D0D" w:themeColor="text1" w:themeTint="F2"/>
                <w:spacing w:val="-4"/>
              </w:rPr>
              <w:t>limitoval více než</w:t>
            </w:r>
            <w:r>
              <w:rPr>
                <w:color w:val="0D0D0D" w:themeColor="text1" w:themeTint="F2"/>
                <w:spacing w:val="-4"/>
              </w:rPr>
              <w:t xml:space="preserve"> 40 % podniků, a nadále představoval klíčovou růstovou bariéru.</w:t>
            </w:r>
          </w:p>
        </w:tc>
      </w:tr>
      <w:tr w:rsidR="001C3855" w:rsidRPr="00CA5850" w14:paraId="0275EC1B" w14:textId="77777777" w:rsidTr="52944939">
        <w:trPr>
          <w:trHeight w:val="155"/>
        </w:trPr>
        <w:tc>
          <w:tcPr>
            <w:tcW w:w="1814" w:type="dxa"/>
            <w:vMerge w:val="restart"/>
            <w:shd w:val="clear" w:color="auto" w:fill="auto"/>
            <w:tcMar>
              <w:left w:w="0" w:type="dxa"/>
            </w:tcMar>
          </w:tcPr>
          <w:p w14:paraId="3A6C95C7" w14:textId="77777777" w:rsidR="001C3855" w:rsidRPr="00B43216" w:rsidRDefault="001C3855" w:rsidP="00C8019E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13" w:type="dxa"/>
            <w:vMerge w:val="restart"/>
            <w:shd w:val="clear" w:color="auto" w:fill="auto"/>
            <w:tcMar>
              <w:left w:w="0" w:type="dxa"/>
            </w:tcMar>
          </w:tcPr>
          <w:p w14:paraId="72BACC15" w14:textId="77777777" w:rsidR="001C3855" w:rsidRPr="00B43216" w:rsidRDefault="001C3855" w:rsidP="00C8019E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033424D7" w14:textId="330984C2" w:rsidR="001C3855" w:rsidRPr="00CA5850" w:rsidRDefault="008F525A" w:rsidP="00C8019E">
            <w:pPr>
              <w:spacing w:after="0"/>
              <w:rPr>
                <w:spacing w:val="-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Graf č. 14</w:t>
            </w:r>
            <w:r w:rsidR="001C3855" w:rsidRPr="0068569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C3855" w:rsidRPr="0068569E">
              <w:rPr>
                <w:b/>
                <w:bCs/>
                <w:lang w:eastAsia="en-US"/>
              </w:rPr>
              <w:t xml:space="preserve">Celková zaměstnanost </w:t>
            </w:r>
            <w:r w:rsidR="001C3855" w:rsidRPr="0068569E">
              <w:rPr>
                <w:lang w:eastAsia="en-US"/>
              </w:rPr>
              <w:t>(</w:t>
            </w:r>
            <w:r w:rsidR="001C3855" w:rsidRPr="0068569E">
              <w:rPr>
                <w:spacing w:val="-2"/>
              </w:rPr>
              <w:t>meziročně v</w:t>
            </w:r>
            <w:r w:rsidR="001C3855">
              <w:rPr>
                <w:spacing w:val="-2"/>
              </w:rPr>
              <w:t> %</w:t>
            </w:r>
            <w:r w:rsidR="001C3855" w:rsidRPr="0068569E">
              <w:rPr>
                <w:spacing w:val="-2"/>
              </w:rPr>
              <w:t>)</w:t>
            </w:r>
            <w:r w:rsidR="001C3855" w:rsidRPr="0068569E">
              <w:rPr>
                <w:b/>
                <w:bCs/>
                <w:spacing w:val="-2"/>
              </w:rPr>
              <w:t xml:space="preserve">, </w:t>
            </w:r>
            <w:r w:rsidR="001C3855">
              <w:rPr>
                <w:b/>
                <w:bCs/>
                <w:spacing w:val="-2"/>
              </w:rPr>
              <w:t xml:space="preserve">příspěvky </w:t>
            </w:r>
            <w:r w:rsidR="001C3855" w:rsidRPr="0068569E">
              <w:rPr>
                <w:b/>
                <w:bCs/>
                <w:spacing w:val="-2"/>
              </w:rPr>
              <w:t xml:space="preserve">odvětví k meziroční změně zaměstnanosti </w:t>
            </w:r>
            <w:r w:rsidR="001C3855" w:rsidRPr="0068569E">
              <w:rPr>
                <w:spacing w:val="-2"/>
              </w:rPr>
              <w:t>(v</w:t>
            </w:r>
            <w:r w:rsidR="001C3855">
              <w:rPr>
                <w:spacing w:val="-2"/>
              </w:rPr>
              <w:t> p. b.</w:t>
            </w:r>
            <w:r w:rsidR="001C3855" w:rsidRPr="0068569E">
              <w:rPr>
                <w:spacing w:val="-2"/>
              </w:rPr>
              <w:t>)</w:t>
            </w:r>
            <w:r w:rsidR="001C3855" w:rsidRPr="0068569E">
              <w:rPr>
                <w:b/>
                <w:bCs/>
                <w:spacing w:val="-2"/>
              </w:rPr>
              <w:t xml:space="preserve"> a očekávání vývoje zaměst</w:t>
            </w:r>
            <w:r w:rsidR="001C3855">
              <w:rPr>
                <w:b/>
                <w:bCs/>
                <w:spacing w:val="-2"/>
              </w:rPr>
              <w:t>nanosti</w:t>
            </w:r>
            <w:r w:rsidR="001C3855" w:rsidRPr="0068569E">
              <w:rPr>
                <w:b/>
                <w:bCs/>
                <w:spacing w:val="-2"/>
              </w:rPr>
              <w:t xml:space="preserve"> </w:t>
            </w:r>
            <w:r w:rsidR="001C3855" w:rsidRPr="0068569E">
              <w:rPr>
                <w:spacing w:val="-2"/>
              </w:rPr>
              <w:t>(saldo v</w:t>
            </w:r>
            <w:r w:rsidR="001C3855">
              <w:rPr>
                <w:spacing w:val="-2"/>
              </w:rPr>
              <w:t> p. b.)</w:t>
            </w:r>
          </w:p>
        </w:tc>
      </w:tr>
      <w:tr w:rsidR="001C3855" w:rsidRPr="00B43216" w14:paraId="4DD0CFB9" w14:textId="77777777" w:rsidTr="52944939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814" w:type="dxa"/>
            <w:vMerge/>
          </w:tcPr>
          <w:p w14:paraId="00EF6A6F" w14:textId="77777777" w:rsidR="001C3855" w:rsidRPr="00B43216" w:rsidRDefault="001C3855" w:rsidP="00C8019E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13" w:type="dxa"/>
            <w:vMerge/>
          </w:tcPr>
          <w:p w14:paraId="7BD2C549" w14:textId="77777777" w:rsidR="001C3855" w:rsidRPr="00B43216" w:rsidRDefault="001C3855" w:rsidP="00C8019E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59" w:type="dxa"/>
            <w:shd w:val="clear" w:color="auto" w:fill="auto"/>
          </w:tcPr>
          <w:p w14:paraId="5FE77718" w14:textId="77777777" w:rsidR="001C3855" w:rsidRPr="00B43216" w:rsidRDefault="001C3855" w:rsidP="00C8019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785AAC04" wp14:editId="4985FDAE">
                  <wp:extent cx="4642986" cy="3812048"/>
                  <wp:effectExtent l="0" t="0" r="5715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C3855" w:rsidRPr="00485ED5" w14:paraId="2E7971A5" w14:textId="77777777" w:rsidTr="52944939">
        <w:trPr>
          <w:trHeight w:val="671"/>
        </w:trPr>
        <w:tc>
          <w:tcPr>
            <w:tcW w:w="1814" w:type="dxa"/>
            <w:vMerge/>
            <w:tcMar>
              <w:left w:w="0" w:type="dxa"/>
            </w:tcMar>
          </w:tcPr>
          <w:p w14:paraId="5EBDDDA6" w14:textId="77777777" w:rsidR="001C3855" w:rsidRPr="00B43216" w:rsidRDefault="001C3855" w:rsidP="00C8019E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13" w:type="dxa"/>
            <w:vMerge/>
            <w:tcMar>
              <w:left w:w="0" w:type="dxa"/>
            </w:tcMar>
          </w:tcPr>
          <w:p w14:paraId="34ED034B" w14:textId="77777777" w:rsidR="001C3855" w:rsidRPr="00B43216" w:rsidRDefault="001C3855" w:rsidP="00C8019E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03A433DC" w14:textId="77777777" w:rsidR="001C3855" w:rsidRDefault="001C3855" w:rsidP="00C8019E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862F17">
              <w:rPr>
                <w:rFonts w:cs="Arial"/>
                <w:sz w:val="14"/>
                <w:szCs w:val="14"/>
              </w:rPr>
              <w:t xml:space="preserve"> Těžba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energetika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Peněžnictví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pojišťovnictví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Činnosti v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oblasti nemovitostí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Kulturní, zábavní a</w:t>
            </w:r>
            <w:r w:rsidRPr="00D47653">
              <w:rPr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rekreační činnosti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14:paraId="4D6629B5" w14:textId="77777777" w:rsidR="001C3855" w:rsidRDefault="001C3855" w:rsidP="00C8019E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Poznámka: Saldo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>očekávání vyjadřuje rozdíl v p. b. mezi kategoriemi růst versus pokles zaměstnanosti v nejbližších třech měsících. Údaje jsou sezónně očištěny a vztahují se k druhému měsíci daného čtvrtletí.</w:t>
            </w:r>
          </w:p>
          <w:p w14:paraId="635AD3BA" w14:textId="77777777" w:rsidR="001C3855" w:rsidRPr="00485ED5" w:rsidRDefault="001C3855" w:rsidP="00C8019E">
            <w:pPr>
              <w:spacing w:after="20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Zdroj: ČSÚ, </w:t>
            </w:r>
            <w:proofErr w:type="spellStart"/>
            <w:r>
              <w:rPr>
                <w:rFonts w:cs="Arial"/>
                <w:sz w:val="14"/>
                <w:szCs w:val="14"/>
              </w:rPr>
              <w:t>Eurostat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(národní účty, konjunkturální průzkumy)</w:t>
            </w:r>
          </w:p>
        </w:tc>
      </w:tr>
      <w:tr w:rsidR="001C3855" w:rsidRPr="00EC1398" w14:paraId="6D9A12E6" w14:textId="77777777" w:rsidTr="52944939">
        <w:trPr>
          <w:trHeight w:val="145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04099013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Obecná míra nezaměstnanosti loni mírně kolísala blízko historického minima. Dlouhodobě nezaměstnaných stále ubývalo.</w:t>
            </w:r>
          </w:p>
          <w:p w14:paraId="7DE8E72A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6AF93449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7557C270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42CB2E82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07C419C1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091CC381" w14:textId="77777777" w:rsidR="001C3855" w:rsidRPr="00EC1398" w:rsidRDefault="001C3855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Obavy lidí z růstu nezaměstnanosti se po většinu loňského roku zvyšovaly.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</w:tcMar>
          </w:tcPr>
          <w:p w14:paraId="2F84DCCB" w14:textId="77777777" w:rsidR="001C3855" w:rsidRPr="00EC1398" w:rsidRDefault="001C3855" w:rsidP="00C8019E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171722AD" w14:textId="204F8F21" w:rsidR="001C3855" w:rsidRPr="00EC1398" w:rsidRDefault="001C3855" w:rsidP="00C8019E">
            <w:pPr>
              <w:spacing w:after="20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Pokles </w:t>
            </w:r>
            <w:r w:rsidRPr="00A812A7">
              <w:rPr>
                <w:color w:val="0D0D0D" w:themeColor="text1" w:themeTint="F2"/>
                <w:spacing w:val="-4"/>
              </w:rPr>
              <w:t>obecné míry nezaměstnanosti</w:t>
            </w:r>
            <w:r w:rsidRPr="00A812A7">
              <w:rPr>
                <w:rStyle w:val="Znakapoznpodarou"/>
                <w:color w:val="0D0D0D" w:themeColor="text1" w:themeTint="F2"/>
                <w:spacing w:val="-4"/>
              </w:rPr>
              <w:footnoteReference w:id="10"/>
            </w:r>
            <w:r w:rsidRPr="00A812A7">
              <w:rPr>
                <w:color w:val="0D0D0D" w:themeColor="text1" w:themeTint="F2"/>
                <w:spacing w:val="-4"/>
              </w:rPr>
              <w:t xml:space="preserve"> (osob ve věku 15 až 64 let</w:t>
            </w:r>
            <w:r>
              <w:rPr>
                <w:color w:val="0D0D0D" w:themeColor="text1" w:themeTint="F2"/>
                <w:spacing w:val="-4"/>
              </w:rPr>
              <w:t>) se v Česku již na počátku roku 2022 zastavil. V následujícím období však nebyl patrný ani trend jejího zvyšování. S tím korespondují také údaje o uchazečích o zaměstnání registrovaných na úřadech práce (ÚP), jejichž průběh odpovídal běžným sezónním vlivům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1"/>
            </w:r>
            <w:r>
              <w:rPr>
                <w:color w:val="0D0D0D" w:themeColor="text1" w:themeTint="F2"/>
                <w:spacing w:val="-4"/>
              </w:rPr>
              <w:t>. Obecná míra nezaměstnanosti loni v prosinci dosahovala u mužů 1,8 % a u žen 2,5 % a setrvávala tak blízko svého historického minima. P</w:t>
            </w:r>
            <w:r w:rsidR="5CF587E8">
              <w:rPr>
                <w:color w:val="0D0D0D" w:themeColor="text1" w:themeTint="F2"/>
                <w:spacing w:val="-4"/>
              </w:rPr>
              <w:t>říznivé</w:t>
            </w:r>
            <w:r>
              <w:rPr>
                <w:color w:val="0D0D0D" w:themeColor="text1" w:themeTint="F2"/>
                <w:spacing w:val="-4"/>
              </w:rPr>
              <w:t xml:space="preserve"> je, že počet dlouhodobě nezaměstnaných se ve 2. pololetí 2022 meziročně snižoval. Ve 4. čtvrtletí dle údajů VŠPS mírně přesáhl 30 tis. a tvořil pouze čtvrtinu všech nezaměstnaných (</w:t>
            </w:r>
            <w:r>
              <w:rPr>
                <w:color w:val="1D1B11" w:themeColor="background2" w:themeShade="1A"/>
                <w:spacing w:val="-4"/>
              </w:rPr>
              <w:t xml:space="preserve">obdobný podíl jako v posledním „předpandemickém“ roce). To souvisí se stále vysokou zásobou volných pracovních míst a dokládá, že významná část tuzemské nezaměstnanosti má stále frikční charakter. Obavy lidí z růstu nezaměstnanosti se po většinu loňského roku zvyšovaly, což souviselo s jejich negativním vnímáním celkové </w:t>
            </w:r>
            <w:r>
              <w:rPr>
                <w:color w:val="0D0D0D" w:themeColor="text1" w:themeTint="F2"/>
                <w:spacing w:val="-4"/>
              </w:rPr>
              <w:t>hospodářské situace v ČR i s horším očekáváním vlastní finanční situace domácnosti. Obavy z nezaměstnanosti ale zatím plně nedosáhly intenzity z období z vrcholu pandemie ani např. z období recese v roce 2012 až 2013. Navíc počátek roku 2023 přinesl náznak mírného snížení obav domácností.</w:t>
            </w:r>
          </w:p>
        </w:tc>
      </w:tr>
      <w:tr w:rsidR="001C3855" w:rsidRPr="003C66DA" w14:paraId="0E9363C5" w14:textId="77777777" w:rsidTr="52944939">
        <w:trPr>
          <w:trHeight w:val="145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4AD3E968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 xml:space="preserve">Nabídka volných míst na ÚP loni od jara setrvale klesala a letos v lednu byla </w:t>
            </w:r>
            <w:proofErr w:type="gramStart"/>
            <w:r>
              <w:rPr>
                <w:color w:val="0D0D0D" w:themeColor="text1" w:themeTint="F2"/>
                <w:spacing w:val="-5"/>
              </w:rPr>
              <w:t>nižší</w:t>
            </w:r>
            <w:proofErr w:type="gramEnd"/>
            <w:r>
              <w:rPr>
                <w:color w:val="0D0D0D" w:themeColor="text1" w:themeTint="F2"/>
                <w:spacing w:val="-5"/>
              </w:rPr>
              <w:t xml:space="preserve"> než počet uchazečů o práci.</w:t>
            </w:r>
          </w:p>
          <w:p w14:paraId="3EAE0B54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lastRenderedPageBreak/>
              <w:t>Úbytek míst byl plošný, relativně nejvíce se omezila nabídka pro osoby s minimální kvalifikací.</w:t>
            </w:r>
          </w:p>
          <w:p w14:paraId="35F57979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2541D646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69C6018F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6C36CBC0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0D3367CF" w14:textId="77777777" w:rsidR="001C3855" w:rsidRDefault="001C3855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082228C6" w14:textId="77777777" w:rsidR="001C3855" w:rsidRPr="003F5B27" w:rsidRDefault="001C3855" w:rsidP="00C8019E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Převis nabídky míst nad počty uchazečů o práci registrovala letos v lednu třetina okresů ČR.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</w:tcMar>
          </w:tcPr>
          <w:p w14:paraId="2182ECBA" w14:textId="77777777" w:rsidR="001C3855" w:rsidRPr="00EA508C" w:rsidRDefault="001C3855" w:rsidP="00C8019E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36C06946" w14:textId="77777777" w:rsidR="001C3855" w:rsidRPr="003C66DA" w:rsidRDefault="001C3855" w:rsidP="00C8019E">
            <w:pPr>
              <w:spacing w:after="20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Jestliže v roce </w:t>
            </w:r>
            <w:r w:rsidRPr="009058E1">
              <w:rPr>
                <w:color w:val="0D0D0D" w:themeColor="text1" w:themeTint="F2"/>
                <w:spacing w:val="-4"/>
              </w:rPr>
              <w:t>2021 vykazoval počet voln</w:t>
            </w:r>
            <w:r>
              <w:rPr>
                <w:color w:val="0D0D0D" w:themeColor="text1" w:themeTint="F2"/>
                <w:spacing w:val="-4"/>
              </w:rPr>
              <w:t>ých pracovních míst nabízených ÚP</w:t>
            </w:r>
            <w:r w:rsidRPr="009058E1">
              <w:rPr>
                <w:color w:val="0D0D0D" w:themeColor="text1" w:themeTint="F2"/>
                <w:spacing w:val="-4"/>
              </w:rPr>
              <w:t xml:space="preserve"> typický sezónní průběh</w:t>
            </w:r>
            <w:r w:rsidRPr="00303304">
              <w:rPr>
                <w:color w:val="0D0D0D" w:themeColor="text1" w:themeTint="F2"/>
                <w:spacing w:val="-4"/>
              </w:rPr>
              <w:t xml:space="preserve">, </w:t>
            </w:r>
            <w:r>
              <w:rPr>
                <w:color w:val="0D0D0D" w:themeColor="text1" w:themeTint="F2"/>
                <w:spacing w:val="-4"/>
              </w:rPr>
              <w:t>loni i v době vrcholících sezónních prací se celková nabídka míst snižovala. Počet míst meziměsíčně klesal nepřetržitě od března (z 360 tis.) do prosince (na 289 tis.)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2"/>
            </w:r>
            <w:r>
              <w:rPr>
                <w:color w:val="0D0D0D" w:themeColor="text1" w:themeTint="F2"/>
                <w:spacing w:val="-4"/>
              </w:rPr>
              <w:t xml:space="preserve">. Tento trend stvrdil i letošní leden, kdy se nabídka míst (281 tis.) zredukovala na takřka pětileté </w:t>
            </w:r>
            <w:r>
              <w:rPr>
                <w:color w:val="0D0D0D" w:themeColor="text1" w:themeTint="F2"/>
                <w:spacing w:val="-4"/>
              </w:rPr>
              <w:lastRenderedPageBreak/>
              <w:t>minimum a poprvé od dubna 2018 byla nižší než počet všech uchazečů o zaměstnání (283 tis.). Projevoval se zde dopad cyklického útlumu ekonomiky, kdy podniky začaly tvorbu nových pracovních míst omezovat a současně častěji přistupovaly k propouštění pracovníků (byť dosud zpravidla ne hromadnému). Relativně nejvíce ubylo meziročně volných míst vyžadujících minimální kvalifikaci (</w:t>
            </w:r>
            <w:r w:rsidRPr="00943FBB">
              <w:rPr>
                <w:color w:val="0D0D0D" w:themeColor="text1" w:themeTint="F2"/>
                <w:spacing w:val="-4"/>
              </w:rPr>
              <w:t>maximálně základní vzdělání), oproti lednu 2022 o 23 % (na 202 tis.).</w:t>
            </w:r>
            <w:r>
              <w:rPr>
                <w:color w:val="0D0D0D" w:themeColor="text1" w:themeTint="F2"/>
                <w:spacing w:val="-4"/>
              </w:rPr>
              <w:t xml:space="preserve"> Lze předpokládat, že část méně kvalifikovaných míst mohli obsadit uprchlíci z Ukrajiny</w:t>
            </w:r>
            <w:r>
              <w:t>.</w:t>
            </w:r>
            <w:r>
              <w:rPr>
                <w:color w:val="0D0D0D" w:themeColor="text1" w:themeTint="F2"/>
                <w:spacing w:val="-4"/>
              </w:rPr>
              <w:t xml:space="preserve"> Také nabídka míst pro středoškoláky bez maturity se snížila, a to o 13,9 % (na 43 tis.), pro osoby s vyšším vzděláním pak o 8,5 % (na 37 tis.). Převis veškeré nabídky volných míst nad počtem registrovaných uchazečů o práci nastal v říjnu v pěti krajích ČR a ve třetině okresů (kromě Prahy zpravidla ve středních, jihozápadních a východních Čechách). Naopak ve všech okresech Ústeckého, Libereckého, Olomouckého i Moravskoslezského kraje již letos na konci ledna nabídka míst na ÚP nemohla poptávku ze strany uchazečů o práci ani teoreticky (bez ohledu na kvalifikační nároky) plně pokrýt. Tradičně nejhorší situace panovala na Karvinsku (s 12 uchazeči na jedno místo), kde navíc výraznějšímu zhoršení zabránilo rozhodnutí o prodloužení těžby uhlí. </w:t>
            </w:r>
          </w:p>
        </w:tc>
      </w:tr>
      <w:tr w:rsidR="001C3855" w:rsidRPr="009C410C" w14:paraId="09696C5F" w14:textId="77777777" w:rsidTr="52944939">
        <w:trPr>
          <w:trHeight w:val="155"/>
        </w:trPr>
        <w:tc>
          <w:tcPr>
            <w:tcW w:w="1814" w:type="dxa"/>
            <w:vMerge w:val="restart"/>
            <w:shd w:val="clear" w:color="auto" w:fill="auto"/>
            <w:tcMar>
              <w:left w:w="0" w:type="dxa"/>
            </w:tcMar>
          </w:tcPr>
          <w:p w14:paraId="47673F07" w14:textId="77777777" w:rsidR="001C3855" w:rsidRPr="00B43216" w:rsidRDefault="001C3855" w:rsidP="00C8019E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13" w:type="dxa"/>
            <w:vMerge w:val="restart"/>
            <w:shd w:val="clear" w:color="auto" w:fill="auto"/>
            <w:tcMar>
              <w:left w:w="0" w:type="dxa"/>
            </w:tcMar>
          </w:tcPr>
          <w:p w14:paraId="5EE9CDCD" w14:textId="77777777" w:rsidR="001C3855" w:rsidRPr="00B43216" w:rsidRDefault="001C3855" w:rsidP="00C8019E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4A891EA5" w14:textId="4F2D51C9" w:rsidR="001C3855" w:rsidRPr="009C410C" w:rsidRDefault="008F525A" w:rsidP="00C8019E">
            <w:pPr>
              <w:spacing w:after="0"/>
              <w:rPr>
                <w:b/>
                <w:spacing w:val="-4"/>
              </w:rPr>
            </w:pPr>
            <w:r>
              <w:rPr>
                <w:b/>
                <w:spacing w:val="-4"/>
              </w:rPr>
              <w:t>Graf č. 15</w:t>
            </w:r>
            <w:r w:rsidR="001C3855" w:rsidRPr="009C410C">
              <w:rPr>
                <w:b/>
                <w:spacing w:val="-4"/>
              </w:rPr>
              <w:t xml:space="preserve"> </w:t>
            </w:r>
            <w:r w:rsidR="001C3855" w:rsidRPr="009C410C">
              <w:rPr>
                <w:rFonts w:cs="Arial"/>
                <w:b/>
                <w:spacing w:val="-4"/>
              </w:rPr>
              <w:t xml:space="preserve">Obecná míra nezaměstnanosti </w:t>
            </w:r>
            <w:r w:rsidR="001C3855" w:rsidRPr="009C410C">
              <w:rPr>
                <w:rFonts w:cs="Arial"/>
                <w:bCs/>
                <w:spacing w:val="-4"/>
              </w:rPr>
              <w:t>(v %</w:t>
            </w:r>
            <w:r w:rsidR="001C3855">
              <w:rPr>
                <w:rFonts w:cs="Arial"/>
                <w:bCs/>
                <w:spacing w:val="-4"/>
              </w:rPr>
              <w:t>, věk 15 až 64 let</w:t>
            </w:r>
            <w:r w:rsidR="001C3855" w:rsidRPr="009C410C">
              <w:rPr>
                <w:rFonts w:cs="Arial"/>
                <w:bCs/>
                <w:spacing w:val="-4"/>
              </w:rPr>
              <w:t>)</w:t>
            </w:r>
            <w:r w:rsidR="001C3855" w:rsidRPr="009C410C">
              <w:rPr>
                <w:rFonts w:cs="Arial"/>
                <w:b/>
                <w:spacing w:val="-4"/>
              </w:rPr>
              <w:t xml:space="preserve">, </w:t>
            </w:r>
            <w:r w:rsidR="001C3855">
              <w:rPr>
                <w:rFonts w:cs="Arial"/>
                <w:b/>
                <w:spacing w:val="-4"/>
              </w:rPr>
              <w:t>míra ekonomické aktivity</w:t>
            </w:r>
            <w:r w:rsidR="001C3855">
              <w:rPr>
                <w:rFonts w:cs="Arial"/>
                <w:bCs/>
                <w:spacing w:val="-4"/>
              </w:rPr>
              <w:t xml:space="preserve"> (v %, věk 15 až 64 let)</w:t>
            </w:r>
            <w:r w:rsidR="001C3855" w:rsidRPr="009C410C">
              <w:rPr>
                <w:rFonts w:cs="Arial"/>
                <w:b/>
                <w:spacing w:val="-4"/>
              </w:rPr>
              <w:t xml:space="preserve">, ekonomicky neaktivní chtějící pracovat </w:t>
            </w:r>
            <w:r w:rsidR="001C3855" w:rsidRPr="009C410C">
              <w:rPr>
                <w:rFonts w:cs="Arial"/>
                <w:bCs/>
                <w:spacing w:val="-4"/>
              </w:rPr>
              <w:t>(v tis.</w:t>
            </w:r>
            <w:r w:rsidR="001C3855">
              <w:rPr>
                <w:rFonts w:cs="Arial"/>
                <w:bCs/>
                <w:spacing w:val="-4"/>
              </w:rPr>
              <w:t xml:space="preserve"> </w:t>
            </w:r>
            <w:proofErr w:type="gramStart"/>
            <w:r w:rsidR="001C3855">
              <w:rPr>
                <w:rFonts w:cs="Arial"/>
                <w:bCs/>
                <w:spacing w:val="-4"/>
              </w:rPr>
              <w:t>osob</w:t>
            </w:r>
            <w:r w:rsidR="001C3855" w:rsidRPr="009C410C">
              <w:rPr>
                <w:rFonts w:cs="Arial"/>
                <w:bCs/>
                <w:spacing w:val="-4"/>
              </w:rPr>
              <w:t>)*</w:t>
            </w:r>
            <w:proofErr w:type="gramEnd"/>
            <w:r w:rsidR="001C3855" w:rsidRPr="00D94F3D">
              <w:rPr>
                <w:rFonts w:cs="Arial"/>
                <w:b/>
                <w:bCs/>
                <w:spacing w:val="-4"/>
              </w:rPr>
              <w:t xml:space="preserve">, volná pracovní místa </w:t>
            </w:r>
            <w:r w:rsidR="001C3855">
              <w:rPr>
                <w:rFonts w:cs="Arial"/>
                <w:bCs/>
                <w:spacing w:val="-4"/>
              </w:rPr>
              <w:t xml:space="preserve">(v tis.) </w:t>
            </w:r>
            <w:r w:rsidR="001C3855" w:rsidRPr="00D94F3D">
              <w:rPr>
                <w:rFonts w:cs="Arial"/>
                <w:b/>
                <w:bCs/>
                <w:spacing w:val="-4"/>
              </w:rPr>
              <w:t>a</w:t>
            </w:r>
            <w:r w:rsidR="001C3855" w:rsidRPr="009C410C">
              <w:rPr>
                <w:rFonts w:cs="Arial"/>
                <w:bCs/>
                <w:spacing w:val="-4"/>
              </w:rPr>
              <w:t xml:space="preserve"> </w:t>
            </w:r>
            <w:r w:rsidR="001C3855">
              <w:rPr>
                <w:rFonts w:cs="Arial"/>
                <w:b/>
                <w:bCs/>
                <w:spacing w:val="-4"/>
              </w:rPr>
              <w:t>očekávání nezaměstnanosti od domácností</w:t>
            </w:r>
            <w:r w:rsidR="001C3855" w:rsidRPr="009C410C">
              <w:rPr>
                <w:rFonts w:cs="Arial"/>
                <w:bCs/>
                <w:spacing w:val="-4"/>
              </w:rPr>
              <w:t xml:space="preserve"> (v p. b.)**</w:t>
            </w:r>
          </w:p>
        </w:tc>
      </w:tr>
      <w:tr w:rsidR="001C3855" w:rsidRPr="00B43216" w14:paraId="79F99BED" w14:textId="77777777" w:rsidTr="52944939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814" w:type="dxa"/>
            <w:vMerge/>
          </w:tcPr>
          <w:p w14:paraId="2C6F367B" w14:textId="77777777" w:rsidR="001C3855" w:rsidRPr="00B43216" w:rsidRDefault="001C3855" w:rsidP="00C8019E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13" w:type="dxa"/>
            <w:vMerge/>
          </w:tcPr>
          <w:p w14:paraId="4189C87A" w14:textId="77777777" w:rsidR="001C3855" w:rsidRPr="00B43216" w:rsidRDefault="001C3855" w:rsidP="00C8019E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759" w:type="dxa"/>
            <w:shd w:val="clear" w:color="auto" w:fill="auto"/>
          </w:tcPr>
          <w:p w14:paraId="5DDCC836" w14:textId="77777777" w:rsidR="001C3855" w:rsidRPr="00B43216" w:rsidRDefault="001C3855" w:rsidP="00C8019E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3461C92A" wp14:editId="266F18A4">
                  <wp:extent cx="4691380" cy="3399155"/>
                  <wp:effectExtent l="0" t="0" r="0" b="0"/>
                  <wp:docPr id="7" name="Graf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1C3855" w:rsidRPr="00485ED5" w14:paraId="555143BE" w14:textId="77777777" w:rsidTr="52944939">
        <w:trPr>
          <w:trHeight w:val="132"/>
        </w:trPr>
        <w:tc>
          <w:tcPr>
            <w:tcW w:w="1814" w:type="dxa"/>
            <w:vMerge/>
            <w:tcMar>
              <w:left w:w="0" w:type="dxa"/>
            </w:tcMar>
          </w:tcPr>
          <w:p w14:paraId="77DFCAE8" w14:textId="77777777" w:rsidR="001C3855" w:rsidRPr="00B43216" w:rsidRDefault="001C3855" w:rsidP="00C8019E">
            <w:pPr>
              <w:pStyle w:val="Marginlie"/>
              <w:rPr>
                <w:spacing w:val="-4"/>
              </w:rPr>
            </w:pPr>
          </w:p>
        </w:tc>
        <w:tc>
          <w:tcPr>
            <w:tcW w:w="213" w:type="dxa"/>
            <w:vMerge/>
            <w:tcMar>
              <w:left w:w="0" w:type="dxa"/>
            </w:tcMar>
          </w:tcPr>
          <w:p w14:paraId="5F781134" w14:textId="77777777" w:rsidR="001C3855" w:rsidRPr="00B43216" w:rsidRDefault="001C3855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1C38D986" w14:textId="77777777" w:rsidR="001C3855" w:rsidRPr="00D94F3D" w:rsidRDefault="001C3855" w:rsidP="00C8019E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 w:rsidRPr="00D94F3D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Pozn.: Údaje o mírách nezaměstnanosti i </w:t>
            </w:r>
            <w:proofErr w:type="spellStart"/>
            <w:r w:rsidRPr="00D94F3D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ekon</w:t>
            </w:r>
            <w:proofErr w:type="spellEnd"/>
            <w:r w:rsidRPr="00D94F3D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. aktivity jsou po sezónním očištění. VPM = volná pracovní místa (stav na konci čtvrtletí)</w:t>
            </w:r>
          </w:p>
          <w:p w14:paraId="4BFDB728" w14:textId="77777777" w:rsidR="001C3855" w:rsidRDefault="001C3855" w:rsidP="00C8019E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4E68B1"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Jde o osoby, které nepracují, aktivně práci nehledají,</w:t>
            </w: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 xml:space="preserve"> ale přitom uvádějí, že by chtěly pracovat.</w:t>
            </w:r>
          </w:p>
          <w:p w14:paraId="5F684C53" w14:textId="77777777" w:rsidR="001C3855" w:rsidRDefault="001C3855" w:rsidP="00C8019E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**Sezónně očištěné saldo očekávání nezaměstnanosti v nejbližších 12 měsících (rozdíl mezi procentuální četností odpovědí domácností, růst a pokles vyjádřený v procentních bodech). Vztahuje se k prostřednímu měsíci daného čtvrtletí.</w:t>
            </w:r>
          </w:p>
          <w:p w14:paraId="3F450157" w14:textId="77777777" w:rsidR="001C3855" w:rsidRPr="00485ED5" w:rsidRDefault="001C3855" w:rsidP="00C8019E">
            <w:pPr>
              <w:spacing w:after="20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Zdroj: ČSÚ (VŠPS, konjunkturální průzkum), MPSV (volná pracovní místa registrovaná na úřadech práce v ČR)</w:t>
            </w:r>
          </w:p>
        </w:tc>
      </w:tr>
      <w:tr w:rsidR="001C3855" w:rsidRPr="00FA68D2" w14:paraId="5501AED2" w14:textId="77777777" w:rsidTr="52944939">
        <w:trPr>
          <w:trHeight w:val="132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29A0A166" w14:textId="77777777" w:rsidR="001C3855" w:rsidRDefault="001C3855" w:rsidP="00C8019E">
            <w:pPr>
              <w:pStyle w:val="Marginlie"/>
              <w:rPr>
                <w:spacing w:val="-4"/>
              </w:rPr>
            </w:pPr>
            <w:proofErr w:type="spellStart"/>
            <w:r>
              <w:rPr>
                <w:spacing w:val="-4"/>
              </w:rPr>
              <w:t>Mezikvartální</w:t>
            </w:r>
            <w:proofErr w:type="spellEnd"/>
            <w:r>
              <w:rPr>
                <w:spacing w:val="-4"/>
              </w:rPr>
              <w:t xml:space="preserve"> nominální růst průměrné mzdy během roku 2022 mírně zrychloval.</w:t>
            </w:r>
          </w:p>
          <w:p w14:paraId="125C8393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023056C1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137CCE02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35F7D66E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7FEA112D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51A1D5AC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488EF7BB" w14:textId="77777777" w:rsidR="001C3855" w:rsidRDefault="001C3855" w:rsidP="00C8019E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 xml:space="preserve">Hluboký </w:t>
            </w:r>
            <w:r>
              <w:rPr>
                <w:color w:val="0D0D0D" w:themeColor="text1" w:themeTint="F2"/>
                <w:spacing w:val="-5"/>
              </w:rPr>
              <w:t xml:space="preserve">meziroční propad reálných mezd pokračoval páté čtvrtletí </w:t>
            </w:r>
            <w:r>
              <w:rPr>
                <w:color w:val="0D0D0D" w:themeColor="text1" w:themeTint="F2"/>
                <w:spacing w:val="-5"/>
              </w:rPr>
              <w:lastRenderedPageBreak/>
              <w:t>v řadě. Postihl všechna odvětví a regiony.</w:t>
            </w:r>
          </w:p>
          <w:p w14:paraId="2FC2AF61" w14:textId="77777777" w:rsidR="001C3855" w:rsidRPr="00B43216" w:rsidRDefault="001C3855" w:rsidP="00C8019E">
            <w:pPr>
              <w:pStyle w:val="Marginlie"/>
              <w:rPr>
                <w:spacing w:val="-4"/>
              </w:rPr>
            </w:pPr>
          </w:p>
        </w:tc>
        <w:tc>
          <w:tcPr>
            <w:tcW w:w="213" w:type="dxa"/>
            <w:shd w:val="clear" w:color="auto" w:fill="auto"/>
            <w:tcMar>
              <w:left w:w="0" w:type="dxa"/>
            </w:tcMar>
          </w:tcPr>
          <w:p w14:paraId="5ACEEC09" w14:textId="77777777" w:rsidR="001C3855" w:rsidRPr="00B43216" w:rsidRDefault="001C3855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4F420044" w14:textId="77777777" w:rsidR="001C3855" w:rsidRPr="00FA68D2" w:rsidRDefault="001C3855" w:rsidP="00C8019E">
            <w:pPr>
              <w:spacing w:after="0"/>
              <w:rPr>
                <w:spacing w:val="-4"/>
              </w:rPr>
            </w:pPr>
            <w:r w:rsidRPr="00FA68D2">
              <w:rPr>
                <w:color w:val="0D0D0D" w:themeColor="text1" w:themeTint="F2"/>
                <w:spacing w:val="-4"/>
              </w:rPr>
              <w:t xml:space="preserve">Průměrná hrubá měsíční nominální mzda (na zaměstnance, při zohlednění délky úvazku) vystoupala ve 4. čtvrtletí 2022 na 43 412 tis. korun a meziročně byla vyšší o 7,9 %. </w:t>
            </w:r>
            <w:r w:rsidRPr="00FA68D2">
              <w:rPr>
                <w:spacing w:val="-4"/>
              </w:rPr>
              <w:t xml:space="preserve">Mzda po očištění od sezónních vlivů se ve 4. čtvrtletí </w:t>
            </w:r>
            <w:r w:rsidRPr="00FA68D2">
              <w:rPr>
                <w:color w:val="0D0D0D" w:themeColor="text1" w:themeTint="F2"/>
                <w:spacing w:val="-4"/>
              </w:rPr>
              <w:t xml:space="preserve">mezikvartálně navýšila </w:t>
            </w:r>
            <w:r w:rsidRPr="00FA68D2">
              <w:rPr>
                <w:spacing w:val="-4"/>
              </w:rPr>
              <w:t>o 2,1 %, což v kontextu od počátku loňského roku značilo mírnou akceleraci. Ta ale nestačila zaměstnancům pokrýt prudce rostoucí životní náklady. Hluboký meziroční pokles průměrné reálné mzdy totiž pokračoval pátý kvartál v řadě, byť ve srovnání s rekordními bezmála 10% propady ve 2.</w:t>
            </w:r>
            <w:r>
              <w:rPr>
                <w:spacing w:val="-4"/>
              </w:rPr>
              <w:t> </w:t>
            </w:r>
            <w:proofErr w:type="gramStart"/>
            <w:r w:rsidRPr="00FA68D2">
              <w:rPr>
                <w:spacing w:val="-4"/>
              </w:rPr>
              <w:t>i</w:t>
            </w:r>
            <w:r>
              <w:rPr>
                <w:spacing w:val="-4"/>
              </w:rPr>
              <w:t> </w:t>
            </w:r>
            <w:r w:rsidRPr="00FA68D2">
              <w:rPr>
                <w:spacing w:val="-4"/>
              </w:rPr>
              <w:t xml:space="preserve"> 3.</w:t>
            </w:r>
            <w:proofErr w:type="gramEnd"/>
            <w:r>
              <w:rPr>
                <w:spacing w:val="-4"/>
              </w:rPr>
              <w:t> </w:t>
            </w:r>
            <w:r w:rsidRPr="00FA68D2">
              <w:rPr>
                <w:spacing w:val="-4"/>
              </w:rPr>
              <w:t xml:space="preserve">čtvrtletí 2022 na konci roku zvolnil (na </w:t>
            </w:r>
            <w:r>
              <w:rPr>
                <w:spacing w:val="-4"/>
              </w:rPr>
              <w:t>−</w:t>
            </w:r>
            <w:r w:rsidRPr="00FA68D2">
              <w:rPr>
                <w:spacing w:val="-4"/>
              </w:rPr>
              <w:t>6,7 %). Příčina tohoto zmírnění spočívala spíše než v oblasti výdělků v dočasném zpomalení cenového růstu spotřebitelů (vlivem zavedení úsporného energetického tarifu pro domácnosti). Bez ohledu na tento vliv poklesla ve 4.</w:t>
            </w:r>
            <w:r>
              <w:rPr>
                <w:spacing w:val="-4"/>
              </w:rPr>
              <w:t> </w:t>
            </w:r>
            <w:r w:rsidRPr="00FA68D2">
              <w:rPr>
                <w:spacing w:val="-4"/>
              </w:rPr>
              <w:t>čtvrtletí reálná mzda ve všech sledovaných odvětvových sekcích i ve všech hlavních průmyslových oborech, podobně jako napříč kraji ČR. Mzdový vývoj ve 4. čtvrtletí (shodně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lastRenderedPageBreak/>
              <w:t>jako po celý loňský rok</w:t>
            </w:r>
            <w:r w:rsidRPr="00FA68D2">
              <w:rPr>
                <w:spacing w:val="-4"/>
              </w:rPr>
              <w:t>) tak byl patrně rozhodujícím faktorem snížení celkové kupní síly tuzemských domácností</w:t>
            </w:r>
            <w:r w:rsidRPr="00FA68D2">
              <w:rPr>
                <w:rStyle w:val="Znakapoznpodarou"/>
                <w:spacing w:val="-4"/>
              </w:rPr>
              <w:footnoteReference w:id="13"/>
            </w:r>
            <w:r w:rsidRPr="00FA68D2">
              <w:rPr>
                <w:spacing w:val="-4"/>
              </w:rPr>
              <w:t>.</w:t>
            </w:r>
            <w:r>
              <w:rPr>
                <w:spacing w:val="-4"/>
              </w:rPr>
              <w:t xml:space="preserve"> Z</w:t>
            </w:r>
            <w:r w:rsidRPr="00FA68D2">
              <w:rPr>
                <w:spacing w:val="-4"/>
              </w:rPr>
              <w:t xml:space="preserve">a </w:t>
            </w:r>
            <w:r>
              <w:rPr>
                <w:spacing w:val="-4"/>
              </w:rPr>
              <w:t>rok 2022 se reálná mzda propadla</w:t>
            </w:r>
            <w:r w:rsidRPr="00FA68D2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o </w:t>
            </w:r>
            <w:r w:rsidRPr="00FA68D2">
              <w:rPr>
                <w:spacing w:val="-4"/>
              </w:rPr>
              <w:t>7,5 %, koupěschopnost průměrných zaměstnaneckých výdělků tak zhruba dosáhla úrovně roku 2018</w:t>
            </w:r>
            <w:r w:rsidRPr="00FA68D2">
              <w:rPr>
                <w:rStyle w:val="Znakapoznpodarou"/>
                <w:spacing w:val="-4"/>
              </w:rPr>
              <w:footnoteReference w:id="14"/>
            </w:r>
            <w:r w:rsidRPr="00FA68D2">
              <w:rPr>
                <w:spacing w:val="-4"/>
              </w:rPr>
              <w:t xml:space="preserve">. </w:t>
            </w:r>
          </w:p>
          <w:p w14:paraId="3211193B" w14:textId="77777777" w:rsidR="001C3855" w:rsidRPr="00FA68D2" w:rsidRDefault="001C3855" w:rsidP="00C8019E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Cs w:val="20"/>
              </w:rPr>
            </w:pPr>
          </w:p>
        </w:tc>
      </w:tr>
      <w:tr w:rsidR="001C3855" w:rsidRPr="00D94F3D" w14:paraId="3F5FFC5F" w14:textId="77777777" w:rsidTr="52944939">
        <w:trPr>
          <w:trHeight w:val="132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3C9C8595" w14:textId="77777777" w:rsidR="001C3855" w:rsidRPr="00BC343C" w:rsidRDefault="001C3855" w:rsidP="00C8019E">
            <w:pPr>
              <w:pStyle w:val="Marginlie"/>
              <w:rPr>
                <w:spacing w:val="-6"/>
              </w:rPr>
            </w:pPr>
            <w:r w:rsidRPr="00BC343C">
              <w:rPr>
                <w:spacing w:val="-6"/>
              </w:rPr>
              <w:lastRenderedPageBreak/>
              <w:t>Za mzdovým růstem stála primárně tržní odvětví. Část z nich stále sužoval problém s nedostatkem pracovní síly.</w:t>
            </w:r>
          </w:p>
          <w:p w14:paraId="5BBD700E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0D80BB81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1EA6055A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62281E17" w14:textId="77777777" w:rsidR="001C3855" w:rsidRDefault="001C3855" w:rsidP="00C8019E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V odvětvích s dominancí státu se projevoval vliv úsporných opatření.</w:t>
            </w:r>
          </w:p>
          <w:p w14:paraId="381754BD" w14:textId="77777777" w:rsidR="001C3855" w:rsidRPr="00B43216" w:rsidRDefault="001C3855" w:rsidP="00C8019E">
            <w:pPr>
              <w:pStyle w:val="Marginlie"/>
              <w:rPr>
                <w:spacing w:val="-4"/>
              </w:rPr>
            </w:pPr>
          </w:p>
        </w:tc>
        <w:tc>
          <w:tcPr>
            <w:tcW w:w="213" w:type="dxa"/>
            <w:shd w:val="clear" w:color="auto" w:fill="auto"/>
            <w:tcMar>
              <w:left w:w="0" w:type="dxa"/>
            </w:tcMar>
          </w:tcPr>
          <w:p w14:paraId="721A9E37" w14:textId="77777777" w:rsidR="001C3855" w:rsidRPr="00B43216" w:rsidRDefault="001C3855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02348FBB" w14:textId="77777777" w:rsidR="001C3855" w:rsidRPr="00554750" w:rsidRDefault="001C3855" w:rsidP="00C8019E">
            <w:pPr>
              <w:spacing w:after="0"/>
              <w:rPr>
                <w:rFonts w:cs="Arial"/>
                <w:color w:val="0D0D0D" w:themeColor="text1" w:themeTint="F2"/>
                <w:spacing w:val="-4"/>
                <w:szCs w:val="20"/>
              </w:rPr>
            </w:pP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Mzdový růst byl po celý loňský rok podporován </w:t>
            </w:r>
            <w:r>
              <w:rPr>
                <w:spacing w:val="-5"/>
              </w:rPr>
              <w:t>pokračujícím</w:t>
            </w:r>
            <w:r w:rsidRPr="00D766A7">
              <w:rPr>
                <w:spacing w:val="-5"/>
              </w:rPr>
              <w:t xml:space="preserve"> napětí</w:t>
            </w:r>
            <w:r>
              <w:rPr>
                <w:spacing w:val="-5"/>
              </w:rPr>
              <w:t>m</w:t>
            </w:r>
            <w:r w:rsidRPr="00D766A7">
              <w:rPr>
                <w:spacing w:val="-5"/>
              </w:rPr>
              <w:t xml:space="preserve"> na pracovním trhu spojen</w:t>
            </w:r>
            <w:r>
              <w:rPr>
                <w:spacing w:val="-5"/>
              </w:rPr>
              <w:t>ým</w:t>
            </w:r>
            <w:r w:rsidRPr="00D766A7">
              <w:rPr>
                <w:spacing w:val="-5"/>
              </w:rPr>
              <w:t xml:space="preserve"> s přetrvávající nízkou nezaměstnaností, stále vysokým počtem volných míst </w:t>
            </w:r>
            <w:r>
              <w:rPr>
                <w:spacing w:val="-5"/>
              </w:rPr>
              <w:br/>
            </w:r>
            <w:r w:rsidRPr="00D766A7">
              <w:rPr>
                <w:spacing w:val="-5"/>
              </w:rPr>
              <w:t>i faktem,</w:t>
            </w:r>
            <w:r>
              <w:rPr>
                <w:spacing w:val="-5"/>
              </w:rPr>
              <w:t xml:space="preserve"> že nedostatek zaměstnanců významně</w:t>
            </w:r>
            <w:r w:rsidRPr="00D766A7">
              <w:rPr>
                <w:spacing w:val="-5"/>
              </w:rPr>
              <w:t xml:space="preserve"> limitoval produkci v některých odvětví</w:t>
            </w:r>
            <w:r>
              <w:rPr>
                <w:spacing w:val="-5"/>
              </w:rPr>
              <w:t>ch</w:t>
            </w:r>
            <w:r w:rsidRPr="00D766A7">
              <w:rPr>
                <w:spacing w:val="-5"/>
              </w:rPr>
              <w:t>. Hlavně v odvětvích s nízkou úrovní výdělků mělo dílčí dopad i</w:t>
            </w:r>
            <w:r w:rsidRPr="00D766A7">
              <w:rPr>
                <w:bCs/>
                <w:color w:val="0D0D0D" w:themeColor="text1" w:themeTint="F2"/>
                <w:spacing w:val="-5"/>
              </w:rPr>
              <w:t> </w:t>
            </w:r>
            <w:r w:rsidRPr="00D766A7">
              <w:rPr>
                <w:spacing w:val="-5"/>
              </w:rPr>
              <w:t>pokračující navyšování minimální mzdy. Naopak příchod ukrajinských uprchlíků úroveň průměrných mezd ani v těchto odvětvích zatím patrně významněji neovlivnil</w:t>
            </w:r>
            <w:r w:rsidRPr="00D766A7">
              <w:rPr>
                <w:rStyle w:val="Znakapoznpodarou"/>
                <w:spacing w:val="-5"/>
              </w:rPr>
              <w:footnoteReference w:id="15"/>
            </w:r>
            <w:r w:rsidRPr="00D766A7">
              <w:rPr>
                <w:spacing w:val="-5"/>
              </w:rPr>
              <w:t>.</w:t>
            </w:r>
            <w:r>
              <w:rPr>
                <w:spacing w:val="-5"/>
              </w:rPr>
              <w:t xml:space="preserve"> </w:t>
            </w:r>
            <w:r w:rsidRPr="00D766A7">
              <w:rPr>
                <w:spacing w:val="-5"/>
              </w:rPr>
              <w:t xml:space="preserve">Růst mezd v celé ekonomice </w:t>
            </w:r>
            <w:r w:rsidRPr="00D766A7">
              <w:rPr>
                <w:color w:val="0D0D0D" w:themeColor="text1" w:themeTint="F2"/>
                <w:spacing w:val="-5"/>
              </w:rPr>
              <w:t>byl</w:t>
            </w:r>
            <w:r>
              <w:rPr>
                <w:color w:val="0D0D0D" w:themeColor="text1" w:themeTint="F2"/>
                <w:spacing w:val="-5"/>
              </w:rPr>
              <w:t xml:space="preserve"> po většinu roku</w:t>
            </w:r>
            <w:r w:rsidRPr="00D766A7">
              <w:rPr>
                <w:color w:val="0D0D0D" w:themeColor="text1" w:themeTint="F2"/>
                <w:spacing w:val="-5"/>
              </w:rPr>
              <w:t xml:space="preserve"> </w:t>
            </w:r>
            <w:r w:rsidRPr="002B1DAD">
              <w:rPr>
                <w:color w:val="0D0D0D" w:themeColor="text1" w:themeTint="F2"/>
                <w:spacing w:val="-5"/>
              </w:rPr>
              <w:t xml:space="preserve">tlumen nastavením </w:t>
            </w:r>
            <w:r w:rsidRPr="00D766A7">
              <w:rPr>
                <w:spacing w:val="-5"/>
              </w:rPr>
              <w:t>platových tarifů v rozpočtové sféře (zmrazení či jen velmi mírný rů</w:t>
            </w:r>
            <w:r>
              <w:rPr>
                <w:spacing w:val="-5"/>
              </w:rPr>
              <w:t>st u většiny skupin zaměstnanců)</w:t>
            </w:r>
            <w:r>
              <w:rPr>
                <w:rStyle w:val="Znakapoznpodarou"/>
                <w:spacing w:val="-5"/>
              </w:rPr>
              <w:footnoteReference w:id="16"/>
            </w:r>
            <w:r>
              <w:rPr>
                <w:spacing w:val="-5"/>
              </w:rPr>
              <w:t xml:space="preserve">. </w:t>
            </w:r>
            <w:r w:rsidRPr="00D766A7">
              <w:rPr>
                <w:spacing w:val="-5"/>
              </w:rPr>
              <w:t>Vysoká inflační očekávání se zatím ve mzdové oblasti projevovala nejednoznačně. Vedla sice k rostoucímu tlaku zaměstnanců na svižnější mzdový růst, ten ovšem narážel na stále ob</w:t>
            </w:r>
            <w:r>
              <w:rPr>
                <w:spacing w:val="-5"/>
              </w:rPr>
              <w:t xml:space="preserve">tížnější situaci zaměstnavatelů (z důvodu rychlého </w:t>
            </w:r>
            <w:r w:rsidRPr="00D766A7">
              <w:rPr>
                <w:spacing w:val="-5"/>
              </w:rPr>
              <w:t>růst</w:t>
            </w:r>
            <w:r>
              <w:rPr>
                <w:spacing w:val="-5"/>
              </w:rPr>
              <w:t>u</w:t>
            </w:r>
            <w:r w:rsidRPr="00D766A7">
              <w:rPr>
                <w:spacing w:val="-5"/>
              </w:rPr>
              <w:t xml:space="preserve"> nemzdových výrobních nákladů</w:t>
            </w:r>
            <w:r>
              <w:rPr>
                <w:spacing w:val="-5"/>
              </w:rPr>
              <w:t>). Přesto n</w:t>
            </w:r>
            <w:r w:rsidRPr="00D766A7">
              <w:rPr>
                <w:spacing w:val="-5"/>
              </w:rPr>
              <w:t>ěkteré podniky s přízn</w:t>
            </w:r>
            <w:r>
              <w:rPr>
                <w:spacing w:val="-5"/>
              </w:rPr>
              <w:t>ivou hospodářskou situací zaměstnancům částečně kompenzovaly</w:t>
            </w:r>
            <w:r w:rsidRPr="00D766A7">
              <w:rPr>
                <w:spacing w:val="-5"/>
              </w:rPr>
              <w:t xml:space="preserve"> vysoký růst životních nákladů formou mimořádných odměn</w:t>
            </w:r>
            <w:r>
              <w:rPr>
                <w:spacing w:val="-5"/>
              </w:rPr>
              <w:t>, zejména na konci roku.</w:t>
            </w:r>
          </w:p>
          <w:p w14:paraId="357AB434" w14:textId="77777777" w:rsidR="001C3855" w:rsidRPr="00D94F3D" w:rsidRDefault="001C3855" w:rsidP="00C8019E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</w:p>
        </w:tc>
      </w:tr>
      <w:tr w:rsidR="001C3855" w:rsidRPr="00D94F3D" w14:paraId="458A8228" w14:textId="77777777" w:rsidTr="52944939">
        <w:trPr>
          <w:trHeight w:val="132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60618BF2" w14:textId="77777777" w:rsidR="001C3855" w:rsidRDefault="001C3855" w:rsidP="00C8019E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Mzdový růst ve 4. čtvrtletí byl mezi odvětvími různorodý. V řadě odvětví s dobrými hospodářskými výsledky byl posílen výplatou odměn.</w:t>
            </w:r>
          </w:p>
          <w:p w14:paraId="1942AF0A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2E41CA3B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2CF80ABB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42C084D8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6EB5354C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38CA94DA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4EBD4CEE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4F3D2937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78630C40" w14:textId="77777777" w:rsidR="001C3855" w:rsidRPr="00B43216" w:rsidRDefault="001C3855" w:rsidP="00C8019E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V některých odvětvích s významnou rolí státu se ve výdělcích promítlo podzimní zvýšení platových tarifů.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</w:tcMar>
          </w:tcPr>
          <w:p w14:paraId="0AD9FB53" w14:textId="77777777" w:rsidR="001C3855" w:rsidRPr="00B43216" w:rsidRDefault="001C3855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678B4D3B" w14:textId="77777777" w:rsidR="001C3855" w:rsidRPr="00554750" w:rsidRDefault="001C3855" w:rsidP="00C8019E">
            <w:pPr>
              <w:spacing w:after="0"/>
              <w:rPr>
                <w:rFonts w:cs="Arial"/>
                <w:color w:val="0D0D0D" w:themeColor="text1" w:themeTint="F2"/>
                <w:spacing w:val="-4"/>
                <w:szCs w:val="20"/>
              </w:rPr>
            </w:pP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V </w:t>
            </w:r>
            <w:r w:rsidRPr="001C3855">
              <w:rPr>
                <w:rFonts w:cs="Arial"/>
                <w:color w:val="0D0D0D" w:themeColor="text1" w:themeTint="F2"/>
                <w:spacing w:val="-5"/>
                <w:szCs w:val="20"/>
              </w:rPr>
              <w:t>rámci odvětví vzrostly ve 4. čtvrtletí 2022 i díky příznivým hospodářským výsledkům meziročně průměrné měsíční mzdy nejvíce v energetice</w:t>
            </w:r>
            <w:r w:rsidRPr="001C3855">
              <w:rPr>
                <w:rStyle w:val="Znakapoznpodarou"/>
                <w:color w:val="0D0D0D" w:themeColor="text1" w:themeTint="F2"/>
                <w:spacing w:val="-5"/>
                <w:szCs w:val="20"/>
              </w:rPr>
              <w:footnoteReference w:id="17"/>
            </w:r>
            <w:r w:rsidRPr="001C3855"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 (+14,6 % nominálně), když jejich výše překonala úroveň celé ekonomiky o polovinu a výrazně se přiblížila výdělkové hladině v peněžnictví a pojišťovnictví (66,4 tis. korun). Ta se zvýšila také svižně (+10,3 %), podobně jako v informačních a komunikačních činnostech (+9,1 %), kde je mzdová úroveň v posledních letech mezi odvětvími vůbec nejvyšší. Nezvykle nadprůměrný mzdový růst vykázala ve 4. čtvrtletí (i po celý loňský rok) těžba a dobývání, v níž se patrně projevil dopad výrazné restrukturalizace z předchozích let (spojené s razantní redukcí zaměstnaností) i zlepšených hospodářských výsledků vlivem růstu poptávky po uhlí. O desetinu narostly meziročně výdělky i v administrativních a podpůrných činnostech či v odvětví zemědělství, lesnictví a rybářství. Na rozdíl od těžby jde však o odvětví s velmi nízkou mzdovou úrovní. Mzdový růst v ostatních tržních odvětvích se na konci loňského roku pohyboval kolem 9 %, což platilo i pro zpracovatelský průmysl. Mezi významnějšími zpracovatelskými obory vyčnívala výroba motorových vozidel, kde průměrné mzdy i díky výplatě odměn na konci roku vzrostly o 13,4 % – tedy skoro dvojnásobně než v energeticky náročné výrobě nekovových minerálních výrobků</w:t>
            </w:r>
            <w:r w:rsidRPr="001C3855">
              <w:rPr>
                <w:rStyle w:val="Znakapoznpodarou"/>
                <w:color w:val="0D0D0D" w:themeColor="text1" w:themeTint="F2"/>
                <w:spacing w:val="-5"/>
                <w:szCs w:val="20"/>
              </w:rPr>
              <w:footnoteReference w:id="18"/>
            </w:r>
            <w:r w:rsidRPr="001C3855">
              <w:rPr>
                <w:rFonts w:cs="Arial"/>
                <w:color w:val="0D0D0D" w:themeColor="text1" w:themeTint="F2"/>
                <w:spacing w:val="-5"/>
                <w:szCs w:val="20"/>
              </w:rPr>
              <w:t>. V odvětvích s významnou rolí vládního sektoru</w:t>
            </w:r>
            <w:r w:rsidRPr="001C3855">
              <w:rPr>
                <w:rStyle w:val="Znakapoznpodarou"/>
                <w:color w:val="0D0D0D" w:themeColor="text1" w:themeTint="F2"/>
                <w:spacing w:val="-5"/>
                <w:szCs w:val="20"/>
              </w:rPr>
              <w:footnoteReference w:id="19"/>
            </w:r>
            <w:r w:rsidRPr="001C3855">
              <w:rPr>
                <w:rFonts w:cs="Arial"/>
                <w:color w:val="0D0D0D" w:themeColor="text1" w:themeTint="F2"/>
                <w:spacing w:val="-5"/>
                <w:szCs w:val="20"/>
              </w:rPr>
              <w:t xml:space="preserve"> byla situace odlišná, a to z pohledu dynamiky zaměstnanosti i průměrných výdělků. Podzimní selektivní zvýšení platových tarifů se zčásti promítlo do 8% růstu mezd v odvětví veřejná správa, obrana a sociální zabezpečení, podobně tomu bylo i v oblasti kultury. Naopak ve vzdělávání se průměrná měsíční výše výdělků nepatrně snížila, přesto dosahovala 49 tis. korun.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</w:t>
            </w:r>
          </w:p>
          <w:p w14:paraId="661EC578" w14:textId="77777777" w:rsidR="001C3855" w:rsidRPr="00D94F3D" w:rsidRDefault="001C3855" w:rsidP="00C8019E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</w:p>
        </w:tc>
      </w:tr>
      <w:tr w:rsidR="001C3855" w:rsidRPr="00D94F3D" w14:paraId="6803E07D" w14:textId="77777777" w:rsidTr="52944939">
        <w:trPr>
          <w:trHeight w:val="132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6DB01225" w14:textId="77777777" w:rsidR="001C3855" w:rsidRDefault="001C3855" w:rsidP="00C8019E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 xml:space="preserve">Mzdová dynamika za celý loňský rok se mezi tržními odvětvími zásadně neodlišovala, </w:t>
            </w:r>
            <w:r>
              <w:rPr>
                <w:spacing w:val="-4"/>
              </w:rPr>
              <w:br/>
            </w:r>
            <w:r>
              <w:rPr>
                <w:spacing w:val="-4"/>
              </w:rPr>
              <w:lastRenderedPageBreak/>
              <w:t>a to přesto, že byla ovlivněna různorodým mixem faktorů.</w:t>
            </w:r>
          </w:p>
          <w:p w14:paraId="16B4F893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37B0DEDE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1762BEB9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423B6B0A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7C86426F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45AF9A6E" w14:textId="77777777" w:rsidR="001C3855" w:rsidRDefault="001C3855" w:rsidP="00C8019E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Růst mezd ve vzdělávání se loni zmírnil na sedmileté minimum.</w:t>
            </w:r>
          </w:p>
          <w:p w14:paraId="7CC43C68" w14:textId="77777777" w:rsidR="001C3855" w:rsidRDefault="001C3855" w:rsidP="00C8019E">
            <w:pPr>
              <w:pStyle w:val="Marginlie"/>
              <w:rPr>
                <w:spacing w:val="-4"/>
              </w:rPr>
            </w:pPr>
          </w:p>
          <w:p w14:paraId="0F4E68CE" w14:textId="77777777" w:rsidR="001C3855" w:rsidRPr="00B43216" w:rsidRDefault="001C3855" w:rsidP="00C8019E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 xml:space="preserve"> </w:t>
            </w:r>
          </w:p>
        </w:tc>
        <w:tc>
          <w:tcPr>
            <w:tcW w:w="213" w:type="dxa"/>
            <w:shd w:val="clear" w:color="auto" w:fill="auto"/>
            <w:tcMar>
              <w:left w:w="0" w:type="dxa"/>
            </w:tcMar>
          </w:tcPr>
          <w:p w14:paraId="4E176699" w14:textId="77777777" w:rsidR="001C3855" w:rsidRPr="00B43216" w:rsidRDefault="001C3855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72C7EB86" w14:textId="77777777" w:rsidR="001C3855" w:rsidRPr="00554750" w:rsidRDefault="001C3855" w:rsidP="00C8019E">
            <w:pPr>
              <w:spacing w:after="0"/>
              <w:rPr>
                <w:rFonts w:cs="Arial"/>
                <w:color w:val="0D0D0D" w:themeColor="text1" w:themeTint="F2"/>
                <w:spacing w:val="-4"/>
                <w:szCs w:val="20"/>
              </w:rPr>
            </w:pP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V úhrnu za rok 2022 se průměrná měsíční mzda v celé ekonomice zvýšila o nominálních 6,5 % a těsně přesáhla hranici 40 tis. korun. Mzdový růst se (na rozdíl od zaměstnanosti) mezi tržními odvětvími zásadně nelišil – pohyboval se od 7,4 % (zemědělství, lesnictví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lastRenderedPageBreak/>
              <w:t>a </w:t>
            </w:r>
            <w:r w:rsidRPr="007C3FDC">
              <w:rPr>
                <w:rFonts w:cs="Arial"/>
                <w:color w:val="0D0D0D" w:themeColor="text1" w:themeTint="F2"/>
                <w:spacing w:val="-4"/>
                <w:szCs w:val="20"/>
              </w:rPr>
              <w:t>rybářství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) do 10,7 % (ve finančnictví)</w:t>
            </w:r>
            <w:r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20"/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. V nadprůměrném růstu výdělků některých odvětví se odrážel dozvuk postpandemického oživení poptávky (obchod, doprava a skladování, u</w:t>
            </w:r>
            <w:r w:rsidRPr="006C3D76">
              <w:rPr>
                <w:rFonts w:cs="Arial"/>
                <w:color w:val="0D0D0D" w:themeColor="text1" w:themeTint="F2"/>
                <w:spacing w:val="-4"/>
                <w:szCs w:val="20"/>
              </w:rPr>
              <w:t>bytování, stravování a pohostinství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). Jinde růst mezd patrně souvisel s propouštěním málo kvalifikovaných pracovníků (a</w:t>
            </w:r>
            <w:r w:rsidRPr="006C3D76">
              <w:rPr>
                <w:rFonts w:cs="Arial"/>
                <w:color w:val="0D0D0D" w:themeColor="text1" w:themeTint="F2"/>
                <w:spacing w:val="-4"/>
                <w:szCs w:val="20"/>
              </w:rPr>
              <w:t>dministrativní a podpůrné činnosti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). Mzdy v odvětvích s významnou rolí vládního sektoru meziročně v úhrnu téměř stagnovaly (+0,5 %)</w:t>
            </w:r>
            <w:r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21"/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. Nejvyšší úroveň mezi nimi si stále držely mzdy ve zdravotní a sociální péči (44,4 tis. korun měsíčně). Ty oproti výdělkům z roku 2021 (navýšeným o mimořádné „pandemické“ odměny) ale poklesly o 4,3 % (v celoročním úhrnu se snížily poprvé ve srovnatelné řadě po roce 2000). Ve vzdělávání výdělky vzrostly o 1,8 %, nejméně za posledních sedm let. I tak se jejich výše udržela nad úrovní celé ekonomiky, byť za celý loňský rok jen o necelá 3 %. </w:t>
            </w:r>
          </w:p>
          <w:p w14:paraId="7AA35BC0" w14:textId="77777777" w:rsidR="001C3855" w:rsidRPr="00D94F3D" w:rsidRDefault="001C3855" w:rsidP="00C8019E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</w:p>
        </w:tc>
      </w:tr>
      <w:tr w:rsidR="001C3855" w:rsidRPr="00A90A79" w14:paraId="3F4861DB" w14:textId="77777777" w:rsidTr="52944939">
        <w:trPr>
          <w:trHeight w:val="132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77C81278" w14:textId="77777777" w:rsidR="001C3855" w:rsidRPr="00A90A79" w:rsidRDefault="001C3855" w:rsidP="00C8019E">
            <w:pPr>
              <w:pStyle w:val="Marginlie"/>
              <w:rPr>
                <w:spacing w:val="-4"/>
              </w:rPr>
            </w:pPr>
          </w:p>
        </w:tc>
        <w:tc>
          <w:tcPr>
            <w:tcW w:w="213" w:type="dxa"/>
            <w:shd w:val="clear" w:color="auto" w:fill="auto"/>
            <w:tcMar>
              <w:left w:w="0" w:type="dxa"/>
            </w:tcMar>
          </w:tcPr>
          <w:p w14:paraId="5179777C" w14:textId="77777777" w:rsidR="001C3855" w:rsidRPr="00B43216" w:rsidRDefault="001C3855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3BE9AD7C" w14:textId="2438CEAF" w:rsidR="001C3855" w:rsidRDefault="008F525A" w:rsidP="00C8019E">
            <w:pPr>
              <w:spacing w:after="0"/>
              <w:rPr>
                <w:rFonts w:cs="Arial"/>
                <w:b/>
                <w:color w:val="0D0D0D" w:themeColor="text1" w:themeTint="F2"/>
                <w:spacing w:val="-4"/>
                <w:szCs w:val="20"/>
              </w:rPr>
            </w:pPr>
            <w:r>
              <w:rPr>
                <w:rFonts w:cs="Arial"/>
                <w:b/>
                <w:color w:val="0D0D0D" w:themeColor="text1" w:themeTint="F2"/>
                <w:spacing w:val="-4"/>
                <w:szCs w:val="20"/>
              </w:rPr>
              <w:t>Graf č. 16</w:t>
            </w:r>
            <w:r w:rsidR="001C3855" w:rsidRPr="00A90A79">
              <w:rPr>
                <w:rFonts w:cs="Arial"/>
                <w:b/>
                <w:color w:val="0D0D0D" w:themeColor="text1" w:themeTint="F2"/>
                <w:spacing w:val="-4"/>
                <w:szCs w:val="20"/>
              </w:rPr>
              <w:t xml:space="preserve"> Průměrná nominální i reálná mzda a produktivita</w:t>
            </w:r>
            <w:r w:rsidR="001C3855" w:rsidRPr="00A90A79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</w:t>
            </w:r>
            <w:r w:rsidR="001C3855" w:rsidRPr="00A90A79">
              <w:rPr>
                <w:rFonts w:cs="Arial"/>
                <w:b/>
                <w:color w:val="0D0D0D" w:themeColor="text1" w:themeTint="F2"/>
                <w:spacing w:val="-4"/>
                <w:szCs w:val="20"/>
              </w:rPr>
              <w:t>práce</w:t>
            </w:r>
          </w:p>
          <w:p w14:paraId="0EB134EF" w14:textId="77777777" w:rsidR="001C3855" w:rsidRPr="00A90A79" w:rsidRDefault="001C3855" w:rsidP="00C8019E">
            <w:pPr>
              <w:spacing w:after="0"/>
              <w:rPr>
                <w:rFonts w:cs="Arial"/>
                <w:color w:val="0D0D0D" w:themeColor="text1" w:themeTint="F2"/>
                <w:spacing w:val="-4"/>
                <w:szCs w:val="20"/>
              </w:rPr>
            </w:pPr>
            <w:r w:rsidRPr="00A90A79">
              <w:rPr>
                <w:rFonts w:cs="Arial"/>
                <w:color w:val="0D0D0D" w:themeColor="text1" w:themeTint="F2"/>
                <w:spacing w:val="-4"/>
                <w:szCs w:val="20"/>
              </w:rPr>
              <w:t>(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roční úhrny</w:t>
            </w:r>
            <w:r w:rsidRPr="00A90A79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, </w:t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meziroční změna</w:t>
            </w:r>
            <w:r w:rsidRPr="00A90A79"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 v %)</w:t>
            </w:r>
          </w:p>
        </w:tc>
      </w:tr>
      <w:tr w:rsidR="001C3855" w:rsidRPr="00A90A79" w14:paraId="1A8016D5" w14:textId="77777777" w:rsidTr="52944939">
        <w:tblPrEx>
          <w:tblCellMar>
            <w:left w:w="70" w:type="dxa"/>
            <w:right w:w="70" w:type="dxa"/>
          </w:tblCellMar>
        </w:tblPrEx>
        <w:trPr>
          <w:trHeight w:val="132"/>
        </w:trPr>
        <w:tc>
          <w:tcPr>
            <w:tcW w:w="1814" w:type="dxa"/>
            <w:shd w:val="clear" w:color="auto" w:fill="auto"/>
          </w:tcPr>
          <w:p w14:paraId="56DEEEC4" w14:textId="77777777" w:rsidR="001C3855" w:rsidRPr="00A90A79" w:rsidRDefault="001C3855" w:rsidP="00C8019E">
            <w:pPr>
              <w:pStyle w:val="Marginlie"/>
              <w:rPr>
                <w:spacing w:val="-4"/>
              </w:rPr>
            </w:pPr>
          </w:p>
        </w:tc>
        <w:tc>
          <w:tcPr>
            <w:tcW w:w="213" w:type="dxa"/>
            <w:shd w:val="clear" w:color="auto" w:fill="auto"/>
          </w:tcPr>
          <w:p w14:paraId="417AB7BC" w14:textId="77777777" w:rsidR="001C3855" w:rsidRPr="00B43216" w:rsidRDefault="001C3855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59" w:type="dxa"/>
            <w:shd w:val="clear" w:color="auto" w:fill="auto"/>
          </w:tcPr>
          <w:p w14:paraId="1BE77BAB" w14:textId="77777777" w:rsidR="001C3855" w:rsidRPr="00A90A79" w:rsidRDefault="001C3855" w:rsidP="00C8019E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F1110E4" wp14:editId="1CC1AEFB">
                  <wp:extent cx="4794250" cy="3571875"/>
                  <wp:effectExtent l="0" t="0" r="6350" b="0"/>
                  <wp:docPr id="2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1C3855" w:rsidRPr="00A90A79" w14:paraId="59CF42E4" w14:textId="77777777" w:rsidTr="52944939">
        <w:trPr>
          <w:trHeight w:val="132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3EF89656" w14:textId="77777777" w:rsidR="001C3855" w:rsidRPr="00A90A79" w:rsidRDefault="001C3855" w:rsidP="00C8019E">
            <w:pPr>
              <w:pStyle w:val="Marginlie"/>
              <w:rPr>
                <w:spacing w:val="-4"/>
              </w:rPr>
            </w:pPr>
          </w:p>
        </w:tc>
        <w:tc>
          <w:tcPr>
            <w:tcW w:w="213" w:type="dxa"/>
            <w:shd w:val="clear" w:color="auto" w:fill="auto"/>
            <w:tcMar>
              <w:left w:w="0" w:type="dxa"/>
            </w:tcMar>
          </w:tcPr>
          <w:p w14:paraId="61AC3A7B" w14:textId="77777777" w:rsidR="001C3855" w:rsidRPr="00B43216" w:rsidRDefault="001C3855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274C6756" w14:textId="77777777" w:rsidR="001C3855" w:rsidRDefault="001C3855" w:rsidP="00C8019E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*</w:t>
            </w:r>
            <w:r w:rsidRPr="00A90A79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Zahrnuj</w:t>
            </w: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e odvětví s významnou rolí vládního sektoru</w:t>
            </w:r>
            <w:r w:rsidRPr="00A90A79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: Veřejná správa a obrana, povinné sociální zabezpečení; Vzdělávání; Zdravotní a sociální péče; Kulturní, zábavní a rekreační činnosti.</w:t>
            </w:r>
          </w:p>
          <w:p w14:paraId="3925223D" w14:textId="77777777" w:rsidR="001C3855" w:rsidRDefault="001C3855" w:rsidP="00C8019E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**Produktivitu práce představuje hrubá přidaná hodnota (ve srovnatelných cenách roku 2015) </w:t>
            </w:r>
            <w:r w:rsidRPr="009163A9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připadající</w:t>
            </w: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 na jednoho pracovníka.</w:t>
            </w:r>
          </w:p>
          <w:p w14:paraId="609F4963" w14:textId="77777777" w:rsidR="001C3855" w:rsidRPr="00A90A79" w:rsidRDefault="001C3855" w:rsidP="00C8019E">
            <w:pPr>
              <w:spacing w:after="22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A90A79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Zdroj: ČSÚ</w:t>
            </w:r>
          </w:p>
        </w:tc>
      </w:tr>
      <w:tr w:rsidR="001C3855" w:rsidRPr="00841D1B" w14:paraId="7F9E561E" w14:textId="77777777" w:rsidTr="52944939">
        <w:trPr>
          <w:trHeight w:val="132"/>
        </w:trPr>
        <w:tc>
          <w:tcPr>
            <w:tcW w:w="1814" w:type="dxa"/>
            <w:shd w:val="clear" w:color="auto" w:fill="auto"/>
            <w:tcMar>
              <w:left w:w="0" w:type="dxa"/>
            </w:tcMar>
          </w:tcPr>
          <w:p w14:paraId="7F45FC31" w14:textId="77777777" w:rsidR="001C3855" w:rsidRPr="00841D1B" w:rsidRDefault="001C3855" w:rsidP="00C8019E">
            <w:pPr>
              <w:pStyle w:val="Marginlie"/>
              <w:rPr>
                <w:spacing w:val="-4"/>
                <w:sz w:val="20"/>
                <w:szCs w:val="20"/>
              </w:rPr>
            </w:pPr>
          </w:p>
        </w:tc>
        <w:tc>
          <w:tcPr>
            <w:tcW w:w="213" w:type="dxa"/>
            <w:shd w:val="clear" w:color="auto" w:fill="auto"/>
            <w:tcMar>
              <w:left w:w="0" w:type="dxa"/>
            </w:tcMar>
          </w:tcPr>
          <w:p w14:paraId="3AE8DC10" w14:textId="77777777" w:rsidR="001C3855" w:rsidRPr="00841D1B" w:rsidRDefault="001C3855" w:rsidP="00C8019E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59" w:type="dxa"/>
            <w:shd w:val="clear" w:color="auto" w:fill="auto"/>
            <w:tcMar>
              <w:left w:w="0" w:type="dxa"/>
            </w:tcMar>
          </w:tcPr>
          <w:p w14:paraId="124F19D2" w14:textId="77777777" w:rsidR="001C3855" w:rsidRPr="00841D1B" w:rsidRDefault="001C3855" w:rsidP="00C8019E">
            <w:pPr>
              <w:spacing w:after="0"/>
              <w:rPr>
                <w:rFonts w:cs="Arial"/>
                <w:color w:val="0D0D0D" w:themeColor="text1" w:themeTint="F2"/>
                <w:spacing w:val="-4"/>
                <w:szCs w:val="20"/>
              </w:rPr>
            </w:pP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>Medián mezd v ekonomice se ve 4. čtvrtletí 2022 meziročně zvýšil o rovných 9 %. U mužů činil měsíčně 40,2 tis. korun, u žen 34,6 tis. korun. Procentuální růst středních výdělků byl po celý loňský rok mírně vyšší u mužů než u žen (v předchozích letech zpravidla platil opačný vzorec). Mzdové diference se po celý rok 2022 mírně snižovaly, a to zásluhou žen, u nichž relativní růst nízkých mezd (v prvním decilu) předčil navyšování vysoce nadprůměrných výdělků (v devátém decilu). Z pohledu hlavních tříd klasifikace zaměstnání vzrostla za loňský rok mediánová mzda nejvíce řemeslníkům a opravářům (+8,4 %)</w:t>
            </w:r>
            <w:r>
              <w:rPr>
                <w:rStyle w:val="Znakapoznpodarou"/>
                <w:color w:val="0D0D0D" w:themeColor="text1" w:themeTint="F2"/>
                <w:spacing w:val="-4"/>
                <w:szCs w:val="20"/>
              </w:rPr>
              <w:footnoteReference w:id="22"/>
            </w:r>
            <w:r>
              <w:rPr>
                <w:rFonts w:cs="Arial"/>
                <w:color w:val="0D0D0D" w:themeColor="text1" w:themeTint="F2"/>
                <w:spacing w:val="-4"/>
                <w:szCs w:val="20"/>
              </w:rPr>
              <w:t xml:space="preserve">, mírně nadprůměrný růst zaznamenali také zákonodárci a řídící pracovníci (7,3 %). Nejméně rostly průměrné výdělky zaměstnancům v ozbrojených složkách (+1,8 %). Slabší mzdové tempo zaznamenala také početná třída specialistů (+4,1 %), což se odrazilo i v podprůměrném procentním růstu výdělků vysokoškoláků. </w:t>
            </w:r>
          </w:p>
        </w:tc>
      </w:tr>
    </w:tbl>
    <w:p w14:paraId="6D687C14" w14:textId="31BFB2FA" w:rsidR="001C3855" w:rsidRPr="001C3855" w:rsidRDefault="001C3855" w:rsidP="00C15537">
      <w:pPr>
        <w:pStyle w:val="Nadpis11"/>
        <w:rPr>
          <w:sz w:val="2"/>
          <w:szCs w:val="2"/>
        </w:rPr>
      </w:pPr>
    </w:p>
    <w:sectPr w:rsidR="001C3855" w:rsidRPr="001C3855" w:rsidSect="00DB04D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1134" w:bottom="1418" w:left="1134" w:header="680" w:footer="737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FBA8" w14:textId="77777777" w:rsidR="00C8019E" w:rsidRDefault="00C8019E" w:rsidP="00E71A58">
      <w:r>
        <w:separator/>
      </w:r>
    </w:p>
  </w:endnote>
  <w:endnote w:type="continuationSeparator" w:id="0">
    <w:p w14:paraId="3BF26E2A" w14:textId="77777777" w:rsidR="00C8019E" w:rsidRDefault="00C8019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60535B1F" w:rsidR="00C8019E" w:rsidRPr="00932443" w:rsidRDefault="00C8019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E3627">
      <w:rPr>
        <w:szCs w:val="16"/>
      </w:rPr>
      <w:t>26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2720A469" w:rsidR="00C8019E" w:rsidRPr="00932443" w:rsidRDefault="00C8019E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rok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E3627">
      <w:rPr>
        <w:rStyle w:val="ZpatChar"/>
        <w:szCs w:val="16"/>
      </w:rPr>
      <w:t>25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19C3" w14:textId="77777777" w:rsidR="00C8019E" w:rsidRDefault="00C8019E" w:rsidP="00A21B4D">
      <w:pPr>
        <w:spacing w:after="0"/>
      </w:pPr>
      <w:r>
        <w:separator/>
      </w:r>
    </w:p>
  </w:footnote>
  <w:footnote w:type="continuationSeparator" w:id="0">
    <w:p w14:paraId="4094B28B" w14:textId="77777777" w:rsidR="00C8019E" w:rsidRDefault="00C8019E" w:rsidP="00E71A58">
      <w:r>
        <w:continuationSeparator/>
      </w:r>
    </w:p>
  </w:footnote>
  <w:footnote w:id="1">
    <w:p w14:paraId="4D6296D8" w14:textId="77777777" w:rsidR="00C8019E" w:rsidRPr="00F72E52" w:rsidRDefault="00C8019E" w:rsidP="001C3855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F72E52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F72E52">
        <w:rPr>
          <w:color w:val="0D0D0D" w:themeColor="text1" w:themeTint="F2"/>
          <w:spacing w:val="-2"/>
          <w:sz w:val="16"/>
          <w:szCs w:val="16"/>
        </w:rPr>
        <w:t xml:space="preserve"> Údaje </w:t>
      </w:r>
      <w:r>
        <w:rPr>
          <w:color w:val="0D0D0D" w:themeColor="text1" w:themeTint="F2"/>
          <w:spacing w:val="-2"/>
          <w:sz w:val="16"/>
          <w:szCs w:val="16"/>
        </w:rPr>
        <w:t xml:space="preserve">o zaměstnanosti </w:t>
      </w:r>
      <w:r w:rsidRPr="00F72E52">
        <w:rPr>
          <w:color w:val="0D0D0D" w:themeColor="text1" w:themeTint="F2"/>
          <w:spacing w:val="-2"/>
          <w:sz w:val="16"/>
          <w:szCs w:val="16"/>
        </w:rPr>
        <w:t>vycház</w:t>
      </w:r>
      <w:r>
        <w:rPr>
          <w:color w:val="0D0D0D" w:themeColor="text1" w:themeTint="F2"/>
          <w:spacing w:val="-2"/>
          <w:sz w:val="16"/>
          <w:szCs w:val="16"/>
        </w:rPr>
        <w:t>ej</w:t>
      </w:r>
      <w:r w:rsidRPr="00F72E52">
        <w:rPr>
          <w:color w:val="0D0D0D" w:themeColor="text1" w:themeTint="F2"/>
          <w:spacing w:val="-2"/>
          <w:sz w:val="16"/>
          <w:szCs w:val="16"/>
        </w:rPr>
        <w:t>í z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F72E52">
        <w:rPr>
          <w:color w:val="0D0D0D" w:themeColor="text1" w:themeTint="F2"/>
          <w:spacing w:val="-2"/>
          <w:sz w:val="16"/>
          <w:szCs w:val="16"/>
        </w:rPr>
        <w:t>pojetí národních účtů. Jsou vyjádřeny ve fyzických osobách a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F72E52">
        <w:rPr>
          <w:color w:val="0D0D0D" w:themeColor="text1" w:themeTint="F2"/>
          <w:spacing w:val="-2"/>
          <w:sz w:val="16"/>
          <w:szCs w:val="16"/>
        </w:rPr>
        <w:t>očištěny o sezónní vlivy.</w:t>
      </w:r>
    </w:p>
  </w:footnote>
  <w:footnote w:id="2">
    <w:p w14:paraId="5A41B721" w14:textId="77777777" w:rsidR="00C8019E" w:rsidRPr="00946AFA" w:rsidRDefault="00C8019E" w:rsidP="001C3855">
      <w:pPr>
        <w:pStyle w:val="Textpoznpodarou"/>
        <w:rPr>
          <w:sz w:val="16"/>
          <w:szCs w:val="16"/>
        </w:rPr>
      </w:pPr>
      <w:r w:rsidRPr="00946AFA">
        <w:rPr>
          <w:rStyle w:val="Znakapoznpodarou"/>
          <w:sz w:val="16"/>
          <w:szCs w:val="16"/>
        </w:rPr>
        <w:footnoteRef/>
      </w:r>
      <w:r w:rsidRPr="00946AFA">
        <w:rPr>
          <w:sz w:val="16"/>
          <w:szCs w:val="16"/>
        </w:rPr>
        <w:t xml:space="preserve"> Z detailnějších </w:t>
      </w:r>
      <w:r>
        <w:rPr>
          <w:sz w:val="16"/>
          <w:szCs w:val="16"/>
        </w:rPr>
        <w:t xml:space="preserve">údajů z </w:t>
      </w:r>
      <w:r w:rsidRPr="00946AFA">
        <w:rPr>
          <w:sz w:val="16"/>
          <w:szCs w:val="16"/>
        </w:rPr>
        <w:t xml:space="preserve">výběrového šetření pracovních sil </w:t>
      </w:r>
      <w:r>
        <w:rPr>
          <w:sz w:val="16"/>
          <w:szCs w:val="16"/>
        </w:rPr>
        <w:t xml:space="preserve">(VŠPS) </w:t>
      </w:r>
      <w:r w:rsidRPr="00946AFA">
        <w:rPr>
          <w:sz w:val="16"/>
          <w:szCs w:val="16"/>
        </w:rPr>
        <w:t>plyne, že počet zaměstnavatel</w:t>
      </w:r>
      <w:r>
        <w:rPr>
          <w:sz w:val="16"/>
          <w:szCs w:val="16"/>
        </w:rPr>
        <w:t>ů (podnikatelů se zaměstnanci) se nadále snižoval (čtvrtým rokem v řadě). Tato skupina podnikatelů je v metodice národních účtů řazena do kategorie zaměstnanců.</w:t>
      </w:r>
    </w:p>
  </w:footnote>
  <w:footnote w:id="3">
    <w:p w14:paraId="261B64F3" w14:textId="77777777" w:rsidR="00C8019E" w:rsidRPr="00F72E52" w:rsidRDefault="00C8019E" w:rsidP="001C3855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F72E52">
        <w:rPr>
          <w:rStyle w:val="Znakapoznpodarou"/>
          <w:color w:val="0D0D0D" w:themeColor="text1" w:themeTint="F2"/>
          <w:sz w:val="16"/>
          <w:szCs w:val="16"/>
        </w:rPr>
        <w:footnoteRef/>
      </w:r>
      <w:r w:rsidRPr="00F72E52">
        <w:rPr>
          <w:color w:val="0D0D0D" w:themeColor="text1" w:themeTint="F2"/>
          <w:sz w:val="16"/>
          <w:szCs w:val="16"/>
        </w:rPr>
        <w:t xml:space="preserve"> Odvětví s </w:t>
      </w:r>
      <w:r w:rsidRPr="009910EC">
        <w:rPr>
          <w:color w:val="0D0D0D" w:themeColor="text1" w:themeTint="F2"/>
          <w:sz w:val="16"/>
          <w:szCs w:val="16"/>
        </w:rPr>
        <w:t xml:space="preserve">převahou veřejných služeb, zahrnující veřejnou správu, obranu a sociální zabezpečení a také </w:t>
      </w:r>
      <w:r w:rsidRPr="009910EC">
        <w:rPr>
          <w:spacing w:val="-4"/>
          <w:sz w:val="16"/>
          <w:szCs w:val="16"/>
        </w:rPr>
        <w:t xml:space="preserve">vzdělávání i zdravotní a sociální péči, </w:t>
      </w:r>
      <w:r w:rsidRPr="009910EC">
        <w:rPr>
          <w:color w:val="0D0D0D" w:themeColor="text1" w:themeTint="F2"/>
          <w:sz w:val="16"/>
          <w:szCs w:val="16"/>
        </w:rPr>
        <w:t>působila</w:t>
      </w:r>
      <w:r w:rsidRPr="00F72E52">
        <w:rPr>
          <w:color w:val="0D0D0D" w:themeColor="text1" w:themeTint="F2"/>
          <w:sz w:val="16"/>
          <w:szCs w:val="16"/>
        </w:rPr>
        <w:t xml:space="preserve"> na celkovou zaměstnanost </w:t>
      </w:r>
      <w:proofErr w:type="spellStart"/>
      <w:r w:rsidRPr="00F72E52">
        <w:rPr>
          <w:color w:val="0D0D0D" w:themeColor="text1" w:themeTint="F2"/>
          <w:sz w:val="16"/>
          <w:szCs w:val="16"/>
        </w:rPr>
        <w:t>prorůstově</w:t>
      </w:r>
      <w:proofErr w:type="spellEnd"/>
      <w:r w:rsidRPr="00F72E52">
        <w:rPr>
          <w:color w:val="0D0D0D" w:themeColor="text1" w:themeTint="F2"/>
          <w:sz w:val="16"/>
          <w:szCs w:val="16"/>
        </w:rPr>
        <w:t xml:space="preserve"> nejvíce ze všech </w:t>
      </w:r>
      <w:r>
        <w:rPr>
          <w:color w:val="0D0D0D" w:themeColor="text1" w:themeTint="F2"/>
          <w:sz w:val="16"/>
          <w:szCs w:val="16"/>
        </w:rPr>
        <w:t xml:space="preserve">hlavních </w:t>
      </w:r>
      <w:r w:rsidRPr="00F72E52">
        <w:rPr>
          <w:color w:val="0D0D0D" w:themeColor="text1" w:themeTint="F2"/>
          <w:sz w:val="16"/>
          <w:szCs w:val="16"/>
        </w:rPr>
        <w:t xml:space="preserve">odvětví </w:t>
      </w:r>
      <w:r>
        <w:rPr>
          <w:color w:val="0D0D0D" w:themeColor="text1" w:themeTint="F2"/>
          <w:sz w:val="16"/>
          <w:szCs w:val="16"/>
        </w:rPr>
        <w:t xml:space="preserve">i v letech </w:t>
      </w:r>
      <w:r w:rsidRPr="00F72E52">
        <w:rPr>
          <w:color w:val="0D0D0D" w:themeColor="text1" w:themeTint="F2"/>
          <w:sz w:val="16"/>
          <w:szCs w:val="16"/>
        </w:rPr>
        <w:t>2020 a</w:t>
      </w:r>
      <w:r>
        <w:rPr>
          <w:color w:val="0D0D0D" w:themeColor="text1" w:themeTint="F2"/>
          <w:sz w:val="16"/>
          <w:szCs w:val="16"/>
        </w:rPr>
        <w:t> </w:t>
      </w:r>
      <w:r w:rsidRPr="00F72E52">
        <w:rPr>
          <w:color w:val="0D0D0D" w:themeColor="text1" w:themeTint="F2"/>
          <w:sz w:val="16"/>
          <w:szCs w:val="16"/>
        </w:rPr>
        <w:t>2021.</w:t>
      </w:r>
    </w:p>
  </w:footnote>
  <w:footnote w:id="4">
    <w:p w14:paraId="03FC90B4" w14:textId="77777777" w:rsidR="00C8019E" w:rsidRPr="005C3B55" w:rsidRDefault="00C8019E" w:rsidP="001C3855">
      <w:pPr>
        <w:pStyle w:val="Textpoznpodarou"/>
        <w:rPr>
          <w:sz w:val="16"/>
          <w:szCs w:val="16"/>
        </w:rPr>
      </w:pPr>
      <w:r w:rsidRPr="005C3B55">
        <w:rPr>
          <w:rStyle w:val="Znakapoznpodarou"/>
          <w:sz w:val="16"/>
          <w:szCs w:val="16"/>
        </w:rPr>
        <w:footnoteRef/>
      </w:r>
      <w:r w:rsidRPr="005C3B55">
        <w:rPr>
          <w:sz w:val="16"/>
          <w:szCs w:val="16"/>
        </w:rPr>
        <w:t xml:space="preserve"> Ty </w:t>
      </w:r>
      <w:r>
        <w:rPr>
          <w:sz w:val="16"/>
          <w:szCs w:val="16"/>
        </w:rPr>
        <w:t>z</w:t>
      </w:r>
      <w:r w:rsidRPr="005C3B55">
        <w:rPr>
          <w:sz w:val="16"/>
          <w:szCs w:val="16"/>
        </w:rPr>
        <w:t xml:space="preserve">ahrnují kulturní, zábavní a rekreační činnosti a dále zejména poskytování osobních služeb (např. kadeřnictví, kosmetické služby, </w:t>
      </w:r>
      <w:r w:rsidRPr="005C3B55">
        <w:rPr>
          <w:rFonts w:cs="Arial"/>
          <w:color w:val="0D0D0D" w:themeColor="text1" w:themeTint="F2"/>
          <w:spacing w:val="-2"/>
          <w:sz w:val="16"/>
          <w:szCs w:val="16"/>
        </w:rPr>
        <w:t xml:space="preserve">čisticí služby či </w:t>
      </w:r>
      <w:r w:rsidRPr="005C3B55">
        <w:rPr>
          <w:sz w:val="16"/>
          <w:szCs w:val="16"/>
        </w:rPr>
        <w:t>opravy výrobků pro osobní potřebu a převážně pro domácnost).</w:t>
      </w:r>
    </w:p>
  </w:footnote>
  <w:footnote w:id="5">
    <w:p w14:paraId="0B47F561" w14:textId="77777777" w:rsidR="00C8019E" w:rsidRPr="00990A47" w:rsidRDefault="00C8019E" w:rsidP="001C3855">
      <w:pPr>
        <w:pStyle w:val="Textpoznpodarou"/>
        <w:rPr>
          <w:spacing w:val="-4"/>
          <w:sz w:val="16"/>
          <w:szCs w:val="16"/>
        </w:rPr>
      </w:pPr>
      <w:r w:rsidRPr="00990A47">
        <w:rPr>
          <w:rStyle w:val="Znakapoznpodarou"/>
          <w:spacing w:val="-4"/>
          <w:sz w:val="16"/>
          <w:szCs w:val="16"/>
        </w:rPr>
        <w:footnoteRef/>
      </w:r>
      <w:r w:rsidRPr="00990A47">
        <w:rPr>
          <w:spacing w:val="-4"/>
          <w:sz w:val="16"/>
          <w:szCs w:val="16"/>
        </w:rPr>
        <w:t xml:space="preserve"> To dokl</w:t>
      </w:r>
      <w:r>
        <w:rPr>
          <w:spacing w:val="-4"/>
          <w:sz w:val="16"/>
          <w:szCs w:val="16"/>
        </w:rPr>
        <w:t>ádá i dlouhodobý pokles</w:t>
      </w:r>
      <w:r w:rsidRPr="00990A47">
        <w:rPr>
          <w:spacing w:val="-4"/>
          <w:sz w:val="16"/>
          <w:szCs w:val="16"/>
        </w:rPr>
        <w:t xml:space="preserve"> počtu ekonomicky neaktivních osob uvádějících zájem pracovat (zčásti ovlivněný i změnou věkového složení populace, např</w:t>
      </w:r>
      <w:r>
        <w:rPr>
          <w:spacing w:val="-4"/>
          <w:sz w:val="16"/>
          <w:szCs w:val="16"/>
        </w:rPr>
        <w:t>. úbytkem mladých ve věku 15 až</w:t>
      </w:r>
      <w:r w:rsidRPr="00990A47">
        <w:rPr>
          <w:spacing w:val="-4"/>
          <w:sz w:val="16"/>
          <w:szCs w:val="16"/>
        </w:rPr>
        <w:t xml:space="preserve"> 24 let). Těchto neaktivních bylo ve 4. čtvrtletí jen 50 tis. Spolu s </w:t>
      </w:r>
      <w:proofErr w:type="spellStart"/>
      <w:r w:rsidRPr="00990A47">
        <w:rPr>
          <w:spacing w:val="-4"/>
          <w:sz w:val="16"/>
          <w:szCs w:val="16"/>
        </w:rPr>
        <w:t>podzaměstnanými</w:t>
      </w:r>
      <w:proofErr w:type="spellEnd"/>
      <w:r w:rsidRPr="00990A47">
        <w:rPr>
          <w:spacing w:val="-4"/>
          <w:sz w:val="16"/>
          <w:szCs w:val="16"/>
        </w:rPr>
        <w:t xml:space="preserve"> a všemi nezaměstnanými šlo </w:t>
      </w:r>
      <w:r>
        <w:rPr>
          <w:spacing w:val="-4"/>
          <w:sz w:val="16"/>
          <w:szCs w:val="16"/>
        </w:rPr>
        <w:t xml:space="preserve">o </w:t>
      </w:r>
      <w:r w:rsidRPr="00990A47">
        <w:rPr>
          <w:spacing w:val="-4"/>
          <w:sz w:val="16"/>
          <w:szCs w:val="16"/>
        </w:rPr>
        <w:t xml:space="preserve">necelých 200 tis. osob. V poměru k celkovému počtu zaměstnaných se jednalo </w:t>
      </w:r>
      <w:r>
        <w:rPr>
          <w:spacing w:val="-4"/>
          <w:sz w:val="16"/>
          <w:szCs w:val="16"/>
        </w:rPr>
        <w:t xml:space="preserve">o </w:t>
      </w:r>
      <w:r w:rsidRPr="00990A47">
        <w:rPr>
          <w:spacing w:val="-4"/>
          <w:sz w:val="16"/>
          <w:szCs w:val="16"/>
        </w:rPr>
        <w:t>méně než 4 %.</w:t>
      </w:r>
    </w:p>
  </w:footnote>
  <w:footnote w:id="6">
    <w:p w14:paraId="629D2F40" w14:textId="77777777" w:rsidR="00C8019E" w:rsidRPr="00990A47" w:rsidRDefault="00C8019E" w:rsidP="001C3855">
      <w:pPr>
        <w:pStyle w:val="Textpoznpodarou"/>
        <w:rPr>
          <w:color w:val="0D0D0D" w:themeColor="text1" w:themeTint="F2"/>
          <w:spacing w:val="-4"/>
          <w:sz w:val="16"/>
          <w:szCs w:val="16"/>
        </w:rPr>
      </w:pPr>
      <w:r w:rsidRPr="00990A47">
        <w:rPr>
          <w:rStyle w:val="Znakapoznpodarou"/>
          <w:color w:val="0D0D0D" w:themeColor="text1" w:themeTint="F2"/>
          <w:spacing w:val="-4"/>
          <w:sz w:val="16"/>
          <w:szCs w:val="16"/>
        </w:rPr>
        <w:footnoteRef/>
      </w:r>
      <w:r w:rsidRPr="00990A47">
        <w:rPr>
          <w:color w:val="0D0D0D" w:themeColor="text1" w:themeTint="F2"/>
          <w:spacing w:val="-4"/>
          <w:sz w:val="16"/>
          <w:szCs w:val="16"/>
        </w:rPr>
        <w:t xml:space="preserve"> V lednu 2023 registrovaly úřady práce (ÚP) 774 tis. cizích státních příslušníků v zaměstnaneckém postavení na území ČR (mírný pokles oproti konci loňského roku souvisí s pravidelnými sezónními pohyby). Oproti lednu 2022 se počet pracujících v zaměstnaneckých pozicích zvý</w:t>
      </w:r>
      <w:r>
        <w:rPr>
          <w:color w:val="0D0D0D" w:themeColor="text1" w:themeTint="F2"/>
          <w:spacing w:val="-4"/>
          <w:sz w:val="16"/>
          <w:szCs w:val="16"/>
        </w:rPr>
        <w:t xml:space="preserve">šil </w:t>
      </w:r>
      <w:r>
        <w:rPr>
          <w:color w:val="0D0D0D" w:themeColor="text1" w:themeTint="F2"/>
          <w:spacing w:val="-4"/>
          <w:sz w:val="16"/>
          <w:szCs w:val="16"/>
        </w:rPr>
        <w:br/>
        <w:t>o 77</w:t>
      </w:r>
      <w:r w:rsidRPr="00990A47">
        <w:rPr>
          <w:color w:val="0D0D0D" w:themeColor="text1" w:themeTint="F2"/>
          <w:spacing w:val="-4"/>
          <w:sz w:val="16"/>
          <w:szCs w:val="16"/>
        </w:rPr>
        <w:t xml:space="preserve"> tis. K tomu zásadně přispěli pracovníci z Ukrajiny, jichž počet vzrostl skoro o třetinu (+63 tis., z toho žen +51 tis.) na celkových 262 tis. Naproti tomu počet Slováků, kteří ještě v roce 2021 tvořili nejpočetnější cizineckou skupinu, narostl za shodné období jen o 2,6 tis. (na 208 tis.). </w:t>
      </w:r>
    </w:p>
  </w:footnote>
  <w:footnote w:id="7">
    <w:p w14:paraId="432AA01D" w14:textId="77777777" w:rsidR="00C8019E" w:rsidRPr="00990A47" w:rsidRDefault="00C8019E" w:rsidP="001C3855">
      <w:pPr>
        <w:pStyle w:val="Textpoznpodarou"/>
        <w:rPr>
          <w:spacing w:val="-4"/>
          <w:sz w:val="16"/>
          <w:szCs w:val="16"/>
        </w:rPr>
      </w:pPr>
      <w:r w:rsidRPr="00990A47">
        <w:rPr>
          <w:rStyle w:val="Znakapoznpodarou"/>
          <w:spacing w:val="-4"/>
          <w:sz w:val="16"/>
          <w:szCs w:val="16"/>
        </w:rPr>
        <w:footnoteRef/>
      </w:r>
      <w:r w:rsidRPr="00990A47">
        <w:rPr>
          <w:spacing w:val="-4"/>
          <w:sz w:val="16"/>
          <w:szCs w:val="16"/>
        </w:rPr>
        <w:t xml:space="preserve"> Počet všech občanů Ukrajiny s přechodným pobytem na území ČR vzrostl loni dle údajů MV ČR ze 108 tis. (z konce ledna) na 543 tis. (na konci roku 2022). Na celkovém přírůstku se z více než tří pětin podílely ženy. Jen menšina z celkového počtu osob s nově přiznaným pobytem se však mohla zapojit na pracovní trh v Česku (významnou část z nich tvoří děti, žáci a studenti, některé osoby navíc již patrně ČR opustily).  </w:t>
      </w:r>
    </w:p>
  </w:footnote>
  <w:footnote w:id="8">
    <w:p w14:paraId="554D47A9" w14:textId="77777777" w:rsidR="00C8019E" w:rsidRPr="000058A7" w:rsidRDefault="00C8019E" w:rsidP="001C3855">
      <w:pPr>
        <w:pStyle w:val="Textpoznpodarou"/>
        <w:rPr>
          <w:sz w:val="16"/>
          <w:szCs w:val="16"/>
        </w:rPr>
      </w:pPr>
      <w:r w:rsidRPr="00990A47">
        <w:rPr>
          <w:rStyle w:val="Znakapoznpodarou"/>
          <w:spacing w:val="-4"/>
          <w:sz w:val="16"/>
          <w:szCs w:val="16"/>
        </w:rPr>
        <w:footnoteRef/>
      </w:r>
      <w:r w:rsidRPr="00990A47">
        <w:rPr>
          <w:spacing w:val="-4"/>
          <w:sz w:val="16"/>
          <w:szCs w:val="16"/>
        </w:rPr>
        <w:t xml:space="preserve"> Údaje nejsou sezónně očištěny</w:t>
      </w:r>
      <w:r>
        <w:rPr>
          <w:spacing w:val="-4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9">
    <w:p w14:paraId="10C2F10B" w14:textId="77777777" w:rsidR="00C8019E" w:rsidRDefault="00C8019E" w:rsidP="001C3855">
      <w:pPr>
        <w:pStyle w:val="Textpoznpodarou"/>
        <w:rPr>
          <w:sz w:val="16"/>
          <w:szCs w:val="16"/>
        </w:rPr>
      </w:pPr>
      <w:r w:rsidRPr="00CC045D">
        <w:rPr>
          <w:rStyle w:val="Znakapoznpodarou"/>
          <w:sz w:val="16"/>
          <w:szCs w:val="16"/>
        </w:rPr>
        <w:footnoteRef/>
      </w:r>
      <w:r w:rsidRPr="00CC045D">
        <w:rPr>
          <w:sz w:val="16"/>
          <w:szCs w:val="16"/>
        </w:rPr>
        <w:t xml:space="preserve"> </w:t>
      </w:r>
      <w:r>
        <w:rPr>
          <w:sz w:val="16"/>
          <w:szCs w:val="16"/>
        </w:rPr>
        <w:t>Redukci počtu zaměstnanců očekávaly (dle šetření z ledna 2023) zejména průmyslové podniky v energeticky náročných oborech hutnictví, kovovýroby, výroby stavebních materiálů, chemickém průmyslu či potravinářství. Dále také v hlavních subdodavatelských odvětvích automobilového průmyslu a z menších oborů zejména v oděvnictví. Nárůst zaměstnanosti plánovali výrobci počítačů, elektronických a optických přístrojů, výrobci dopravních prostředků a z menších oborů pak farmacie a tiskárenství.</w:t>
      </w:r>
    </w:p>
    <w:p w14:paraId="21A5F3E3" w14:textId="77777777" w:rsidR="00C8019E" w:rsidRPr="00CC045D" w:rsidRDefault="00C8019E" w:rsidP="001C3855">
      <w:pPr>
        <w:pStyle w:val="Textpoznpodarou"/>
        <w:rPr>
          <w:sz w:val="16"/>
          <w:szCs w:val="16"/>
        </w:rPr>
      </w:pPr>
      <w:r>
        <w:rPr>
          <w:sz w:val="16"/>
          <w:szCs w:val="16"/>
        </w:rPr>
        <w:t>Ve službách byla negativní očekávání patrná hlavně v letecké dopravě, u cestovních kanceláří a agentur, ve vydavatelských činnostech, v peněžnictví a dále např. v oblasti reklamy. Naopak u řady jiných podnikových služeb (právní a účetnické činnosti, služby pracovních agentur) či v oblasti pojišťovnictví, programování nebo skladování podniky spíše očekávají vyšší zaměstnanost.</w:t>
      </w:r>
    </w:p>
  </w:footnote>
  <w:footnote w:id="10">
    <w:p w14:paraId="768A0A7A" w14:textId="77777777" w:rsidR="00C8019E" w:rsidRPr="004E68B1" w:rsidRDefault="00C8019E" w:rsidP="001C3855">
      <w:pPr>
        <w:pStyle w:val="Textpoznpodarou"/>
        <w:rPr>
          <w:spacing w:val="-3"/>
          <w:sz w:val="16"/>
          <w:szCs w:val="16"/>
        </w:rPr>
      </w:pPr>
      <w:r w:rsidRPr="004E68B1">
        <w:rPr>
          <w:rStyle w:val="Znakapoznpodarou"/>
          <w:spacing w:val="-3"/>
          <w:sz w:val="16"/>
          <w:szCs w:val="16"/>
        </w:rPr>
        <w:footnoteRef/>
      </w:r>
      <w:r>
        <w:rPr>
          <w:spacing w:val="-3"/>
          <w:sz w:val="16"/>
          <w:szCs w:val="16"/>
        </w:rPr>
        <w:t xml:space="preserve"> Není-li uvedeno jinak, vycházejí v</w:t>
      </w:r>
      <w:r w:rsidRPr="004E68B1">
        <w:rPr>
          <w:spacing w:val="-3"/>
          <w:sz w:val="16"/>
          <w:szCs w:val="16"/>
        </w:rPr>
        <w:t>šechny údaje o </w:t>
      </w:r>
      <w:r>
        <w:rPr>
          <w:spacing w:val="-3"/>
          <w:sz w:val="16"/>
          <w:szCs w:val="16"/>
        </w:rPr>
        <w:t xml:space="preserve">mírách </w:t>
      </w:r>
      <w:r w:rsidRPr="004E68B1">
        <w:rPr>
          <w:spacing w:val="-3"/>
          <w:sz w:val="16"/>
          <w:szCs w:val="16"/>
        </w:rPr>
        <w:t>nezaměstnanosti z</w:t>
      </w:r>
      <w:r>
        <w:rPr>
          <w:spacing w:val="-3"/>
          <w:sz w:val="16"/>
          <w:szCs w:val="16"/>
        </w:rPr>
        <w:t> VŠPS (dle metodiky ILO) a jsou očištěny o sezónní vlivy.</w:t>
      </w:r>
    </w:p>
  </w:footnote>
  <w:footnote w:id="11">
    <w:p w14:paraId="28C0E14F" w14:textId="77777777" w:rsidR="00C8019E" w:rsidRDefault="00C8019E" w:rsidP="001C3855">
      <w:pPr>
        <w:pStyle w:val="Textpoznpodarou"/>
      </w:pPr>
      <w:r w:rsidRPr="00C7553E">
        <w:rPr>
          <w:rStyle w:val="Znakapoznpodarou"/>
          <w:sz w:val="16"/>
          <w:szCs w:val="16"/>
        </w:rPr>
        <w:footnoteRef/>
      </w:r>
      <w:r>
        <w:t xml:space="preserve"> </w:t>
      </w:r>
      <w:r w:rsidRPr="00C7553E">
        <w:rPr>
          <w:spacing w:val="-3"/>
          <w:sz w:val="16"/>
          <w:szCs w:val="16"/>
        </w:rPr>
        <w:t>Dle údajů MPSV činil podíl dosažitelných uchazečů o zaměstnání ve věku 15 až 64 let na obyvatelstvu stejného věku vloni v lednu 3,6 %, v červnu 3,1 % a v prosinci 3,7 %.</w:t>
      </w:r>
      <w:r>
        <w:t xml:space="preserve"> </w:t>
      </w:r>
    </w:p>
  </w:footnote>
  <w:footnote w:id="12">
    <w:p w14:paraId="0A905843" w14:textId="77777777" w:rsidR="00C8019E" w:rsidRDefault="00C8019E" w:rsidP="001C3855">
      <w:pPr>
        <w:pStyle w:val="Textpoznpodarou"/>
      </w:pPr>
      <w:r w:rsidRPr="00EB32E8">
        <w:rPr>
          <w:rStyle w:val="Znakapoznpodarou"/>
          <w:sz w:val="16"/>
          <w:szCs w:val="16"/>
        </w:rPr>
        <w:footnoteRef/>
      </w:r>
      <w:r w:rsidRPr="00EB32E8">
        <w:rPr>
          <w:sz w:val="16"/>
          <w:szCs w:val="16"/>
        </w:rPr>
        <w:t xml:space="preserve"> </w:t>
      </w:r>
      <w:r w:rsidRPr="00EB32E8">
        <w:rPr>
          <w:color w:val="0D0D0D" w:themeColor="text1" w:themeTint="F2"/>
          <w:sz w:val="16"/>
          <w:szCs w:val="16"/>
        </w:rPr>
        <w:t>Významnou</w:t>
      </w:r>
      <w:r>
        <w:rPr>
          <w:color w:val="0D0D0D" w:themeColor="text1" w:themeTint="F2"/>
          <w:sz w:val="16"/>
          <w:szCs w:val="16"/>
        </w:rPr>
        <w:t xml:space="preserve"> část míst však </w:t>
      </w:r>
      <w:r w:rsidRPr="00B222D0">
        <w:rPr>
          <w:color w:val="0D0D0D" w:themeColor="text1" w:themeTint="F2"/>
          <w:sz w:val="16"/>
          <w:szCs w:val="16"/>
        </w:rPr>
        <w:t xml:space="preserve">nelze z různých důvodů považovat za aktivní. </w:t>
      </w:r>
      <w:r w:rsidRPr="00B222D0">
        <w:rPr>
          <w:sz w:val="16"/>
          <w:szCs w:val="16"/>
        </w:rPr>
        <w:t>Jde např. o pozice nabízené firmami, jež ukončily svou činnost, dále o místa, kter</w:t>
      </w:r>
      <w:r>
        <w:rPr>
          <w:sz w:val="16"/>
          <w:szCs w:val="16"/>
        </w:rPr>
        <w:t>á</w:t>
      </w:r>
      <w:r w:rsidRPr="00B222D0">
        <w:rPr>
          <w:sz w:val="16"/>
          <w:szCs w:val="16"/>
        </w:rPr>
        <w:t xml:space="preserve"> již nejso</w:t>
      </w:r>
      <w:r>
        <w:rPr>
          <w:sz w:val="16"/>
          <w:szCs w:val="16"/>
        </w:rPr>
        <w:t>u aktuální, ale z nabídky nebyla stažena</w:t>
      </w:r>
      <w:r w:rsidRPr="00B222D0">
        <w:rPr>
          <w:sz w:val="16"/>
          <w:szCs w:val="16"/>
        </w:rPr>
        <w:t>, či o pozice značně neatraktivní</w:t>
      </w:r>
      <w:r>
        <w:rPr>
          <w:sz w:val="16"/>
          <w:szCs w:val="16"/>
        </w:rPr>
        <w:t>, které zůstávají dlouhodobě neobsazeny</w:t>
      </w:r>
      <w:r>
        <w:rPr>
          <w:color w:val="0D0D0D" w:themeColor="text1" w:themeTint="F2"/>
          <w:sz w:val="16"/>
          <w:szCs w:val="16"/>
        </w:rPr>
        <w:t>.</w:t>
      </w:r>
      <w:r w:rsidRPr="00B222D0">
        <w:rPr>
          <w:color w:val="0D0D0D" w:themeColor="text1" w:themeTint="F2"/>
          <w:sz w:val="16"/>
          <w:szCs w:val="16"/>
        </w:rPr>
        <w:t xml:space="preserve"> </w:t>
      </w:r>
      <w:r w:rsidRPr="00B222D0">
        <w:rPr>
          <w:sz w:val="16"/>
          <w:szCs w:val="16"/>
        </w:rPr>
        <w:t xml:space="preserve">Za skutečně aktivní lze </w:t>
      </w:r>
      <w:r>
        <w:rPr>
          <w:sz w:val="16"/>
          <w:szCs w:val="16"/>
        </w:rPr>
        <w:t>proto</w:t>
      </w:r>
      <w:r w:rsidRPr="00B222D0">
        <w:rPr>
          <w:sz w:val="16"/>
          <w:szCs w:val="16"/>
        </w:rPr>
        <w:t xml:space="preserve"> považovat pouze část veškeré nabídky</w:t>
      </w:r>
      <w:r>
        <w:rPr>
          <w:sz w:val="16"/>
          <w:szCs w:val="16"/>
        </w:rPr>
        <w:t xml:space="preserve"> míst. Počet pozic, které</w:t>
      </w:r>
      <w:r w:rsidRPr="00B222D0">
        <w:rPr>
          <w:sz w:val="16"/>
          <w:szCs w:val="16"/>
        </w:rPr>
        <w:t xml:space="preserve"> byly nabízeny méně než půl roku, činil na k</w:t>
      </w:r>
      <w:r>
        <w:rPr>
          <w:sz w:val="16"/>
          <w:szCs w:val="16"/>
        </w:rPr>
        <w:t>onci 4. čtvrtletí 2022 jen 124</w:t>
      </w:r>
      <w:r w:rsidRPr="00B222D0">
        <w:rPr>
          <w:sz w:val="16"/>
          <w:szCs w:val="16"/>
        </w:rPr>
        <w:t xml:space="preserve"> tis.</w:t>
      </w:r>
      <w:r>
        <w:rPr>
          <w:sz w:val="16"/>
          <w:szCs w:val="16"/>
        </w:rPr>
        <w:t>, což bylo meziročně o 65 tis. méně.</w:t>
      </w:r>
    </w:p>
  </w:footnote>
  <w:footnote w:id="13">
    <w:p w14:paraId="5E96BD88" w14:textId="77777777" w:rsidR="00C8019E" w:rsidRPr="00FA68D2" w:rsidRDefault="00C8019E" w:rsidP="001C3855">
      <w:pPr>
        <w:pStyle w:val="Textpoznpodarou"/>
        <w:rPr>
          <w:sz w:val="16"/>
          <w:szCs w:val="16"/>
        </w:rPr>
      </w:pPr>
      <w:r w:rsidRPr="00FA68D2">
        <w:rPr>
          <w:rStyle w:val="Znakapoznpodarou"/>
          <w:sz w:val="16"/>
          <w:szCs w:val="16"/>
        </w:rPr>
        <w:footnoteRef/>
      </w:r>
      <w:r w:rsidRPr="00FA68D2">
        <w:rPr>
          <w:sz w:val="16"/>
          <w:szCs w:val="16"/>
        </w:rPr>
        <w:t xml:space="preserve"> Hrubý disponibilní důchod (HDD) domácností se v reálném vyjádření v 3. čtvrtletí</w:t>
      </w:r>
      <w:r>
        <w:rPr>
          <w:sz w:val="16"/>
          <w:szCs w:val="16"/>
        </w:rPr>
        <w:t xml:space="preserve"> 2022 meziročně snížil o 3,1 %, </w:t>
      </w:r>
      <w:r w:rsidRPr="00FA68D2">
        <w:rPr>
          <w:sz w:val="16"/>
          <w:szCs w:val="16"/>
        </w:rPr>
        <w:t xml:space="preserve">objem mezd a platů v pojetí národních účtů se ve stejném období </w:t>
      </w:r>
      <w:r>
        <w:rPr>
          <w:sz w:val="16"/>
          <w:szCs w:val="16"/>
        </w:rPr>
        <w:t xml:space="preserve">reálně (po zohlednění cenového vývoje výdajů na konečnou spotřebu domácností) </w:t>
      </w:r>
      <w:r w:rsidRPr="00FA68D2">
        <w:rPr>
          <w:sz w:val="16"/>
          <w:szCs w:val="16"/>
        </w:rPr>
        <w:t>propadl o 9,9</w:t>
      </w:r>
      <w:r>
        <w:rPr>
          <w:sz w:val="16"/>
          <w:szCs w:val="16"/>
        </w:rPr>
        <w:t xml:space="preserve"> %. Mzdy a platy zahrnují</w:t>
      </w:r>
      <w:r w:rsidRPr="00FA68D2">
        <w:rPr>
          <w:sz w:val="16"/>
          <w:szCs w:val="16"/>
        </w:rPr>
        <w:t xml:space="preserve"> (na rozdíl od podnikové statistiky) i </w:t>
      </w:r>
      <w:r>
        <w:rPr>
          <w:sz w:val="16"/>
          <w:szCs w:val="16"/>
        </w:rPr>
        <w:t xml:space="preserve">vliv </w:t>
      </w:r>
      <w:r w:rsidRPr="00FA68D2">
        <w:rPr>
          <w:sz w:val="16"/>
          <w:szCs w:val="16"/>
        </w:rPr>
        <w:t>další</w:t>
      </w:r>
      <w:r>
        <w:rPr>
          <w:sz w:val="16"/>
          <w:szCs w:val="16"/>
        </w:rPr>
        <w:t>ch faktorů</w:t>
      </w:r>
      <w:r w:rsidRPr="00FA68D2">
        <w:rPr>
          <w:sz w:val="16"/>
          <w:szCs w:val="16"/>
        </w:rPr>
        <w:t xml:space="preserve">, </w:t>
      </w:r>
      <w:r>
        <w:rPr>
          <w:sz w:val="16"/>
          <w:szCs w:val="16"/>
        </w:rPr>
        <w:t>např. šedé ekonomiky</w:t>
      </w:r>
      <w:r w:rsidRPr="00FA68D2">
        <w:rPr>
          <w:sz w:val="16"/>
          <w:szCs w:val="16"/>
        </w:rPr>
        <w:t>, možné</w:t>
      </w:r>
      <w:r>
        <w:rPr>
          <w:sz w:val="16"/>
          <w:szCs w:val="16"/>
        </w:rPr>
        <w:t>ho</w:t>
      </w:r>
      <w:r w:rsidRPr="00FA68D2">
        <w:rPr>
          <w:sz w:val="16"/>
          <w:szCs w:val="16"/>
        </w:rPr>
        <w:t xml:space="preserve"> zvýšení ekonomické aktivity obyvatel, např. formou druhých zaměst</w:t>
      </w:r>
      <w:r>
        <w:rPr>
          <w:sz w:val="16"/>
          <w:szCs w:val="16"/>
        </w:rPr>
        <w:t xml:space="preserve">nání či </w:t>
      </w:r>
      <w:r w:rsidRPr="00FA68D2">
        <w:rPr>
          <w:sz w:val="16"/>
          <w:szCs w:val="16"/>
        </w:rPr>
        <w:t xml:space="preserve">dohod o provedení práce. HDD zahrnuje </w:t>
      </w:r>
      <w:r>
        <w:rPr>
          <w:sz w:val="16"/>
          <w:szCs w:val="16"/>
        </w:rPr>
        <w:t xml:space="preserve">vedle mezd a platů </w:t>
      </w:r>
      <w:r w:rsidRPr="00FA68D2">
        <w:rPr>
          <w:sz w:val="16"/>
          <w:szCs w:val="16"/>
        </w:rPr>
        <w:t xml:space="preserve">i příjmy plynoucí z podnikání či z vlastnictví kapitálu a také sociální transfery od státu, vč. </w:t>
      </w:r>
      <w:r>
        <w:rPr>
          <w:sz w:val="16"/>
          <w:szCs w:val="16"/>
        </w:rPr>
        <w:t>starobních důchodů (jež</w:t>
      </w:r>
      <w:r w:rsidRPr="00FA68D2">
        <w:rPr>
          <w:sz w:val="16"/>
          <w:szCs w:val="16"/>
        </w:rPr>
        <w:t xml:space="preserve"> byly loni třikrát valorizovány).</w:t>
      </w:r>
    </w:p>
  </w:footnote>
  <w:footnote w:id="14">
    <w:p w14:paraId="57F1F747" w14:textId="77777777" w:rsidR="00C8019E" w:rsidRPr="000B47BA" w:rsidRDefault="00C8019E" w:rsidP="001C3855">
      <w:pPr>
        <w:pStyle w:val="Textpoznpodarou"/>
        <w:rPr>
          <w:sz w:val="16"/>
          <w:szCs w:val="16"/>
        </w:rPr>
      </w:pPr>
      <w:r w:rsidRPr="000B47BA">
        <w:rPr>
          <w:rStyle w:val="Znakapoznpodarou"/>
          <w:sz w:val="16"/>
          <w:szCs w:val="16"/>
        </w:rPr>
        <w:footnoteRef/>
      </w:r>
      <w:r w:rsidRPr="000B47BA">
        <w:rPr>
          <w:sz w:val="16"/>
          <w:szCs w:val="16"/>
        </w:rPr>
        <w:t xml:space="preserve"> Kupní síla mezd vzrostla za toto čtyřleté období jen v 7 z 19 hlavních odvětvových sekcí (šlo např. o energetiku, činnosti v oblasti nemovitostí, vzdělávání, zdravotní a sociální péči a také o administrativní a podpůrné činnosti, v nichž hrají významnou roli agenturní pracovníci).</w:t>
      </w:r>
      <w:r>
        <w:rPr>
          <w:sz w:val="16"/>
          <w:szCs w:val="16"/>
        </w:rPr>
        <w:t xml:space="preserve"> Naopak ve váhově významných odvětvích zpracovatelského průmyslu či obchodu došlo k mírnému poklesu mzdové koupěschopnosti (o 4 %, resp. 1 %).</w:t>
      </w:r>
    </w:p>
  </w:footnote>
  <w:footnote w:id="15">
    <w:p w14:paraId="78A835B5" w14:textId="77777777" w:rsidR="00C8019E" w:rsidRPr="000B1BC1" w:rsidRDefault="00C8019E" w:rsidP="001C3855">
      <w:pPr>
        <w:pStyle w:val="Textpoznpodarou"/>
        <w:rPr>
          <w:sz w:val="16"/>
          <w:szCs w:val="16"/>
        </w:rPr>
      </w:pPr>
      <w:r w:rsidRPr="000B1BC1">
        <w:rPr>
          <w:rStyle w:val="Znakapoznpodarou"/>
          <w:sz w:val="16"/>
          <w:szCs w:val="16"/>
        </w:rPr>
        <w:footnoteRef/>
      </w:r>
      <w:r w:rsidRPr="000B1BC1">
        <w:rPr>
          <w:sz w:val="16"/>
          <w:szCs w:val="16"/>
        </w:rPr>
        <w:t xml:space="preserve"> </w:t>
      </w:r>
      <w:r w:rsidRPr="000B1BC1">
        <w:rPr>
          <w:spacing w:val="-4"/>
          <w:sz w:val="16"/>
          <w:szCs w:val="16"/>
        </w:rPr>
        <w:t>Tyto osoby se na pracovní trh za</w:t>
      </w:r>
      <w:r>
        <w:rPr>
          <w:spacing w:val="-4"/>
          <w:sz w:val="16"/>
          <w:szCs w:val="16"/>
        </w:rPr>
        <w:t>pojovaly pozvolna a často primárně</w:t>
      </w:r>
      <w:r w:rsidRPr="000B1BC1">
        <w:rPr>
          <w:spacing w:val="-4"/>
          <w:sz w:val="16"/>
          <w:szCs w:val="16"/>
        </w:rPr>
        <w:t xml:space="preserve"> prostřednictvím zkrácených úvazků či pouze formou různých dohod.</w:t>
      </w:r>
    </w:p>
  </w:footnote>
  <w:footnote w:id="16">
    <w:p w14:paraId="68215591" w14:textId="77777777" w:rsidR="00C8019E" w:rsidRPr="003E23CA" w:rsidRDefault="00C8019E" w:rsidP="001C3855">
      <w:pPr>
        <w:pStyle w:val="Textpoznpodarou"/>
        <w:rPr>
          <w:sz w:val="16"/>
          <w:szCs w:val="16"/>
        </w:rPr>
      </w:pPr>
      <w:r w:rsidRPr="003E23CA">
        <w:rPr>
          <w:rStyle w:val="Znakapoznpodarou"/>
          <w:sz w:val="16"/>
          <w:szCs w:val="16"/>
        </w:rPr>
        <w:footnoteRef/>
      </w:r>
      <w:r w:rsidRPr="003E23CA">
        <w:rPr>
          <w:sz w:val="16"/>
          <w:szCs w:val="16"/>
        </w:rPr>
        <w:t xml:space="preserve"> Od 1. září 2022 došlo k 10%</w:t>
      </w:r>
      <w:r>
        <w:rPr>
          <w:sz w:val="16"/>
          <w:szCs w:val="16"/>
        </w:rPr>
        <w:t xml:space="preserve"> </w:t>
      </w:r>
      <w:r w:rsidRPr="003E23CA">
        <w:rPr>
          <w:sz w:val="16"/>
          <w:szCs w:val="16"/>
        </w:rPr>
        <w:t>navýšení platových tarifů u zaměstnanců spadajících po</w:t>
      </w:r>
      <w:r>
        <w:rPr>
          <w:sz w:val="16"/>
          <w:szCs w:val="16"/>
        </w:rPr>
        <w:t>d</w:t>
      </w:r>
      <w:r w:rsidRPr="003E23CA">
        <w:rPr>
          <w:sz w:val="16"/>
          <w:szCs w:val="16"/>
        </w:rPr>
        <w:t xml:space="preserve"> služební zákon a dále u části pracovníků</w:t>
      </w:r>
      <w:r>
        <w:rPr>
          <w:sz w:val="16"/>
          <w:szCs w:val="16"/>
        </w:rPr>
        <w:t xml:space="preserve"> v </w:t>
      </w:r>
      <w:r w:rsidRPr="003E23CA">
        <w:rPr>
          <w:sz w:val="16"/>
          <w:szCs w:val="16"/>
        </w:rPr>
        <w:t>kultuře a dalších</w:t>
      </w:r>
      <w:r>
        <w:rPr>
          <w:sz w:val="16"/>
          <w:szCs w:val="16"/>
        </w:rPr>
        <w:t>,</w:t>
      </w:r>
      <w:r w:rsidRPr="003E23CA">
        <w:rPr>
          <w:sz w:val="16"/>
          <w:szCs w:val="16"/>
        </w:rPr>
        <w:t xml:space="preserve"> zejména manuálních pracovníků s nízkou platovou úrovní. </w:t>
      </w:r>
    </w:p>
  </w:footnote>
  <w:footnote w:id="17">
    <w:p w14:paraId="61DC7C68" w14:textId="77777777" w:rsidR="00C8019E" w:rsidRPr="00B43E19" w:rsidRDefault="00C8019E" w:rsidP="001C3855">
      <w:pPr>
        <w:pStyle w:val="Textpoznpodarou"/>
        <w:rPr>
          <w:sz w:val="16"/>
          <w:szCs w:val="16"/>
        </w:rPr>
      </w:pPr>
      <w:r w:rsidRPr="00B43E19">
        <w:rPr>
          <w:rStyle w:val="Znakapoznpodarou"/>
          <w:sz w:val="16"/>
          <w:szCs w:val="16"/>
        </w:rPr>
        <w:footnoteRef/>
      </w:r>
      <w:r w:rsidRPr="00B43E19">
        <w:rPr>
          <w:sz w:val="16"/>
          <w:szCs w:val="16"/>
        </w:rPr>
        <w:t xml:space="preserve"> Zahrnuje </w:t>
      </w:r>
      <w:r>
        <w:rPr>
          <w:sz w:val="16"/>
          <w:szCs w:val="16"/>
        </w:rPr>
        <w:t>v</w:t>
      </w:r>
      <w:r w:rsidRPr="00B43E19">
        <w:rPr>
          <w:sz w:val="16"/>
          <w:szCs w:val="16"/>
        </w:rPr>
        <w:t>ýrobu a rozvod elektřiny, plynu, tepla a klimatizovaného vzduchu.</w:t>
      </w:r>
    </w:p>
  </w:footnote>
  <w:footnote w:id="18">
    <w:p w14:paraId="629D8EBA" w14:textId="77777777" w:rsidR="00C8019E" w:rsidRPr="00A36BF3" w:rsidRDefault="00C8019E" w:rsidP="001C3855">
      <w:pPr>
        <w:pStyle w:val="Textpoznpodarou"/>
        <w:rPr>
          <w:sz w:val="16"/>
          <w:szCs w:val="16"/>
        </w:rPr>
      </w:pPr>
      <w:r w:rsidRPr="00A36BF3">
        <w:rPr>
          <w:rStyle w:val="Znakapoznpodarou"/>
          <w:sz w:val="16"/>
          <w:szCs w:val="16"/>
        </w:rPr>
        <w:footnoteRef/>
      </w:r>
      <w:r w:rsidRPr="00A36BF3">
        <w:rPr>
          <w:sz w:val="16"/>
          <w:szCs w:val="16"/>
        </w:rPr>
        <w:t xml:space="preserve"> V úhrnu za rok 2022 se ale mzdová tempa mezi hlavními zpracovatelskými obory příliš neodlišovala.</w:t>
      </w:r>
    </w:p>
  </w:footnote>
  <w:footnote w:id="19">
    <w:p w14:paraId="51795374" w14:textId="77777777" w:rsidR="00C8019E" w:rsidRPr="00D7276D" w:rsidRDefault="00C8019E" w:rsidP="001C3855">
      <w:pPr>
        <w:pStyle w:val="Textpoznpodarou"/>
        <w:rPr>
          <w:sz w:val="16"/>
          <w:szCs w:val="16"/>
        </w:rPr>
      </w:pPr>
      <w:r w:rsidRPr="00D7276D">
        <w:rPr>
          <w:rStyle w:val="Znakapoznpodarou"/>
          <w:sz w:val="16"/>
          <w:szCs w:val="16"/>
        </w:rPr>
        <w:footnoteRef/>
      </w:r>
      <w:r w:rsidRPr="00D7276D">
        <w:rPr>
          <w:sz w:val="16"/>
          <w:szCs w:val="16"/>
        </w:rPr>
        <w:t xml:space="preserve"> Pro zjednodušení zahrnuje odvětví </w:t>
      </w:r>
      <w:r w:rsidRPr="00D7276D">
        <w:rPr>
          <w:rFonts w:cs="Arial"/>
          <w:color w:val="0D0D0D" w:themeColor="text1" w:themeTint="F2"/>
          <w:spacing w:val="-4"/>
          <w:sz w:val="16"/>
          <w:szCs w:val="16"/>
        </w:rPr>
        <w:t>Veřejná správa a obrana, povinné sociální zabezpečení; Vzdělávání; Zdravotní a sociální péče; Kulturní, zábavní a rekreační činnosti.</w:t>
      </w:r>
    </w:p>
  </w:footnote>
  <w:footnote w:id="20">
    <w:p w14:paraId="368379D5" w14:textId="77777777" w:rsidR="00C8019E" w:rsidRPr="002235B2" w:rsidRDefault="00C8019E" w:rsidP="001C3855">
      <w:pPr>
        <w:pStyle w:val="Textpoznpodarou"/>
        <w:rPr>
          <w:spacing w:val="-2"/>
          <w:sz w:val="16"/>
          <w:szCs w:val="16"/>
        </w:rPr>
      </w:pPr>
      <w:r w:rsidRPr="002235B2">
        <w:rPr>
          <w:rStyle w:val="Znakapoznpodarou"/>
          <w:spacing w:val="-2"/>
          <w:sz w:val="16"/>
          <w:szCs w:val="16"/>
        </w:rPr>
        <w:footnoteRef/>
      </w:r>
      <w:r w:rsidRPr="002235B2">
        <w:rPr>
          <w:spacing w:val="-2"/>
          <w:sz w:val="16"/>
          <w:szCs w:val="16"/>
        </w:rPr>
        <w:t xml:space="preserve"> Relativně menší rozdí</w:t>
      </w:r>
      <w:r>
        <w:rPr>
          <w:spacing w:val="-2"/>
          <w:sz w:val="16"/>
          <w:szCs w:val="16"/>
        </w:rPr>
        <w:t>ly panovaly loni také v růstu</w:t>
      </w:r>
      <w:r w:rsidRPr="002235B2">
        <w:rPr>
          <w:spacing w:val="-2"/>
          <w:sz w:val="16"/>
          <w:szCs w:val="16"/>
        </w:rPr>
        <w:t xml:space="preserve"> celkových průměrných mezd mezi </w:t>
      </w:r>
      <w:r>
        <w:rPr>
          <w:spacing w:val="-2"/>
          <w:sz w:val="16"/>
          <w:szCs w:val="16"/>
        </w:rPr>
        <w:t xml:space="preserve">mimopražskými regiony (od </w:t>
      </w:r>
      <w:r w:rsidRPr="002235B2">
        <w:rPr>
          <w:spacing w:val="-2"/>
          <w:sz w:val="16"/>
          <w:szCs w:val="16"/>
        </w:rPr>
        <w:t xml:space="preserve">5,3 % v Ústeckém kraji, </w:t>
      </w:r>
      <w:r>
        <w:rPr>
          <w:spacing w:val="-2"/>
          <w:sz w:val="16"/>
          <w:szCs w:val="16"/>
        </w:rPr>
        <w:t xml:space="preserve">po </w:t>
      </w:r>
      <w:r w:rsidRPr="002235B2">
        <w:rPr>
          <w:spacing w:val="-2"/>
          <w:sz w:val="16"/>
          <w:szCs w:val="16"/>
        </w:rPr>
        <w:t>6,7 % ve Středočeském</w:t>
      </w:r>
      <w:r>
        <w:rPr>
          <w:spacing w:val="-2"/>
          <w:sz w:val="16"/>
          <w:szCs w:val="16"/>
        </w:rPr>
        <w:t>, resp. Zlínském</w:t>
      </w:r>
      <w:r w:rsidRPr="002235B2">
        <w:rPr>
          <w:spacing w:val="-2"/>
          <w:sz w:val="16"/>
          <w:szCs w:val="16"/>
        </w:rPr>
        <w:t xml:space="preserve"> kraji). </w:t>
      </w:r>
      <w:r>
        <w:rPr>
          <w:spacing w:val="-2"/>
          <w:sz w:val="16"/>
          <w:szCs w:val="16"/>
        </w:rPr>
        <w:t>V Praze mzdy vzrostly o 7,2 %, v období pandemie i předchozí konjunktury přitom mzdový růst v metropoli za celorepublikovým tempem zaostával.</w:t>
      </w:r>
    </w:p>
  </w:footnote>
  <w:footnote w:id="21">
    <w:p w14:paraId="6CE5C169" w14:textId="77777777" w:rsidR="00C8019E" w:rsidRPr="00D7276D" w:rsidRDefault="00C8019E" w:rsidP="001C3855">
      <w:pPr>
        <w:pStyle w:val="Textpoznpodarou"/>
        <w:rPr>
          <w:sz w:val="16"/>
          <w:szCs w:val="16"/>
        </w:rPr>
      </w:pPr>
      <w:r w:rsidRPr="00D7276D">
        <w:rPr>
          <w:rStyle w:val="Znakapoznpodarou"/>
          <w:sz w:val="16"/>
          <w:szCs w:val="16"/>
        </w:rPr>
        <w:footnoteRef/>
      </w:r>
      <w:r w:rsidRPr="00D7276D">
        <w:rPr>
          <w:sz w:val="16"/>
          <w:szCs w:val="16"/>
        </w:rPr>
        <w:t xml:space="preserve"> </w:t>
      </w:r>
      <w:r w:rsidRPr="00D7276D">
        <w:rPr>
          <w:rFonts w:cs="Arial"/>
          <w:color w:val="0D0D0D" w:themeColor="text1" w:themeTint="F2"/>
          <w:spacing w:val="-4"/>
          <w:sz w:val="16"/>
          <w:szCs w:val="16"/>
        </w:rPr>
        <w:t xml:space="preserve">Bez jejich 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>vlivu by hypotetický mzdový růst</w:t>
      </w:r>
      <w:r w:rsidRPr="00D7276D">
        <w:rPr>
          <w:rFonts w:cs="Arial"/>
          <w:color w:val="0D0D0D" w:themeColor="text1" w:themeTint="F2"/>
          <w:spacing w:val="-4"/>
          <w:sz w:val="16"/>
          <w:szCs w:val="16"/>
        </w:rPr>
        <w:t xml:space="preserve"> v ekonomice činil za loňský rok 8,5 %.</w:t>
      </w:r>
    </w:p>
  </w:footnote>
  <w:footnote w:id="22">
    <w:p w14:paraId="4539BB9A" w14:textId="77777777" w:rsidR="00C8019E" w:rsidRPr="00AC59F2" w:rsidRDefault="00C8019E" w:rsidP="001C3855">
      <w:pPr>
        <w:pStyle w:val="Textpoznpodarou"/>
        <w:rPr>
          <w:sz w:val="16"/>
          <w:szCs w:val="16"/>
        </w:rPr>
      </w:pPr>
      <w:r w:rsidRPr="00AC59F2">
        <w:rPr>
          <w:rStyle w:val="Znakapoznpodarou"/>
          <w:sz w:val="16"/>
          <w:szCs w:val="16"/>
        </w:rPr>
        <w:footnoteRef/>
      </w:r>
      <w:r w:rsidRPr="00AC59F2">
        <w:rPr>
          <w:sz w:val="16"/>
          <w:szCs w:val="16"/>
        </w:rPr>
        <w:t xml:space="preserve"> Jde o předběžný odhad. Detailnější údaje budou k dispozici v publikaci Struktura mezd zaměstnanců za rok 2022, jenž bude zveřejněna letos 23. května.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C8019E" w:rsidRDefault="00C8019E" w:rsidP="00937AE2">
    <w:pPr>
      <w:pStyle w:val="Zhlav"/>
    </w:pPr>
    <w:r>
      <w:t>Vývoj ekonomiky České republiky</w:t>
    </w:r>
  </w:p>
  <w:p w14:paraId="3E881AB3" w14:textId="77777777" w:rsidR="00C8019E" w:rsidRPr="006F5416" w:rsidRDefault="00C8019E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C8019E" w:rsidRDefault="00C8019E" w:rsidP="00937AE2">
    <w:pPr>
      <w:pStyle w:val="Zhlav"/>
    </w:pPr>
    <w:r>
      <w:t>Vývoj ekonomiky České republiky</w:t>
    </w:r>
  </w:p>
  <w:p w14:paraId="57266714" w14:textId="77777777" w:rsidR="00C8019E" w:rsidRPr="006F5416" w:rsidRDefault="00C8019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3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9675651">
    <w:abstractNumId w:val="25"/>
  </w:num>
  <w:num w:numId="2" w16cid:durableId="42993069">
    <w:abstractNumId w:val="8"/>
  </w:num>
  <w:num w:numId="3" w16cid:durableId="1188448633">
    <w:abstractNumId w:val="3"/>
  </w:num>
  <w:num w:numId="4" w16cid:durableId="178853939">
    <w:abstractNumId w:val="2"/>
  </w:num>
  <w:num w:numId="5" w16cid:durableId="467431360">
    <w:abstractNumId w:val="1"/>
  </w:num>
  <w:num w:numId="6" w16cid:durableId="1323971648">
    <w:abstractNumId w:val="0"/>
  </w:num>
  <w:num w:numId="7" w16cid:durableId="1319113600">
    <w:abstractNumId w:val="9"/>
  </w:num>
  <w:num w:numId="8" w16cid:durableId="1380520353">
    <w:abstractNumId w:val="7"/>
  </w:num>
  <w:num w:numId="9" w16cid:durableId="1491631085">
    <w:abstractNumId w:val="6"/>
  </w:num>
  <w:num w:numId="10" w16cid:durableId="1311446643">
    <w:abstractNumId w:val="5"/>
  </w:num>
  <w:num w:numId="11" w16cid:durableId="1993364951">
    <w:abstractNumId w:val="4"/>
  </w:num>
  <w:num w:numId="12" w16cid:durableId="231276771">
    <w:abstractNumId w:val="15"/>
  </w:num>
  <w:num w:numId="13" w16cid:durableId="207644179">
    <w:abstractNumId w:val="27"/>
  </w:num>
  <w:num w:numId="14" w16cid:durableId="1218779089">
    <w:abstractNumId w:val="14"/>
  </w:num>
  <w:num w:numId="15" w16cid:durableId="1609242427">
    <w:abstractNumId w:val="20"/>
  </w:num>
  <w:num w:numId="16" w16cid:durableId="375545102">
    <w:abstractNumId w:val="16"/>
  </w:num>
  <w:num w:numId="17" w16cid:durableId="1211458968">
    <w:abstractNumId w:val="28"/>
  </w:num>
  <w:num w:numId="18" w16cid:durableId="482963397">
    <w:abstractNumId w:val="21"/>
  </w:num>
  <w:num w:numId="19" w16cid:durableId="836001720">
    <w:abstractNumId w:val="29"/>
  </w:num>
  <w:num w:numId="20" w16cid:durableId="979767753">
    <w:abstractNumId w:val="30"/>
  </w:num>
  <w:num w:numId="21" w16cid:durableId="862285838">
    <w:abstractNumId w:val="26"/>
  </w:num>
  <w:num w:numId="22" w16cid:durableId="582881778">
    <w:abstractNumId w:val="19"/>
  </w:num>
  <w:num w:numId="23" w16cid:durableId="526522376">
    <w:abstractNumId w:val="17"/>
  </w:num>
  <w:num w:numId="24" w16cid:durableId="386228362">
    <w:abstractNumId w:val="18"/>
  </w:num>
  <w:num w:numId="25" w16cid:durableId="1287664625">
    <w:abstractNumId w:val="13"/>
  </w:num>
  <w:num w:numId="26" w16cid:durableId="907227532">
    <w:abstractNumId w:val="23"/>
  </w:num>
  <w:num w:numId="27" w16cid:durableId="1723559017">
    <w:abstractNumId w:val="22"/>
  </w:num>
  <w:num w:numId="28" w16cid:durableId="1931085482">
    <w:abstractNumId w:val="10"/>
  </w:num>
  <w:num w:numId="29" w16cid:durableId="612982388">
    <w:abstractNumId w:val="30"/>
  </w:num>
  <w:num w:numId="30" w16cid:durableId="189496072">
    <w:abstractNumId w:val="24"/>
  </w:num>
  <w:num w:numId="31" w16cid:durableId="611744734">
    <w:abstractNumId w:val="12"/>
  </w:num>
  <w:num w:numId="32" w16cid:durableId="1852186949">
    <w:abstractNumId w:val="31"/>
  </w:num>
  <w:num w:numId="33" w16cid:durableId="698824509">
    <w:abstractNumId w:val="30"/>
  </w:num>
  <w:num w:numId="34" w16cid:durableId="6997447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994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4ED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39B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4779E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3868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3855"/>
    <w:rsid w:val="001C4B8F"/>
    <w:rsid w:val="001C4BB8"/>
    <w:rsid w:val="001C4D8C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B75C0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C6C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579A1"/>
    <w:rsid w:val="0036077F"/>
    <w:rsid w:val="00360A35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295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99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162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5F3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72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1F2A"/>
    <w:rsid w:val="007434E5"/>
    <w:rsid w:val="0074499B"/>
    <w:rsid w:val="0074501E"/>
    <w:rsid w:val="007450BF"/>
    <w:rsid w:val="0074599A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6E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4F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3627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3CB6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1B1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007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71A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1EB6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2C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5797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1850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0EBE"/>
    <w:rsid w:val="008C1717"/>
    <w:rsid w:val="008C17F0"/>
    <w:rsid w:val="008C3A32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2E83"/>
    <w:rsid w:val="008F3636"/>
    <w:rsid w:val="008F3FC9"/>
    <w:rsid w:val="008F509F"/>
    <w:rsid w:val="008F525A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CE5"/>
    <w:rsid w:val="00984D1B"/>
    <w:rsid w:val="00986246"/>
    <w:rsid w:val="00987A30"/>
    <w:rsid w:val="00990312"/>
    <w:rsid w:val="009908AF"/>
    <w:rsid w:val="0099182E"/>
    <w:rsid w:val="00991D45"/>
    <w:rsid w:val="00992B49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5B6E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032E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1C8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27EC6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55EF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4BB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0805"/>
    <w:rsid w:val="00C11244"/>
    <w:rsid w:val="00C118A9"/>
    <w:rsid w:val="00C11D48"/>
    <w:rsid w:val="00C12304"/>
    <w:rsid w:val="00C12316"/>
    <w:rsid w:val="00C1246C"/>
    <w:rsid w:val="00C1493E"/>
    <w:rsid w:val="00C15537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35E8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019E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DAE"/>
    <w:rsid w:val="00D60E3C"/>
    <w:rsid w:val="00D60FA7"/>
    <w:rsid w:val="00D61FAB"/>
    <w:rsid w:val="00D62C4E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32F0"/>
    <w:rsid w:val="00D95302"/>
    <w:rsid w:val="00D95889"/>
    <w:rsid w:val="00D95C5D"/>
    <w:rsid w:val="00D95CBE"/>
    <w:rsid w:val="00D95E7F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4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3E22"/>
    <w:rsid w:val="00DE3E5D"/>
    <w:rsid w:val="00DE450F"/>
    <w:rsid w:val="00DE4865"/>
    <w:rsid w:val="00DE5CA6"/>
    <w:rsid w:val="00DE5E55"/>
    <w:rsid w:val="00DE63AE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47C1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87D5B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DA6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730A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917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  <w:rsid w:val="0523CDF2"/>
    <w:rsid w:val="06B1A837"/>
    <w:rsid w:val="12650F4E"/>
    <w:rsid w:val="1394E51D"/>
    <w:rsid w:val="2A0E9F3A"/>
    <w:rsid w:val="2A2A6298"/>
    <w:rsid w:val="38C72AFC"/>
    <w:rsid w:val="3E4A9713"/>
    <w:rsid w:val="48038D4B"/>
    <w:rsid w:val="49E8263C"/>
    <w:rsid w:val="50A35788"/>
    <w:rsid w:val="52944939"/>
    <w:rsid w:val="5CF587E8"/>
    <w:rsid w:val="6AEA4E8B"/>
    <w:rsid w:val="75B5B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enicky3604\JKAM%20CSU\PUBLIKACE\PUBLIKACE\2022\Q-Makro\Celorok\Trh%20pr&#225;ce\Grafy-Trh%20pr&#225;ce%20celorok-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menicky3604\JKAM%20CSU\PUBLIKACE\PUBLIKACE\2022\Q-Makro\Celorok\Trh%20pr&#225;ce\Grafy-Trh%20pr&#225;ce%20celorok-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Q-makro-2022\Celorok-2022\Trh%20pr&#225;ce\Grafy-Trh%20pr&#225;ce%20celorok-2022-aktu&#225;ln&#2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88731014311854E-2"/>
          <c:y val="1.452205106022466E-2"/>
          <c:w val="0.84495121574960963"/>
          <c:h val="0.6755713073945970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'Trh práce 1-SNÚ'!$AC$7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cat>
            <c:multiLvlStrRef>
              <c:f>'Trh práce 1-SNÚ'!$AA$28:$AB$60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1-SNÚ'!$AC$28:$AC$60</c:f>
              <c:numCache>
                <c:formatCode>#\ ##0.0</c:formatCode>
                <c:ptCount val="33"/>
                <c:pt idx="0">
                  <c:v>-5.6991893197978323E-2</c:v>
                </c:pt>
                <c:pt idx="1">
                  <c:v>-5.3077004431979165E-2</c:v>
                </c:pt>
                <c:pt idx="2">
                  <c:v>-6.9683605158033485E-2</c:v>
                </c:pt>
                <c:pt idx="3">
                  <c:v>-0.13993931548915475</c:v>
                </c:pt>
                <c:pt idx="4">
                  <c:v>-0.12488466174466099</c:v>
                </c:pt>
                <c:pt idx="5">
                  <c:v>-3.2025271621926886E-2</c:v>
                </c:pt>
                <c:pt idx="6">
                  <c:v>-4.5209168072263259E-2</c:v>
                </c:pt>
                <c:pt idx="7">
                  <c:v>5.8178231424048349E-2</c:v>
                </c:pt>
                <c:pt idx="8">
                  <c:v>9.847316873845928E-2</c:v>
                </c:pt>
                <c:pt idx="9">
                  <c:v>3.582769575865416E-2</c:v>
                </c:pt>
                <c:pt idx="10">
                  <c:v>1.9597324357556165E-2</c:v>
                </c:pt>
                <c:pt idx="11">
                  <c:v>-9.3256093124704578E-2</c:v>
                </c:pt>
                <c:pt idx="12">
                  <c:v>2.8281779223500583E-2</c:v>
                </c:pt>
                <c:pt idx="13">
                  <c:v>3.1385538570036633E-2</c:v>
                </c:pt>
                <c:pt idx="14">
                  <c:v>1.6521075080556516E-2</c:v>
                </c:pt>
                <c:pt idx="15">
                  <c:v>8.3398360204896146E-2</c:v>
                </c:pt>
                <c:pt idx="16">
                  <c:v>-3.2066957439228189E-2</c:v>
                </c:pt>
                <c:pt idx="17">
                  <c:v>-9.1886912097250764E-2</c:v>
                </c:pt>
                <c:pt idx="18">
                  <c:v>-0.12544281535318705</c:v>
                </c:pt>
                <c:pt idx="19">
                  <c:v>-0.13296546528421771</c:v>
                </c:pt>
                <c:pt idx="20">
                  <c:v>-8.0149764825409739E-2</c:v>
                </c:pt>
                <c:pt idx="21">
                  <c:v>1.2847127079559931E-4</c:v>
                </c:pt>
                <c:pt idx="22">
                  <c:v>9.2281662728676939E-2</c:v>
                </c:pt>
                <c:pt idx="23">
                  <c:v>7.8785121950452494E-2</c:v>
                </c:pt>
                <c:pt idx="24">
                  <c:v>3.9467525638141862E-2</c:v>
                </c:pt>
                <c:pt idx="25">
                  <c:v>-3.5679661917382206E-2</c:v>
                </c:pt>
                <c:pt idx="26">
                  <c:v>-6.7116536974324945E-2</c:v>
                </c:pt>
                <c:pt idx="27">
                  <c:v>-2.1524420295770987E-2</c:v>
                </c:pt>
                <c:pt idx="28">
                  <c:v>-2.1396085155666732E-2</c:v>
                </c:pt>
                <c:pt idx="29">
                  <c:v>8.9564611387649873E-2</c:v>
                </c:pt>
                <c:pt idx="30">
                  <c:v>3.6987296379261833E-2</c:v>
                </c:pt>
                <c:pt idx="31">
                  <c:v>-5.9061454391102594E-2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BC-43F7-8812-71F02EC36BAA}"/>
            </c:ext>
          </c:extLst>
        </c:ser>
        <c:ser>
          <c:idx val="1"/>
          <c:order val="1"/>
          <c:tx>
            <c:strRef>
              <c:f>'Trh práce 1-SNÚ'!$AD$7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cat>
            <c:multiLvlStrRef>
              <c:f>'Trh práce 1-SNÚ'!$AA$28:$AB$60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1-SNÚ'!$AD$28:$AD$60</c:f>
              <c:numCache>
                <c:formatCode>#\ ##0.0</c:formatCode>
                <c:ptCount val="33"/>
                <c:pt idx="0">
                  <c:v>0.8819790258041621</c:v>
                </c:pt>
                <c:pt idx="1">
                  <c:v>0.93619594656509875</c:v>
                </c:pt>
                <c:pt idx="2">
                  <c:v>0.79380670100221296</c:v>
                </c:pt>
                <c:pt idx="3">
                  <c:v>0.92941048859384778</c:v>
                </c:pt>
                <c:pt idx="4">
                  <c:v>0.86436958871149239</c:v>
                </c:pt>
                <c:pt idx="5">
                  <c:v>0.64306976785438064</c:v>
                </c:pt>
                <c:pt idx="6">
                  <c:v>0.67102358376255722</c:v>
                </c:pt>
                <c:pt idx="7">
                  <c:v>0.51768439491468099</c:v>
                </c:pt>
                <c:pt idx="8">
                  <c:v>0.27352595704925442</c:v>
                </c:pt>
                <c:pt idx="9">
                  <c:v>0.40495174469100209</c:v>
                </c:pt>
                <c:pt idx="10">
                  <c:v>0.48296390541252482</c:v>
                </c:pt>
                <c:pt idx="11">
                  <c:v>0.47073561501166572</c:v>
                </c:pt>
                <c:pt idx="12">
                  <c:v>0.35993792705298538</c:v>
                </c:pt>
                <c:pt idx="13">
                  <c:v>0.28632749685910514</c:v>
                </c:pt>
                <c:pt idx="14">
                  <c:v>9.3203449496172278E-2</c:v>
                </c:pt>
                <c:pt idx="15">
                  <c:v>8.6360902490994762E-2</c:v>
                </c:pt>
                <c:pt idx="16">
                  <c:v>0.14709256185686445</c:v>
                </c:pt>
                <c:pt idx="17">
                  <c:v>-2.0854942188739026E-2</c:v>
                </c:pt>
                <c:pt idx="18">
                  <c:v>-0.16258097669671437</c:v>
                </c:pt>
                <c:pt idx="19">
                  <c:v>-0.55102805433099289</c:v>
                </c:pt>
                <c:pt idx="20">
                  <c:v>-0.82136508594643098</c:v>
                </c:pt>
                <c:pt idx="21">
                  <c:v>-1.0952359365711681</c:v>
                </c:pt>
                <c:pt idx="22">
                  <c:v>-1.0796051443294794</c:v>
                </c:pt>
                <c:pt idx="23">
                  <c:v>-0.91314157662366424</c:v>
                </c:pt>
                <c:pt idx="24">
                  <c:v>-0.48322704277798206</c:v>
                </c:pt>
                <c:pt idx="25">
                  <c:v>-6.9933638079916441E-2</c:v>
                </c:pt>
                <c:pt idx="26">
                  <c:v>0.17887110622763175</c:v>
                </c:pt>
                <c:pt idx="27">
                  <c:v>0.31056393603222182</c:v>
                </c:pt>
                <c:pt idx="28">
                  <c:v>7.524352618012152E-2</c:v>
                </c:pt>
                <c:pt idx="29">
                  <c:v>0.38919045732493623</c:v>
                </c:pt>
                <c:pt idx="30">
                  <c:v>0.19536879625969064</c:v>
                </c:pt>
                <c:pt idx="31">
                  <c:v>9.9464098143858246E-2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BC-43F7-8812-71F02EC36BAA}"/>
            </c:ext>
          </c:extLst>
        </c:ser>
        <c:ser>
          <c:idx val="2"/>
          <c:order val="2"/>
          <c:tx>
            <c:strRef>
              <c:f>'Trh práce 1-SNÚ'!$AE$7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48AEE7"/>
            </a:solidFill>
            <a:ln w="19050">
              <a:noFill/>
            </a:ln>
          </c:spPr>
          <c:invertIfNegative val="0"/>
          <c:cat>
            <c:multiLvlStrRef>
              <c:f>'Trh práce 1-SNÚ'!$AA$28:$AB$60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1-SNÚ'!$AE$28:$AE$60</c:f>
              <c:numCache>
                <c:formatCode>#\ ##0.0</c:formatCode>
                <c:ptCount val="33"/>
                <c:pt idx="0">
                  <c:v>-0.11535945278349405</c:v>
                </c:pt>
                <c:pt idx="1">
                  <c:v>-0.10277905701098219</c:v>
                </c:pt>
                <c:pt idx="2">
                  <c:v>-0.15744780912986248</c:v>
                </c:pt>
                <c:pt idx="3">
                  <c:v>-0.17964656072744944</c:v>
                </c:pt>
                <c:pt idx="4">
                  <c:v>-0.11205258317894973</c:v>
                </c:pt>
                <c:pt idx="5">
                  <c:v>-0.12466911878830762</c:v>
                </c:pt>
                <c:pt idx="6">
                  <c:v>-2.5910926178730032E-2</c:v>
                </c:pt>
                <c:pt idx="7">
                  <c:v>9.6483224892210742E-3</c:v>
                </c:pt>
                <c:pt idx="8">
                  <c:v>-9.847316873845928E-3</c:v>
                </c:pt>
                <c:pt idx="9">
                  <c:v>1.9091640634913781E-2</c:v>
                </c:pt>
                <c:pt idx="10">
                  <c:v>7.2407555983877492E-2</c:v>
                </c:pt>
                <c:pt idx="11">
                  <c:v>-7.2320666550757681E-2</c:v>
                </c:pt>
                <c:pt idx="12">
                  <c:v>0.10670200915568535</c:v>
                </c:pt>
                <c:pt idx="13">
                  <c:v>7.1029443792451546E-2</c:v>
                </c:pt>
                <c:pt idx="14">
                  <c:v>5.9006500400454333E-2</c:v>
                </c:pt>
                <c:pt idx="15">
                  <c:v>0.11179404853203223</c:v>
                </c:pt>
                <c:pt idx="16">
                  <c:v>3.5683531586509575E-2</c:v>
                </c:pt>
                <c:pt idx="17">
                  <c:v>8.4487365089419425E-2</c:v>
                </c:pt>
                <c:pt idx="18">
                  <c:v>9.8622860864049505E-2</c:v>
                </c:pt>
                <c:pt idx="19">
                  <c:v>0.12706817507064183</c:v>
                </c:pt>
                <c:pt idx="20">
                  <c:v>1.7073866434947429E-2</c:v>
                </c:pt>
                <c:pt idx="21">
                  <c:v>-0.21562985151107084</c:v>
                </c:pt>
                <c:pt idx="22">
                  <c:v>-0.10234473200166617</c:v>
                </c:pt>
                <c:pt idx="23">
                  <c:v>-5.2591242475965305E-2</c:v>
                </c:pt>
                <c:pt idx="24">
                  <c:v>-5.9386582004809813E-2</c:v>
                </c:pt>
                <c:pt idx="25">
                  <c:v>0.13637809786507291</c:v>
                </c:pt>
                <c:pt idx="26">
                  <c:v>-3.1728840934745151E-2</c:v>
                </c:pt>
                <c:pt idx="27">
                  <c:v>6.512129265954951E-2</c:v>
                </c:pt>
                <c:pt idx="28">
                  <c:v>0.26034410470168484</c:v>
                </c:pt>
                <c:pt idx="29">
                  <c:v>0.27560497205938939</c:v>
                </c:pt>
                <c:pt idx="30">
                  <c:v>0.25807425799466888</c:v>
                </c:pt>
                <c:pt idx="31">
                  <c:v>0.24362385324511113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BC-43F7-8812-71F02EC36BAA}"/>
            </c:ext>
          </c:extLst>
        </c:ser>
        <c:ser>
          <c:idx val="3"/>
          <c:order val="3"/>
          <c:tx>
            <c:strRef>
              <c:f>'Trh práce 1-SNÚ'!$AF$7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solidFill>
              <a:srgbClr val="FDDEB3"/>
            </a:solidFill>
            <a:ln w="19050">
              <a:noFill/>
            </a:ln>
          </c:spPr>
          <c:invertIfNegative val="0"/>
          <c:cat>
            <c:multiLvlStrRef>
              <c:f>'Trh práce 1-SNÚ'!$AA$28:$AB$60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1-SNÚ'!$AF$28:$AF$60</c:f>
              <c:numCache>
                <c:formatCode>#\ ##0.0</c:formatCode>
                <c:ptCount val="33"/>
                <c:pt idx="0">
                  <c:v>0.23291997178704818</c:v>
                </c:pt>
                <c:pt idx="1">
                  <c:v>0.49484250453607481</c:v>
                </c:pt>
                <c:pt idx="2">
                  <c:v>0.32328110679066346</c:v>
                </c:pt>
                <c:pt idx="3">
                  <c:v>0.16315218273979096</c:v>
                </c:pt>
                <c:pt idx="4">
                  <c:v>8.7514387555562345E-2</c:v>
                </c:pt>
                <c:pt idx="5">
                  <c:v>0.23539827888748047</c:v>
                </c:pt>
                <c:pt idx="6">
                  <c:v>-1.0121455538566434E-2</c:v>
                </c:pt>
                <c:pt idx="7">
                  <c:v>6.4501534410011954E-2</c:v>
                </c:pt>
                <c:pt idx="8">
                  <c:v>0.1749189412853254</c:v>
                </c:pt>
                <c:pt idx="9">
                  <c:v>5.3760540295329402E-3</c:v>
                </c:pt>
                <c:pt idx="10">
                  <c:v>0.35548634881148383</c:v>
                </c:pt>
                <c:pt idx="11">
                  <c:v>0.17830036428397431</c:v>
                </c:pt>
                <c:pt idx="12">
                  <c:v>0.15887539134747303</c:v>
                </c:pt>
                <c:pt idx="13">
                  <c:v>0.40293713210708676</c:v>
                </c:pt>
                <c:pt idx="14">
                  <c:v>0.21063905082977841</c:v>
                </c:pt>
                <c:pt idx="15">
                  <c:v>0.22355083238122042</c:v>
                </c:pt>
                <c:pt idx="16">
                  <c:v>0.43914483415040162</c:v>
                </c:pt>
                <c:pt idx="17">
                  <c:v>0.11318361828645729</c:v>
                </c:pt>
                <c:pt idx="18">
                  <c:v>-1.4877414534236133E-2</c:v>
                </c:pt>
                <c:pt idx="19">
                  <c:v>-4.6754453974505922E-2</c:v>
                </c:pt>
                <c:pt idx="20">
                  <c:v>-0.11596996469808198</c:v>
                </c:pt>
                <c:pt idx="21">
                  <c:v>-0.57289010255494743</c:v>
                </c:pt>
                <c:pt idx="22">
                  <c:v>-0.41512925330551581</c:v>
                </c:pt>
                <c:pt idx="23">
                  <c:v>-0.9900953468311966</c:v>
                </c:pt>
                <c:pt idx="24">
                  <c:v>-0.85418472506699616</c:v>
                </c:pt>
                <c:pt idx="25">
                  <c:v>-0.15881388948084027</c:v>
                </c:pt>
                <c:pt idx="26">
                  <c:v>0.24439275764343901</c:v>
                </c:pt>
                <c:pt idx="27">
                  <c:v>0.73867123838551241</c:v>
                </c:pt>
                <c:pt idx="28">
                  <c:v>0.44187240187036914</c:v>
                </c:pt>
                <c:pt idx="29">
                  <c:v>0.90504152566544072</c:v>
                </c:pt>
                <c:pt idx="30">
                  <c:v>0.4080689953476736</c:v>
                </c:pt>
                <c:pt idx="31">
                  <c:v>0.19173600533448876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BC-43F7-8812-71F02EC36BAA}"/>
            </c:ext>
          </c:extLst>
        </c:ser>
        <c:ser>
          <c:idx val="4"/>
          <c:order val="4"/>
          <c:tx>
            <c:strRef>
              <c:f>'Trh práce 1-SNÚ'!$AG$7</c:f>
              <c:strCache>
                <c:ptCount val="1"/>
                <c:pt idx="0">
                  <c:v>Informační a komunikač. čin.</c:v>
                </c:pt>
              </c:strCache>
            </c:strRef>
          </c:tx>
          <c:spPr>
            <a:solidFill>
              <a:srgbClr val="F8A124"/>
            </a:solidFill>
            <a:ln w="19050">
              <a:noFill/>
            </a:ln>
          </c:spPr>
          <c:invertIfNegative val="0"/>
          <c:cat>
            <c:multiLvlStrRef>
              <c:f>'Trh práce 1-SNÚ'!$AA$28:$AB$60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1-SNÚ'!$AG$28:$AG$60</c:f>
              <c:numCache>
                <c:formatCode>#\ ##0.0</c:formatCode>
                <c:ptCount val="33"/>
                <c:pt idx="0">
                  <c:v>1.2223778472118125E-2</c:v>
                </c:pt>
                <c:pt idx="1">
                  <c:v>6.0238966213004064E-2</c:v>
                </c:pt>
                <c:pt idx="2">
                  <c:v>7.0191816584150843E-2</c:v>
                </c:pt>
                <c:pt idx="3">
                  <c:v>9.797309994794548E-2</c:v>
                </c:pt>
                <c:pt idx="4">
                  <c:v>0.11574107777423753</c:v>
                </c:pt>
                <c:pt idx="5">
                  <c:v>0.11485523362541725</c:v>
                </c:pt>
                <c:pt idx="6">
                  <c:v>0.13512625118059429</c:v>
                </c:pt>
                <c:pt idx="7">
                  <c:v>0.16390616372127001</c:v>
                </c:pt>
                <c:pt idx="8">
                  <c:v>0.13639011895367537</c:v>
                </c:pt>
                <c:pt idx="9">
                  <c:v>0.13690890950828224</c:v>
                </c:pt>
                <c:pt idx="10">
                  <c:v>0.13784590844137623</c:v>
                </c:pt>
                <c:pt idx="11">
                  <c:v>0.11872218009337375</c:v>
                </c:pt>
                <c:pt idx="12">
                  <c:v>0.12284956731327347</c:v>
                </c:pt>
                <c:pt idx="13">
                  <c:v>0.1377705293912645</c:v>
                </c:pt>
                <c:pt idx="14">
                  <c:v>0.12183128760081174</c:v>
                </c:pt>
                <c:pt idx="15">
                  <c:v>0.14710233552673246</c:v>
                </c:pt>
                <c:pt idx="16">
                  <c:v>0.15146954390177933</c:v>
                </c:pt>
                <c:pt idx="17">
                  <c:v>8.5481334090471192E-2</c:v>
                </c:pt>
                <c:pt idx="18">
                  <c:v>0.13044502296953692</c:v>
                </c:pt>
                <c:pt idx="19">
                  <c:v>0.14053979740227937</c:v>
                </c:pt>
                <c:pt idx="20">
                  <c:v>0.1289269892800389</c:v>
                </c:pt>
                <c:pt idx="21">
                  <c:v>8.7929408340245235E-2</c:v>
                </c:pt>
                <c:pt idx="22">
                  <c:v>0.10800290465149717</c:v>
                </c:pt>
                <c:pt idx="23">
                  <c:v>7.2310646091645697E-2</c:v>
                </c:pt>
                <c:pt idx="24">
                  <c:v>7.4765946455353352E-2</c:v>
                </c:pt>
                <c:pt idx="25">
                  <c:v>0.13000003001443688</c:v>
                </c:pt>
                <c:pt idx="26">
                  <c:v>0.10201638566659332</c:v>
                </c:pt>
                <c:pt idx="27">
                  <c:v>3.643466403006717E-2</c:v>
                </c:pt>
                <c:pt idx="28">
                  <c:v>0.1174340491057069</c:v>
                </c:pt>
                <c:pt idx="29">
                  <c:v>0.1043021459830316</c:v>
                </c:pt>
                <c:pt idx="30">
                  <c:v>0.10363509437990252</c:v>
                </c:pt>
                <c:pt idx="31">
                  <c:v>0.18052956826783198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DBC-43F7-8812-71F02EC36BAA}"/>
            </c:ext>
          </c:extLst>
        </c:ser>
        <c:ser>
          <c:idx val="5"/>
          <c:order val="5"/>
          <c:tx>
            <c:strRef>
              <c:f>'Trh práce 1-SNÚ'!$AH$7</c:f>
              <c:strCache>
                <c:ptCount val="1"/>
                <c:pt idx="0">
                  <c:v>Profesní, vědec., techn. a admin. čin.</c:v>
                </c:pt>
              </c:strCache>
            </c:strRef>
          </c:tx>
          <c:spPr>
            <a:solidFill>
              <a:srgbClr val="E8C0BE"/>
            </a:solidFill>
            <a:ln w="19050">
              <a:noFill/>
            </a:ln>
          </c:spPr>
          <c:invertIfNegative val="0"/>
          <c:cat>
            <c:multiLvlStrRef>
              <c:f>'Trh práce 1-SNÚ'!$AA$28:$AB$60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1-SNÚ'!$AH$28:$AH$60</c:f>
              <c:numCache>
                <c:formatCode>#\ ##0.0</c:formatCode>
                <c:ptCount val="33"/>
                <c:pt idx="0">
                  <c:v>0.10850077322277195</c:v>
                </c:pt>
                <c:pt idx="1">
                  <c:v>0.12304838994193759</c:v>
                </c:pt>
                <c:pt idx="2">
                  <c:v>0.25299155723995131</c:v>
                </c:pt>
                <c:pt idx="3">
                  <c:v>0.35101672163818687</c:v>
                </c:pt>
                <c:pt idx="4">
                  <c:v>0.24190700606252494</c:v>
                </c:pt>
                <c:pt idx="5">
                  <c:v>0.24438309320163906</c:v>
                </c:pt>
                <c:pt idx="6">
                  <c:v>0.25066507602369625</c:v>
                </c:pt>
                <c:pt idx="7">
                  <c:v>0.26288795818240274</c:v>
                </c:pt>
                <c:pt idx="8">
                  <c:v>0.40909387284647242</c:v>
                </c:pt>
                <c:pt idx="9">
                  <c:v>0.3560353520194568</c:v>
                </c:pt>
                <c:pt idx="10">
                  <c:v>0.3141458690378412</c:v>
                </c:pt>
                <c:pt idx="11">
                  <c:v>0.14060149424955432</c:v>
                </c:pt>
                <c:pt idx="12">
                  <c:v>0.17385474809809426</c:v>
                </c:pt>
                <c:pt idx="13">
                  <c:v>0.14777045635809016</c:v>
                </c:pt>
                <c:pt idx="14">
                  <c:v>9.3482836335189556E-2</c:v>
                </c:pt>
                <c:pt idx="15">
                  <c:v>0.1886897215806482</c:v>
                </c:pt>
                <c:pt idx="16">
                  <c:v>-9.607104657906422E-3</c:v>
                </c:pt>
                <c:pt idx="17">
                  <c:v>-3.2359213034248172E-2</c:v>
                </c:pt>
                <c:pt idx="18">
                  <c:v>-2.9422579116094798E-2</c:v>
                </c:pt>
                <c:pt idx="19">
                  <c:v>-0.2039356671982194</c:v>
                </c:pt>
                <c:pt idx="20">
                  <c:v>-0.1605384535083593</c:v>
                </c:pt>
                <c:pt idx="21">
                  <c:v>-0.28764717531134681</c:v>
                </c:pt>
                <c:pt idx="22">
                  <c:v>-0.41553472496120397</c:v>
                </c:pt>
                <c:pt idx="23">
                  <c:v>-0.19227343450410975</c:v>
                </c:pt>
                <c:pt idx="24">
                  <c:v>-0.1810873840664608</c:v>
                </c:pt>
                <c:pt idx="25">
                  <c:v>8.9049082608734634E-2</c:v>
                </c:pt>
                <c:pt idx="26">
                  <c:v>0.19420077094891303</c:v>
                </c:pt>
                <c:pt idx="27">
                  <c:v>9.0255163593154081E-2</c:v>
                </c:pt>
                <c:pt idx="28">
                  <c:v>7.9511462322772133E-2</c:v>
                </c:pt>
                <c:pt idx="29">
                  <c:v>3.6049989567917426E-2</c:v>
                </c:pt>
                <c:pt idx="30">
                  <c:v>0.13800036522398282</c:v>
                </c:pt>
                <c:pt idx="31">
                  <c:v>0.13672596600231021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DBC-43F7-8812-71F02EC36BAA}"/>
            </c:ext>
          </c:extLst>
        </c:ser>
        <c:ser>
          <c:idx val="6"/>
          <c:order val="6"/>
          <c:tx>
            <c:strRef>
              <c:f>'Trh práce 1-SNÚ'!$AI$7</c:f>
              <c:strCache>
                <c:ptCount val="1"/>
                <c:pt idx="0">
                  <c:v>Veř.spr.,obrana, vzděl.,zdrav.a soc.péče</c:v>
                </c:pt>
              </c:strCache>
            </c:strRef>
          </c:tx>
          <c:spPr>
            <a:solidFill>
              <a:srgbClr val="D58D8B"/>
            </a:solidFill>
            <a:ln>
              <a:noFill/>
            </a:ln>
          </c:spPr>
          <c:invertIfNegative val="0"/>
          <c:cat>
            <c:multiLvlStrRef>
              <c:f>'Trh práce 1-SNÚ'!$AA$28:$AB$60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1-SNÚ'!$AI$28:$AI$60</c:f>
              <c:numCache>
                <c:formatCode>#\ ##0.0</c:formatCode>
                <c:ptCount val="33"/>
                <c:pt idx="0">
                  <c:v>0.2235654403517939</c:v>
                </c:pt>
                <c:pt idx="1">
                  <c:v>0.22121632087472592</c:v>
                </c:pt>
                <c:pt idx="2">
                  <c:v>0.12507865060484005</c:v>
                </c:pt>
                <c:pt idx="3">
                  <c:v>0.12632707202590387</c:v>
                </c:pt>
                <c:pt idx="4">
                  <c:v>0.32907195728800748</c:v>
                </c:pt>
                <c:pt idx="5">
                  <c:v>0.33515671077902165</c:v>
                </c:pt>
                <c:pt idx="6">
                  <c:v>0.44146897214787206</c:v>
                </c:pt>
                <c:pt idx="7">
                  <c:v>0.55904533116329502</c:v>
                </c:pt>
                <c:pt idx="8">
                  <c:v>0.45377965834973044</c:v>
                </c:pt>
                <c:pt idx="9">
                  <c:v>0.48758720415555468</c:v>
                </c:pt>
                <c:pt idx="10">
                  <c:v>0.52434236449693716</c:v>
                </c:pt>
                <c:pt idx="11">
                  <c:v>0.53403271627626758</c:v>
                </c:pt>
                <c:pt idx="12">
                  <c:v>0.4379247919471026</c:v>
                </c:pt>
                <c:pt idx="13">
                  <c:v>0.46550221824222576</c:v>
                </c:pt>
                <c:pt idx="14">
                  <c:v>0.29622455251541197</c:v>
                </c:pt>
                <c:pt idx="15">
                  <c:v>0.2439346138968943</c:v>
                </c:pt>
                <c:pt idx="16">
                  <c:v>0.20792519366754592</c:v>
                </c:pt>
                <c:pt idx="17">
                  <c:v>0.13389130580837388</c:v>
                </c:pt>
                <c:pt idx="18">
                  <c:v>0.1488479786651119</c:v>
                </c:pt>
                <c:pt idx="19">
                  <c:v>0.16857035494868167</c:v>
                </c:pt>
                <c:pt idx="20">
                  <c:v>0.34228599406292892</c:v>
                </c:pt>
                <c:pt idx="21">
                  <c:v>0.27122120568819474</c:v>
                </c:pt>
                <c:pt idx="22">
                  <c:v>0.38125393952574582</c:v>
                </c:pt>
                <c:pt idx="23">
                  <c:v>0.32350181091089775</c:v>
                </c:pt>
                <c:pt idx="24">
                  <c:v>0.18331090663762345</c:v>
                </c:pt>
                <c:pt idx="25">
                  <c:v>0.29725547988582496</c:v>
                </c:pt>
                <c:pt idx="26">
                  <c:v>0.29415318706918947</c:v>
                </c:pt>
                <c:pt idx="27">
                  <c:v>0.35013560951715972</c:v>
                </c:pt>
                <c:pt idx="28">
                  <c:v>0.42965143934736072</c:v>
                </c:pt>
                <c:pt idx="29">
                  <c:v>0.3847262358188579</c:v>
                </c:pt>
                <c:pt idx="30">
                  <c:v>0.45225291500434778</c:v>
                </c:pt>
                <c:pt idx="31">
                  <c:v>0.51709436972247858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DBC-43F7-8812-71F02EC36BAA}"/>
            </c:ext>
          </c:extLst>
        </c:ser>
        <c:ser>
          <c:idx val="7"/>
          <c:order val="7"/>
          <c:tx>
            <c:strRef>
              <c:f>'Trh práce 1-SNÚ'!$AJ$7</c:f>
              <c:strCache>
                <c:ptCount val="1"/>
                <c:pt idx="0">
                  <c:v>Ostatní odvětví*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</c:spPr>
          <c:invertIfNegative val="0"/>
          <c:cat>
            <c:multiLvlStrRef>
              <c:f>'Trh práce 1-SNÚ'!$AA$28:$AB$60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1-SNÚ'!$AJ$28:$AJ$60</c:f>
              <c:numCache>
                <c:formatCode>#\ ##0.0</c:formatCode>
                <c:ptCount val="33"/>
                <c:pt idx="0">
                  <c:v>-5.4437084192551839E-2</c:v>
                </c:pt>
                <c:pt idx="1">
                  <c:v>8.9416602290768532E-2</c:v>
                </c:pt>
                <c:pt idx="2">
                  <c:v>4.9980639099324431E-2</c:v>
                </c:pt>
                <c:pt idx="3">
                  <c:v>-2.6133949538887497E-2</c:v>
                </c:pt>
                <c:pt idx="4">
                  <c:v>0.1261076888999407</c:v>
                </c:pt>
                <c:pt idx="5">
                  <c:v>7.9147344977730114E-2</c:v>
                </c:pt>
                <c:pt idx="6">
                  <c:v>0.10645843330278795</c:v>
                </c:pt>
                <c:pt idx="7">
                  <c:v>0.17588007788617954</c:v>
                </c:pt>
                <c:pt idx="8">
                  <c:v>-5.5355305533561015E-2</c:v>
                </c:pt>
                <c:pt idx="9">
                  <c:v>-2.8874919169222996E-3</c:v>
                </c:pt>
                <c:pt idx="10">
                  <c:v>4.6771521213818675E-2</c:v>
                </c:pt>
                <c:pt idx="11">
                  <c:v>4.0303999761385413E-2</c:v>
                </c:pt>
                <c:pt idx="12">
                  <c:v>0.20445408817735161</c:v>
                </c:pt>
                <c:pt idx="13">
                  <c:v>0.19370645045850773</c:v>
                </c:pt>
                <c:pt idx="14">
                  <c:v>1.6316191398610506E-2</c:v>
                </c:pt>
                <c:pt idx="15">
                  <c:v>1.8371488642097301E-2</c:v>
                </c:pt>
                <c:pt idx="16">
                  <c:v>-2.6762648689882155E-2</c:v>
                </c:pt>
                <c:pt idx="17">
                  <c:v>2.116785835573683E-2</c:v>
                </c:pt>
                <c:pt idx="18">
                  <c:v>0.10524940158091128</c:v>
                </c:pt>
                <c:pt idx="19">
                  <c:v>0.12295850095305616</c:v>
                </c:pt>
                <c:pt idx="20">
                  <c:v>-0.12300902911636498</c:v>
                </c:pt>
                <c:pt idx="21">
                  <c:v>-0.3520846941346828</c:v>
                </c:pt>
                <c:pt idx="22">
                  <c:v>-0.34275256276516958</c:v>
                </c:pt>
                <c:pt idx="23">
                  <c:v>-0.43863649018293682</c:v>
                </c:pt>
                <c:pt idx="24">
                  <c:v>-0.1670236038038547</c:v>
                </c:pt>
                <c:pt idx="25">
                  <c:v>4.1494959075315162E-2</c:v>
                </c:pt>
                <c:pt idx="26">
                  <c:v>-1.4410260105194707E-2</c:v>
                </c:pt>
                <c:pt idx="27">
                  <c:v>0.11548352276335092</c:v>
                </c:pt>
                <c:pt idx="28">
                  <c:v>8.7370481299106559E-2</c:v>
                </c:pt>
                <c:pt idx="29">
                  <c:v>0.16487733570777571</c:v>
                </c:pt>
                <c:pt idx="30">
                  <c:v>0.18233305228690899</c:v>
                </c:pt>
                <c:pt idx="31">
                  <c:v>1.4718902415907242E-2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DBC-43F7-8812-71F02EC36B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overlap val="100"/>
        <c:axId val="167211008"/>
        <c:axId val="46620672"/>
      </c:barChart>
      <c:lineChart>
        <c:grouping val="standard"/>
        <c:varyColors val="0"/>
        <c:ser>
          <c:idx val="8"/>
          <c:order val="8"/>
          <c:tx>
            <c:strRef>
              <c:f>'Trh práce 1-SNÚ'!$AK$7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'Trh práce 1-SNÚ'!$AA$28:$AB$60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1-SNÚ'!$AK$28:$AK$60</c:f>
              <c:numCache>
                <c:formatCode>#\ ##0.0</c:formatCode>
                <c:ptCount val="33"/>
                <c:pt idx="0">
                  <c:v>1.2324005594638701</c:v>
                </c:pt>
                <c:pt idx="1">
                  <c:v>1.7691026689786475</c:v>
                </c:pt>
                <c:pt idx="2">
                  <c:v>1.3881990570332476</c:v>
                </c:pt>
                <c:pt idx="3">
                  <c:v>1.322159739190184</c:v>
                </c:pt>
                <c:pt idx="4">
                  <c:v>1.5277744613681534</c:v>
                </c:pt>
                <c:pt idx="5">
                  <c:v>1.4953160389154334</c:v>
                </c:pt>
                <c:pt idx="6">
                  <c:v>1.5235007666279472</c:v>
                </c:pt>
                <c:pt idx="7">
                  <c:v>1.811732014191108</c:v>
                </c:pt>
                <c:pt idx="8">
                  <c:v>1.4809790948155097</c:v>
                </c:pt>
                <c:pt idx="9">
                  <c:v>1.4428911088804726</c:v>
                </c:pt>
                <c:pt idx="10">
                  <c:v>1.953560797755413</c:v>
                </c:pt>
                <c:pt idx="11">
                  <c:v>1.3171196100007592</c:v>
                </c:pt>
                <c:pt idx="12">
                  <c:v>1.5928803023154638</c:v>
                </c:pt>
                <c:pt idx="13">
                  <c:v>1.7364292657787679</c:v>
                </c:pt>
                <c:pt idx="14">
                  <c:v>0.90722494365698481</c:v>
                </c:pt>
                <c:pt idx="15">
                  <c:v>1.1032023032555145</c:v>
                </c:pt>
                <c:pt idx="16">
                  <c:v>0.91287895437608391</c:v>
                </c:pt>
                <c:pt idx="17">
                  <c:v>0.29311041431022067</c:v>
                </c:pt>
                <c:pt idx="18">
                  <c:v>0.15084147837937695</c:v>
                </c:pt>
                <c:pt idx="19">
                  <c:v>-0.37554681241327631</c:v>
                </c:pt>
                <c:pt idx="20">
                  <c:v>-0.81274544831673334</c:v>
                </c:pt>
                <c:pt idx="21">
                  <c:v>-2.1642086747839784</c:v>
                </c:pt>
                <c:pt idx="22">
                  <c:v>-1.7738279104571142</c:v>
                </c:pt>
                <c:pt idx="23">
                  <c:v>-2.1121405116648737</c:v>
                </c:pt>
                <c:pt idx="24">
                  <c:v>-1.4473649589889828</c:v>
                </c:pt>
                <c:pt idx="25">
                  <c:v>0.42975045997124572</c:v>
                </c:pt>
                <c:pt idx="26">
                  <c:v>0.90037856954150186</c:v>
                </c:pt>
                <c:pt idx="27">
                  <c:v>1.6851410066852437</c:v>
                </c:pt>
                <c:pt idx="28">
                  <c:v>1.4700313796714539</c:v>
                </c:pt>
                <c:pt idx="29">
                  <c:v>2.3493572735149972</c:v>
                </c:pt>
                <c:pt idx="30">
                  <c:v>1.7747207728764345</c:v>
                </c:pt>
                <c:pt idx="31">
                  <c:v>1.3248313087408832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4DBC-43F7-8812-71F02EC36B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7211008"/>
        <c:axId val="46620672"/>
      </c:lineChart>
      <c:lineChart>
        <c:grouping val="standard"/>
        <c:varyColors val="0"/>
        <c:ser>
          <c:idx val="9"/>
          <c:order val="9"/>
          <c:tx>
            <c:strRef>
              <c:f>'Trh práce 1-SNÚ'!$AL$7</c:f>
              <c:strCache>
                <c:ptCount val="1"/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multiLvlStrRef>
              <c:f>'Trh práce 1-SNÚ'!$AA$28:$AB$60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1-SNÚ'!$AL$28:$AL$60</c:f>
              <c:numCache>
                <c:formatCode>General</c:formatCode>
                <c:ptCount val="3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4DBC-43F7-8812-71F02EC36BAA}"/>
            </c:ext>
          </c:extLst>
        </c:ser>
        <c:ser>
          <c:idx val="10"/>
          <c:order val="10"/>
          <c:tx>
            <c:strRef>
              <c:f>'Trh práce 1-SNÚ'!$AM$7</c:f>
              <c:strCache>
                <c:ptCount val="1"/>
                <c:pt idx="0">
                  <c:v>Očekávání zaměstnanosti (průmysl)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1-SNÚ'!$AA$28:$AB$60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1-SNÚ'!$AM$28:$AM$60</c:f>
              <c:numCache>
                <c:formatCode>#\ ##0.0</c:formatCode>
                <c:ptCount val="33"/>
                <c:pt idx="0">
                  <c:v>-3</c:v>
                </c:pt>
                <c:pt idx="1">
                  <c:v>4.3</c:v>
                </c:pt>
                <c:pt idx="2">
                  <c:v>5.5</c:v>
                </c:pt>
                <c:pt idx="3">
                  <c:v>7.8</c:v>
                </c:pt>
                <c:pt idx="4">
                  <c:v>8.2000000000000011</c:v>
                </c:pt>
                <c:pt idx="5">
                  <c:v>9.9</c:v>
                </c:pt>
                <c:pt idx="6">
                  <c:v>3.8</c:v>
                </c:pt>
                <c:pt idx="7">
                  <c:v>9.5</c:v>
                </c:pt>
                <c:pt idx="8">
                  <c:v>11.1</c:v>
                </c:pt>
                <c:pt idx="9">
                  <c:v>5.7</c:v>
                </c:pt>
                <c:pt idx="10">
                  <c:v>8.2000000000000011</c:v>
                </c:pt>
                <c:pt idx="11">
                  <c:v>7.3</c:v>
                </c:pt>
                <c:pt idx="12">
                  <c:v>9.8000000000000007</c:v>
                </c:pt>
                <c:pt idx="13">
                  <c:v>9.4</c:v>
                </c:pt>
                <c:pt idx="14">
                  <c:v>6.2</c:v>
                </c:pt>
                <c:pt idx="15">
                  <c:v>6.3</c:v>
                </c:pt>
                <c:pt idx="16">
                  <c:v>2.5</c:v>
                </c:pt>
                <c:pt idx="17">
                  <c:v>2.6</c:v>
                </c:pt>
                <c:pt idx="18">
                  <c:v>0.5</c:v>
                </c:pt>
                <c:pt idx="19">
                  <c:v>-2.8</c:v>
                </c:pt>
                <c:pt idx="20">
                  <c:v>2.9</c:v>
                </c:pt>
                <c:pt idx="21">
                  <c:v>-19</c:v>
                </c:pt>
                <c:pt idx="22">
                  <c:v>-10.9</c:v>
                </c:pt>
                <c:pt idx="23">
                  <c:v>-3.5</c:v>
                </c:pt>
                <c:pt idx="24">
                  <c:v>4.4000000000000004</c:v>
                </c:pt>
                <c:pt idx="25">
                  <c:v>8.6</c:v>
                </c:pt>
                <c:pt idx="26">
                  <c:v>4.7</c:v>
                </c:pt>
                <c:pt idx="27">
                  <c:v>1.8</c:v>
                </c:pt>
                <c:pt idx="28">
                  <c:v>11.2</c:v>
                </c:pt>
                <c:pt idx="29">
                  <c:v>2.2999999999999998</c:v>
                </c:pt>
                <c:pt idx="30">
                  <c:v>2.1</c:v>
                </c:pt>
                <c:pt idx="31">
                  <c:v>-9.9</c:v>
                </c:pt>
                <c:pt idx="32">
                  <c:v>-13.6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4DBC-43F7-8812-71F02EC36BAA}"/>
            </c:ext>
          </c:extLst>
        </c:ser>
        <c:ser>
          <c:idx val="11"/>
          <c:order val="11"/>
          <c:tx>
            <c:strRef>
              <c:f>'Trh práce 1-SNÚ'!$AN$7</c:f>
              <c:strCache>
                <c:ptCount val="1"/>
                <c:pt idx="0">
                  <c:v>Očekávání zaměstnanosti (stavebnictví)</c:v>
                </c:pt>
              </c:strCache>
            </c:strRef>
          </c:tx>
          <c:spPr>
            <a:ln w="15875">
              <a:solidFill>
                <a:srgbClr val="00B0F0"/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1-SNÚ'!$AA$28:$AB$60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1-SNÚ'!$AN$28:$AN$60</c:f>
              <c:numCache>
                <c:formatCode>#\ ##0.0</c:formatCode>
                <c:ptCount val="33"/>
                <c:pt idx="0">
                  <c:v>-4.2</c:v>
                </c:pt>
                <c:pt idx="1">
                  <c:v>7.4</c:v>
                </c:pt>
                <c:pt idx="2">
                  <c:v>1</c:v>
                </c:pt>
                <c:pt idx="3">
                  <c:v>-0.1</c:v>
                </c:pt>
                <c:pt idx="4">
                  <c:v>-3.5</c:v>
                </c:pt>
                <c:pt idx="5">
                  <c:v>-6.4</c:v>
                </c:pt>
                <c:pt idx="6">
                  <c:v>-4.7</c:v>
                </c:pt>
                <c:pt idx="7">
                  <c:v>-6.9</c:v>
                </c:pt>
                <c:pt idx="8">
                  <c:v>-7.5</c:v>
                </c:pt>
                <c:pt idx="9">
                  <c:v>-12.2</c:v>
                </c:pt>
                <c:pt idx="10">
                  <c:v>-6.2</c:v>
                </c:pt>
                <c:pt idx="11">
                  <c:v>-2.8</c:v>
                </c:pt>
                <c:pt idx="12">
                  <c:v>4.3</c:v>
                </c:pt>
                <c:pt idx="13">
                  <c:v>5.5</c:v>
                </c:pt>
                <c:pt idx="14">
                  <c:v>8.8000000000000007</c:v>
                </c:pt>
                <c:pt idx="15">
                  <c:v>9.6</c:v>
                </c:pt>
                <c:pt idx="16">
                  <c:v>6.4</c:v>
                </c:pt>
                <c:pt idx="17">
                  <c:v>9.6</c:v>
                </c:pt>
                <c:pt idx="18">
                  <c:v>3.8</c:v>
                </c:pt>
                <c:pt idx="19">
                  <c:v>10.7</c:v>
                </c:pt>
                <c:pt idx="20">
                  <c:v>5.7</c:v>
                </c:pt>
                <c:pt idx="21">
                  <c:v>-4.2</c:v>
                </c:pt>
                <c:pt idx="22">
                  <c:v>1.5</c:v>
                </c:pt>
                <c:pt idx="23">
                  <c:v>-1.5</c:v>
                </c:pt>
                <c:pt idx="24">
                  <c:v>3.6</c:v>
                </c:pt>
                <c:pt idx="25">
                  <c:v>4.0999999999999996</c:v>
                </c:pt>
                <c:pt idx="26">
                  <c:v>4.2</c:v>
                </c:pt>
                <c:pt idx="27">
                  <c:v>8.9</c:v>
                </c:pt>
                <c:pt idx="28">
                  <c:v>9.5</c:v>
                </c:pt>
                <c:pt idx="29">
                  <c:v>7.3</c:v>
                </c:pt>
                <c:pt idx="30">
                  <c:v>1.3</c:v>
                </c:pt>
                <c:pt idx="31">
                  <c:v>0.1</c:v>
                </c:pt>
                <c:pt idx="32">
                  <c:v>-11.3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4DBC-43F7-8812-71F02EC36BAA}"/>
            </c:ext>
          </c:extLst>
        </c:ser>
        <c:ser>
          <c:idx val="12"/>
          <c:order val="12"/>
          <c:tx>
            <c:strRef>
              <c:f>'Trh práce 1-SNÚ'!$AO$7</c:f>
              <c:strCache>
                <c:ptCount val="1"/>
                <c:pt idx="0">
                  <c:v>Očekávání zaměstnanosti (obchod)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1-SNÚ'!$AA$28:$AB$60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1-SNÚ'!$AO$28:$AO$60</c:f>
              <c:numCache>
                <c:formatCode>#\ ##0.0</c:formatCode>
                <c:ptCount val="33"/>
                <c:pt idx="0">
                  <c:v>11.9</c:v>
                </c:pt>
                <c:pt idx="1">
                  <c:v>3.7</c:v>
                </c:pt>
                <c:pt idx="2">
                  <c:v>0.8</c:v>
                </c:pt>
                <c:pt idx="3">
                  <c:v>2.2999999999999998</c:v>
                </c:pt>
                <c:pt idx="4">
                  <c:v>14.8</c:v>
                </c:pt>
                <c:pt idx="5">
                  <c:v>18.2</c:v>
                </c:pt>
                <c:pt idx="6">
                  <c:v>18.7</c:v>
                </c:pt>
                <c:pt idx="7">
                  <c:v>21.4</c:v>
                </c:pt>
                <c:pt idx="8">
                  <c:v>14.5</c:v>
                </c:pt>
                <c:pt idx="9">
                  <c:v>17.100000000000001</c:v>
                </c:pt>
                <c:pt idx="10">
                  <c:v>18.8</c:v>
                </c:pt>
                <c:pt idx="11">
                  <c:v>15.3</c:v>
                </c:pt>
                <c:pt idx="12">
                  <c:v>29.9</c:v>
                </c:pt>
                <c:pt idx="13">
                  <c:v>32.5</c:v>
                </c:pt>
                <c:pt idx="14">
                  <c:v>27.1</c:v>
                </c:pt>
                <c:pt idx="15">
                  <c:v>15.3</c:v>
                </c:pt>
                <c:pt idx="16">
                  <c:v>11.9</c:v>
                </c:pt>
                <c:pt idx="17">
                  <c:v>15.9</c:v>
                </c:pt>
                <c:pt idx="18">
                  <c:v>13.7</c:v>
                </c:pt>
                <c:pt idx="19">
                  <c:v>13</c:v>
                </c:pt>
                <c:pt idx="20">
                  <c:v>11.4</c:v>
                </c:pt>
                <c:pt idx="21">
                  <c:v>-5.9</c:v>
                </c:pt>
                <c:pt idx="22">
                  <c:v>-3.5</c:v>
                </c:pt>
                <c:pt idx="23">
                  <c:v>0.70000000000000062</c:v>
                </c:pt>
                <c:pt idx="24">
                  <c:v>5.6</c:v>
                </c:pt>
                <c:pt idx="25">
                  <c:v>13.2</c:v>
                </c:pt>
                <c:pt idx="26">
                  <c:v>10.7</c:v>
                </c:pt>
                <c:pt idx="27">
                  <c:v>8.3000000000000007</c:v>
                </c:pt>
                <c:pt idx="28">
                  <c:v>10.1</c:v>
                </c:pt>
                <c:pt idx="29">
                  <c:v>3.1</c:v>
                </c:pt>
                <c:pt idx="30">
                  <c:v>5.2</c:v>
                </c:pt>
                <c:pt idx="31">
                  <c:v>12.5</c:v>
                </c:pt>
                <c:pt idx="32">
                  <c:v>10.200000000000001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4DBC-43F7-8812-71F02EC36BAA}"/>
            </c:ext>
          </c:extLst>
        </c:ser>
        <c:ser>
          <c:idx val="13"/>
          <c:order val="13"/>
          <c:tx>
            <c:strRef>
              <c:f>'Trh práce 1-SNÚ'!$AP$7</c:f>
              <c:strCache>
                <c:ptCount val="1"/>
                <c:pt idx="0">
                  <c:v>Očekávání zaměstnanosti (vybr. služby)</c:v>
                </c:pt>
              </c:strCache>
            </c:strRef>
          </c:tx>
          <c:spPr>
            <a:ln w="15875">
              <a:solidFill>
                <a:srgbClr val="C00000"/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1-SNÚ'!$AA$28:$AB$60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 1-SNÚ'!$AP$28:$AP$60</c:f>
              <c:numCache>
                <c:formatCode>#\ ##0.0</c:formatCode>
                <c:ptCount val="33"/>
                <c:pt idx="0">
                  <c:v>-16.2</c:v>
                </c:pt>
                <c:pt idx="1">
                  <c:v>-24.6</c:v>
                </c:pt>
                <c:pt idx="2">
                  <c:v>5.2</c:v>
                </c:pt>
                <c:pt idx="3">
                  <c:v>5.2</c:v>
                </c:pt>
                <c:pt idx="4">
                  <c:v>2.8</c:v>
                </c:pt>
                <c:pt idx="5">
                  <c:v>21.8</c:v>
                </c:pt>
                <c:pt idx="6">
                  <c:v>-4.8</c:v>
                </c:pt>
                <c:pt idx="7">
                  <c:v>7.9</c:v>
                </c:pt>
                <c:pt idx="8">
                  <c:v>11.1</c:v>
                </c:pt>
                <c:pt idx="9">
                  <c:v>11</c:v>
                </c:pt>
                <c:pt idx="10">
                  <c:v>19.7</c:v>
                </c:pt>
                <c:pt idx="11">
                  <c:v>3.1</c:v>
                </c:pt>
                <c:pt idx="12">
                  <c:v>15.7</c:v>
                </c:pt>
                <c:pt idx="13">
                  <c:v>10.5</c:v>
                </c:pt>
                <c:pt idx="14">
                  <c:v>9.5</c:v>
                </c:pt>
                <c:pt idx="15">
                  <c:v>-7.6</c:v>
                </c:pt>
                <c:pt idx="16">
                  <c:v>-6.5</c:v>
                </c:pt>
                <c:pt idx="17">
                  <c:v>-1.1000000000000001</c:v>
                </c:pt>
                <c:pt idx="18">
                  <c:v>-4.5999999999999996</c:v>
                </c:pt>
                <c:pt idx="19">
                  <c:v>-15.4</c:v>
                </c:pt>
                <c:pt idx="20">
                  <c:v>-20.5</c:v>
                </c:pt>
                <c:pt idx="21">
                  <c:v>-32.300000000000004</c:v>
                </c:pt>
                <c:pt idx="22">
                  <c:v>-28.6</c:v>
                </c:pt>
                <c:pt idx="23">
                  <c:v>-30.1</c:v>
                </c:pt>
                <c:pt idx="24">
                  <c:v>-27</c:v>
                </c:pt>
                <c:pt idx="25">
                  <c:v>-27.7</c:v>
                </c:pt>
                <c:pt idx="26">
                  <c:v>-12.1</c:v>
                </c:pt>
                <c:pt idx="27">
                  <c:v>-15.8</c:v>
                </c:pt>
                <c:pt idx="28">
                  <c:v>-6.8</c:v>
                </c:pt>
                <c:pt idx="29">
                  <c:v>-3.5</c:v>
                </c:pt>
                <c:pt idx="30">
                  <c:v>-6.1</c:v>
                </c:pt>
                <c:pt idx="31">
                  <c:v>-6.4</c:v>
                </c:pt>
                <c:pt idx="32">
                  <c:v>-10.7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4DBC-43F7-8812-71F02EC36B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624768"/>
        <c:axId val="46622592"/>
      </c:lineChart>
      <c:catAx>
        <c:axId val="167211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46620672"/>
        <c:crosses val="autoZero"/>
        <c:auto val="1"/>
        <c:lblAlgn val="ctr"/>
        <c:lblOffset val="10"/>
        <c:noMultiLvlLbl val="0"/>
      </c:catAx>
      <c:valAx>
        <c:axId val="46620672"/>
        <c:scaling>
          <c:orientation val="minMax"/>
          <c:max val="2.5"/>
          <c:min val="-4.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Příspěvek k růstu zaměstnanosti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67211008"/>
        <c:crosses val="autoZero"/>
        <c:crossBetween val="between"/>
        <c:majorUnit val="0.5"/>
      </c:valAx>
      <c:valAx>
        <c:axId val="46622592"/>
        <c:scaling>
          <c:orientation val="minMax"/>
          <c:max val="100"/>
          <c:min val="-4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Očekávání vývoje zaměstnanosti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46624768"/>
        <c:crosses val="max"/>
        <c:crossBetween val="between"/>
        <c:majorUnit val="10"/>
      </c:valAx>
      <c:catAx>
        <c:axId val="46624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46622592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5472441370721636E-2"/>
          <c:y val="0.7799282311707082"/>
          <c:w val="0.96005692595618608"/>
          <c:h val="0.2119461831534999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397366722206016E-2"/>
          <c:y val="1.6081916099773243E-2"/>
          <c:w val="0.83584199323559127"/>
          <c:h val="0.75413005601973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'Trh práce-2b'!$A$30</c:f>
              <c:strCache>
                <c:ptCount val="1"/>
                <c:pt idx="0">
                  <c:v>Míra nezaměstnanosti mužů</c:v>
                </c:pt>
              </c:strCache>
            </c:strRef>
          </c:tx>
          <c:spPr>
            <a:solidFill>
              <a:srgbClr val="BCBCBC"/>
            </a:solidFill>
          </c:spPr>
          <c:invertIfNegative val="0"/>
          <c:cat>
            <c:multiLvlStrRef>
              <c:f>'Trh práce-2b'!$B$28:$AH$29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práce-2b'!$B$30:$AH$30</c:f>
              <c:numCache>
                <c:formatCode>0.0</c:formatCode>
                <c:ptCount val="33"/>
                <c:pt idx="0">
                  <c:v>5.0184498557278294</c:v>
                </c:pt>
                <c:pt idx="1">
                  <c:v>4.3151435519817865</c:v>
                </c:pt>
                <c:pt idx="2">
                  <c:v>4.0653569827424283</c:v>
                </c:pt>
                <c:pt idx="3">
                  <c:v>3.7854260166193554</c:v>
                </c:pt>
                <c:pt idx="4">
                  <c:v>3.6474975169630288</c:v>
                </c:pt>
                <c:pt idx="5">
                  <c:v>3.5654830555353332</c:v>
                </c:pt>
                <c:pt idx="6">
                  <c:v>3.3989604167359637</c:v>
                </c:pt>
                <c:pt idx="7">
                  <c:v>3.1504941789659258</c:v>
                </c:pt>
                <c:pt idx="8">
                  <c:v>2.6905697458963487</c:v>
                </c:pt>
                <c:pt idx="9">
                  <c:v>2.4896599632821212</c:v>
                </c:pt>
                <c:pt idx="10">
                  <c:v>2.2551170095832918</c:v>
                </c:pt>
                <c:pt idx="11">
                  <c:v>2.0776134206978387</c:v>
                </c:pt>
                <c:pt idx="12">
                  <c:v>1.8918478975900792</c:v>
                </c:pt>
                <c:pt idx="13">
                  <c:v>1.8305349024755444</c:v>
                </c:pt>
                <c:pt idx="14">
                  <c:v>1.8940050899262646</c:v>
                </c:pt>
                <c:pt idx="15">
                  <c:v>1.6761905519941769</c:v>
                </c:pt>
                <c:pt idx="16">
                  <c:v>1.8002825463432983</c:v>
                </c:pt>
                <c:pt idx="17">
                  <c:v>1.6771476901478308</c:v>
                </c:pt>
                <c:pt idx="18">
                  <c:v>1.7720037672502047</c:v>
                </c:pt>
                <c:pt idx="19">
                  <c:v>1.8485018676570995</c:v>
                </c:pt>
                <c:pt idx="20">
                  <c:v>1.8397687048630029</c:v>
                </c:pt>
                <c:pt idx="21">
                  <c:v>2.2844542160880894</c:v>
                </c:pt>
                <c:pt idx="22">
                  <c:v>2.5189637649999312</c:v>
                </c:pt>
                <c:pt idx="23">
                  <c:v>2.5568056874518592</c:v>
                </c:pt>
                <c:pt idx="24">
                  <c:v>2.6511157781093457</c:v>
                </c:pt>
                <c:pt idx="25">
                  <c:v>2.5558537145751221</c:v>
                </c:pt>
                <c:pt idx="26">
                  <c:v>2.2901538060327793</c:v>
                </c:pt>
                <c:pt idx="27">
                  <c:v>1.9496167650763063</c:v>
                </c:pt>
                <c:pt idx="28">
                  <c:v>1.9720395538197208</c:v>
                </c:pt>
                <c:pt idx="29">
                  <c:v>1.8974171672263442</c:v>
                </c:pt>
                <c:pt idx="30">
                  <c:v>1.9138067672143408</c:v>
                </c:pt>
                <c:pt idx="31">
                  <c:v>2.0818370633895995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3E-4A2F-97B2-7E8A20E258F1}"/>
            </c:ext>
          </c:extLst>
        </c:ser>
        <c:ser>
          <c:idx val="1"/>
          <c:order val="1"/>
          <c:tx>
            <c:strRef>
              <c:f>'Trh práce-2b'!$A$31</c:f>
              <c:strCache>
                <c:ptCount val="1"/>
                <c:pt idx="0">
                  <c:v>Míra nezaměstnanosti žen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</c:spPr>
          <c:invertIfNegative val="0"/>
          <c:cat>
            <c:multiLvlStrRef>
              <c:f>'Trh práce-2b'!$B$28:$AH$29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práce-2b'!$B$31:$AH$31</c:f>
              <c:numCache>
                <c:formatCode>0.0</c:formatCode>
                <c:ptCount val="33"/>
                <c:pt idx="0">
                  <c:v>6.9222553285182276</c:v>
                </c:pt>
                <c:pt idx="1">
                  <c:v>6.1574734010641681</c:v>
                </c:pt>
                <c:pt idx="2">
                  <c:v>5.9782623258088501</c:v>
                </c:pt>
                <c:pt idx="3">
                  <c:v>5.6620152495567417</c:v>
                </c:pt>
                <c:pt idx="4">
                  <c:v>5.0673452085604307</c:v>
                </c:pt>
                <c:pt idx="5">
                  <c:v>4.8043887472568372</c:v>
                </c:pt>
                <c:pt idx="6">
                  <c:v>4.8106927452925161</c:v>
                </c:pt>
                <c:pt idx="7">
                  <c:v>4.3651406959211574</c:v>
                </c:pt>
                <c:pt idx="8">
                  <c:v>4.2662202987956901</c:v>
                </c:pt>
                <c:pt idx="9">
                  <c:v>3.895989609330353</c:v>
                </c:pt>
                <c:pt idx="10">
                  <c:v>3.4106288974811787</c:v>
                </c:pt>
                <c:pt idx="11">
                  <c:v>3.0248852601317608</c:v>
                </c:pt>
                <c:pt idx="12">
                  <c:v>2.937438095997102</c:v>
                </c:pt>
                <c:pt idx="13">
                  <c:v>2.8942131985459234</c:v>
                </c:pt>
                <c:pt idx="14">
                  <c:v>2.8595897081181061</c:v>
                </c:pt>
                <c:pt idx="15">
                  <c:v>2.6790615757528808</c:v>
                </c:pt>
                <c:pt idx="16">
                  <c:v>2.2422670386030705</c:v>
                </c:pt>
                <c:pt idx="17">
                  <c:v>2.4749436172794574</c:v>
                </c:pt>
                <c:pt idx="18">
                  <c:v>2.5674106554391818</c:v>
                </c:pt>
                <c:pt idx="19">
                  <c:v>2.4331319301010672</c:v>
                </c:pt>
                <c:pt idx="20">
                  <c:v>2.0406633937113834</c:v>
                </c:pt>
                <c:pt idx="21">
                  <c:v>2.8151720875870319</c:v>
                </c:pt>
                <c:pt idx="22">
                  <c:v>3.3721173958268587</c:v>
                </c:pt>
                <c:pt idx="23">
                  <c:v>3.8941512714495952</c:v>
                </c:pt>
                <c:pt idx="24">
                  <c:v>4.1466133438217581</c:v>
                </c:pt>
                <c:pt idx="25">
                  <c:v>3.9108278351467125</c:v>
                </c:pt>
                <c:pt idx="26">
                  <c:v>3.2642331011371852</c:v>
                </c:pt>
                <c:pt idx="27">
                  <c:v>2.7320770364618543</c:v>
                </c:pt>
                <c:pt idx="28">
                  <c:v>2.9886729723100074</c:v>
                </c:pt>
                <c:pt idx="29">
                  <c:v>3.2165326130380625</c:v>
                </c:pt>
                <c:pt idx="30">
                  <c:v>2.9001874705692408</c:v>
                </c:pt>
                <c:pt idx="31">
                  <c:v>2.7940167262836417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3E-4A2F-97B2-7E8A20E25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46801664"/>
        <c:axId val="46803584"/>
      </c:barChart>
      <c:lineChart>
        <c:grouping val="standard"/>
        <c:varyColors val="0"/>
        <c:ser>
          <c:idx val="2"/>
          <c:order val="2"/>
          <c:tx>
            <c:strRef>
              <c:f>'Trh práce-2b'!$A$32</c:f>
              <c:strCache>
                <c:ptCount val="1"/>
                <c:pt idx="0">
                  <c:v>Míra ekonomické aktivity mužů</c:v>
                </c:pt>
              </c:strCache>
            </c:strRef>
          </c:tx>
          <c:spPr>
            <a:ln w="19050">
              <a:solidFill>
                <a:srgbClr val="4FD1FF"/>
              </a:solidFill>
              <a:prstDash val="solid"/>
            </a:ln>
          </c:spPr>
          <c:marker>
            <c:symbol val="none"/>
          </c:marker>
          <c:cat>
            <c:multiLvlStrRef>
              <c:f>'Trh práce-2b'!$B$28:$AH$29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práce-2b'!$B$32:$AH$32</c:f>
              <c:numCache>
                <c:formatCode>0.0</c:formatCode>
                <c:ptCount val="33"/>
                <c:pt idx="0">
                  <c:v>81.413481997639408</c:v>
                </c:pt>
                <c:pt idx="1">
                  <c:v>81.419110594189576</c:v>
                </c:pt>
                <c:pt idx="2">
                  <c:v>81.349582359517356</c:v>
                </c:pt>
                <c:pt idx="3">
                  <c:v>81.513665177863871</c:v>
                </c:pt>
                <c:pt idx="4">
                  <c:v>81.95464671816957</c:v>
                </c:pt>
                <c:pt idx="5">
                  <c:v>82.083249820800901</c:v>
                </c:pt>
                <c:pt idx="6">
                  <c:v>82.176405797492023</c:v>
                </c:pt>
                <c:pt idx="7">
                  <c:v>82.467848071365196</c:v>
                </c:pt>
                <c:pt idx="8">
                  <c:v>82.727860041774363</c:v>
                </c:pt>
                <c:pt idx="9">
                  <c:v>82.8574723840579</c:v>
                </c:pt>
                <c:pt idx="10">
                  <c:v>83.019684737731751</c:v>
                </c:pt>
                <c:pt idx="11">
                  <c:v>83.176217916023887</c:v>
                </c:pt>
                <c:pt idx="12">
                  <c:v>83.366789147231671</c:v>
                </c:pt>
                <c:pt idx="13">
                  <c:v>83.412777616074308</c:v>
                </c:pt>
                <c:pt idx="14">
                  <c:v>83.227918264119197</c:v>
                </c:pt>
                <c:pt idx="15">
                  <c:v>83.429606669855431</c:v>
                </c:pt>
                <c:pt idx="16">
                  <c:v>83.682240247092309</c:v>
                </c:pt>
                <c:pt idx="17">
                  <c:v>83.455854890894514</c:v>
                </c:pt>
                <c:pt idx="18">
                  <c:v>83.299122325687904</c:v>
                </c:pt>
                <c:pt idx="19">
                  <c:v>83.581723193428658</c:v>
                </c:pt>
                <c:pt idx="20">
                  <c:v>83.439582450321751</c:v>
                </c:pt>
                <c:pt idx="21">
                  <c:v>83.067870438412911</c:v>
                </c:pt>
                <c:pt idx="22">
                  <c:v>83.403417829033472</c:v>
                </c:pt>
                <c:pt idx="23">
                  <c:v>83.153717731021757</c:v>
                </c:pt>
                <c:pt idx="24">
                  <c:v>82.990935835508182</c:v>
                </c:pt>
                <c:pt idx="25">
                  <c:v>83.019143570825904</c:v>
                </c:pt>
                <c:pt idx="26">
                  <c:v>83.358986296034701</c:v>
                </c:pt>
                <c:pt idx="27">
                  <c:v>83.646745052051784</c:v>
                </c:pt>
                <c:pt idx="28">
                  <c:v>83.752911933942713</c:v>
                </c:pt>
                <c:pt idx="29">
                  <c:v>83.771889777101919</c:v>
                </c:pt>
                <c:pt idx="30">
                  <c:v>83.585423870007347</c:v>
                </c:pt>
                <c:pt idx="31">
                  <c:v>83.347599287949421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73E-4A2F-97B2-7E8A20E258F1}"/>
            </c:ext>
          </c:extLst>
        </c:ser>
        <c:ser>
          <c:idx val="3"/>
          <c:order val="3"/>
          <c:tx>
            <c:strRef>
              <c:f>'Trh práce-2b'!$A$33</c:f>
              <c:strCache>
                <c:ptCount val="1"/>
                <c:pt idx="0">
                  <c:v>Míra ekonomické aktivity žen</c:v>
                </c:pt>
              </c:strCache>
            </c:strRef>
          </c:tx>
          <c:spPr>
            <a:ln w="19050">
              <a:solidFill>
                <a:schemeClr val="accent2">
                  <a:lumMod val="60000"/>
                  <a:lumOff val="40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'Trh práce-2b'!$B$28:$AH$29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práce-2b'!$B$33:$AH$33</c:f>
              <c:numCache>
                <c:formatCode>0.0</c:formatCode>
                <c:ptCount val="33"/>
                <c:pt idx="0">
                  <c:v>66.54252814007161</c:v>
                </c:pt>
                <c:pt idx="1">
                  <c:v>66.666431768491307</c:v>
                </c:pt>
                <c:pt idx="2">
                  <c:v>66.654792914968837</c:v>
                </c:pt>
                <c:pt idx="3">
                  <c:v>66.418889866464539</c:v>
                </c:pt>
                <c:pt idx="4">
                  <c:v>67.04627543928467</c:v>
                </c:pt>
                <c:pt idx="5">
                  <c:v>67.710621614993485</c:v>
                </c:pt>
                <c:pt idx="6">
                  <c:v>67.837768163348073</c:v>
                </c:pt>
                <c:pt idx="7">
                  <c:v>68.456265295297428</c:v>
                </c:pt>
                <c:pt idx="8">
                  <c:v>68.697468612411839</c:v>
                </c:pt>
                <c:pt idx="9">
                  <c:v>68.713756307271581</c:v>
                </c:pt>
                <c:pt idx="10">
                  <c:v>69.103189641889657</c:v>
                </c:pt>
                <c:pt idx="11">
                  <c:v>68.910813934937806</c:v>
                </c:pt>
                <c:pt idx="12">
                  <c:v>69.340516941843759</c:v>
                </c:pt>
                <c:pt idx="13">
                  <c:v>69.81384857147701</c:v>
                </c:pt>
                <c:pt idx="14">
                  <c:v>69.950002702371648</c:v>
                </c:pt>
                <c:pt idx="15">
                  <c:v>70.044975969350347</c:v>
                </c:pt>
                <c:pt idx="16">
                  <c:v>70.049718587143374</c:v>
                </c:pt>
                <c:pt idx="17">
                  <c:v>69.833313596022052</c:v>
                </c:pt>
                <c:pt idx="18">
                  <c:v>69.925958459528289</c:v>
                </c:pt>
                <c:pt idx="19">
                  <c:v>69.668015731742173</c:v>
                </c:pt>
                <c:pt idx="20">
                  <c:v>69.333922930053149</c:v>
                </c:pt>
                <c:pt idx="21">
                  <c:v>68.92848776238327</c:v>
                </c:pt>
                <c:pt idx="22">
                  <c:v>68.946784735681518</c:v>
                </c:pt>
                <c:pt idx="23">
                  <c:v>69.349546510975912</c:v>
                </c:pt>
                <c:pt idx="24">
                  <c:v>69.402776735529145</c:v>
                </c:pt>
                <c:pt idx="25">
                  <c:v>68.843817581364831</c:v>
                </c:pt>
                <c:pt idx="26">
                  <c:v>69.983896064987391</c:v>
                </c:pt>
                <c:pt idx="27">
                  <c:v>70.127127346898348</c:v>
                </c:pt>
                <c:pt idx="28">
                  <c:v>70.135331194241147</c:v>
                </c:pt>
                <c:pt idx="29">
                  <c:v>70.397950263800396</c:v>
                </c:pt>
                <c:pt idx="30">
                  <c:v>70.915988158136841</c:v>
                </c:pt>
                <c:pt idx="31">
                  <c:v>70.823612459758408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73E-4A2F-97B2-7E8A20E258F1}"/>
            </c:ext>
          </c:extLst>
        </c:ser>
        <c:ser>
          <c:idx val="4"/>
          <c:order val="4"/>
          <c:tx>
            <c:strRef>
              <c:f>'Trh práce-2b'!$A$34</c:f>
              <c:strCache>
                <c:ptCount val="1"/>
                <c:pt idx="0">
                  <c:v>Ekon. neaktivní chtějící pracovat</c:v>
                </c:pt>
              </c:strCache>
            </c:strRef>
          </c:tx>
          <c:spPr>
            <a:ln w="19050">
              <a:solidFill>
                <a:schemeClr val="bg2">
                  <a:lumMod val="50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'Trh práce-2b'!$B$28:$AH$29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práce-2b'!$B$34:$AH$34</c:f>
              <c:numCache>
                <c:formatCode>0.0</c:formatCode>
                <c:ptCount val="33"/>
                <c:pt idx="0">
                  <c:v>138.5</c:v>
                </c:pt>
                <c:pt idx="1">
                  <c:v>141.4</c:v>
                </c:pt>
                <c:pt idx="2">
                  <c:v>137.1</c:v>
                </c:pt>
                <c:pt idx="3">
                  <c:v>130.4</c:v>
                </c:pt>
                <c:pt idx="4">
                  <c:v>141</c:v>
                </c:pt>
                <c:pt idx="5">
                  <c:v>126.4</c:v>
                </c:pt>
                <c:pt idx="6">
                  <c:v>129.69999999999999</c:v>
                </c:pt>
                <c:pt idx="7">
                  <c:v>127.1</c:v>
                </c:pt>
                <c:pt idx="8">
                  <c:v>133.1</c:v>
                </c:pt>
                <c:pt idx="9">
                  <c:v>120.1</c:v>
                </c:pt>
                <c:pt idx="10">
                  <c:v>121.3</c:v>
                </c:pt>
                <c:pt idx="11">
                  <c:v>119.1</c:v>
                </c:pt>
                <c:pt idx="12">
                  <c:v>113.5</c:v>
                </c:pt>
                <c:pt idx="13">
                  <c:v>108.4</c:v>
                </c:pt>
                <c:pt idx="14">
                  <c:v>110.3</c:v>
                </c:pt>
                <c:pt idx="15">
                  <c:v>101.7</c:v>
                </c:pt>
                <c:pt idx="16">
                  <c:v>104.6</c:v>
                </c:pt>
                <c:pt idx="17">
                  <c:v>104.6</c:v>
                </c:pt>
                <c:pt idx="18">
                  <c:v>97.6</c:v>
                </c:pt>
                <c:pt idx="19">
                  <c:v>99.9</c:v>
                </c:pt>
                <c:pt idx="20">
                  <c:v>93.4</c:v>
                </c:pt>
                <c:pt idx="21">
                  <c:v>109.3</c:v>
                </c:pt>
                <c:pt idx="22">
                  <c:v>98.8</c:v>
                </c:pt>
                <c:pt idx="23">
                  <c:v>95.7</c:v>
                </c:pt>
                <c:pt idx="24">
                  <c:v>108</c:v>
                </c:pt>
                <c:pt idx="25">
                  <c:v>113.7</c:v>
                </c:pt>
                <c:pt idx="26">
                  <c:v>64.599999999999994</c:v>
                </c:pt>
                <c:pt idx="27">
                  <c:v>63.3</c:v>
                </c:pt>
                <c:pt idx="28">
                  <c:v>67</c:v>
                </c:pt>
                <c:pt idx="29">
                  <c:v>58.7</c:v>
                </c:pt>
                <c:pt idx="30">
                  <c:v>56.6</c:v>
                </c:pt>
                <c:pt idx="31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73E-4A2F-97B2-7E8A20E258F1}"/>
            </c:ext>
          </c:extLst>
        </c:ser>
        <c:ser>
          <c:idx val="5"/>
          <c:order val="5"/>
          <c:tx>
            <c:strRef>
              <c:f>'Trh práce-2b'!$A$35</c:f>
              <c:strCache>
                <c:ptCount val="1"/>
                <c:pt idx="0">
                  <c:v>Očekávání vývoje nezaměstnanosti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multiLvlStrRef>
              <c:f>'Trh práce-2b'!$B$28:$AH$29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práce-2b'!$B$35:$AH$35</c:f>
              <c:numCache>
                <c:formatCode>0.0</c:formatCode>
                <c:ptCount val="33"/>
                <c:pt idx="0">
                  <c:v>7.164299999999999</c:v>
                </c:pt>
                <c:pt idx="1">
                  <c:v>7.285100000000007</c:v>
                </c:pt>
                <c:pt idx="2">
                  <c:v>12.284650000000003</c:v>
                </c:pt>
                <c:pt idx="3">
                  <c:v>4.9166000000000114</c:v>
                </c:pt>
                <c:pt idx="4">
                  <c:v>1.0857999999999965</c:v>
                </c:pt>
                <c:pt idx="5">
                  <c:v>8.5</c:v>
                </c:pt>
                <c:pt idx="6">
                  <c:v>7.0434000000000001</c:v>
                </c:pt>
                <c:pt idx="7">
                  <c:v>3.6378000000000008</c:v>
                </c:pt>
                <c:pt idx="8">
                  <c:v>-1.5695999999999979</c:v>
                </c:pt>
                <c:pt idx="9">
                  <c:v>-4.08</c:v>
                </c:pt>
                <c:pt idx="10">
                  <c:v>3.4699999999999998</c:v>
                </c:pt>
                <c:pt idx="11">
                  <c:v>-0.24125000000000121</c:v>
                </c:pt>
                <c:pt idx="12">
                  <c:v>-2.7831500000000058</c:v>
                </c:pt>
                <c:pt idx="13">
                  <c:v>-3.4120999999999966</c:v>
                </c:pt>
                <c:pt idx="14">
                  <c:v>1.7031000000000018</c:v>
                </c:pt>
                <c:pt idx="15">
                  <c:v>5.4753000000000034</c:v>
                </c:pt>
                <c:pt idx="16">
                  <c:v>6.049950000000007</c:v>
                </c:pt>
                <c:pt idx="17">
                  <c:v>6.7826500000000092</c:v>
                </c:pt>
                <c:pt idx="18">
                  <c:v>13.915050000000004</c:v>
                </c:pt>
                <c:pt idx="19">
                  <c:v>12.833350000000015</c:v>
                </c:pt>
                <c:pt idx="20">
                  <c:v>16.191749999999974</c:v>
                </c:pt>
                <c:pt idx="21">
                  <c:v>48.613783013874155</c:v>
                </c:pt>
                <c:pt idx="22">
                  <c:v>46.743935992335068</c:v>
                </c:pt>
                <c:pt idx="23">
                  <c:v>59.451661916404795</c:v>
                </c:pt>
                <c:pt idx="24">
                  <c:v>51.491542099717499</c:v>
                </c:pt>
                <c:pt idx="25">
                  <c:v>17.798405633777229</c:v>
                </c:pt>
                <c:pt idx="26">
                  <c:v>14.166188913138264</c:v>
                </c:pt>
                <c:pt idx="27">
                  <c:v>24.802588956528087</c:v>
                </c:pt>
                <c:pt idx="28">
                  <c:v>15.46</c:v>
                </c:pt>
                <c:pt idx="29">
                  <c:v>21.479999999999986</c:v>
                </c:pt>
                <c:pt idx="30">
                  <c:v>27.68</c:v>
                </c:pt>
                <c:pt idx="31">
                  <c:v>46.57</c:v>
                </c:pt>
                <c:pt idx="32">
                  <c:v>31.69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73E-4A2F-97B2-7E8A20E258F1}"/>
            </c:ext>
          </c:extLst>
        </c:ser>
        <c:ser>
          <c:idx val="6"/>
          <c:order val="6"/>
          <c:tx>
            <c:strRef>
              <c:f>'Trh práce-2b'!$A$36</c:f>
              <c:strCache>
                <c:ptCount val="1"/>
                <c:pt idx="0">
                  <c:v>VPM pro vyučené a SŠ bez mat.</c:v>
                </c:pt>
              </c:strCache>
            </c:strRef>
          </c:tx>
          <c:spPr>
            <a:ln>
              <a:noFill/>
            </a:ln>
          </c:spPr>
          <c:marker>
            <c:symbol val="circle"/>
            <c:size val="4"/>
            <c:spPr>
              <a:solidFill>
                <a:srgbClr val="8EB149"/>
              </a:solidFill>
              <a:ln>
                <a:noFill/>
              </a:ln>
            </c:spPr>
          </c:marker>
          <c:cat>
            <c:multiLvlStrRef>
              <c:f>'Trh práce-2b'!$B$28:$AH$29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práce-2b'!$B$36:$AH$36</c:f>
              <c:numCache>
                <c:formatCode>0.0</c:formatCode>
                <c:ptCount val="33"/>
                <c:pt idx="0">
                  <c:v>31.7</c:v>
                </c:pt>
                <c:pt idx="1">
                  <c:v>39.700000000000003</c:v>
                </c:pt>
                <c:pt idx="2">
                  <c:v>44.4</c:v>
                </c:pt>
                <c:pt idx="3">
                  <c:v>41.2</c:v>
                </c:pt>
                <c:pt idx="4">
                  <c:v>45.3</c:v>
                </c:pt>
                <c:pt idx="5">
                  <c:v>51.4</c:v>
                </c:pt>
                <c:pt idx="6">
                  <c:v>52.8</c:v>
                </c:pt>
                <c:pt idx="7">
                  <c:v>47.2</c:v>
                </c:pt>
                <c:pt idx="8">
                  <c:v>51.5</c:v>
                </c:pt>
                <c:pt idx="9">
                  <c:v>59.1</c:v>
                </c:pt>
                <c:pt idx="10">
                  <c:v>63.1</c:v>
                </c:pt>
                <c:pt idx="11">
                  <c:v>60.9</c:v>
                </c:pt>
                <c:pt idx="12">
                  <c:v>65.3</c:v>
                </c:pt>
                <c:pt idx="13">
                  <c:v>73.3</c:v>
                </c:pt>
                <c:pt idx="14">
                  <c:v>74.2</c:v>
                </c:pt>
                <c:pt idx="15">
                  <c:v>70.400000000000006</c:v>
                </c:pt>
                <c:pt idx="16">
                  <c:v>70.2</c:v>
                </c:pt>
                <c:pt idx="17">
                  <c:v>68</c:v>
                </c:pt>
                <c:pt idx="18">
                  <c:v>65.8</c:v>
                </c:pt>
                <c:pt idx="19">
                  <c:v>59.1</c:v>
                </c:pt>
                <c:pt idx="20">
                  <c:v>57.7</c:v>
                </c:pt>
                <c:pt idx="21">
                  <c:v>54.3</c:v>
                </c:pt>
                <c:pt idx="22">
                  <c:v>49.1</c:v>
                </c:pt>
                <c:pt idx="23">
                  <c:v>46.6</c:v>
                </c:pt>
                <c:pt idx="24">
                  <c:v>47.9</c:v>
                </c:pt>
                <c:pt idx="25">
                  <c:v>53.9</c:v>
                </c:pt>
                <c:pt idx="26">
                  <c:v>55.5</c:v>
                </c:pt>
                <c:pt idx="27">
                  <c:v>48.9</c:v>
                </c:pt>
                <c:pt idx="28">
                  <c:v>53.7</c:v>
                </c:pt>
                <c:pt idx="29">
                  <c:v>51.3</c:v>
                </c:pt>
                <c:pt idx="30">
                  <c:v>48.2</c:v>
                </c:pt>
                <c:pt idx="31">
                  <c:v>43.886999999999993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73E-4A2F-97B2-7E8A20E258F1}"/>
            </c:ext>
          </c:extLst>
        </c:ser>
        <c:ser>
          <c:idx val="7"/>
          <c:order val="7"/>
          <c:tx>
            <c:strRef>
              <c:f>'Trh práce-2b'!$A$37</c:f>
              <c:strCache>
                <c:ptCount val="1"/>
                <c:pt idx="0">
                  <c:v>VPM pro SŠ s mat., VOŠ a VŠ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5"/>
            <c:spPr>
              <a:solidFill>
                <a:srgbClr val="00B050"/>
              </a:solidFill>
              <a:ln>
                <a:noFill/>
              </a:ln>
            </c:spPr>
          </c:marker>
          <c:cat>
            <c:multiLvlStrRef>
              <c:f>'Trh práce-2b'!$B$28:$AH$29</c:f>
              <c:multiLvlStrCache>
                <c:ptCount val="3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  <c:pt idx="32">
                    <c:v>2023</c:v>
                  </c:pt>
                </c:lvl>
              </c:multiLvlStrCache>
            </c:multiLvlStrRef>
          </c:cat>
          <c:val>
            <c:numRef>
              <c:f>'Trh práce-2b'!$B$37:$AH$37</c:f>
              <c:numCache>
                <c:formatCode>0.0</c:formatCode>
                <c:ptCount val="33"/>
                <c:pt idx="0">
                  <c:v>16.600000000000001</c:v>
                </c:pt>
                <c:pt idx="1">
                  <c:v>19.3</c:v>
                </c:pt>
                <c:pt idx="2">
                  <c:v>20</c:v>
                </c:pt>
                <c:pt idx="3">
                  <c:v>19.600000000000001</c:v>
                </c:pt>
                <c:pt idx="4">
                  <c:v>23.4</c:v>
                </c:pt>
                <c:pt idx="5">
                  <c:v>24.8</c:v>
                </c:pt>
                <c:pt idx="6">
                  <c:v>25.2</c:v>
                </c:pt>
                <c:pt idx="7">
                  <c:v>23.5</c:v>
                </c:pt>
                <c:pt idx="8">
                  <c:v>25.9</c:v>
                </c:pt>
                <c:pt idx="9">
                  <c:v>30.3</c:v>
                </c:pt>
                <c:pt idx="10">
                  <c:v>31.4</c:v>
                </c:pt>
                <c:pt idx="11">
                  <c:v>31.8</c:v>
                </c:pt>
                <c:pt idx="12">
                  <c:v>34.300000000000004</c:v>
                </c:pt>
                <c:pt idx="13">
                  <c:v>38</c:v>
                </c:pt>
                <c:pt idx="14">
                  <c:v>37.200000000000003</c:v>
                </c:pt>
                <c:pt idx="15">
                  <c:v>36.6</c:v>
                </c:pt>
                <c:pt idx="16">
                  <c:v>37.300000000000004</c:v>
                </c:pt>
                <c:pt idx="17">
                  <c:v>38.300000000000004</c:v>
                </c:pt>
                <c:pt idx="18">
                  <c:v>38.6</c:v>
                </c:pt>
                <c:pt idx="19">
                  <c:v>36.300000000000004</c:v>
                </c:pt>
                <c:pt idx="20">
                  <c:v>37.700000000000003</c:v>
                </c:pt>
                <c:pt idx="21">
                  <c:v>38.1</c:v>
                </c:pt>
                <c:pt idx="22">
                  <c:v>34.4</c:v>
                </c:pt>
                <c:pt idx="23">
                  <c:v>34.1</c:v>
                </c:pt>
                <c:pt idx="24">
                  <c:v>36.300000000000004</c:v>
                </c:pt>
                <c:pt idx="25">
                  <c:v>39.6</c:v>
                </c:pt>
                <c:pt idx="26">
                  <c:v>40.300000000000004</c:v>
                </c:pt>
                <c:pt idx="27">
                  <c:v>39.200000000000003</c:v>
                </c:pt>
                <c:pt idx="28">
                  <c:v>42.5</c:v>
                </c:pt>
                <c:pt idx="29">
                  <c:v>41</c:v>
                </c:pt>
                <c:pt idx="30">
                  <c:v>38.5</c:v>
                </c:pt>
                <c:pt idx="31">
                  <c:v>36.56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73E-4A2F-97B2-7E8A20E25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811776"/>
        <c:axId val="46809856"/>
      </c:lineChart>
      <c:catAx>
        <c:axId val="46801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46803584"/>
        <c:crossesAt val="-50"/>
        <c:auto val="1"/>
        <c:lblAlgn val="ctr"/>
        <c:lblOffset val="0"/>
        <c:noMultiLvlLbl val="0"/>
      </c:catAx>
      <c:valAx>
        <c:axId val="46803584"/>
        <c:scaling>
          <c:orientation val="minMax"/>
          <c:max val="7.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Míra nezaměstnanosti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46801664"/>
        <c:crosses val="autoZero"/>
        <c:crossBetween val="between"/>
        <c:majorUnit val="0.5"/>
      </c:valAx>
      <c:valAx>
        <c:axId val="46809856"/>
        <c:scaling>
          <c:orientation val="minMax"/>
          <c:max val="142"/>
          <c:min val="-1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Míra</a:t>
                </a:r>
                <a:r>
                  <a:rPr lang="cs-CZ" sz="700" b="0" i="1" baseline="0"/>
                  <a:t> ekonomické aktivity, e</a:t>
                </a:r>
                <a:r>
                  <a:rPr lang="cs-CZ" sz="700" b="0" i="1"/>
                  <a:t>kon. neaktivní, očekávání nezam.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46811776"/>
        <c:crosses val="max"/>
        <c:crossBetween val="between"/>
        <c:majorUnit val="10"/>
      </c:valAx>
      <c:catAx>
        <c:axId val="46811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46809856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7707750087519983E-2"/>
          <c:y val="0.85621702146200651"/>
          <c:w val="0.87725909810586844"/>
          <c:h val="0.13327617558991148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7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411162452186125E-2"/>
          <c:y val="2.0203894786331153E-2"/>
          <c:w val="0.94100987714831796"/>
          <c:h val="0.79440831414609769"/>
        </c:manualLayout>
      </c:layout>
      <c:barChart>
        <c:barDir val="col"/>
        <c:grouping val="clustered"/>
        <c:varyColors val="0"/>
        <c:ser>
          <c:idx val="4"/>
          <c:order val="1"/>
          <c:tx>
            <c:strRef>
              <c:f>'Trh práce 3'!$D$65</c:f>
              <c:strCache>
                <c:ptCount val="1"/>
                <c:pt idx="0">
                  <c:v>Průměrná mzda celkem (reálně)</c:v>
                </c:pt>
              </c:strCache>
            </c:strRef>
          </c:tx>
          <c:spPr>
            <a:solidFill>
              <a:srgbClr val="DBDBDB"/>
            </a:solidFill>
            <a:ln w="19050">
              <a:noFill/>
            </a:ln>
          </c:spPr>
          <c:invertIfNegative val="0"/>
          <c:cat>
            <c:numRef>
              <c:f>'Trh práce 3'!$B$66:$B$83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'Trh práce 3'!$D$66:$D$83</c:f>
              <c:numCache>
                <c:formatCode>#\ ##0.0</c:formatCode>
                <c:ptCount val="18"/>
                <c:pt idx="0">
                  <c:v>3</c:v>
                </c:pt>
                <c:pt idx="1">
                  <c:v>4</c:v>
                </c:pt>
                <c:pt idx="2">
                  <c:v>4.2999999999999972</c:v>
                </c:pt>
                <c:pt idx="3">
                  <c:v>1.4000000000000057</c:v>
                </c:pt>
                <c:pt idx="4">
                  <c:v>2.2999999999999972</c:v>
                </c:pt>
                <c:pt idx="5">
                  <c:v>0.70000000000000284</c:v>
                </c:pt>
                <c:pt idx="6">
                  <c:v>0.59999999999999432</c:v>
                </c:pt>
                <c:pt idx="7">
                  <c:v>-0.7999999999999976</c:v>
                </c:pt>
                <c:pt idx="8">
                  <c:v>-1.5</c:v>
                </c:pt>
                <c:pt idx="9">
                  <c:v>2.5</c:v>
                </c:pt>
                <c:pt idx="10">
                  <c:v>2.9000000000000057</c:v>
                </c:pt>
                <c:pt idx="11">
                  <c:v>3.7000000000000042</c:v>
                </c:pt>
                <c:pt idx="12">
                  <c:v>4.2000000000000028</c:v>
                </c:pt>
                <c:pt idx="13">
                  <c:v>5.9000000000000083</c:v>
                </c:pt>
                <c:pt idx="14">
                  <c:v>5</c:v>
                </c:pt>
                <c:pt idx="15">
                  <c:v>1.4000000000000057</c:v>
                </c:pt>
                <c:pt idx="16">
                  <c:v>1</c:v>
                </c:pt>
                <c:pt idx="17">
                  <c:v>-7.5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E1-417B-A55F-5E5CDD2B7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"/>
        <c:axId val="46834048"/>
        <c:axId val="46835968"/>
      </c:barChart>
      <c:lineChart>
        <c:grouping val="standard"/>
        <c:varyColors val="0"/>
        <c:ser>
          <c:idx val="0"/>
          <c:order val="0"/>
          <c:tx>
            <c:strRef>
              <c:f>'Trh práce 3'!$C$65</c:f>
              <c:strCache>
                <c:ptCount val="1"/>
                <c:pt idx="0">
                  <c:v>Průměrná mzda celkem (nominálně)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'Trh práce 3'!$B$66:$B$83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'Trh práce 3'!$C$66:$C$83</c:f>
              <c:numCache>
                <c:formatCode>General</c:formatCode>
                <c:ptCount val="18"/>
                <c:pt idx="0" formatCode="0.0">
                  <c:v>5</c:v>
                </c:pt>
                <c:pt idx="1">
                  <c:v>6.5999999999999943</c:v>
                </c:pt>
                <c:pt idx="2">
                  <c:v>7.2000000000000028</c:v>
                </c:pt>
                <c:pt idx="3">
                  <c:v>7.7999999999999972</c:v>
                </c:pt>
                <c:pt idx="4" formatCode="#\ ##0.0">
                  <c:v>3.2999999999999972</c:v>
                </c:pt>
                <c:pt idx="5" formatCode="#\ ##0.0">
                  <c:v>2.2000000000000042</c:v>
                </c:pt>
                <c:pt idx="6" formatCode="#\ ##0.0">
                  <c:v>2.5</c:v>
                </c:pt>
                <c:pt idx="7" formatCode="#\ ##0.0">
                  <c:v>2.5</c:v>
                </c:pt>
                <c:pt idx="8" formatCode="#\ ##0.0">
                  <c:v>-9.9999999999994482E-2</c:v>
                </c:pt>
                <c:pt idx="9" formatCode="#\ ##0.0">
                  <c:v>2.9000000000000057</c:v>
                </c:pt>
                <c:pt idx="10" formatCode="#\ ##0.0">
                  <c:v>3.2000000000000042</c:v>
                </c:pt>
                <c:pt idx="11" formatCode="#\ ##0.0">
                  <c:v>4.4000000000000083</c:v>
                </c:pt>
                <c:pt idx="12" formatCode="#\ ##0.0">
                  <c:v>6.7999999999999972</c:v>
                </c:pt>
                <c:pt idx="13" formatCode="#\ ##0.0">
                  <c:v>8.1000000000000014</c:v>
                </c:pt>
                <c:pt idx="14" formatCode="#\ ##0.0">
                  <c:v>7.9000000000000083</c:v>
                </c:pt>
                <c:pt idx="15" formatCode="#\ ##0.0">
                  <c:v>4.5999999999999943</c:v>
                </c:pt>
                <c:pt idx="16" formatCode="#\ ##0.0">
                  <c:v>4.7999999999999972</c:v>
                </c:pt>
                <c:pt idx="17" formatCode="#\ ##0.0">
                  <c:v>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4E1-417B-A55F-5E5CDD2B7FC8}"/>
            </c:ext>
          </c:extLst>
        </c:ser>
        <c:ser>
          <c:idx val="5"/>
          <c:order val="2"/>
          <c:tx>
            <c:strRef>
              <c:f>'Trh práce 3'!$E$65</c:f>
              <c:strCache>
                <c:ptCount val="1"/>
                <c:pt idx="0">
                  <c:v>Prům. mzda v průmyslu (nominálně)</c:v>
                </c:pt>
              </c:strCache>
            </c:strRef>
          </c:tx>
          <c:spPr>
            <a:ln w="952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numRef>
              <c:f>'Trh práce 3'!$B$66:$B$83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'Trh práce 3'!$E$66:$E$83</c:f>
              <c:numCache>
                <c:formatCode>0.0</c:formatCode>
                <c:ptCount val="18"/>
                <c:pt idx="0">
                  <c:v>4.7940779037659365</c:v>
                </c:pt>
                <c:pt idx="1">
                  <c:v>6.3912092840724517</c:v>
                </c:pt>
                <c:pt idx="2">
                  <c:v>7.0295621014912824</c:v>
                </c:pt>
                <c:pt idx="3">
                  <c:v>8.8966569839003551</c:v>
                </c:pt>
                <c:pt idx="4">
                  <c:v>2.2922506555746338</c:v>
                </c:pt>
                <c:pt idx="5">
                  <c:v>4.4817679558011143</c:v>
                </c:pt>
                <c:pt idx="6">
                  <c:v>3.1854139345996062</c:v>
                </c:pt>
                <c:pt idx="7">
                  <c:v>3.0337815677271385</c:v>
                </c:pt>
                <c:pt idx="8">
                  <c:v>0.81171414929173058</c:v>
                </c:pt>
                <c:pt idx="9">
                  <c:v>3.3154404799494679</c:v>
                </c:pt>
                <c:pt idx="10">
                  <c:v>2.6016198044009684</c:v>
                </c:pt>
                <c:pt idx="11">
                  <c:v>4.2558737014558554</c:v>
                </c:pt>
                <c:pt idx="12">
                  <c:v>6.8214285714285783</c:v>
                </c:pt>
                <c:pt idx="13">
                  <c:v>7.7465730524908034</c:v>
                </c:pt>
                <c:pt idx="14">
                  <c:v>6.6310857355633503</c:v>
                </c:pt>
                <c:pt idx="15">
                  <c:v>2.0282854149691585</c:v>
                </c:pt>
                <c:pt idx="16">
                  <c:v>4.1128319215082065</c:v>
                </c:pt>
                <c:pt idx="17">
                  <c:v>8.007561022381708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4E1-417B-A55F-5E5CDD2B7FC8}"/>
            </c:ext>
          </c:extLst>
        </c:ser>
        <c:ser>
          <c:idx val="1"/>
          <c:order val="3"/>
          <c:tx>
            <c:strRef>
              <c:f>'Trh práce 3'!$F$65</c:f>
              <c:strCache>
                <c:ptCount val="1"/>
                <c:pt idx="0">
                  <c:v>Prům. mzda v obchodu (nominálně)</c:v>
                </c:pt>
              </c:strCache>
            </c:strRef>
          </c:tx>
          <c:spPr>
            <a:ln w="9525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numRef>
              <c:f>'Trh práce 3'!$B$66:$B$83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'Trh práce 3'!$F$66:$F$83</c:f>
              <c:numCache>
                <c:formatCode>0.0</c:formatCode>
                <c:ptCount val="18"/>
                <c:pt idx="0">
                  <c:v>4.6374677953625447</c:v>
                </c:pt>
                <c:pt idx="1">
                  <c:v>6.9175753312228778</c:v>
                </c:pt>
                <c:pt idx="2">
                  <c:v>8.6796797894505726</c:v>
                </c:pt>
                <c:pt idx="3">
                  <c:v>7.6686342767771434</c:v>
                </c:pt>
                <c:pt idx="4">
                  <c:v>7.9658872592673888E-2</c:v>
                </c:pt>
                <c:pt idx="5">
                  <c:v>3.1931828822923669</c:v>
                </c:pt>
                <c:pt idx="6">
                  <c:v>3.5117967332123383</c:v>
                </c:pt>
                <c:pt idx="7">
                  <c:v>2.2573858157271927</c:v>
                </c:pt>
                <c:pt idx="8">
                  <c:v>-0.84015602897680708</c:v>
                </c:pt>
                <c:pt idx="9">
                  <c:v>3.315609735010594</c:v>
                </c:pt>
                <c:pt idx="10">
                  <c:v>4.2301255230125614</c:v>
                </c:pt>
                <c:pt idx="11">
                  <c:v>4.7609489783629559</c:v>
                </c:pt>
                <c:pt idx="12">
                  <c:v>7.4453002260796382</c:v>
                </c:pt>
                <c:pt idx="13">
                  <c:v>6.9400855920113997</c:v>
                </c:pt>
                <c:pt idx="14">
                  <c:v>7.7869672513839703</c:v>
                </c:pt>
                <c:pt idx="15">
                  <c:v>3.5920918288419332</c:v>
                </c:pt>
                <c:pt idx="16">
                  <c:v>3.5212950241920993</c:v>
                </c:pt>
                <c:pt idx="17">
                  <c:v>8.4071434753757899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4E1-417B-A55F-5E5CDD2B7FC8}"/>
            </c:ext>
          </c:extLst>
        </c:ser>
        <c:ser>
          <c:idx val="2"/>
          <c:order val="4"/>
          <c:tx>
            <c:strRef>
              <c:f>'Trh práce 3'!$G$65</c:f>
              <c:strCache>
                <c:ptCount val="1"/>
                <c:pt idx="0">
                  <c:v>Prům. mzda ve veř. službách (nominálně)*</c:v>
                </c:pt>
              </c:strCache>
            </c:strRef>
          </c:tx>
          <c:spPr>
            <a:ln w="952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numRef>
              <c:f>'Trh práce 3'!$B$66:$B$83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'Trh práce 3'!$G$66:$G$83</c:f>
              <c:numCache>
                <c:formatCode>0.0</c:formatCode>
                <c:ptCount val="18"/>
                <c:pt idx="0">
                  <c:v>5.7448429075864285</c:v>
                </c:pt>
                <c:pt idx="1">
                  <c:v>6.2139886096904409</c:v>
                </c:pt>
                <c:pt idx="2">
                  <c:v>6.5213266053676193</c:v>
                </c:pt>
                <c:pt idx="3">
                  <c:v>4.5033471199856399</c:v>
                </c:pt>
                <c:pt idx="4">
                  <c:v>5.6068124661603465</c:v>
                </c:pt>
                <c:pt idx="5">
                  <c:v>9.2548488337286183E-2</c:v>
                </c:pt>
                <c:pt idx="6">
                  <c:v>1.3745128342853425</c:v>
                </c:pt>
                <c:pt idx="7">
                  <c:v>1.9623700739873597</c:v>
                </c:pt>
                <c:pt idx="8">
                  <c:v>0.61373585270925524</c:v>
                </c:pt>
                <c:pt idx="9">
                  <c:v>2.5772633649077372</c:v>
                </c:pt>
                <c:pt idx="10">
                  <c:v>3.7559457553514362</c:v>
                </c:pt>
                <c:pt idx="11">
                  <c:v>4.9014309200953221</c:v>
                </c:pt>
                <c:pt idx="12">
                  <c:v>7.9550010446935664</c:v>
                </c:pt>
                <c:pt idx="13">
                  <c:v>10.160948468455345</c:v>
                </c:pt>
                <c:pt idx="14">
                  <c:v>9.5948437653510705</c:v>
                </c:pt>
                <c:pt idx="15">
                  <c:v>8.458871087746628</c:v>
                </c:pt>
                <c:pt idx="16">
                  <c:v>5.8945060202917245</c:v>
                </c:pt>
                <c:pt idx="17">
                  <c:v>0.49511194805045056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4E1-417B-A55F-5E5CDD2B7FC8}"/>
            </c:ext>
          </c:extLst>
        </c:ser>
        <c:ser>
          <c:idx val="3"/>
          <c:order val="5"/>
          <c:tx>
            <c:strRef>
              <c:f>'Trh práce 3'!$H$65</c:f>
              <c:strCache>
                <c:ptCount val="1"/>
                <c:pt idx="0">
                  <c:v>Produktivita práce v NH (reálně)**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FF0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numRef>
              <c:f>'Trh práce 3'!$B$66:$B$83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'Trh práce 3'!$H$66:$H$83</c:f>
              <c:numCache>
                <c:formatCode>0.0</c:formatCode>
                <c:ptCount val="18"/>
                <c:pt idx="0">
                  <c:v>4.8184392486091365</c:v>
                </c:pt>
                <c:pt idx="1">
                  <c:v>6.028388746830978</c:v>
                </c:pt>
                <c:pt idx="2">
                  <c:v>3.1203468878058942</c:v>
                </c:pt>
                <c:pt idx="3">
                  <c:v>1.1960060577281411</c:v>
                </c:pt>
                <c:pt idx="4">
                  <c:v>-3.3926648626845264</c:v>
                </c:pt>
                <c:pt idx="5">
                  <c:v>3.9244043600750871</c:v>
                </c:pt>
                <c:pt idx="6">
                  <c:v>2.0324802370246831</c:v>
                </c:pt>
                <c:pt idx="7">
                  <c:v>-1.1785053132423684</c:v>
                </c:pt>
                <c:pt idx="8">
                  <c:v>-0.33188705551789666</c:v>
                </c:pt>
                <c:pt idx="9">
                  <c:v>2.2922851854517003</c:v>
                </c:pt>
                <c:pt idx="10">
                  <c:v>3.4234882693979531</c:v>
                </c:pt>
                <c:pt idx="11">
                  <c:v>0.80058075383486449</c:v>
                </c:pt>
                <c:pt idx="12">
                  <c:v>3.7890043117499799</c:v>
                </c:pt>
                <c:pt idx="13">
                  <c:v>2.0329992649659392</c:v>
                </c:pt>
                <c:pt idx="14">
                  <c:v>2.6850552456238574</c:v>
                </c:pt>
                <c:pt idx="15">
                  <c:v>-3.6283055899581313</c:v>
                </c:pt>
                <c:pt idx="16">
                  <c:v>2.9638733267345847</c:v>
                </c:pt>
                <c:pt idx="17">
                  <c:v>0.72609942307819786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4E1-417B-A55F-5E5CDD2B7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834048"/>
        <c:axId val="46835968"/>
      </c:lineChart>
      <c:catAx>
        <c:axId val="4683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46835968"/>
        <c:crosses val="autoZero"/>
        <c:auto val="1"/>
        <c:lblAlgn val="ctr"/>
        <c:lblOffset val="0"/>
        <c:tickMarkSkip val="4"/>
        <c:noMultiLvlLbl val="0"/>
      </c:catAx>
      <c:valAx>
        <c:axId val="46835968"/>
        <c:scaling>
          <c:orientation val="minMax"/>
          <c:max val="11"/>
          <c:min val="-8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46834048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9.1291858669558714E-3"/>
          <c:y val="0.8622457286029126"/>
          <c:w val="0.97744444842554068"/>
          <c:h val="0.12695497303572756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0C5A8-E1D4-45B9-A6FC-B1B245DAB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c42bd-08fe-4a27-9645-04f6ad96d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abc42bd-08fe-4a27-9645-04f6ad96d74a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D090CF-62AF-4131-9322-2E648D49B2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075E46-B04D-41F5-8C6A-84D308B1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6</Pages>
  <Words>2934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4</cp:revision>
  <cp:lastPrinted>2019-04-08T10:52:00Z</cp:lastPrinted>
  <dcterms:created xsi:type="dcterms:W3CDTF">2023-03-21T09:13:00Z</dcterms:created>
  <dcterms:modified xsi:type="dcterms:W3CDTF">2023-03-21T09:23:00Z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