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310" w14:textId="77777777" w:rsidR="00E920DE" w:rsidRPr="00134FFF" w:rsidRDefault="00E920DE" w:rsidP="00E920DE">
      <w:pPr>
        <w:pStyle w:val="Nadpis11"/>
        <w:rPr>
          <w:sz w:val="2"/>
          <w:szCs w:val="2"/>
        </w:rPr>
      </w:pPr>
      <w:bookmarkStart w:id="0" w:name="_Toc90395912"/>
      <w:bookmarkStart w:id="1" w:name="_Toc98245443"/>
      <w:bookmarkStart w:id="2" w:name="_Toc106176405"/>
      <w:bookmarkStart w:id="3" w:name="_Toc90395913"/>
      <w:bookmarkStart w:id="4" w:name="_Toc50712130"/>
      <w:bookmarkStart w:id="5" w:name="_Toc58605377"/>
      <w:bookmarkStart w:id="6" w:name="_Toc26865023"/>
      <w:bookmarkStart w:id="7" w:name="_Toc74246554"/>
      <w:bookmarkStart w:id="8" w:name="_Toc66719933"/>
      <w:bookmarkStart w:id="9" w:name="_Toc50712132"/>
      <w:r>
        <w:t>4</w:t>
      </w:r>
      <w:bookmarkStart w:id="10" w:name="_Toc511215218"/>
      <w:bookmarkStart w:id="11" w:name="_Toc19090679"/>
      <w:bookmarkStart w:id="12" w:name="_Toc74643856"/>
      <w:bookmarkStart w:id="13" w:name="_Toc42852411"/>
      <w:bookmarkStart w:id="14" w:name="_Toc74643857"/>
      <w:bookmarkEnd w:id="10"/>
      <w:bookmarkEnd w:id="11"/>
      <w:r w:rsidRPr="009110F7">
        <w:t>.</w:t>
      </w:r>
      <w:r>
        <w:t> </w:t>
      </w:r>
      <w:r w:rsidRPr="009110F7">
        <w:t>Vnější vztahy</w:t>
      </w:r>
      <w:bookmarkEnd w:id="0"/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23"/>
        <w:gridCol w:w="7656"/>
      </w:tblGrid>
      <w:tr w:rsidR="00E920DE" w:rsidRPr="009110F7" w14:paraId="37A336A2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47378591" w14:textId="77777777" w:rsidR="00E920DE" w:rsidRDefault="00E920DE" w:rsidP="00550540">
            <w:pPr>
              <w:pStyle w:val="Marginlie"/>
            </w:pPr>
            <w:r>
              <w:t>Export v 1. čtvrtletí meziročně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80BF3D4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D95D1ED" w14:textId="77777777" w:rsidR="00E920DE" w:rsidRPr="00AF6F98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Celková hodnota vývozu zboží v 1. čtvrtletí 2022 dosáhla 1 056,3 mld. korun. Export se tak meziročně navýšil o 76,9 mld. korun (7,8 %). Tento meziroční přírůstek byl poměrně solidní a zrychlil ve srovnání s druhou polovinou roku 2021 (3,5 % ve 3. čtvrtletí a 2,7 % ve 4. čtvrtletí). Loňské problémy s dodávkami součástek pro automobilový průmysl ale zcela neodezněly a aktuální geopolitická situace přinesla nové komplikace. Růst hodnoty exportu zboží tak lze z velké části připsat na vrub všeobecnému růstu cen, především u surovin. </w:t>
            </w:r>
          </w:p>
        </w:tc>
      </w:tr>
      <w:tr w:rsidR="00E920DE" w:rsidRPr="009110F7" w14:paraId="11870FB7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0B73ADE9" w14:textId="77777777" w:rsidR="00E920DE" w:rsidRDefault="00E920DE" w:rsidP="00550540">
            <w:pPr>
              <w:pStyle w:val="Marginlie"/>
            </w:pPr>
            <w:r>
              <w:t>Rostl export do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FE37AF0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4F04B58" w14:textId="241C3A0A" w:rsidR="00E920DE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 1. čtvrtletí vývoz zboží do EU meziročně vzrostl o 80,2 mld. korun (10,1 %), zatímco export mimo ni byl nižší o 3,5 mld. korun (-1,8 %). Výrazného meziročního přírůstku dosáhl vývoz do Německa (+29,9 mld. korun, 9,8 %) a na Slovensko (+22,4 mld., 26,3 %). U obou byl ale nárůst z velké části ovlivněn vyššími cenami elektřiny a odpovídajícím přírůstkem jejího vývozu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>. Výrazně rostl vývoz do Itálie (+8,5 mld. korun, 2</w:t>
            </w:r>
            <w:r w:rsidR="000F1AA2">
              <w:rPr>
                <w:spacing w:val="-4"/>
              </w:rPr>
              <w:t>3,5 %) a Polska (+6,3 mld., 9,1 </w:t>
            </w:r>
            <w:r>
              <w:rPr>
                <w:spacing w:val="-4"/>
              </w:rPr>
              <w:t>%). Meziročně vyšší byl také export do Rakouska (+4,6 mld. korun, 10,7 %), Spojených států (+3,8 mld., 18,2 %), Nizozemska (+2,8 mld., 8,4 %), Maďarska (+2,0 mld., 6,0 %) nebo Francie (+1,9 mld., 3,8 %). Zejména březnový vývoj stál v 1. čtvrtletí za meziročním poklesem exportu do Ruska (</w:t>
            </w:r>
            <w:r>
              <w:rPr>
                <w:spacing w:val="-4"/>
              </w:rPr>
              <w:noBreakHyphen/>
              <w:t>6,5 mld. korun, 32,3 %) a Ukrajiny (-2,3 mld., 32,0 %). Výrazněji klesal i vývoz do Irska (</w:t>
            </w:r>
            <w:r>
              <w:rPr>
                <w:spacing w:val="-4"/>
              </w:rPr>
              <w:noBreakHyphen/>
              <w:t xml:space="preserve">1,4 mld. korun, -22,6 %) a Belgie (-1,2 mld., -5,4 %). </w:t>
            </w:r>
          </w:p>
        </w:tc>
      </w:tr>
      <w:tr w:rsidR="00E920DE" w:rsidRPr="009110F7" w14:paraId="0CB0F986" w14:textId="77777777" w:rsidTr="00550540">
        <w:trPr>
          <w:trHeight w:val="170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0572A16C" w14:textId="77777777" w:rsidR="00E920DE" w:rsidRDefault="00E920DE" w:rsidP="00550540">
            <w:pPr>
              <w:pStyle w:val="Marginlie"/>
            </w:pPr>
            <w:r>
              <w:t>Rostoucí ceny elektřiny významně přispěly k růstu hodnoty vývozu.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9A759B8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429A523" w14:textId="77777777" w:rsidR="00E920DE" w:rsidRPr="00AF6F98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Většině exportních odvětví se dařilo, ale celkový výsledek negativně ovlivňovaly problémy ve váhově významné výrobě motorových vozidel. V 1. čtvrtletí 2022 se hodnota vývozu motorových vozidel meziročně propadla o 25,1 mld. korun (-9,3 %). Kromě toho významněji klesl jen vývoz počítačů, elektronických a optických přístrojů a zařízení (-2,4 mld. korun, </w:t>
            </w:r>
            <w:r>
              <w:rPr>
                <w:spacing w:val="-4"/>
              </w:rPr>
              <w:noBreakHyphen/>
              <w:t>2,5 %). Vývoz většiny ostatních artiklů rostl. K celkovému růstu exportu nejvíce přispívalo navýšení hodnoty vývozu elektřiny, plynu, páry a klimatizovaného vzduchu (+21,0 mld. korun, 380,2 %) ovlivněné masivním růstem cen. Cenový vývoj se promítl i do meziročně vyššího exportu základních kovů (+12,9 mld. korun, 32,2 %) a chemických látek a přípravků (+12,4 mld., 25,1 %). Výrazné byly také (zejména relativní) přírůstky vývozu kovodělných výrobků (+8,0 mld. korun, 13,4 %), elektrických zařízení (+7,7 mld., 8,6 %), dřeva a dřevěných výrobků (+4,7 mld., 39,1 %), potravinářských výrobků (+4,3 mld., 13,7 %), papíru a výrobků z něj (+4,0 mld., 24,7 %), produktů zemědělství a myslivosti (+3,9 mld., 33,0 %), koksu a rafinovaných ropných výrobků (+2,7 mld., 30,5 %) nebo produktů souvisejících s odpadem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(+2,7 mld., 26,0 %). Mírně meziročně rostl export strojů a zařízení (+3,7 mld. korun, 3,5 %) a pryžových a plastových výrobků (+2,4 mld., 4,7 %). </w:t>
            </w:r>
          </w:p>
        </w:tc>
      </w:tr>
      <w:tr w:rsidR="00E920DE" w:rsidRPr="009110F7" w14:paraId="76041488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C6139EE" w14:textId="77777777" w:rsidR="00E920DE" w:rsidRDefault="00E920DE" w:rsidP="00550540">
            <w:pPr>
              <w:pStyle w:val="Marginlie"/>
            </w:pPr>
            <w:r>
              <w:t>Dovoz rostl silněji než vývoz.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8F85EC4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B58500F" w14:textId="5EF21127" w:rsidR="00E920DE" w:rsidRPr="00AF6F98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Dovoz zboží v 1. čtvrtletí celkově dosáhl hodnoty 1 065,7 mld. korun. Import meziročně vzrostl o 148,6 mld. korun (16,2 %). K silnému tempu přispíval i rekordní růst cen surovin. Velmi silný byl meziroční přírůstek importu zboží z EU (+79,1 mld. korun, 13,3 %) i ze zemí mimo ni (+68,3 mld., 21,5 %). V případě </w:t>
            </w:r>
            <w:proofErr w:type="spellStart"/>
            <w:r>
              <w:rPr>
                <w:spacing w:val="-4"/>
              </w:rPr>
              <w:t>mimounijního</w:t>
            </w:r>
            <w:proofErr w:type="spellEnd"/>
            <w:r>
              <w:rPr>
                <w:spacing w:val="-4"/>
              </w:rPr>
              <w:t xml:space="preserve"> dovozu se v 1. čtvrtletí projevoval hlavně prudký růst cen ropy a zemního plynu, což bylo patrné na mimořádné meziroční dynamice importu z Ruska (+28,1 mld. korun, 118,4 %), Ázerbájdžánu (+4,7 mld., 449,0 %), nebo Kazachstánu (+1,8 mld., 61,1 %). Silně rostl také dovoz z Německa (+18,9 mld. korun, 8,3 %), Číny (+12,7 mld., 11,9 %) a Polska (+15,6 mld., 19,3 %). K celkovému meziročnímu růstu dovozu významně přispěl také import z Rakouska (+8,8 mld. korun, 32,9 %), Slovenska (+7,6 mld., 16,5 %) a It</w:t>
            </w:r>
            <w:r w:rsidR="007D7763">
              <w:rPr>
                <w:spacing w:val="-4"/>
              </w:rPr>
              <w:t>álie (+7,5 mld., 18,3 %). Jen u </w:t>
            </w:r>
            <w:r>
              <w:rPr>
                <w:spacing w:val="-4"/>
              </w:rPr>
              <w:t>několika zemí dovoz poklesl, nejvíce v případě Japonska (</w:t>
            </w:r>
            <w:r w:rsidR="007D7763">
              <w:rPr>
                <w:spacing w:val="-4"/>
              </w:rPr>
              <w:t xml:space="preserve">-2,3 mld. korun, </w:t>
            </w:r>
            <w:r w:rsidR="007D7763">
              <w:rPr>
                <w:spacing w:val="-4"/>
              </w:rPr>
              <w:noBreakHyphen/>
              <w:t>11,4 %).</w:t>
            </w:r>
          </w:p>
        </w:tc>
      </w:tr>
      <w:tr w:rsidR="00E920DE" w:rsidRPr="009110F7" w14:paraId="26D42ACB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15949161" w14:textId="77777777" w:rsidR="00E920DE" w:rsidRDefault="00E920DE" w:rsidP="00550540">
            <w:pPr>
              <w:pStyle w:val="Marginlie"/>
            </w:pPr>
            <w:r>
              <w:t>Nejvíce k růstu dovozu přispívaly suroviny.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F9A0655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2F1F1C0" w14:textId="77777777" w:rsidR="00E920DE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K celkovému meziročnímu růstu dovozu nejvíce přispěl import základních kovů, který se zvýšil o 32,6 mld. korun (46,0 %), a dále ropy a zemního plynu (+31,6 mld., 145,7 %). Výrazný přírůstek měl i dovoz chemických látek a přípravků (+18,8 mld. korun, 23,4 %), elektrických zařízení (+13,0 mld., 15,6 %), koksu a rafinovaných ropných produktů </w:t>
            </w:r>
            <w:r>
              <w:rPr>
                <w:spacing w:val="-4"/>
              </w:rPr>
              <w:lastRenderedPageBreak/>
              <w:t>(+9,4 mld., 74,0 %) nebo potravinářských výrobků (+7,4 mld., 18,9 %). Kvůli navýšení cen se dovoz elektřiny, plynu, páry a klimatizovaného vzduchu zvedl o 5,4 mld. korun (155,0 %). Import strojů a zařízení byl vyšší o 6,8 mld. korun (7,8 %). Meziročně nižší byl dovoz motorových vozidel (</w:t>
            </w:r>
            <w:r>
              <w:rPr>
                <w:spacing w:val="-4"/>
              </w:rPr>
              <w:noBreakHyphen/>
              <w:t>10,1 mld. korun, -6,9 %) nebo počítačů, elektronických a optických přístrojů a zařízení (</w:t>
            </w:r>
            <w:r>
              <w:rPr>
                <w:spacing w:val="-4"/>
              </w:rPr>
              <w:noBreakHyphen/>
              <w:t>7,4 mld., -7,3 %).</w:t>
            </w:r>
          </w:p>
        </w:tc>
      </w:tr>
      <w:tr w:rsidR="00E920DE" w:rsidRPr="009110F7" w14:paraId="18C9461F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347A71A2" w14:textId="77777777" w:rsidR="00E920DE" w:rsidRDefault="00E920DE" w:rsidP="00550540">
            <w:pPr>
              <w:pStyle w:val="Marginlie"/>
            </w:pPr>
            <w:r>
              <w:lastRenderedPageBreak/>
              <w:t>Bilance zahraničního obchodu v 1. čtvrtletí spadla do 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8661D0E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0758DAE" w14:textId="732DD598" w:rsidR="00E920DE" w:rsidRPr="00AF6F98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Bilance zahraničního obchodu se zbožím v 1. čtvrtletí 2022 skončila v deficitu 9,4 mld. korun. Meziročně se saldo zhoršilo o 71,7 mld. Deficit je v rámci 1. čtvrtletí roku velmi netypický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. Přebytek bilance obchodu se zeměmi EU se v 1. čtvrtletí mírně meziročně zlepšil (+1,1 mld. korun), ale v případě 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 došlo k rekordnímu prohloubení obvyklého deficitu (-71,8 mld.), což klíčově přispělo k celkově zápornému výsledku. Nejvíce se meziročně zhoršovala bilance obchodu s Ruskem (-34,6 mld. korun), Čínou (-13,0 mld.) a Polskem (-9,3 mld.). Výrazné bylo i zhoršení bilance obchodu s Belgií (</w:t>
            </w:r>
            <w:r>
              <w:rPr>
                <w:spacing w:val="-4"/>
              </w:rPr>
              <w:noBreakHyphen/>
              <w:t>4,9 mld. korun), Ázerbájdžánem (-4,6 mld.) nebo Rakouskem (-4,3 mld.). Naopak se zejména pod vlivem obchodu s elektřinou zlepšovala bilance se Slovenskem (+14,8 mld. korun) a Německem (+11,0 mld.). Ve směru zlepšení celkového salda zahraničního obchodu se zbožím působil i obchod se Spojenými státy (+3,2 mld. ko</w:t>
            </w:r>
            <w:r w:rsidR="007D7763">
              <w:rPr>
                <w:spacing w:val="-4"/>
              </w:rPr>
              <w:t>run) a Japonskem (+2,5 mld.).</w:t>
            </w:r>
          </w:p>
        </w:tc>
      </w:tr>
      <w:tr w:rsidR="00E920DE" w:rsidRPr="009110F7" w14:paraId="5FE68C1C" w14:textId="77777777" w:rsidTr="00550540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C93DB0A" w14:textId="1D890194" w:rsidR="00E920DE" w:rsidRDefault="00E920DE" w:rsidP="00550540">
            <w:pPr>
              <w:pStyle w:val="Marginlie"/>
            </w:pPr>
            <w:r>
              <w:t>Zhoršení bila</w:t>
            </w:r>
            <w:r w:rsidR="007D7763">
              <w:t>nce ovlivnil především obchod s </w:t>
            </w:r>
            <w:r>
              <w:t>ropou a zemním plynem.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F470F49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42238B6" w14:textId="49C4D30A" w:rsidR="00E920DE" w:rsidRDefault="00E920DE" w:rsidP="00550540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K meziročnímu zhoršení bilance nejvíce přispěl zahraniční obchod s ropou a zemním plynem (-31,4 mld. korun), základními kovy (-19,7 mld.) a motorovými vozidly (-15,0 mld.). Zhoršovala se ale bilance u většiny výrobků. Výrazné bylo i zhoršení bilance v případě koksu a rafinovaných ropných výrobků (-6,7 mld. korun), chemických látek a přípravků (</w:t>
            </w:r>
            <w:r>
              <w:rPr>
                <w:spacing w:val="-4"/>
              </w:rPr>
              <w:noBreakHyphen/>
              <w:t>6,4 mld.) a elektrických zařízení (-5,3 mld.). Meziročně se zlepšila bilance obchodu s elektřinou, plynem, párou a klimatizovaným vzduchem (+15,5 mld. korun), počítači, elektronickými a optickými přístroji (+5,0 mld.), kovodělným</w:t>
            </w:r>
            <w:r w:rsidR="007D7763">
              <w:rPr>
                <w:spacing w:val="-4"/>
              </w:rPr>
              <w:t>i výrobky (+2,8 mld.), dřevem a </w:t>
            </w:r>
            <w:r>
              <w:rPr>
                <w:spacing w:val="-4"/>
              </w:rPr>
              <w:t>dřevěnými výrobky (+2,2 mld.) nebo produkty zemědělst</w:t>
            </w:r>
            <w:r w:rsidR="007D7763">
              <w:rPr>
                <w:spacing w:val="-4"/>
              </w:rPr>
              <w:t>ví a myslivosti (+2,0 mld.).</w:t>
            </w:r>
          </w:p>
        </w:tc>
      </w:tr>
      <w:tr w:rsidR="00E920DE" w:rsidRPr="009110F7" w14:paraId="0DE21F0E" w14:textId="77777777" w:rsidTr="00550540">
        <w:trPr>
          <w:trHeight w:val="106"/>
        </w:trPr>
        <w:tc>
          <w:tcPr>
            <w:tcW w:w="1760" w:type="dxa"/>
            <w:vMerge w:val="restart"/>
            <w:shd w:val="clear" w:color="auto" w:fill="auto"/>
            <w:tcMar>
              <w:left w:w="0" w:type="dxa"/>
            </w:tcMar>
          </w:tcPr>
          <w:p w14:paraId="2A9A00E4" w14:textId="77777777" w:rsidR="00E920DE" w:rsidRDefault="00E920DE" w:rsidP="00550540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120E1D3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58441EF" w14:textId="379DE140" w:rsidR="00E920DE" w:rsidRPr="00D75AC1" w:rsidRDefault="00E920DE" w:rsidP="00550540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 w:rsidR="002759C7">
              <w:rPr>
                <w:rFonts w:cs="Arial"/>
                <w:b/>
                <w:bCs/>
                <w:color w:val="000000"/>
                <w:szCs w:val="20"/>
              </w:rPr>
              <w:t> 9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E920DE" w:rsidRPr="009110F7" w14:paraId="329E3C7E" w14:textId="77777777" w:rsidTr="00550540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0" w:type="dxa"/>
            <w:vMerge/>
            <w:shd w:val="clear" w:color="auto" w:fill="auto"/>
          </w:tcPr>
          <w:p w14:paraId="36CE1C86" w14:textId="77777777" w:rsidR="00E920DE" w:rsidRDefault="00E920DE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C29229D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7121A405" w14:textId="77777777" w:rsidR="00E920DE" w:rsidRPr="00AF6F98" w:rsidRDefault="00E920DE" w:rsidP="00550540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35F4909" wp14:editId="19819352">
                  <wp:extent cx="4771467" cy="3365875"/>
                  <wp:effectExtent l="0" t="0" r="0" b="635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920DE" w:rsidRPr="009110F7" w14:paraId="04891032" w14:textId="77777777" w:rsidTr="00550540">
        <w:trPr>
          <w:trHeight w:val="106"/>
        </w:trPr>
        <w:tc>
          <w:tcPr>
            <w:tcW w:w="1760" w:type="dxa"/>
            <w:vMerge/>
            <w:shd w:val="clear" w:color="auto" w:fill="auto"/>
            <w:tcMar>
              <w:left w:w="0" w:type="dxa"/>
            </w:tcMar>
          </w:tcPr>
          <w:p w14:paraId="7B837E2B" w14:textId="77777777" w:rsidR="00E920DE" w:rsidRDefault="00E920DE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E8C3400" w14:textId="77777777" w:rsidR="00E920DE" w:rsidRDefault="00E920DE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3B3D1EB" w14:textId="77777777" w:rsidR="00E920DE" w:rsidRPr="00AF6F98" w:rsidRDefault="00E920DE" w:rsidP="00550540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bookmarkEnd w:id="12"/>
      <w:bookmarkEnd w:id="13"/>
      <w:bookmarkEnd w:id="14"/>
    </w:tbl>
    <w:p w14:paraId="193F1041" w14:textId="77777777" w:rsidR="00E920DE" w:rsidRPr="00E42054" w:rsidRDefault="00E920DE" w:rsidP="00E920DE">
      <w:pPr>
        <w:pStyle w:val="Nadpis11"/>
        <w:rPr>
          <w:b w:val="0"/>
          <w:sz w:val="2"/>
          <w:szCs w:val="2"/>
        </w:rPr>
      </w:pPr>
    </w:p>
    <w:bookmarkEnd w:id="3"/>
    <w:bookmarkEnd w:id="4"/>
    <w:bookmarkEnd w:id="5"/>
    <w:bookmarkEnd w:id="6"/>
    <w:bookmarkEnd w:id="7"/>
    <w:bookmarkEnd w:id="8"/>
    <w:bookmarkEnd w:id="9"/>
    <w:p w14:paraId="6DCF6EAF" w14:textId="77777777" w:rsidR="00A315D0" w:rsidRPr="000F45E7" w:rsidRDefault="00A315D0" w:rsidP="00A315D0">
      <w:pPr>
        <w:pStyle w:val="Nadpis11"/>
        <w:spacing w:after="0"/>
        <w:rPr>
          <w:b w:val="0"/>
          <w:sz w:val="2"/>
          <w:szCs w:val="2"/>
        </w:rPr>
      </w:pPr>
    </w:p>
    <w:p w14:paraId="5BAB8EA3" w14:textId="6E38B73A" w:rsidR="000663F0" w:rsidRPr="00E42054" w:rsidRDefault="000663F0" w:rsidP="00A315D0">
      <w:pPr>
        <w:pStyle w:val="Nadpis11"/>
        <w:rPr>
          <w:b w:val="0"/>
          <w:sz w:val="2"/>
          <w:szCs w:val="2"/>
        </w:rPr>
      </w:pPr>
    </w:p>
    <w:sectPr w:rsidR="000663F0" w:rsidRPr="00E42054" w:rsidSect="007C211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1AFD7B58" w14:textId="77777777" w:rsidR="00825120" w:rsidRPr="009F60F7" w:rsidRDefault="00825120" w:rsidP="00E920DE">
      <w:pPr>
        <w:pStyle w:val="Textpoznpodarou"/>
        <w:rPr>
          <w:sz w:val="16"/>
          <w:szCs w:val="16"/>
        </w:rPr>
      </w:pPr>
      <w:r w:rsidRPr="009F60F7">
        <w:rPr>
          <w:rStyle w:val="Znakapoznpodarou"/>
          <w:sz w:val="16"/>
          <w:szCs w:val="16"/>
        </w:rPr>
        <w:footnoteRef/>
      </w:r>
      <w:r w:rsidRPr="009F60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Meziroční nárůst hodnoty vývozu elektřiny, plynu, páry a klimatizovaného vzduchu na Slovensko dosáhl 10,8 mld. korun a do Německa 10,0 mld.    </w:t>
      </w:r>
    </w:p>
  </w:footnote>
  <w:footnote w:id="2">
    <w:p w14:paraId="0971AE8C" w14:textId="77777777" w:rsidR="00825120" w:rsidRPr="003A7B9C" w:rsidRDefault="00825120" w:rsidP="00E920DE">
      <w:pPr>
        <w:pStyle w:val="Textpoznpodarou"/>
        <w:rPr>
          <w:sz w:val="16"/>
          <w:szCs w:val="16"/>
        </w:rPr>
      </w:pPr>
      <w:r w:rsidRPr="003A7B9C">
        <w:rPr>
          <w:rStyle w:val="Znakapoznpodarou"/>
          <w:sz w:val="16"/>
          <w:szCs w:val="16"/>
        </w:rPr>
        <w:footnoteRef/>
      </w:r>
      <w:r w:rsidRPr="003A7B9C">
        <w:rPr>
          <w:sz w:val="16"/>
          <w:szCs w:val="16"/>
        </w:rPr>
        <w:t xml:space="preserve"> Projevilo se </w:t>
      </w:r>
      <w:r>
        <w:rPr>
          <w:sz w:val="16"/>
          <w:szCs w:val="16"/>
        </w:rPr>
        <w:t xml:space="preserve">zejména </w:t>
      </w:r>
      <w:r w:rsidRPr="003A7B9C">
        <w:rPr>
          <w:sz w:val="16"/>
          <w:szCs w:val="16"/>
        </w:rPr>
        <w:t>navýšení hodnoty vývozu kovového odpadu.</w:t>
      </w:r>
    </w:p>
  </w:footnote>
  <w:footnote w:id="3">
    <w:p w14:paraId="6941E096" w14:textId="77777777" w:rsidR="00825120" w:rsidRPr="00697CA5" w:rsidRDefault="00825120" w:rsidP="00E920DE">
      <w:pPr>
        <w:pStyle w:val="Textpoznpodarou"/>
        <w:rPr>
          <w:sz w:val="16"/>
          <w:szCs w:val="16"/>
        </w:rPr>
      </w:pPr>
      <w:r w:rsidRPr="00697CA5">
        <w:rPr>
          <w:rStyle w:val="Znakapoznpodarou"/>
          <w:sz w:val="16"/>
          <w:szCs w:val="16"/>
        </w:rPr>
        <w:footnoteRef/>
      </w:r>
      <w:r w:rsidRPr="00697CA5">
        <w:rPr>
          <w:sz w:val="16"/>
          <w:szCs w:val="16"/>
        </w:rPr>
        <w:t xml:space="preserve"> V rámci 1. čtvrtletí roku skončil zahraniční obchod se zbožím v deficitu pouze v roce 2008 (-0,8 mld. korun).</w:t>
      </w:r>
      <w:r w:rsidRPr="00697CA5">
        <w:rPr>
          <w:spacing w:val="-4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114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08979511426319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-21.617115904999999</c:v>
                </c:pt>
                <c:pt idx="1">
                  <c:v>-8.132408109</c:v>
                </c:pt>
                <c:pt idx="2">
                  <c:v>-5.2633747529999999</c:v>
                </c:pt>
                <c:pt idx="3">
                  <c:v>-3.8302349380000003</c:v>
                </c:pt>
                <c:pt idx="4">
                  <c:v>-30.887951501</c:v>
                </c:pt>
                <c:pt idx="5">
                  <c:v>-21.47140388</c:v>
                </c:pt>
                <c:pt idx="6">
                  <c:v>6.6265782380000005</c:v>
                </c:pt>
                <c:pt idx="7">
                  <c:v>-31.008341455</c:v>
                </c:pt>
                <c:pt idx="8">
                  <c:v>16.658309949</c:v>
                </c:pt>
                <c:pt idx="9">
                  <c:v>-4.9304668009999997</c:v>
                </c:pt>
                <c:pt idx="10">
                  <c:v>5.1043929329999997</c:v>
                </c:pt>
                <c:pt idx="11">
                  <c:v>18.812814323999998</c:v>
                </c:pt>
                <c:pt idx="12">
                  <c:v>124.192490549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4E-48B5-9526-8EF31520930D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-53.010829444000002</c:v>
                </c:pt>
                <c:pt idx="1">
                  <c:v>-11.282852326</c:v>
                </c:pt>
                <c:pt idx="2">
                  <c:v>-9.1832977460000009</c:v>
                </c:pt>
                <c:pt idx="3">
                  <c:v>-10.503312236999999</c:v>
                </c:pt>
                <c:pt idx="4">
                  <c:v>-37.275701373999993</c:v>
                </c:pt>
                <c:pt idx="5">
                  <c:v>-19.672542953000001</c:v>
                </c:pt>
                <c:pt idx="6">
                  <c:v>7.1994772559999998</c:v>
                </c:pt>
                <c:pt idx="7">
                  <c:v>-50.742919938999997</c:v>
                </c:pt>
                <c:pt idx="8">
                  <c:v>19.503907151</c:v>
                </c:pt>
                <c:pt idx="9">
                  <c:v>9.4047721999999986E-2</c:v>
                </c:pt>
                <c:pt idx="10">
                  <c:v>-0.22429459900000001</c:v>
                </c:pt>
                <c:pt idx="11">
                  <c:v>15.742365324</c:v>
                </c:pt>
                <c:pt idx="12">
                  <c:v>109.15167151099999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4E-48B5-9526-8EF315209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2'!$B$5:$N$5</c15:sqref>
                        </c15:formulaRef>
                      </c:ext>
                    </c:extLst>
                    <c:strCache>
                      <c:ptCount val="13"/>
                      <c:pt idx="0">
                        <c:v>Ropa a zemní plyn</c:v>
                      </c:pt>
                      <c:pt idx="1">
                        <c:v>Potrav. výrobky</c:v>
                      </c:pt>
                      <c:pt idx="2">
                        <c:v>Oděvy</c:v>
                      </c:pt>
                      <c:pt idx="3">
                        <c:v>Koks, raf. ropné prod.</c:v>
                      </c:pt>
                      <c:pt idx="4">
                        <c:v>Chem. látky a přípr.</c:v>
                      </c:pt>
                      <c:pt idx="5">
                        <c:v>Farmac. výrobky</c:v>
                      </c:pt>
                      <c:pt idx="6">
                        <c:v>Ostat. nekov. minerály</c:v>
                      </c:pt>
                      <c:pt idx="7">
                        <c:v>Základní kovy</c:v>
                      </c:pt>
                      <c:pt idx="8">
                        <c:v>Kovodělné výrobky</c:v>
                      </c:pt>
                      <c:pt idx="9">
                        <c:v>Počítače, opt.                                          a elektron. přístr.</c:v>
                      </c:pt>
                      <c:pt idx="10">
                        <c:v>Elektrická zařízení</c:v>
                      </c:pt>
                      <c:pt idx="11">
                        <c:v>Stroje a zařízení j. n.</c:v>
                      </c:pt>
                      <c:pt idx="12">
                        <c:v>Motorová vozidla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2'!$B$6:$N$6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-21.948805712000002</c:v>
                      </c:pt>
                      <c:pt idx="1">
                        <c:v>-10.817164682000001</c:v>
                      </c:pt>
                      <c:pt idx="2">
                        <c:v>-7.8011260140000003</c:v>
                      </c:pt>
                      <c:pt idx="3">
                        <c:v>-5.9905510409999998</c:v>
                      </c:pt>
                      <c:pt idx="4">
                        <c:v>-28.643607240000001</c:v>
                      </c:pt>
                      <c:pt idx="5">
                        <c:v>-17.492854792999999</c:v>
                      </c:pt>
                      <c:pt idx="6">
                        <c:v>6.4286599789999999</c:v>
                      </c:pt>
                      <c:pt idx="7">
                        <c:v>-27.298414945000001</c:v>
                      </c:pt>
                      <c:pt idx="8">
                        <c:v>13.234651309999999</c:v>
                      </c:pt>
                      <c:pt idx="9">
                        <c:v>-9.3922735570000011</c:v>
                      </c:pt>
                      <c:pt idx="10">
                        <c:v>7.6643633410000005</c:v>
                      </c:pt>
                      <c:pt idx="11">
                        <c:v>16.231455384</c:v>
                      </c:pt>
                      <c:pt idx="12">
                        <c:v>109.685706903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34E-48B5-9526-8EF31520930D}"/>
                  </c:ext>
                </c:extLst>
              </c15:ser>
            </c15:filteredBarSeries>
          </c:ext>
        </c:extLst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140"/>
          <c:min val="-6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  <c:majorUnit val="2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89870767208491664"/>
          <c:h val="4.7602442868400312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955</Words>
  <Characters>5639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6581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2022-06-15T08:48:00Z</dcterms:modified>
</cp:coreProperties>
</file>