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olors5.xml" ContentType="application/vnd.ms-office.chartcolor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olors4.xml" ContentType="application/vnd.ms-office.chartcolorstyle+xml"/>
  <Override PartName="/word/charts/style5.xml" ContentType="application/vnd.ms-office.chartstyl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8115" w14:textId="77777777" w:rsidR="00867569" w:rsidRPr="00BD40CD" w:rsidRDefault="00E330F7" w:rsidP="00E42E00">
      <w:pPr>
        <w:pStyle w:val="Datum"/>
      </w:pPr>
      <w:r>
        <w:t>2</w:t>
      </w:r>
      <w:r w:rsidR="001A1D78">
        <w:t>6</w:t>
      </w:r>
      <w:r w:rsidR="00F03815" w:rsidRPr="00BD40CD">
        <w:t>. </w:t>
      </w:r>
      <w:r w:rsidR="001A1D78">
        <w:t>dubna</w:t>
      </w:r>
      <w:r w:rsidR="007F6239" w:rsidRPr="00BD40CD">
        <w:t xml:space="preserve"> 202</w:t>
      </w:r>
      <w:r w:rsidR="008D3805">
        <w:t>3</w:t>
      </w:r>
    </w:p>
    <w:p w14:paraId="6D0ECC95" w14:textId="77777777" w:rsidR="00867569" w:rsidRPr="00BD40CD" w:rsidRDefault="000B7652" w:rsidP="00A56C80">
      <w:pPr>
        <w:pStyle w:val="Nzev"/>
      </w:pPr>
      <w:r w:rsidRPr="00BD40CD">
        <w:t>Analýza sektorových účtů</w:t>
      </w:r>
      <w:r w:rsidR="00FF04D9" w:rsidRPr="00BD40CD">
        <w:t> </w:t>
      </w:r>
      <w:r w:rsidR="00FB7E0F" w:rsidRPr="00BD40CD">
        <w:t>–</w:t>
      </w:r>
      <w:r w:rsidR="00FF04D9" w:rsidRPr="00BD40CD">
        <w:t xml:space="preserve"> </w:t>
      </w:r>
      <w:r w:rsidR="001A1D78">
        <w:t>4</w:t>
      </w:r>
      <w:r w:rsidRPr="00BD40CD">
        <w:t>.</w:t>
      </w:r>
      <w:r w:rsidR="00F03815" w:rsidRPr="00BD40CD">
        <w:t> čtvrtlet</w:t>
      </w:r>
      <w:r w:rsidRPr="00BD40CD">
        <w:t>í 202</w:t>
      </w:r>
      <w:r w:rsidR="001A1D78">
        <w:t>2</w:t>
      </w:r>
    </w:p>
    <w:p w14:paraId="6BCB54AE" w14:textId="1B597F8A" w:rsidR="00B92E7A" w:rsidRPr="00957441" w:rsidRDefault="00957441" w:rsidP="000302A6">
      <w:pPr>
        <w:pStyle w:val="Perex"/>
        <w:spacing w:after="120"/>
      </w:pPr>
      <w:r>
        <w:t xml:space="preserve">V závěru roku 2022 reálný meziroční růst </w:t>
      </w:r>
      <w:r w:rsidR="0006007D" w:rsidRPr="00957441">
        <w:t>h</w:t>
      </w:r>
      <w:r w:rsidR="00813226" w:rsidRPr="00957441">
        <w:t>rub</w:t>
      </w:r>
      <w:r>
        <w:t>é</w:t>
      </w:r>
      <w:r w:rsidR="00E46082" w:rsidRPr="00957441">
        <w:t xml:space="preserve"> přidan</w:t>
      </w:r>
      <w:r>
        <w:t>é</w:t>
      </w:r>
      <w:r w:rsidR="00E46082" w:rsidRPr="00957441">
        <w:t xml:space="preserve"> hodnot</w:t>
      </w:r>
      <w:r>
        <w:t>y</w:t>
      </w:r>
      <w:r w:rsidR="00E46082" w:rsidRPr="00957441">
        <w:t xml:space="preserve"> nefinančních podniků</w:t>
      </w:r>
      <w:r>
        <w:t xml:space="preserve"> zpomalil, ale mezičtvrtletně došlo k</w:t>
      </w:r>
      <w:r w:rsidR="00465ED9">
        <w:t xml:space="preserve"> jeho</w:t>
      </w:r>
      <w:r>
        <w:t> oživení. K tomu přispěl zejména průmysl, protože služby byl</w:t>
      </w:r>
      <w:r w:rsidR="00B144F0">
        <w:t>y</w:t>
      </w:r>
      <w:r>
        <w:t xml:space="preserve"> nadále negativně ovlivněny klesajícími r</w:t>
      </w:r>
      <w:r w:rsidR="00EA42D5" w:rsidRPr="00957441">
        <w:t>eáln</w:t>
      </w:r>
      <w:r>
        <w:t>ými příjmy domácností a</w:t>
      </w:r>
      <w:r w:rsidR="00B144F0">
        <w:t> </w:t>
      </w:r>
      <w:r>
        <w:t>propadem jejich spotřeby.</w:t>
      </w:r>
      <w:r w:rsidR="00EA42D5" w:rsidRPr="00957441">
        <w:t xml:space="preserve"> </w:t>
      </w:r>
      <w:r w:rsidR="009F0F8D" w:rsidRPr="00957441">
        <w:t>Hos</w:t>
      </w:r>
      <w:r w:rsidR="009F2D91" w:rsidRPr="00957441">
        <w:t>podaření s</w:t>
      </w:r>
      <w:r w:rsidR="00E46082" w:rsidRPr="00957441">
        <w:t>ektor</w:t>
      </w:r>
      <w:r w:rsidR="009F2D91" w:rsidRPr="00957441">
        <w:t>u</w:t>
      </w:r>
      <w:r w:rsidR="00E46082" w:rsidRPr="00957441">
        <w:t xml:space="preserve"> vládních institucí</w:t>
      </w:r>
      <w:r>
        <w:t xml:space="preserve"> skončilo v deficitu, který se meziročně prohloubil.</w:t>
      </w:r>
    </w:p>
    <w:p w14:paraId="727C8E6B" w14:textId="77777777" w:rsidR="00066E38" w:rsidRPr="00946FC5" w:rsidRDefault="008F35E4" w:rsidP="000302A6">
      <w:pPr>
        <w:pStyle w:val="Nadpis1"/>
        <w:spacing w:after="120"/>
      </w:pPr>
      <w:r w:rsidRPr="00946FC5">
        <w:t>Nefinanční podniky</w:t>
      </w:r>
    </w:p>
    <w:p w14:paraId="2F709EC6" w14:textId="1721CD46" w:rsidR="00946FC5" w:rsidRDefault="00946FC5" w:rsidP="009F7FD8">
      <w:pPr>
        <w:spacing w:after="120"/>
      </w:pPr>
      <w:r>
        <w:t xml:space="preserve">V závěru roku </w:t>
      </w:r>
      <w:r w:rsidR="00C94419">
        <w:t xml:space="preserve">2022 na </w:t>
      </w:r>
      <w:r>
        <w:t>česk</w:t>
      </w:r>
      <w:r w:rsidR="00C94419">
        <w:t>ou</w:t>
      </w:r>
      <w:r>
        <w:t xml:space="preserve"> ekonomi</w:t>
      </w:r>
      <w:r w:rsidR="00C94419">
        <w:t>ku působily</w:t>
      </w:r>
      <w:r>
        <w:t xml:space="preserve"> dva protichůdné faktory. Oživení zahraničního obchodu </w:t>
      </w:r>
      <w:r w:rsidR="00C94419">
        <w:t>podporovalo růst v</w:t>
      </w:r>
      <w:r>
        <w:t>ýkon</w:t>
      </w:r>
      <w:r w:rsidR="00C94419">
        <w:t>ů</w:t>
      </w:r>
      <w:r>
        <w:t xml:space="preserve"> v průmyslu, především ve výrobě motorových vozidel a</w:t>
      </w:r>
      <w:r w:rsidR="00465ED9">
        <w:t> v</w:t>
      </w:r>
      <w:r w:rsidR="00477B3A">
        <w:t> </w:t>
      </w:r>
      <w:r>
        <w:t>příbuzných obor</w:t>
      </w:r>
      <w:r w:rsidR="00C94419">
        <w:t>ech</w:t>
      </w:r>
      <w:r>
        <w:t xml:space="preserve">. </w:t>
      </w:r>
      <w:r w:rsidR="0048551D">
        <w:t xml:space="preserve">Po celý rok ale </w:t>
      </w:r>
      <w:r w:rsidR="00B144F0">
        <w:t xml:space="preserve">trvalo </w:t>
      </w:r>
      <w:r w:rsidR="0048551D">
        <w:t>působ</w:t>
      </w:r>
      <w:r w:rsidR="00B144F0">
        <w:t>ení</w:t>
      </w:r>
      <w:r w:rsidR="0048551D">
        <w:t xml:space="preserve"> prudk</w:t>
      </w:r>
      <w:r w:rsidR="00B144F0">
        <w:t>ého</w:t>
      </w:r>
      <w:r w:rsidR="0048551D">
        <w:t xml:space="preserve"> zdražení energií a</w:t>
      </w:r>
      <w:r w:rsidR="00F455DC">
        <w:t> </w:t>
      </w:r>
      <w:r w:rsidR="0048551D">
        <w:t>surovin, které negativně ovlivnilo zejména energeticky náročná průmyslová odvětví a promítlo se do konečných cen řady výrobků. P</w:t>
      </w:r>
      <w:r>
        <w:t>rudký růst cen a s ním spojený propad reálných příjmů způsobil pokles spotřeby domácností, který se projevil zpomalením v některých odvětvích služeb a</w:t>
      </w:r>
      <w:r w:rsidR="00B144F0">
        <w:t> </w:t>
      </w:r>
      <w:r w:rsidR="00465ED9">
        <w:t>v</w:t>
      </w:r>
      <w:r w:rsidR="00B144F0">
        <w:t> </w:t>
      </w:r>
      <w:r>
        <w:t>obchodě. Hrubá přidaná hodnota</w:t>
      </w:r>
      <w:r w:rsidR="00C94419">
        <w:t xml:space="preserve"> (HPH)</w:t>
      </w:r>
      <w:r>
        <w:t xml:space="preserve"> nefinančních podniků</w:t>
      </w:r>
      <w:r w:rsidR="00C94419">
        <w:t xml:space="preserve"> (NP)</w:t>
      </w:r>
      <w:r>
        <w:t xml:space="preserve"> se ve 4. čtvrtletí nominálně meziročně zvýšila o 116,5 mld. korun</w:t>
      </w:r>
      <w:r w:rsidR="009B4EA8" w:rsidRPr="00946FC5">
        <w:rPr>
          <w:rStyle w:val="Znakapoznpodarou"/>
        </w:rPr>
        <w:footnoteReference w:id="1"/>
      </w:r>
      <w:r>
        <w:t>.</w:t>
      </w:r>
      <w:r w:rsidR="009B4EA8">
        <w:t xml:space="preserve"> Tento nárůst ale podpořilo hlavně zvýšení cenové hladiny, protože reálný meziroční přírůstek očištěný o vliv cen již pošesté v řadě oslabil (1,5 %</w:t>
      </w:r>
      <w:r w:rsidR="009B4EA8" w:rsidRPr="00946FC5">
        <w:rPr>
          <w:rStyle w:val="Znakapoznpodarou"/>
          <w:spacing w:val="-2"/>
        </w:rPr>
        <w:footnoteReference w:id="2"/>
      </w:r>
      <w:r w:rsidR="009B4EA8">
        <w:t>). Podle sezónně očištěných dat se HPH</w:t>
      </w:r>
      <w:r w:rsidR="00C94419">
        <w:t xml:space="preserve"> NP</w:t>
      </w:r>
      <w:r w:rsidR="009B4EA8">
        <w:t xml:space="preserve"> ve 4. kvartálu nominálně mezičtvrtletně zvýšila o 19,9 mld. korun, což po očištění o cenové vlivy představovalo reálný nárůst o 2,3 %.</w:t>
      </w:r>
      <w:r w:rsidR="00C94419">
        <w:t xml:space="preserve"> Za celý rok 2022 se HPH </w:t>
      </w:r>
      <w:r w:rsidR="00B144F0">
        <w:t>NP</w:t>
      </w:r>
      <w:r w:rsidR="00C94419">
        <w:t xml:space="preserve"> nominálně zvýšila o 388,4 mld. korun. Reálný nárůst dosáhl 3,6 %.  </w:t>
      </w:r>
      <w:r w:rsidR="009B4EA8">
        <w:t xml:space="preserve">  </w:t>
      </w:r>
      <w:r>
        <w:t xml:space="preserve">     </w:t>
      </w:r>
    </w:p>
    <w:p w14:paraId="0E87EE2B" w14:textId="1F0E3B96" w:rsidR="00EE3CBD" w:rsidRDefault="00874A90" w:rsidP="00B1299C">
      <w:pPr>
        <w:spacing w:after="120"/>
      </w:pPr>
      <w:r>
        <w:t xml:space="preserve">V sektoru NP dál meziročně rostla celková zaměstnanost. Meziroční přírůstek ve 4. čtvrtletí dosáhl 1,6 %, takže setrval na podobné úrovni jako v předchozím kvartálu. Zaměstnanost </w:t>
      </w:r>
      <w:r w:rsidR="00096BC2">
        <w:t xml:space="preserve">v sektoru </w:t>
      </w:r>
      <w:r>
        <w:t>byla na vysoké úrovni a ve 4. čtvrtletí 2022 překonala stejné období let 2018 i 2019, tedy období předkrizového vrcholu zaměstnanosti.</w:t>
      </w:r>
      <w:r w:rsidR="00096BC2">
        <w:t xml:space="preserve"> Objem náhrad zaměstnancům vyplacených NP se ve 4. čtvrtletí meziročně zvýšil o 45,3 mld. korun (8,8 %).</w:t>
      </w:r>
      <w:r w:rsidR="00385C2B">
        <w:t xml:space="preserve"> </w:t>
      </w:r>
      <w:r w:rsidR="005646FC" w:rsidRPr="004B631A">
        <w:t>Z toho se mzdy a platy zvýšily o</w:t>
      </w:r>
      <w:r w:rsidR="00477B3A">
        <w:t> </w:t>
      </w:r>
      <w:r w:rsidR="00385C2B">
        <w:t>42,0</w:t>
      </w:r>
      <w:r w:rsidR="005646FC" w:rsidRPr="004B631A">
        <w:t xml:space="preserve"> mld. (</w:t>
      </w:r>
      <w:r w:rsidR="00385C2B">
        <w:t>10,8</w:t>
      </w:r>
      <w:r w:rsidR="005646FC" w:rsidRPr="004B631A">
        <w:t xml:space="preserve"> %)</w:t>
      </w:r>
      <w:r w:rsidR="00385C2B">
        <w:t xml:space="preserve">, zatímco </w:t>
      </w:r>
      <w:r w:rsidR="005646FC" w:rsidRPr="004B631A">
        <w:t>dynamika sociálních příspěvků zůstávala slabší (+</w:t>
      </w:r>
      <w:r w:rsidR="00385C2B">
        <w:t>3,3</w:t>
      </w:r>
      <w:r w:rsidR="005646FC" w:rsidRPr="004B631A">
        <w:t xml:space="preserve"> mld., 2,</w:t>
      </w:r>
      <w:r w:rsidR="00385C2B">
        <w:t>6</w:t>
      </w:r>
      <w:r w:rsidR="005646FC" w:rsidRPr="004B631A">
        <w:t xml:space="preserve"> %).</w:t>
      </w:r>
      <w:r w:rsidR="00385C2B">
        <w:t xml:space="preserve"> Mezičtvrtletní přírůstek sezónně očištěných náhrad zaměstnancům po slabším 3. kvartálu ve 4.</w:t>
      </w:r>
      <w:r w:rsidR="00B144F0">
        <w:t> </w:t>
      </w:r>
      <w:r w:rsidR="00385C2B">
        <w:t>čtvrtletí opět posílil a dosáhl 11,8 mld. korun (2,4 %).</w:t>
      </w:r>
      <w:r w:rsidR="00477B3A">
        <w:t xml:space="preserve"> Za celý loňský rok se náhrady zaměstnancům vyplacené NP zvýšily o 185,5 mld. korun</w:t>
      </w:r>
      <w:r w:rsidR="00465ED9">
        <w:t xml:space="preserve"> (9,7 %)</w:t>
      </w:r>
      <w:r w:rsidR="00477B3A">
        <w:t>.</w:t>
      </w:r>
      <w:r w:rsidR="00AF77D3">
        <w:t xml:space="preserve"> Ve 4. čtvrtletí obdržely n</w:t>
      </w:r>
      <w:r w:rsidR="00FE1513" w:rsidRPr="004B631A">
        <w:t xml:space="preserve">efinanční podniky </w:t>
      </w:r>
      <w:r w:rsidR="002C76B2" w:rsidRPr="004B631A">
        <w:t>dotace ve výši</w:t>
      </w:r>
      <w:r w:rsidR="00FE1513" w:rsidRPr="004B631A">
        <w:t xml:space="preserve"> </w:t>
      </w:r>
      <w:r w:rsidR="00AF77D3">
        <w:t xml:space="preserve">25,0 </w:t>
      </w:r>
      <w:r w:rsidR="00FE1513" w:rsidRPr="004B631A">
        <w:t xml:space="preserve">mld. korun. To </w:t>
      </w:r>
      <w:r w:rsidR="00AF77D3">
        <w:t>bylo</w:t>
      </w:r>
      <w:r w:rsidR="00FE1513" w:rsidRPr="004B631A">
        <w:t xml:space="preserve"> meziročně o</w:t>
      </w:r>
      <w:r w:rsidR="0095430A" w:rsidRPr="004B631A">
        <w:t> </w:t>
      </w:r>
      <w:r w:rsidR="007829FD">
        <w:t>2,2</w:t>
      </w:r>
      <w:r w:rsidR="0095430A" w:rsidRPr="004B631A">
        <w:t> </w:t>
      </w:r>
      <w:r w:rsidR="00FE1513" w:rsidRPr="004B631A">
        <w:t xml:space="preserve">mld. </w:t>
      </w:r>
      <w:r w:rsidR="007829FD">
        <w:t>více</w:t>
      </w:r>
      <w:r w:rsidR="00465ED9">
        <w:t xml:space="preserve"> a o</w:t>
      </w:r>
      <w:r w:rsidR="00DA6116" w:rsidRPr="004B631A">
        <w:t>bjem dotací</w:t>
      </w:r>
      <w:r w:rsidR="007829FD">
        <w:t xml:space="preserve"> výrazně</w:t>
      </w:r>
      <w:r w:rsidR="00DA6116" w:rsidRPr="004B631A">
        <w:t xml:space="preserve"> </w:t>
      </w:r>
      <w:r w:rsidR="007829FD">
        <w:t>převyšoval</w:t>
      </w:r>
      <w:r w:rsidR="00465ED9">
        <w:t xml:space="preserve"> také</w:t>
      </w:r>
      <w:r w:rsidR="00C50339" w:rsidRPr="004B631A">
        <w:t> úrov</w:t>
      </w:r>
      <w:r w:rsidR="007829FD">
        <w:t>eň</w:t>
      </w:r>
      <w:r w:rsidR="00C50339" w:rsidRPr="004B631A">
        <w:t xml:space="preserve"> </w:t>
      </w:r>
      <w:r w:rsidR="007829FD">
        <w:t>4</w:t>
      </w:r>
      <w:r w:rsidR="00C50339" w:rsidRPr="004B631A">
        <w:t>. kvartálu předkrizového roku 2019.</w:t>
      </w:r>
      <w:r w:rsidR="007829FD">
        <w:t xml:space="preserve"> Za celý rok </w:t>
      </w:r>
      <w:r w:rsidR="00BA44EC">
        <w:t xml:space="preserve">2022 </w:t>
      </w:r>
      <w:r w:rsidR="007829FD">
        <w:t>objem dotací NP dosáhl 65,8 mld. korun a byl meziročně nižší o 37,8</w:t>
      </w:r>
      <w:r w:rsidR="00BA44EC">
        <w:t xml:space="preserve"> mld. Po letech 2020 a 2021 ovlivněn</w:t>
      </w:r>
      <w:r w:rsidR="00465ED9">
        <w:t>ý</w:t>
      </w:r>
      <w:r w:rsidR="00BA44EC">
        <w:t>ch pandemickými opatřeními se tak objem dotací NP řádově vrátil k předkrizové úrovni.</w:t>
      </w:r>
    </w:p>
    <w:p w14:paraId="0FC8B21A" w14:textId="77777777" w:rsidR="00FF7B39" w:rsidRDefault="008B334E" w:rsidP="00B1299C">
      <w:pPr>
        <w:spacing w:after="120"/>
      </w:pPr>
      <w:r>
        <w:t xml:space="preserve">Hrubý provozní přebytek NP se ve 4. čtvrtletí meziročně zvýšil o 75,1 mld. korun na 460,8 mld. </w:t>
      </w:r>
      <w:r w:rsidR="00D50B0A" w:rsidRPr="00EE3CBD">
        <w:t>P</w:t>
      </w:r>
      <w:r w:rsidR="00E72B57" w:rsidRPr="00EE3CBD">
        <w:t xml:space="preserve">řírůstek </w:t>
      </w:r>
      <w:r w:rsidR="00D50B0A" w:rsidRPr="00EE3CBD">
        <w:t xml:space="preserve">tak </w:t>
      </w:r>
      <w:r>
        <w:t xml:space="preserve">dál sílil. </w:t>
      </w:r>
      <w:r w:rsidR="00D50B0A" w:rsidRPr="00EE3CBD">
        <w:t xml:space="preserve">Podle sezónně očištěných dat </w:t>
      </w:r>
      <w:r>
        <w:t xml:space="preserve">naopak nominální mezičtvrtletní nárůst </w:t>
      </w:r>
      <w:r w:rsidR="0037421A" w:rsidRPr="00EE3CBD">
        <w:t>hrub</w:t>
      </w:r>
      <w:r>
        <w:t>ého</w:t>
      </w:r>
      <w:r w:rsidR="0037421A" w:rsidRPr="00EE3CBD">
        <w:t xml:space="preserve"> provozní</w:t>
      </w:r>
      <w:r>
        <w:t>ho</w:t>
      </w:r>
      <w:r w:rsidR="0037421A" w:rsidRPr="00EE3CBD">
        <w:t xml:space="preserve"> přebytk</w:t>
      </w:r>
      <w:r>
        <w:t xml:space="preserve">u zpomalil na 9,1 mld. korun. Za celý rok 2022 hrubý provozní </w:t>
      </w:r>
      <w:r>
        <w:lastRenderedPageBreak/>
        <w:t xml:space="preserve">přebytek NP dosáhl 1 759,4 mld. korun a narostl o 170,1 mld. </w:t>
      </w:r>
      <w:r w:rsidR="0076719B" w:rsidRPr="00EE3CBD">
        <w:t>Výsledná míra zisku</w:t>
      </w:r>
      <w:r w:rsidR="00687BBE" w:rsidRPr="00EE3CBD">
        <w:t> </w:t>
      </w:r>
      <w:r w:rsidR="008538A7" w:rsidRPr="00EE3CBD">
        <w:t>NP</w:t>
      </w:r>
      <w:r w:rsidR="0076719B" w:rsidRPr="00EE3CBD">
        <w:rPr>
          <w:rStyle w:val="Znakapoznpodarou"/>
        </w:rPr>
        <w:footnoteReference w:id="3"/>
      </w:r>
      <w:r w:rsidR="0076719B" w:rsidRPr="00EE3CBD">
        <w:t xml:space="preserve"> </w:t>
      </w:r>
      <w:r>
        <w:t>ve 4.</w:t>
      </w:r>
      <w:r w:rsidR="002F21EC">
        <w:t> </w:t>
      </w:r>
      <w:r>
        <w:t xml:space="preserve">čtvrtletí </w:t>
      </w:r>
      <w:r w:rsidR="002F21EC">
        <w:t>zůstala na úrovni 46,9 %</w:t>
      </w:r>
      <w:r w:rsidR="0037421A" w:rsidRPr="00EE3CBD">
        <w:t xml:space="preserve"> </w:t>
      </w:r>
      <w:r w:rsidR="0076719B" w:rsidRPr="00EE3CBD">
        <w:t>(</w:t>
      </w:r>
      <w:r w:rsidR="002F19E2" w:rsidRPr="00EE3CBD">
        <w:t>sezónně očištěno</w:t>
      </w:r>
      <w:r w:rsidR="0076719B" w:rsidRPr="00EE3CBD">
        <w:t>)</w:t>
      </w:r>
      <w:r w:rsidR="005D0B33" w:rsidRPr="00EE3CBD">
        <w:t>.</w:t>
      </w:r>
      <w:r w:rsidR="002F19E2" w:rsidRPr="00EE3CBD">
        <w:t xml:space="preserve"> Meziročně</w:t>
      </w:r>
      <w:r w:rsidR="00EF625A" w:rsidRPr="00EE3CBD">
        <w:t xml:space="preserve"> byla</w:t>
      </w:r>
      <w:r w:rsidR="002F19E2" w:rsidRPr="00EE3CBD">
        <w:t xml:space="preserve"> míra zisku </w:t>
      </w:r>
      <w:r w:rsidR="00F72F36" w:rsidRPr="00EE3CBD">
        <w:t>vyšší o</w:t>
      </w:r>
      <w:r w:rsidR="007D29CC">
        <w:t> </w:t>
      </w:r>
      <w:r w:rsidR="002F21EC">
        <w:t>2,5</w:t>
      </w:r>
      <w:r w:rsidR="007D29CC">
        <w:t> </w:t>
      </w:r>
      <w:r w:rsidR="002F21EC">
        <w:t>p. b.</w:t>
      </w:r>
      <w:r w:rsidR="002F19E2" w:rsidRPr="00EE3CBD">
        <w:t xml:space="preserve"> (sezónně neočištěno).</w:t>
      </w:r>
      <w:r w:rsidR="002F21EC">
        <w:t xml:space="preserve"> V roce 2022 míra zisku NP dosáhla 46,1 %, což bylo o 0,2 p. b. méně než v předchozím roce.</w:t>
      </w:r>
    </w:p>
    <w:p w14:paraId="2165580E" w14:textId="77777777" w:rsidR="00F455DC" w:rsidRPr="00AC6570" w:rsidRDefault="00F455DC" w:rsidP="00F455DC">
      <w:pPr>
        <w:pStyle w:val="TabulkaGraf"/>
        <w:jc w:val="both"/>
      </w:pPr>
      <w:r w:rsidRPr="00AC6570">
        <w:t>Graf 1: Meziroční nominální přírůstek HPH a náhrad zaměstnancům (v mld. korun), míra zisku (sezónně očištěno, v %)</w:t>
      </w:r>
    </w:p>
    <w:p w14:paraId="47EFC4F0" w14:textId="77777777" w:rsidR="00F455DC" w:rsidRPr="00AC6570" w:rsidRDefault="00F455DC" w:rsidP="00F455DC">
      <w:pPr>
        <w:pStyle w:val="TabulkaGraf"/>
        <w:jc w:val="center"/>
        <w:rPr>
          <w:b w:val="0"/>
          <w:bCs w:val="0"/>
        </w:rPr>
      </w:pPr>
      <w:r w:rsidRPr="00AC6570">
        <w:rPr>
          <w:noProof/>
          <w:lang w:eastAsia="cs-CZ"/>
        </w:rPr>
        <w:drawing>
          <wp:inline distT="0" distB="0" distL="0" distR="0" wp14:anchorId="64EFCC10" wp14:editId="16F0A1D1">
            <wp:extent cx="4731250" cy="2907600"/>
            <wp:effectExtent l="0" t="0" r="0" b="762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AC6570">
        <w:rPr>
          <w:noProof/>
          <w:lang w:eastAsia="cs-CZ"/>
        </w:rPr>
        <w:t xml:space="preserve"> </w:t>
      </w:r>
    </w:p>
    <w:p w14:paraId="5462F956" w14:textId="77777777" w:rsidR="00F455DC" w:rsidRPr="00AC6570" w:rsidRDefault="00F455DC" w:rsidP="00F455DC">
      <w:pPr>
        <w:spacing w:after="120"/>
      </w:pPr>
      <w:r w:rsidRPr="00AC6570">
        <w:t>Zdroj: ČSÚ, národní účty</w:t>
      </w:r>
    </w:p>
    <w:p w14:paraId="74044363" w14:textId="77777777" w:rsidR="001B6452" w:rsidRDefault="00897527" w:rsidP="005D42E5">
      <w:pPr>
        <w:spacing w:after="120"/>
      </w:pPr>
      <w:r>
        <w:t>Deficit salda d</w:t>
      </w:r>
      <w:r w:rsidR="005E2616">
        <w:t>ůchod</w:t>
      </w:r>
      <w:r>
        <w:t>ů</w:t>
      </w:r>
      <w:r w:rsidR="005E2616">
        <w:t xml:space="preserve"> z vlastnictví NP</w:t>
      </w:r>
      <w:r>
        <w:t xml:space="preserve"> ve 4. čtvrtletí dosáhl 120,3 mld. korun a meziročně tak byl hlubší o 35,7 mld. Přijaté důchody z vlastnictví ve 4. kvartálu meziročně vzrostly o 42,5 mld. korun a </w:t>
      </w:r>
      <w:r w:rsidR="00EB4F8B">
        <w:t xml:space="preserve">nadále </w:t>
      </w:r>
      <w:r>
        <w:t xml:space="preserve">k tomu </w:t>
      </w:r>
      <w:r w:rsidR="00EB4F8B">
        <w:t xml:space="preserve">nejvíce </w:t>
      </w:r>
      <w:r>
        <w:t>přispívaly úroky (+27,3 mld.) a dále rozdělované důchody společností (+10,2</w:t>
      </w:r>
      <w:r w:rsidR="00EB4F8B">
        <w:t> </w:t>
      </w:r>
      <w:r>
        <w:t>mld.) a reinvestované zisky (+4,9 mld.). Meziročně o 78,2 mld. korun více musely NP ve formě důchodů z vlastnictví vyplatit. Z toho byly</w:t>
      </w:r>
      <w:r w:rsidR="00FA051F" w:rsidRPr="005E2616">
        <w:t xml:space="preserve"> rozdělované důchody společností </w:t>
      </w:r>
      <w:r>
        <w:t>vyšší o</w:t>
      </w:r>
      <w:r w:rsidR="00EB4F8B">
        <w:t> </w:t>
      </w:r>
      <w:r>
        <w:t>47,8</w:t>
      </w:r>
      <w:r w:rsidR="00EB4F8B">
        <w:t> </w:t>
      </w:r>
      <w:r w:rsidR="00FA051F" w:rsidRPr="005E2616">
        <w:t>mld. korun</w:t>
      </w:r>
      <w:r>
        <w:t xml:space="preserve">, </w:t>
      </w:r>
      <w:r w:rsidR="00FA051F" w:rsidRPr="005E2616">
        <w:t xml:space="preserve">úroky o </w:t>
      </w:r>
      <w:r>
        <w:t>22,5</w:t>
      </w:r>
      <w:r w:rsidR="00FA051F" w:rsidRPr="005E2616">
        <w:t xml:space="preserve"> mld.</w:t>
      </w:r>
      <w:r>
        <w:t xml:space="preserve"> a </w:t>
      </w:r>
      <w:r w:rsidR="00FA051F" w:rsidRPr="005E2616">
        <w:t>re</w:t>
      </w:r>
      <w:r w:rsidR="00CB5EA3" w:rsidRPr="005E2616">
        <w:t xml:space="preserve">investované zisky </w:t>
      </w:r>
      <w:r w:rsidR="00FA051F" w:rsidRPr="005E2616">
        <w:t xml:space="preserve">o </w:t>
      </w:r>
      <w:r>
        <w:t>7,8</w:t>
      </w:r>
      <w:r w:rsidR="00FA051F" w:rsidRPr="005E2616">
        <w:t xml:space="preserve"> mld.</w:t>
      </w:r>
      <w:r w:rsidR="00090013">
        <w:t xml:space="preserve"> Za celý rok 2022 deficit důchodů z vlastnictví NP dosáhl 490,1 mld. korun a meziročně se prohloubil o 53,8 mld. </w:t>
      </w:r>
      <w:r w:rsidR="00EB4F8B">
        <w:t xml:space="preserve">Na výši důchodů z vlastnictví, které NP obdržely (+118,0 mld. korun), se projevilo </w:t>
      </w:r>
      <w:r w:rsidR="00465ED9">
        <w:t xml:space="preserve">hlavně </w:t>
      </w:r>
      <w:r w:rsidR="00EB4F8B">
        <w:t>navýšení úrokových sazeb (obdržené úroky vzrostly o 76,8 mld.). Naopak NP vyplatily loni o 171,8 mld. korun více, zejména prostřednictvím rozdělovaných důchodů společností (+117,3 mld.).</w:t>
      </w:r>
    </w:p>
    <w:p w14:paraId="629A236D" w14:textId="77777777" w:rsidR="000C43AA" w:rsidRDefault="00EB4F8B" w:rsidP="005D42E5">
      <w:r>
        <w:t>Saldo druhotných důchodů ve 4. čtvrtletí skončilo v</w:t>
      </w:r>
      <w:r w:rsidR="00871086">
        <w:t> </w:t>
      </w:r>
      <w:r>
        <w:t>deficitu</w:t>
      </w:r>
      <w:r w:rsidR="00871086">
        <w:t xml:space="preserve"> 58,2 mld. korun. To je meziročně o 5,3 mld. korun hlubší schodek. Nefinanční podniky zaplatily meziročně o 4,9 mld. korun více ve formě </w:t>
      </w:r>
      <w:r w:rsidR="00F91E77" w:rsidRPr="00871086">
        <w:t>běžn</w:t>
      </w:r>
      <w:r w:rsidR="00871086">
        <w:t>ých daní</w:t>
      </w:r>
      <w:r w:rsidR="00F91E77" w:rsidRPr="00871086">
        <w:t xml:space="preserve"> z důchodů a jmění</w:t>
      </w:r>
      <w:r w:rsidR="00871086">
        <w:t>. Zaplacené o</w:t>
      </w:r>
      <w:r w:rsidR="00F91E77" w:rsidRPr="00871086">
        <w:t>statní běžné transfery</w:t>
      </w:r>
      <w:r w:rsidR="00871086">
        <w:t xml:space="preserve"> narostly o 26,4 mld. korun. P</w:t>
      </w:r>
      <w:r w:rsidR="00F91E77" w:rsidRPr="00871086">
        <w:t>odniky</w:t>
      </w:r>
      <w:r w:rsidR="00871086">
        <w:t xml:space="preserve"> na druhé straně </w:t>
      </w:r>
      <w:r w:rsidR="00F91E77" w:rsidRPr="00871086">
        <w:t xml:space="preserve">obdržely </w:t>
      </w:r>
      <w:r w:rsidR="002C76B2" w:rsidRPr="00871086">
        <w:t xml:space="preserve">ve formě ostatních běžných transferů </w:t>
      </w:r>
      <w:r w:rsidR="00F91E77" w:rsidRPr="00871086">
        <w:t>meziročně o</w:t>
      </w:r>
      <w:r w:rsidR="00871086">
        <w:t> 25,9 </w:t>
      </w:r>
      <w:r w:rsidR="00F91E77" w:rsidRPr="00871086">
        <w:t>mld. korun více.</w:t>
      </w:r>
      <w:r w:rsidR="00820139" w:rsidRPr="00871086">
        <w:t xml:space="preserve"> </w:t>
      </w:r>
      <w:r w:rsidR="00871086">
        <w:t>H</w:t>
      </w:r>
      <w:r w:rsidR="00BA6BD0" w:rsidRPr="00871086">
        <w:t>rubé úspory</w:t>
      </w:r>
      <w:r w:rsidR="00E9181E" w:rsidRPr="00871086">
        <w:t> </w:t>
      </w:r>
      <w:r w:rsidR="00BA6BD0" w:rsidRPr="00871086">
        <w:t>NP</w:t>
      </w:r>
      <w:r w:rsidR="00871086">
        <w:t xml:space="preserve"> ve 4. čtvrtletí dosáhly 282,4 mld. korun a </w:t>
      </w:r>
      <w:r w:rsidR="00964190" w:rsidRPr="00871086">
        <w:t>meziročně</w:t>
      </w:r>
      <w:r w:rsidR="00871086">
        <w:t xml:space="preserve"> byly vyšší o 34,1 </w:t>
      </w:r>
      <w:r w:rsidR="00964190" w:rsidRPr="00871086">
        <w:t xml:space="preserve">mld. </w:t>
      </w:r>
      <w:r w:rsidR="00F91E77" w:rsidRPr="00871086">
        <w:t>M</w:t>
      </w:r>
      <w:r w:rsidR="00E0186F" w:rsidRPr="00871086">
        <w:t>íra úspor</w:t>
      </w:r>
      <w:r w:rsidR="00CF1E81" w:rsidRPr="00871086">
        <w:t> </w:t>
      </w:r>
      <w:r w:rsidR="00E0186F" w:rsidRPr="00871086">
        <w:t>NP</w:t>
      </w:r>
      <w:r w:rsidR="00E0186F" w:rsidRPr="00871086">
        <w:rPr>
          <w:rStyle w:val="Znakapoznpodarou"/>
        </w:rPr>
        <w:footnoteReference w:id="4"/>
      </w:r>
      <w:r w:rsidR="00E0186F" w:rsidRPr="00871086">
        <w:t xml:space="preserve"> </w:t>
      </w:r>
      <w:r w:rsidR="009A3ACE" w:rsidRPr="00871086">
        <w:t xml:space="preserve">dosáhla </w:t>
      </w:r>
      <w:r w:rsidR="00964190" w:rsidRPr="00871086">
        <w:t>2</w:t>
      </w:r>
      <w:r w:rsidR="00871086">
        <w:t>8,2</w:t>
      </w:r>
      <w:r w:rsidR="00BD40CD" w:rsidRPr="00871086">
        <w:t> %</w:t>
      </w:r>
      <w:r w:rsidR="00820139" w:rsidRPr="00871086">
        <w:t xml:space="preserve"> a meziročně tak </w:t>
      </w:r>
      <w:r w:rsidR="00F91E77" w:rsidRPr="00871086">
        <w:t>vzrostla</w:t>
      </w:r>
      <w:r w:rsidR="00820139" w:rsidRPr="00871086">
        <w:t xml:space="preserve"> o </w:t>
      </w:r>
      <w:r w:rsidR="00871086">
        <w:t>0,2</w:t>
      </w:r>
      <w:r w:rsidR="0032347E" w:rsidRPr="00871086">
        <w:t> p. b.</w:t>
      </w:r>
    </w:p>
    <w:p w14:paraId="4E4DED2E" w14:textId="77777777" w:rsidR="00465ED9" w:rsidRDefault="005F49EC" w:rsidP="005D42E5">
      <w:pPr>
        <w:spacing w:after="120"/>
      </w:pPr>
      <w:r>
        <w:lastRenderedPageBreak/>
        <w:t>Nefinanční podniky obdržely ve 4. čtvrtletí 14,2 mld. korun (+2,8 mld.) ve formě kapitálových transferů. Z toho 12,2 mld. korun tvořily investiční dotace, meziročně o 3,3 mld. více. Ostatní kapitálové transfery dosáhly 2,0 mld. korun (</w:t>
      </w:r>
      <w:r w:rsidR="00834CC5">
        <w:t>−</w:t>
      </w:r>
      <w:r>
        <w:t>0,5 mld.), což je výše obvyklá pro dané období roku. Za celý rok 2022 nefinanční podniky obdržely kapitálové transfery v objemu 43,9 mld. korun (+4,9</w:t>
      </w:r>
      <w:r w:rsidR="00CB0423">
        <w:t> </w:t>
      </w:r>
      <w:r>
        <w:t>mld.). Investiční dotace z toho tvořily 32,1 mld. korun</w:t>
      </w:r>
      <w:r w:rsidR="00CB0423">
        <w:t xml:space="preserve"> (+4,2 mld.). Ostatní kapitálové transfery dosáhly loni 11,8 mld. korun, což bylo o 0,7 mld. více než v roce 2021</w:t>
      </w:r>
      <w:r w:rsidR="00465ED9">
        <w:t xml:space="preserve"> </w:t>
      </w:r>
      <w:r w:rsidR="00CB0423">
        <w:t>a značně to převyšovalo úroveň let 2016 až 2019</w:t>
      </w:r>
      <w:r w:rsidR="00CB0423">
        <w:rPr>
          <w:rStyle w:val="Znakapoznpodarou"/>
        </w:rPr>
        <w:footnoteReference w:id="5"/>
      </w:r>
      <w:r w:rsidR="00CB0423">
        <w:t xml:space="preserve">. </w:t>
      </w:r>
    </w:p>
    <w:p w14:paraId="1E90DCB9" w14:textId="77777777" w:rsidR="00820139" w:rsidRPr="00FE5AAD" w:rsidRDefault="000827CE" w:rsidP="005D42E5">
      <w:pPr>
        <w:spacing w:after="120"/>
      </w:pPr>
      <w:r w:rsidRPr="00FE5AAD">
        <w:t>Výdaje na tvorbu hrubého fixního kapitálu NP</w:t>
      </w:r>
      <w:r w:rsidR="00CB0423">
        <w:t xml:space="preserve"> ve 4. čtvrtletí</w:t>
      </w:r>
      <w:r w:rsidRPr="00FE5AAD">
        <w:t xml:space="preserve"> meziročně vzrostly o</w:t>
      </w:r>
      <w:r w:rsidR="002C6B5F" w:rsidRPr="00FE5AAD">
        <w:t xml:space="preserve"> 4</w:t>
      </w:r>
      <w:r w:rsidR="00CB0423">
        <w:t>5,1</w:t>
      </w:r>
      <w:r w:rsidR="002C6B5F" w:rsidRPr="00FE5AAD">
        <w:t xml:space="preserve"> mld. korun (1</w:t>
      </w:r>
      <w:r w:rsidR="00CB0423">
        <w:t>6</w:t>
      </w:r>
      <w:r w:rsidR="002C6B5F" w:rsidRPr="00FE5AAD">
        <w:t>,</w:t>
      </w:r>
      <w:r w:rsidR="00CB0423">
        <w:t>8</w:t>
      </w:r>
      <w:r w:rsidR="002C6B5F" w:rsidRPr="00FE5AAD">
        <w:t xml:space="preserve"> %) </w:t>
      </w:r>
      <w:r w:rsidR="00CB0423">
        <w:t>a dosáhly 313,0</w:t>
      </w:r>
      <w:r w:rsidR="002C6B5F" w:rsidRPr="00FE5AAD">
        <w:t xml:space="preserve"> mld. </w:t>
      </w:r>
      <w:r w:rsidR="00CB0423">
        <w:t>Mezičtvrtletně investice rostly opět jen mírně (+1,8 mld. korun, 0,6</w:t>
      </w:r>
      <w:r w:rsidR="00465ED9">
        <w:t> </w:t>
      </w:r>
      <w:r w:rsidR="00CB0423">
        <w:t>%, sezónně očištěno).</w:t>
      </w:r>
      <w:r w:rsidR="003149E1">
        <w:t xml:space="preserve"> Za celý rok 2022 se investiční aktivita NP zvýšila o 172,3 mld. korun (18,1</w:t>
      </w:r>
      <w:r w:rsidR="00465ED9">
        <w:t xml:space="preserve"> </w:t>
      </w:r>
      <w:r w:rsidR="003149E1">
        <w:t>%).</w:t>
      </w:r>
      <w:r w:rsidR="00CB0423">
        <w:t xml:space="preserve"> </w:t>
      </w:r>
      <w:r w:rsidR="003149E1">
        <w:t xml:space="preserve">Na </w:t>
      </w:r>
      <w:r w:rsidR="002C6B5F" w:rsidRPr="00FE5AAD">
        <w:t>nominální</w:t>
      </w:r>
      <w:r w:rsidR="0095430A" w:rsidRPr="00FE5AAD">
        <w:t xml:space="preserve"> přírůstk</w:t>
      </w:r>
      <w:r w:rsidR="003149E1">
        <w:t>y mělo výrazný vliv z</w:t>
      </w:r>
      <w:r w:rsidR="0095430A" w:rsidRPr="00FE5AAD">
        <w:t xml:space="preserve">výšení </w:t>
      </w:r>
      <w:r w:rsidR="002C6B5F" w:rsidRPr="00FE5AAD">
        <w:t>cenové hladiny</w:t>
      </w:r>
      <w:r w:rsidR="002C6B5F" w:rsidRPr="00FE5AAD">
        <w:rPr>
          <w:rStyle w:val="Znakapoznpodarou"/>
        </w:rPr>
        <w:footnoteReference w:id="6"/>
      </w:r>
      <w:r w:rsidR="003149E1">
        <w:t xml:space="preserve">. </w:t>
      </w:r>
      <w:r w:rsidR="00820139" w:rsidRPr="00FE5AAD">
        <w:t>Míra investic</w:t>
      </w:r>
      <w:r w:rsidR="00820139" w:rsidRPr="00FE5AAD">
        <w:rPr>
          <w:rStyle w:val="Znakapoznpodarou"/>
        </w:rPr>
        <w:footnoteReference w:id="7"/>
      </w:r>
      <w:r w:rsidR="00820139" w:rsidRPr="00FE5AAD">
        <w:t> </w:t>
      </w:r>
      <w:r w:rsidR="002C6B5F" w:rsidRPr="00FE5AAD">
        <w:t xml:space="preserve">nefinančních podniků ve </w:t>
      </w:r>
      <w:r w:rsidR="003149E1">
        <w:t>4</w:t>
      </w:r>
      <w:r w:rsidR="002C6B5F" w:rsidRPr="00FE5AAD">
        <w:t>. čtvrtletí dosáhla 2</w:t>
      </w:r>
      <w:r w:rsidR="003149E1">
        <w:t>8,9</w:t>
      </w:r>
      <w:r w:rsidR="002C6B5F" w:rsidRPr="00FE5AAD">
        <w:t xml:space="preserve"> % (sezónně očištěno) a</w:t>
      </w:r>
      <w:r w:rsidR="003149E1">
        <w:t> </w:t>
      </w:r>
      <w:r w:rsidR="00491234" w:rsidRPr="00FE5AAD">
        <w:t xml:space="preserve">mezičtvrtletně </w:t>
      </w:r>
      <w:r w:rsidR="002C6B5F" w:rsidRPr="00FE5AAD">
        <w:t>klesla o 0,</w:t>
      </w:r>
      <w:r w:rsidR="003149E1">
        <w:t>4</w:t>
      </w:r>
      <w:r w:rsidR="002C6B5F" w:rsidRPr="00FE5AAD">
        <w:t xml:space="preserve"> p. b. </w:t>
      </w:r>
      <w:r w:rsidR="00820139" w:rsidRPr="00FE5AAD">
        <w:t xml:space="preserve">Meziročně byla míra investic NP (neočištěná) </w:t>
      </w:r>
      <w:r w:rsidR="00446302" w:rsidRPr="00FE5AAD">
        <w:t xml:space="preserve">vyšší o </w:t>
      </w:r>
      <w:r w:rsidR="002C6B5F" w:rsidRPr="00FE5AAD">
        <w:t>1,</w:t>
      </w:r>
      <w:r w:rsidR="003149E1">
        <w:t>0</w:t>
      </w:r>
      <w:r w:rsidR="00820139" w:rsidRPr="00FE5AAD">
        <w:t> p. b.</w:t>
      </w:r>
      <w:r w:rsidR="003149E1">
        <w:t xml:space="preserve"> Za celý rok 2022 míra investic dosáhla 29,4 %, což bylo nejvíce od roku 2019. Ukazatel se meziročně zvýšil o</w:t>
      </w:r>
      <w:r w:rsidR="00076404">
        <w:t> </w:t>
      </w:r>
      <w:r w:rsidR="003149E1">
        <w:t>1,7</w:t>
      </w:r>
      <w:r w:rsidR="00076404">
        <w:t> </w:t>
      </w:r>
      <w:r w:rsidR="003149E1">
        <w:t>p. b.</w:t>
      </w:r>
      <w:r w:rsidR="00820139" w:rsidRPr="00FE5AAD">
        <w:t xml:space="preserve"> </w:t>
      </w:r>
    </w:p>
    <w:p w14:paraId="367064F9" w14:textId="77777777" w:rsidR="0050641C" w:rsidRPr="00AC6570" w:rsidRDefault="009F7FD8" w:rsidP="000302A6">
      <w:pPr>
        <w:pStyle w:val="TabulkaGraf"/>
        <w:spacing w:after="120"/>
      </w:pPr>
      <w:r w:rsidRPr="00AC6570">
        <w:t>G</w:t>
      </w:r>
      <w:r w:rsidR="002E6F00" w:rsidRPr="00AC6570">
        <w:t>raf </w:t>
      </w:r>
      <w:r w:rsidR="0050641C" w:rsidRPr="00AC6570">
        <w:t>2: Meziroční nominální přírůstek tvorby hrubého fixního kapitálu (v</w:t>
      </w:r>
      <w:r w:rsidR="00840938" w:rsidRPr="00AC6570">
        <w:t> mld.</w:t>
      </w:r>
      <w:r w:rsidR="0050641C" w:rsidRPr="00AC6570">
        <w:t xml:space="preserve"> korun) </w:t>
      </w:r>
      <w:r w:rsidR="00F03815" w:rsidRPr="00AC6570">
        <w:t>a </w:t>
      </w:r>
      <w:r w:rsidR="0050641C" w:rsidRPr="00AC6570">
        <w:t>míra investic (sezónně očištěno, v</w:t>
      </w:r>
      <w:r w:rsidR="00840938" w:rsidRPr="00AC6570">
        <w:t> %</w:t>
      </w:r>
      <w:r w:rsidR="0050641C" w:rsidRPr="00AC6570">
        <w:t>)</w:t>
      </w:r>
    </w:p>
    <w:p w14:paraId="10DE6E0A" w14:textId="77777777" w:rsidR="007B7E54" w:rsidRPr="00AC6570" w:rsidRDefault="00AC6570" w:rsidP="009F7FD8">
      <w:pPr>
        <w:jc w:val="center"/>
      </w:pPr>
      <w:r w:rsidRPr="00AC6570">
        <w:rPr>
          <w:noProof/>
          <w:lang w:eastAsia="cs-CZ"/>
        </w:rPr>
        <w:drawing>
          <wp:inline distT="0" distB="0" distL="0" distR="0" wp14:anchorId="33232DDD" wp14:editId="2102D57A">
            <wp:extent cx="4743950" cy="2910775"/>
            <wp:effectExtent l="0" t="0" r="0" b="4445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16ACA" w:rsidRPr="00AC6570">
        <w:rPr>
          <w:noProof/>
          <w:lang w:eastAsia="cs-CZ"/>
        </w:rPr>
        <w:t xml:space="preserve"> </w:t>
      </w:r>
    </w:p>
    <w:p w14:paraId="40303758" w14:textId="77777777" w:rsidR="00962C91" w:rsidRDefault="00941335" w:rsidP="00035558">
      <w:pPr>
        <w:spacing w:after="240"/>
        <w:rPr>
          <w:b/>
          <w:bCs/>
        </w:rPr>
      </w:pPr>
      <w:r w:rsidRPr="00AC6570">
        <w:t>Zdroj: ČSÚ, národní účty</w:t>
      </w:r>
      <w:r w:rsidR="00962C91">
        <w:rPr>
          <w:b/>
          <w:bCs/>
        </w:rPr>
        <w:br w:type="page"/>
      </w:r>
    </w:p>
    <w:p w14:paraId="14C81046" w14:textId="77777777" w:rsidR="00F50CEF" w:rsidRPr="007012C8" w:rsidRDefault="00F50CEF" w:rsidP="00210B17">
      <w:pPr>
        <w:spacing w:after="120"/>
        <w:rPr>
          <w:b/>
          <w:bCs/>
        </w:rPr>
      </w:pPr>
      <w:r w:rsidRPr="007012C8">
        <w:rPr>
          <w:b/>
          <w:bCs/>
        </w:rPr>
        <w:lastRenderedPageBreak/>
        <w:t>Vládní instituce</w:t>
      </w:r>
    </w:p>
    <w:p w14:paraId="5A251715" w14:textId="3DAECB07" w:rsidR="001869C8" w:rsidRDefault="00D17D3F" w:rsidP="00A969A9">
      <w:pPr>
        <w:spacing w:after="120"/>
      </w:pPr>
      <w:r>
        <w:t>Sektor vládních institucí (VI) ve 4. čtvrtletí 2022 hospodařil s deficitem 103,8 mld. korun. Meziročně se schodek prohloubil o 7,0 mld. a v rámci 4. kvartálu bylo horšího výsledku hospodaření dosaženo jen v roce 2020. Výdaje i příjmy vládního sektoru narůstaly podobným tempem. Cenovým růstem podpořené navýšení příjmů ale nestačilo kompenzovat nárůst výdajů spojen</w:t>
      </w:r>
      <w:r w:rsidR="00842A98">
        <w:t>ý</w:t>
      </w:r>
      <w:r>
        <w:t xml:space="preserve"> s řešením energetické krize i dalšími závazky VI. Podle sezónně očištěných údajů se </w:t>
      </w:r>
      <w:r w:rsidR="00842A98">
        <w:t xml:space="preserve">ale </w:t>
      </w:r>
      <w:r>
        <w:t>deficit hospodaření VI mezičtvrtletně zmírňoval. Za celý rok 2022 deficit hospodaření sektoru VI dosáhl 247,</w:t>
      </w:r>
      <w:r w:rsidR="00720A25">
        <w:t>5</w:t>
      </w:r>
      <w:r>
        <w:t xml:space="preserve"> mld. korun </w:t>
      </w:r>
      <w:r w:rsidR="00720A25">
        <w:t>(</w:t>
      </w:r>
      <w:r w:rsidR="00720A25">
        <w:t>3,6 % HDP.</w:t>
      </w:r>
      <w:r w:rsidR="00720A25">
        <w:t xml:space="preserve">) </w:t>
      </w:r>
      <w:r>
        <w:t>a meziročně se tak zmírnil o 63,1 mld. Ke zlepšení přispěl výhradně vývoj v první polovině roku.</w:t>
      </w:r>
    </w:p>
    <w:p w14:paraId="5BF36FAC" w14:textId="77777777" w:rsidR="007820D8" w:rsidRDefault="001869C8" w:rsidP="00A969A9">
      <w:pPr>
        <w:spacing w:after="120"/>
      </w:pPr>
      <w:r>
        <w:t>Příjmy sektoru vládních institucí ve 4. čtvrtletí vystoupaly na 724,6 mld. korun a byly tak meziročně vyšší o 60,8 mld. (9,2 %).</w:t>
      </w:r>
      <w:r w:rsidR="008F492F">
        <w:t xml:space="preserve"> Nejvíce k jejich růstu přispěly přijaté čisté sociální příspěvky (+16,0 mld. korun), zvýšenými úroky podpořené důchody z vlastnictví (+15,3 mld.) a běžné daně z důchodů a jmění (+12,3 mld.). </w:t>
      </w:r>
      <w:r w:rsidR="007820D8">
        <w:t xml:space="preserve">Prudce zmírnil přírůstek obdržených daní z výroby a dovozu (+4,8 mld. korun), </w:t>
      </w:r>
      <w:r w:rsidR="00842A98">
        <w:t>které jsou obvykle tahounem růstu příjmů VI. P</w:t>
      </w:r>
      <w:r w:rsidR="007820D8">
        <w:t xml:space="preserve">rojevilo </w:t>
      </w:r>
      <w:r w:rsidR="00842A98">
        <w:t xml:space="preserve">se na nich </w:t>
      </w:r>
      <w:r w:rsidR="007820D8">
        <w:t>oslabení výběru spotřebních daní, zejména u pohonných hmot</w:t>
      </w:r>
      <w:r w:rsidR="00842A98">
        <w:t>.</w:t>
      </w:r>
      <w:r w:rsidR="007820D8">
        <w:t xml:space="preserve"> Vyšší byly přijaté kapitálové transfery (+7,7 mld. korun). Obdržené ostatní běžné transfery meziročně vzrostly o 2,4 mld. korun a </w:t>
      </w:r>
      <w:r w:rsidR="008F5309" w:rsidRPr="001869C8">
        <w:t xml:space="preserve">hodnota tržní produkce pro vlastní užití </w:t>
      </w:r>
      <w:r w:rsidR="009F0A39" w:rsidRPr="001869C8">
        <w:t>a platby za ostatní netržní produkci</w:t>
      </w:r>
      <w:r w:rsidR="007820D8">
        <w:t xml:space="preserve"> o 2,2 mld. </w:t>
      </w:r>
      <w:r w:rsidR="009D5E52">
        <w:t>Za celý rok 2022 příjmy VI vzrostly o 252,3 mld. korun</w:t>
      </w:r>
      <w:r w:rsidR="006A766A">
        <w:t xml:space="preserve"> (10,0 %)</w:t>
      </w:r>
      <w:r w:rsidR="009D5E52">
        <w:t xml:space="preserve"> na 2 782,7 mld.</w:t>
      </w:r>
      <w:r w:rsidR="00F13385">
        <w:t xml:space="preserve"> Všechny zdroje příjmů se zvyšovaly a</w:t>
      </w:r>
      <w:r w:rsidR="005A719E">
        <w:t> </w:t>
      </w:r>
      <w:r w:rsidR="00F13385">
        <w:t>patrný byl vliv posilující cenové hladiny. Nejvíce rostly přijaté</w:t>
      </w:r>
      <w:r w:rsidR="009D5E52">
        <w:t xml:space="preserve"> </w:t>
      </w:r>
      <w:r w:rsidR="00F13385">
        <w:t>čisté sociální příspěvky (+71,1</w:t>
      </w:r>
      <w:r w:rsidR="005A719E">
        <w:t> </w:t>
      </w:r>
      <w:r w:rsidR="00F13385">
        <w:t xml:space="preserve">mld. korun), daně z výroby a dovozu (+65,5 mld.), důchody z vlastnictví (+36,8 mld.), běžné daně z důchodů a jmění (+36,3 mld.) a </w:t>
      </w:r>
      <w:r w:rsidR="00F13385" w:rsidRPr="001869C8">
        <w:t>hodnota tržní produkce pro vlastní užití a platby za ostatní netržní produkci</w:t>
      </w:r>
      <w:r w:rsidR="00F13385">
        <w:t xml:space="preserve"> (+26,3 mld.).</w:t>
      </w:r>
    </w:p>
    <w:p w14:paraId="250FFAAB" w14:textId="78E2281E" w:rsidR="00043656" w:rsidRDefault="009076B5" w:rsidP="00A969A9">
      <w:pPr>
        <w:spacing w:after="120"/>
      </w:pPr>
      <w:r>
        <w:t>Výdaje VI ve 4. čtvrtletí 2022 meziročně vzrostly o 67,8 mld. korun (8,9 %) na 828,4 mld.</w:t>
      </w:r>
      <w:r w:rsidR="002968EB">
        <w:t xml:space="preserve"> Nejvíce na</w:t>
      </w:r>
      <w:r w:rsidR="00403033">
        <w:t xml:space="preserve"> meziroční </w:t>
      </w:r>
      <w:r w:rsidR="002968EB">
        <w:t>zvýšení výdajové strany hospodaření tlačily vyplacené sociální dávky a naturální sociální transfery (+25,0 mld. korun). O poznání méně výrazn</w:t>
      </w:r>
      <w:r w:rsidR="00025278">
        <w:t>ý</w:t>
      </w:r>
      <w:r w:rsidR="002968EB">
        <w:t xml:space="preserve"> byl přírůst</w:t>
      </w:r>
      <w:r w:rsidR="00025278">
        <w:t>e</w:t>
      </w:r>
      <w:r w:rsidR="002968EB">
        <w:t>k výdajů na tvorbu hrubého kapitálu</w:t>
      </w:r>
      <w:r w:rsidR="00025278">
        <w:t xml:space="preserve"> a</w:t>
      </w:r>
      <w:r w:rsidR="002968EB">
        <w:t xml:space="preserve"> čisté</w:t>
      </w:r>
      <w:r w:rsidR="00025278">
        <w:t>ho</w:t>
      </w:r>
      <w:r w:rsidR="002968EB">
        <w:t xml:space="preserve"> pořízení nevyráběných aktiv (</w:t>
      </w:r>
      <w:r w:rsidR="00842A98">
        <w:t>+</w:t>
      </w:r>
      <w:r w:rsidR="002968EB">
        <w:t>10,7 mld. korun), náhrad zaměstnancům (10,5</w:t>
      </w:r>
      <w:r w:rsidR="00AF7C8B">
        <w:t> </w:t>
      </w:r>
      <w:r w:rsidR="002968EB">
        <w:t>mld.)</w:t>
      </w:r>
      <w:r w:rsidR="00762B6E">
        <w:t xml:space="preserve">, </w:t>
      </w:r>
      <w:r w:rsidR="002968EB">
        <w:t>placených důchodů z vlastnictví (+10,0 mld., z naprosté většiny pod vlivem zvýšených úroků)</w:t>
      </w:r>
      <w:r w:rsidR="00762B6E">
        <w:t xml:space="preserve"> a</w:t>
      </w:r>
      <w:r w:rsidR="005A719E">
        <w:t> </w:t>
      </w:r>
      <w:proofErr w:type="spellStart"/>
      <w:r w:rsidR="00762B6E">
        <w:t>mezispotřeby</w:t>
      </w:r>
      <w:proofErr w:type="spellEnd"/>
      <w:r w:rsidR="00762B6E">
        <w:t xml:space="preserve"> (+8,9 mld. korun). Po sérii meziročních poklesů souvisejících s útlumem </w:t>
      </w:r>
      <w:r w:rsidR="00B144F0">
        <w:t>proti</w:t>
      </w:r>
      <w:r w:rsidR="00762B6E">
        <w:t>pandemických výdajů opět meziročně rostly vyplacené dotace (+3,9</w:t>
      </w:r>
      <w:r w:rsidR="00037808">
        <w:t> </w:t>
      </w:r>
      <w:r w:rsidR="00762B6E">
        <w:t>mld. korun). Meziročně nižší byly ve 4. čtvrtletí jen placené ostat</w:t>
      </w:r>
      <w:r w:rsidR="006A766A">
        <w:t>ní běžné transfery (</w:t>
      </w:r>
      <w:r w:rsidR="00834CC5">
        <w:t>−</w:t>
      </w:r>
      <w:r w:rsidR="006A766A">
        <w:t>2,4</w:t>
      </w:r>
      <w:r w:rsidR="00037808">
        <w:t> </w:t>
      </w:r>
      <w:r w:rsidR="006A766A">
        <w:t xml:space="preserve">mld. korun). </w:t>
      </w:r>
    </w:p>
    <w:p w14:paraId="71103C26" w14:textId="690DD2BA" w:rsidR="006A3330" w:rsidRDefault="006A766A" w:rsidP="00A969A9">
      <w:pPr>
        <w:spacing w:after="120"/>
      </w:pPr>
      <w:r>
        <w:t>V</w:t>
      </w:r>
      <w:r w:rsidR="005A719E">
        <w:t xml:space="preserve"> celém </w:t>
      </w:r>
      <w:r>
        <w:t>roce 2022 výdaje sektoru vládních institucí vzrostly o 189,2 mld. korun (6,7 %) na 3</w:t>
      </w:r>
      <w:r w:rsidR="00AF7C8B">
        <w:t> </w:t>
      </w:r>
      <w:r>
        <w:t>030,2</w:t>
      </w:r>
      <w:r w:rsidR="00AF7C8B">
        <w:t> </w:t>
      </w:r>
      <w:r>
        <w:t>mld.</w:t>
      </w:r>
      <w:r w:rsidR="00A26507">
        <w:t xml:space="preserve"> Hlavní těžiště nárůstu přitom </w:t>
      </w:r>
      <w:r w:rsidR="00B144F0">
        <w:t>bylo</w:t>
      </w:r>
      <w:r w:rsidR="00A26507">
        <w:t xml:space="preserve"> ve druhé polovině roku</w:t>
      </w:r>
      <w:r w:rsidR="00A26507">
        <w:rPr>
          <w:rStyle w:val="Znakapoznpodarou"/>
        </w:rPr>
        <w:footnoteReference w:id="8"/>
      </w:r>
      <w:r w:rsidR="00A26507">
        <w:t>. Nejvíce se zvýšily</w:t>
      </w:r>
      <w:r w:rsidR="00A26507" w:rsidRPr="00A26507">
        <w:t xml:space="preserve"> </w:t>
      </w:r>
      <w:r w:rsidR="00A26507">
        <w:t xml:space="preserve">vyplacené sociální dávky a naturální sociální transfery (+88,8 mld. korun), na kterých se projevil </w:t>
      </w:r>
      <w:r w:rsidR="00043656">
        <w:t xml:space="preserve">zejména vyšší objem placených </w:t>
      </w:r>
      <w:r w:rsidR="00A26507">
        <w:t xml:space="preserve">starobních důchodů a v menší míře </w:t>
      </w:r>
      <w:r w:rsidR="00043656">
        <w:t xml:space="preserve">pak další sociální dávky včetně pomoci domácnostem či </w:t>
      </w:r>
      <w:r w:rsidR="00A26507">
        <w:t>humanitární</w:t>
      </w:r>
      <w:r w:rsidR="00043656">
        <w:t>ch</w:t>
      </w:r>
      <w:r w:rsidR="00A26507">
        <w:t xml:space="preserve"> dáv</w:t>
      </w:r>
      <w:r w:rsidR="00043656">
        <w:t>e</w:t>
      </w:r>
      <w:r w:rsidR="00A26507">
        <w:t xml:space="preserve">k </w:t>
      </w:r>
      <w:r w:rsidR="00025278">
        <w:t>ukrajinským uprchlíkům. Výrazně narostly</w:t>
      </w:r>
      <w:r w:rsidR="00025278" w:rsidRPr="00025278">
        <w:t xml:space="preserve"> </w:t>
      </w:r>
      <w:r w:rsidR="00025278">
        <w:t>výdaje na tvorbu hrubého kapitálu a čisté pořízení nevyráběných aktiv (+47,3 mld. korun)</w:t>
      </w:r>
      <w:r w:rsidR="00842A98">
        <w:t>. K</w:t>
      </w:r>
      <w:r w:rsidR="00025278">
        <w:t xml:space="preserve">romě nárůstu investic (+27,3 mld.) </w:t>
      </w:r>
      <w:r w:rsidR="00842A98">
        <w:t xml:space="preserve">se </w:t>
      </w:r>
      <w:r w:rsidR="00025278">
        <w:t>vyššími zásobami (+13,8 mld.)</w:t>
      </w:r>
      <w:r w:rsidR="00842A98">
        <w:t xml:space="preserve"> projevila</w:t>
      </w:r>
      <w:r w:rsidR="00025278">
        <w:t xml:space="preserve"> snaha o plnění plynových zásobníků před zimou. </w:t>
      </w:r>
      <w:proofErr w:type="spellStart"/>
      <w:r w:rsidR="00025278">
        <w:t>Mezispotřeba</w:t>
      </w:r>
      <w:proofErr w:type="spellEnd"/>
      <w:r w:rsidR="00025278">
        <w:t xml:space="preserve"> loni vzrostla o 37,5 mld. korun</w:t>
      </w:r>
      <w:r w:rsidR="00AF7C8B">
        <w:t>, placené důchody z vlastnictví o 32,5 mld. a ostatní běžné transfery o 18,9 mld.</w:t>
      </w:r>
      <w:r w:rsidR="00AF7C8B" w:rsidRPr="002968EB">
        <w:rPr>
          <w:rStyle w:val="Znakapoznpodarou"/>
        </w:rPr>
        <w:footnoteReference w:id="9"/>
      </w:r>
      <w:r w:rsidR="00AF7C8B">
        <w:t xml:space="preserve">. Náhrady zaměstnancům se loni </w:t>
      </w:r>
      <w:r w:rsidR="00AF7C8B">
        <w:lastRenderedPageBreak/>
        <w:t>zvýšily o 13,6 mld. korun, což bylo nejméně od roku 2014. Prudce se snížily vyplacené dotace (</w:t>
      </w:r>
      <w:r w:rsidR="00834CC5">
        <w:t>−</w:t>
      </w:r>
      <w:r w:rsidR="00AF7C8B">
        <w:t>45,7 mld. korun).</w:t>
      </w:r>
    </w:p>
    <w:p w14:paraId="16E06954" w14:textId="77777777" w:rsidR="00FD51EB" w:rsidRDefault="00A90ECE" w:rsidP="00A969A9">
      <w:pPr>
        <w:spacing w:after="120"/>
      </w:pPr>
      <w:r>
        <w:t xml:space="preserve">Ústřední vládní instituce se jako obvykle podílely z většiny na celkovém deficitu hospodaření VI. Ve 4. čtvrtletí schodek jejich hospodaření dosáhl 67,2 mld. korun a meziročně se tedy o 6,1 mld. zmírnil. Důvodem byl hlavně výraznější </w:t>
      </w:r>
      <w:r w:rsidR="00B55193">
        <w:t xml:space="preserve">meziroční </w:t>
      </w:r>
      <w:r>
        <w:t xml:space="preserve">růst příjmů </w:t>
      </w:r>
      <w:proofErr w:type="spellStart"/>
      <w:r>
        <w:t>subsektoru</w:t>
      </w:r>
      <w:proofErr w:type="spellEnd"/>
      <w:r>
        <w:t xml:space="preserve"> (+46,8 mld. korun, 10,3</w:t>
      </w:r>
      <w:r w:rsidR="00B55193">
        <w:t> </w:t>
      </w:r>
      <w:r>
        <w:t>%) nad výdaji (+40,7 mld., 7,7 %).</w:t>
      </w:r>
      <w:r w:rsidR="00B55193">
        <w:t xml:space="preserve"> Meziroční zvýšení příjmů ústředních VI bylo ve 4. čtvrtletí podpořeno hlavně vyššími </w:t>
      </w:r>
      <w:r w:rsidR="00B40D47">
        <w:t xml:space="preserve">přijatými čistými sociálními příspěvky (+14,0 mld. korun), </w:t>
      </w:r>
      <w:r w:rsidR="00B55193">
        <w:t>důchody z vlastnictví (+12,4 mld.</w:t>
      </w:r>
      <w:r w:rsidR="00B40D47">
        <w:t>, z toho úroky +8,1 mld.</w:t>
      </w:r>
      <w:r w:rsidR="00B55193">
        <w:t>)</w:t>
      </w:r>
      <w:r w:rsidR="00B40D47">
        <w:t>, kapitálovými transfery (+8,9 mld.) a běžnými daněmi z důchodů a jmění (+7,8 mld.). Naopak poprvé od 1. kvartálu 2021 ovlivněného pandemickou krizí mírně meziročně klesly přijaté daně z výroby a dovozu (</w:t>
      </w:r>
      <w:r w:rsidR="00834CC5">
        <w:t>−</w:t>
      </w:r>
      <w:r w:rsidR="00B40D47">
        <w:t xml:space="preserve">0,9 mld. korun). Výdaje ústředních </w:t>
      </w:r>
      <w:r w:rsidR="008710C7">
        <w:t>VI</w:t>
      </w:r>
      <w:r w:rsidR="00B40D47">
        <w:t xml:space="preserve"> rostly zejména prostřednictvím s</w:t>
      </w:r>
      <w:r w:rsidR="00B55193">
        <w:t>ociální</w:t>
      </w:r>
      <w:r w:rsidR="00B40D47">
        <w:t>ch</w:t>
      </w:r>
      <w:r w:rsidR="00B55193">
        <w:t xml:space="preserve"> dáv</w:t>
      </w:r>
      <w:r w:rsidR="00B40D47">
        <w:t>e</w:t>
      </w:r>
      <w:r w:rsidR="00B55193">
        <w:t>k a</w:t>
      </w:r>
      <w:r w:rsidR="008710C7">
        <w:t> </w:t>
      </w:r>
      <w:r w:rsidR="00B55193">
        <w:t>naturální</w:t>
      </w:r>
      <w:r w:rsidR="00B40D47">
        <w:t>ch</w:t>
      </w:r>
      <w:r w:rsidR="00B55193">
        <w:t xml:space="preserve"> sociální</w:t>
      </w:r>
      <w:r w:rsidR="00B40D47">
        <w:t>ch</w:t>
      </w:r>
      <w:r w:rsidR="00B55193">
        <w:t xml:space="preserve"> transfer</w:t>
      </w:r>
      <w:r w:rsidR="00B40D47">
        <w:t>ů</w:t>
      </w:r>
      <w:r w:rsidR="00B55193">
        <w:t xml:space="preserve"> (+21,5 mld. korun)</w:t>
      </w:r>
      <w:r w:rsidR="008710C7">
        <w:t xml:space="preserve"> a placených důchodů z vlastnictví (+9,3 mld., z naprosté většiny úroky). </w:t>
      </w:r>
    </w:p>
    <w:p w14:paraId="3A35882B" w14:textId="77777777" w:rsidR="00BD57B8" w:rsidRPr="007012C8" w:rsidRDefault="00BD57B8" w:rsidP="00BD57B8">
      <w:pPr>
        <w:pStyle w:val="TabulkaGraf"/>
      </w:pPr>
      <w:r w:rsidRPr="007012C8">
        <w:t>Graf 3: Saldo hospodaření vládních institucí (v mld. korun)</w:t>
      </w:r>
    </w:p>
    <w:p w14:paraId="32B5AC7E" w14:textId="77777777" w:rsidR="00BD57B8" w:rsidRPr="007012C8" w:rsidRDefault="007012C8" w:rsidP="00BD57B8">
      <w:pPr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7E6C35CE" wp14:editId="60641778">
            <wp:extent cx="4734425" cy="2904425"/>
            <wp:effectExtent l="0" t="0" r="0" b="0"/>
            <wp:docPr id="147188950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D57B8" w:rsidRPr="007012C8">
        <w:rPr>
          <w:noProof/>
          <w:lang w:eastAsia="cs-CZ"/>
        </w:rPr>
        <w:t xml:space="preserve"> </w:t>
      </w:r>
    </w:p>
    <w:p w14:paraId="7EA73390" w14:textId="77777777" w:rsidR="00BD57B8" w:rsidRPr="007012C8" w:rsidRDefault="00BD57B8" w:rsidP="005D42E5">
      <w:pPr>
        <w:spacing w:after="120"/>
        <w:jc w:val="left"/>
      </w:pPr>
      <w:r w:rsidRPr="007012C8">
        <w:t>Zdroj: ČSÚ, národní účty</w:t>
      </w:r>
    </w:p>
    <w:p w14:paraId="6F721AB0" w14:textId="77777777" w:rsidR="00962C91" w:rsidRDefault="00962C91" w:rsidP="005D42E5">
      <w:pPr>
        <w:spacing w:after="120"/>
      </w:pPr>
      <w:r>
        <w:t xml:space="preserve">Za celý rok 2022 ústřední vládní instituce skončily v deficitu 298,0 mld. korun. Schodek se meziročně zmírnil o 59,1 mld. korun, hlavně díky výraznému přírůstku příjmů (+168,3 mld., 9,6 %). Výdaje byly loni vyšší o 109,1 mld. korun (5,2 %). Nejvíce se na růstu příjmů loni projevilo navýšení přijatých čistých sociálních příspěvků (+45,0 mld. korun) a dále daní z výroby a dovozu (+36,0 mld.), důchodů z vlastnictví (+30,3 mld.) a běžných daní z důchodů a jmění (+22,9 mld.). Na straně výdajů ústřední vládní instituce zodpovídaly za naprostou většinu přírůstku vyplacených sociálních dávek a naturálních sociálních transferů (+79,4 mld. korun) a placených důchodů z vlastnictví (+30,5 mld.). Výdaje na tvorbu hrubého kapitálu a čisté pořízení nevyráběných aktiv se zvýšily o 28,2 mld. korun. Loňské navýšení zásob šlo na vrub zejména ústředním vládním institucím. Tlak na růst výdajů v sociální oblasti v hospodaření ústředních VI </w:t>
      </w:r>
      <w:r w:rsidR="00842A98">
        <w:lastRenderedPageBreak/>
        <w:t xml:space="preserve">byl </w:t>
      </w:r>
      <w:r>
        <w:t>do jisté míry kompenzov</w:t>
      </w:r>
      <w:r w:rsidR="00842A98">
        <w:t>án</w:t>
      </w:r>
      <w:r>
        <w:t xml:space="preserve"> pokles</w:t>
      </w:r>
      <w:r w:rsidR="00842A98">
        <w:t>em</w:t>
      </w:r>
      <w:r>
        <w:t xml:space="preserve"> objemu vyplacených dotací (</w:t>
      </w:r>
      <w:r w:rsidR="00834CC5">
        <w:t>−</w:t>
      </w:r>
      <w:r>
        <w:t xml:space="preserve">51,4 mld. korun). Dotace se tak vrátily blíže předpandemické úrovni.    </w:t>
      </w:r>
    </w:p>
    <w:p w14:paraId="0776CA0D" w14:textId="77777777" w:rsidR="00960186" w:rsidRDefault="003D3D9F" w:rsidP="005D42E5">
      <w:pPr>
        <w:spacing w:after="120"/>
      </w:pPr>
      <w:r>
        <w:t>M</w:t>
      </w:r>
      <w:r w:rsidR="00DC2BF6" w:rsidRPr="00500CB1">
        <w:t xml:space="preserve">ístní vládní instituce </w:t>
      </w:r>
      <w:r>
        <w:t xml:space="preserve">ve 4. čtvrtletí </w:t>
      </w:r>
      <w:r w:rsidR="00DC2BF6" w:rsidRPr="00500CB1">
        <w:t>hospodařily s</w:t>
      </w:r>
      <w:r>
        <w:t xml:space="preserve"> deficitem 19,2 mld. korun. Schodek je pro dané období roku obvyklý, </w:t>
      </w:r>
      <w:r w:rsidR="00364D0D">
        <w:t xml:space="preserve">meziročně se ale prohloubil o </w:t>
      </w:r>
      <w:r>
        <w:t>6,0 mld. korun.</w:t>
      </w:r>
      <w:r w:rsidR="00364D0D">
        <w:t xml:space="preserve"> Výdaje </w:t>
      </w:r>
      <w:proofErr w:type="spellStart"/>
      <w:r w:rsidR="00364D0D">
        <w:t>subsektoru</w:t>
      </w:r>
      <w:proofErr w:type="spellEnd"/>
      <w:r w:rsidR="00364D0D">
        <w:t xml:space="preserve"> totiž rostly meziročně rychleji (+26,5 mld. korun, 12,1 %) než příjmy (+20,5 mld., 9,9 %). </w:t>
      </w:r>
      <w:r w:rsidR="00A230B3" w:rsidRPr="00500CB1">
        <w:t xml:space="preserve">Nejvíce </w:t>
      </w:r>
      <w:r w:rsidR="00364D0D">
        <w:t xml:space="preserve">meziročně </w:t>
      </w:r>
      <w:r w:rsidR="00A230B3" w:rsidRPr="00500CB1">
        <w:t xml:space="preserve">rostly výdaje na tvorbu hrubého kapitálu </w:t>
      </w:r>
      <w:r w:rsidR="00364D0D">
        <w:t xml:space="preserve">a čisté pořízení nevyráběných aktiv </w:t>
      </w:r>
      <w:r w:rsidR="00A230B3" w:rsidRPr="00500CB1">
        <w:t>(+</w:t>
      </w:r>
      <w:r w:rsidR="00364D0D">
        <w:t>7,6</w:t>
      </w:r>
      <w:r w:rsidR="00A230B3" w:rsidRPr="00500CB1">
        <w:t xml:space="preserve"> mld. korun)</w:t>
      </w:r>
      <w:r w:rsidR="00364D0D">
        <w:t xml:space="preserve">, </w:t>
      </w:r>
      <w:proofErr w:type="spellStart"/>
      <w:r w:rsidR="00364D0D">
        <w:t>mezispotře</w:t>
      </w:r>
      <w:r w:rsidR="00A230B3" w:rsidRPr="00500CB1">
        <w:t>ba</w:t>
      </w:r>
      <w:proofErr w:type="spellEnd"/>
      <w:r w:rsidR="00A230B3" w:rsidRPr="00500CB1">
        <w:t xml:space="preserve"> (+</w:t>
      </w:r>
      <w:r w:rsidR="00364D0D">
        <w:t>6,9</w:t>
      </w:r>
      <w:r w:rsidR="00A230B3" w:rsidRPr="00500CB1">
        <w:t xml:space="preserve"> mld.)</w:t>
      </w:r>
      <w:r w:rsidR="00364D0D">
        <w:t xml:space="preserve"> a náhrady zaměstnancům (+5,4 mld.)</w:t>
      </w:r>
      <w:r w:rsidR="00A230B3" w:rsidRPr="00500CB1">
        <w:t>.</w:t>
      </w:r>
      <w:r w:rsidR="00364D0D">
        <w:t xml:space="preserve"> Na straně příjmů se ve 4. čtvrtletí zvyšovaly zejména přijaté ostatní běžné transfery (+6,9 mld. korun), daně z výroby a dovozu (+5,7</w:t>
      </w:r>
      <w:r w:rsidR="009C0D4F">
        <w:t> </w:t>
      </w:r>
      <w:r w:rsidR="00364D0D">
        <w:t>mld.) a běžné daně z důchodů a jmění (</w:t>
      </w:r>
      <w:r w:rsidR="009C0D4F">
        <w:t>+4,5 mld.</w:t>
      </w:r>
      <w:r w:rsidR="00364D0D">
        <w:t>)</w:t>
      </w:r>
      <w:r w:rsidR="009C0D4F">
        <w:t xml:space="preserve">. Za celý rok 2022 </w:t>
      </w:r>
      <w:r w:rsidR="00804CD3">
        <w:t xml:space="preserve">místní vládní instituce hospodařily s přebytkem 52,8 mld. korun, což bylo meziročně o 3,1 mld. méně. Výdaje </w:t>
      </w:r>
      <w:proofErr w:type="spellStart"/>
      <w:r w:rsidR="00804CD3">
        <w:t>subsektoru</w:t>
      </w:r>
      <w:proofErr w:type="spellEnd"/>
      <w:r w:rsidR="00804CD3">
        <w:t xml:space="preserve"> loni vzrostly o 67,7 mld. korun (8,6 %), zatímco příjmy byly vyšší o 64,7 mld. (7,7 %). Na příjmové straně rostly hlavně přijaté daně z výroby a dovozu (+29,6 mld. korun), </w:t>
      </w:r>
      <w:r w:rsidR="00804CD3" w:rsidRPr="001869C8">
        <w:t>hodnota tržní produkce pro vlastní užití a platby za ostatní netržní produkci</w:t>
      </w:r>
      <w:r w:rsidR="00804CD3">
        <w:t xml:space="preserve"> (+13,9 mld.) a přijaté běžné daně z důchodů a jmění (+13,5 mld.). Nejvýrazněji rostoucím výdajem místních vládních institucí byla</w:t>
      </w:r>
      <w:r w:rsidR="00842A98">
        <w:t xml:space="preserve"> loni</w:t>
      </w:r>
      <w:r w:rsidR="00804CD3">
        <w:t xml:space="preserve"> </w:t>
      </w:r>
      <w:proofErr w:type="spellStart"/>
      <w:r w:rsidR="00804CD3">
        <w:t>mezispotřeba</w:t>
      </w:r>
      <w:proofErr w:type="spellEnd"/>
      <w:r w:rsidR="00804CD3">
        <w:t xml:space="preserve"> (+28,5 mld. korun) a dále </w:t>
      </w:r>
      <w:r w:rsidR="00804CD3" w:rsidRPr="00500CB1">
        <w:t xml:space="preserve">výdaje na tvorbu hrubého kapitálu </w:t>
      </w:r>
      <w:r w:rsidR="00804CD3">
        <w:t>a čisté pořízení nevyráběných aktiv (+18,9 mld.). Mírnější bylo navýšení placených náhrad zaměstnancům (+8,5 mld. korun).</w:t>
      </w:r>
    </w:p>
    <w:p w14:paraId="73320ECA" w14:textId="77777777" w:rsidR="00F1049C" w:rsidRPr="00960186" w:rsidRDefault="005041DE" w:rsidP="005D42E5">
      <w:pPr>
        <w:spacing w:after="120"/>
      </w:pPr>
      <w:r w:rsidRPr="00960186">
        <w:t>F</w:t>
      </w:r>
      <w:r w:rsidR="00BE3302" w:rsidRPr="00960186">
        <w:t xml:space="preserve">ondy </w:t>
      </w:r>
      <w:r w:rsidR="00354A44" w:rsidRPr="00960186">
        <w:t>sociálního zabezpečení (zdravotní pojišťovny)</w:t>
      </w:r>
      <w:r w:rsidRPr="00960186">
        <w:t xml:space="preserve"> ve </w:t>
      </w:r>
      <w:r w:rsidR="00CA7469">
        <w:t>4</w:t>
      </w:r>
      <w:r w:rsidRPr="00960186">
        <w:t>. čtvrtletí</w:t>
      </w:r>
      <w:r w:rsidR="00CA7469">
        <w:t xml:space="preserve"> také hospodařily s deficitem obvyklým pro dané období roku (výjimkou byl v posledních letech pouze rok 2018). Schodek se meziročně prohloubil o 7,1 mld. korun na 17,3</w:t>
      </w:r>
      <w:r w:rsidRPr="00960186">
        <w:t xml:space="preserve"> </w:t>
      </w:r>
      <w:r w:rsidR="00CA7469">
        <w:t>mld. Ve 4. čtvrtletí silně meziročně rostly výdaje zdravotních pojišťoven (+9,3 mld. korun, 7,9 %), zatímco příjmy se zvyšovaly mírně (+2,2 mld., 2,1 %). Na straně výdajů se h</w:t>
      </w:r>
      <w:r w:rsidR="00F1049C" w:rsidRPr="00960186">
        <w:t>odnot</w:t>
      </w:r>
      <w:r w:rsidRPr="00960186">
        <w:t>a</w:t>
      </w:r>
      <w:r w:rsidR="00F1049C" w:rsidRPr="00960186">
        <w:t xml:space="preserve"> </w:t>
      </w:r>
      <w:r w:rsidR="00CA7469" w:rsidRPr="00960186">
        <w:t xml:space="preserve">ostatních běžných transferů </w:t>
      </w:r>
      <w:r w:rsidR="00CA7469">
        <w:t>zvýšila o 5,4</w:t>
      </w:r>
      <w:r w:rsidR="00CA7469" w:rsidRPr="00960186">
        <w:t xml:space="preserve"> mld.</w:t>
      </w:r>
      <w:r w:rsidR="00CA7469">
        <w:t xml:space="preserve"> korun a</w:t>
      </w:r>
      <w:r w:rsidR="00AC5BE0">
        <w:t> </w:t>
      </w:r>
      <w:r w:rsidR="00F1049C" w:rsidRPr="00960186">
        <w:t xml:space="preserve">naturálních sociálních transferů </w:t>
      </w:r>
      <w:r w:rsidR="00D113B5" w:rsidRPr="00960186">
        <w:t xml:space="preserve">o </w:t>
      </w:r>
      <w:r w:rsidR="00CA7469">
        <w:t xml:space="preserve">3,6 </w:t>
      </w:r>
      <w:r w:rsidR="00D113B5" w:rsidRPr="00960186">
        <w:t>mld.</w:t>
      </w:r>
      <w:r w:rsidR="00F1049C" w:rsidRPr="00960186">
        <w:t xml:space="preserve"> </w:t>
      </w:r>
      <w:r w:rsidR="00D113B5" w:rsidRPr="00960186">
        <w:t xml:space="preserve">Hlavní zdroj jejich příjmů, </w:t>
      </w:r>
      <w:r w:rsidR="003B2089" w:rsidRPr="00960186">
        <w:t xml:space="preserve">kterým jsou </w:t>
      </w:r>
      <w:r w:rsidR="00D113B5" w:rsidRPr="00960186">
        <w:t>p</w:t>
      </w:r>
      <w:r w:rsidR="008B4550" w:rsidRPr="00960186">
        <w:t>řijat</w:t>
      </w:r>
      <w:r w:rsidR="00D113B5" w:rsidRPr="00960186">
        <w:t>é</w:t>
      </w:r>
      <w:r w:rsidR="008B4550" w:rsidRPr="00960186">
        <w:t xml:space="preserve"> čist</w:t>
      </w:r>
      <w:r w:rsidR="00D113B5" w:rsidRPr="00960186">
        <w:t>é</w:t>
      </w:r>
      <w:r w:rsidR="008B4550" w:rsidRPr="00960186">
        <w:t xml:space="preserve"> sociální příspěvk</w:t>
      </w:r>
      <w:r w:rsidR="00D113B5" w:rsidRPr="00960186">
        <w:t>y</w:t>
      </w:r>
      <w:r w:rsidR="003B2089" w:rsidRPr="00960186">
        <w:t>,</w:t>
      </w:r>
      <w:r w:rsidR="00D113B5" w:rsidRPr="00960186">
        <w:t xml:space="preserve"> vzrostl o</w:t>
      </w:r>
      <w:r w:rsidR="008B4550" w:rsidRPr="00960186">
        <w:t xml:space="preserve"> </w:t>
      </w:r>
      <w:r w:rsidR="00CA7469">
        <w:t>2,1</w:t>
      </w:r>
      <w:r w:rsidR="008B4550" w:rsidRPr="00960186">
        <w:t xml:space="preserve"> mld.</w:t>
      </w:r>
      <w:r w:rsidR="00D113B5" w:rsidRPr="00960186">
        <w:t xml:space="preserve"> korun.</w:t>
      </w:r>
      <w:r w:rsidR="00CA7469">
        <w:t xml:space="preserve"> V roce 2022 fondy sociálního zabezpečení hospodařily celkově s deficitem 2,2 mld. korun, což byl meziročně o 7,1 mld. lepší výsledek. Příjmy zdravotních pojišťoven celkem vzrostly o 25,1 mld. korun</w:t>
      </w:r>
      <w:r w:rsidR="00AC5BE0">
        <w:t xml:space="preserve"> (6,2 %)</w:t>
      </w:r>
      <w:r w:rsidR="00CA7469">
        <w:t>. Naopak výdaje byly vyšší o</w:t>
      </w:r>
      <w:r w:rsidR="00AC5BE0">
        <w:t> </w:t>
      </w:r>
      <w:r w:rsidR="00CA7469">
        <w:t>18,1</w:t>
      </w:r>
      <w:r w:rsidR="00AC5BE0">
        <w:t> </w:t>
      </w:r>
      <w:r w:rsidR="00CA7469">
        <w:t>mld.</w:t>
      </w:r>
      <w:r w:rsidR="00AC5BE0">
        <w:t xml:space="preserve"> korun (4,3 %). Z toho zaplacené naturální sociální transfery vzrostly o 8,5 mld. korun (nejméně od roku 2018) a ostatní běžné transfery o 7,8 mld. (nejméně od roku 2016). </w:t>
      </w:r>
      <w:r w:rsidR="00CA7469">
        <w:t xml:space="preserve">   </w:t>
      </w:r>
      <w:r w:rsidR="008B4550" w:rsidRPr="00960186">
        <w:t xml:space="preserve">  </w:t>
      </w:r>
    </w:p>
    <w:p w14:paraId="626E52D1" w14:textId="77777777" w:rsidR="00962C91" w:rsidRPr="00F455DC" w:rsidRDefault="00962C91" w:rsidP="005D42E5">
      <w:pPr>
        <w:spacing w:after="120"/>
      </w:pPr>
      <w:r w:rsidRPr="00F455DC">
        <w:t xml:space="preserve">Dluh sektoru vládních institucí ve </w:t>
      </w:r>
      <w:r>
        <w:t>4</w:t>
      </w:r>
      <w:r w:rsidRPr="00F455DC">
        <w:t>. čtvrtletí 2022 dosáhl 2</w:t>
      </w:r>
      <w:r>
        <w:t> </w:t>
      </w:r>
      <w:r w:rsidRPr="00F455DC">
        <w:t>9</w:t>
      </w:r>
      <w:r>
        <w:t>97,1</w:t>
      </w:r>
      <w:r w:rsidRPr="00F455DC">
        <w:t xml:space="preserve"> mld. korun</w:t>
      </w:r>
      <w:r w:rsidRPr="00F455DC">
        <w:rPr>
          <w:rStyle w:val="Znakapoznpodarou"/>
        </w:rPr>
        <w:footnoteReference w:id="10"/>
      </w:r>
      <w:r w:rsidRPr="00F455DC">
        <w:t xml:space="preserve"> a meziročně vzrostl o </w:t>
      </w:r>
      <w:r>
        <w:t>430,4</w:t>
      </w:r>
      <w:r w:rsidRPr="00F455DC">
        <w:t xml:space="preserve"> mld. Míra zadlužení vládních institucí se zvýšila meziročně o </w:t>
      </w:r>
      <w:r>
        <w:t>2,1</w:t>
      </w:r>
      <w:r w:rsidRPr="00F455DC">
        <w:t xml:space="preserve"> p. b. na 4</w:t>
      </w:r>
      <w:r>
        <w:t>4,1</w:t>
      </w:r>
      <w:r w:rsidRPr="00F455DC">
        <w:t xml:space="preserve"> % HDP. K růstu relativního zadlužení přispělo </w:t>
      </w:r>
      <w:r>
        <w:t>6,3</w:t>
      </w:r>
      <w:r w:rsidRPr="00F455DC">
        <w:t xml:space="preserve"> p. b. navýšení nominálního dluhu, a naopak růst HDP přispěl k poklesu </w:t>
      </w:r>
      <w:r>
        <w:t>4,2</w:t>
      </w:r>
      <w:r w:rsidRPr="00F455DC">
        <w:t xml:space="preserve"> p. b.</w:t>
      </w:r>
      <w:r>
        <w:t xml:space="preserve"> </w:t>
      </w:r>
      <w:r w:rsidRPr="00F455DC">
        <w:t xml:space="preserve">Nárůst dluhu i ve </w:t>
      </w:r>
      <w:r w:rsidR="00920AD4">
        <w:t>4</w:t>
      </w:r>
      <w:r w:rsidRPr="00F455DC">
        <w:t xml:space="preserve">. čtvrtletí výrazně překonával potřebu financování. Dluh se meziročně zvyšoval především prostřednictvím nárůstu objemu dluhových cenných papírů o </w:t>
      </w:r>
      <w:r>
        <w:t>239,3</w:t>
      </w:r>
      <w:r w:rsidRPr="00F455DC">
        <w:t xml:space="preserve"> mld. korun. Z toho objem dlouhodobých dluhopisů vzrostl o </w:t>
      </w:r>
      <w:r>
        <w:t>272,6</w:t>
      </w:r>
      <w:r w:rsidRPr="00F455DC">
        <w:t xml:space="preserve"> mld. korun a </w:t>
      </w:r>
      <w:r>
        <w:t>u</w:t>
      </w:r>
      <w:r w:rsidR="00C55504">
        <w:t> </w:t>
      </w:r>
      <w:r>
        <w:t xml:space="preserve">těch </w:t>
      </w:r>
      <w:r w:rsidRPr="00F455DC">
        <w:t xml:space="preserve">krátkodobých </w:t>
      </w:r>
      <w:r>
        <w:t xml:space="preserve">naopak v závěru roku </w:t>
      </w:r>
      <w:r w:rsidRPr="00F455DC">
        <w:t xml:space="preserve">o </w:t>
      </w:r>
      <w:r>
        <w:t xml:space="preserve">33,3 </w:t>
      </w:r>
      <w:r w:rsidRPr="00F455DC">
        <w:t>mld.</w:t>
      </w:r>
      <w:r>
        <w:t xml:space="preserve"> klesl.</w:t>
      </w:r>
      <w:r w:rsidRPr="00F455DC">
        <w:t xml:space="preserve"> Krátkodobé půjčky se zvýšily meziročně o </w:t>
      </w:r>
      <w:r>
        <w:t>131,4</w:t>
      </w:r>
      <w:r w:rsidRPr="00F455DC">
        <w:t xml:space="preserve"> mld. korun a dlouhodobé o </w:t>
      </w:r>
      <w:r>
        <w:t>53,4</w:t>
      </w:r>
      <w:r w:rsidRPr="00F455DC">
        <w:t xml:space="preserve"> mld. Objem oběživa a vkladů byl meziročně vyšší o </w:t>
      </w:r>
      <w:r>
        <w:t>6,1</w:t>
      </w:r>
      <w:r w:rsidRPr="00F455DC">
        <w:t xml:space="preserve"> mld.</w:t>
      </w:r>
      <w:r>
        <w:t xml:space="preserve"> korun.</w:t>
      </w:r>
      <w:r w:rsidRPr="00F455DC">
        <w:t xml:space="preserve"> </w:t>
      </w:r>
    </w:p>
    <w:p w14:paraId="3D6C0A72" w14:textId="77777777" w:rsidR="00092CCF" w:rsidRPr="007012C8" w:rsidRDefault="00092CCF" w:rsidP="00092CCF">
      <w:pPr>
        <w:pStyle w:val="TabulkaGraf"/>
        <w:spacing w:after="120"/>
      </w:pPr>
      <w:r w:rsidRPr="007012C8">
        <w:lastRenderedPageBreak/>
        <w:t>Graf 4: Dluh sektoru vládních institucí a jeho struktura (meziroční změna v mld. korun)</w:t>
      </w:r>
    </w:p>
    <w:p w14:paraId="74D98E2E" w14:textId="77777777" w:rsidR="001258A6" w:rsidRPr="007012C8" w:rsidRDefault="007012C8" w:rsidP="001258A6">
      <w:pPr>
        <w:spacing w:after="120"/>
        <w:jc w:val="center"/>
      </w:pPr>
      <w:r>
        <w:rPr>
          <w:noProof/>
        </w:rPr>
        <w:drawing>
          <wp:inline distT="0" distB="0" distL="0" distR="0" wp14:anchorId="2B96EF2E" wp14:editId="7AE54064">
            <wp:extent cx="4743950" cy="2910775"/>
            <wp:effectExtent l="0" t="0" r="0" b="4445"/>
            <wp:docPr id="1350028008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306196" w14:textId="77777777" w:rsidR="00962C91" w:rsidRDefault="00092CCF" w:rsidP="005D42E5">
      <w:pPr>
        <w:spacing w:after="120"/>
        <w:jc w:val="left"/>
        <w:rPr>
          <w:rFonts w:eastAsia="Times New Roman"/>
          <w:b/>
          <w:bCs/>
          <w:szCs w:val="28"/>
        </w:rPr>
      </w:pPr>
      <w:r w:rsidRPr="007012C8">
        <w:t>Zdroj: ČSÚ, národní účty</w:t>
      </w:r>
    </w:p>
    <w:p w14:paraId="301CA078" w14:textId="77777777" w:rsidR="00F50CEF" w:rsidRPr="00BC09C7" w:rsidRDefault="00F50CEF" w:rsidP="000302A6">
      <w:pPr>
        <w:pStyle w:val="Nadpis1"/>
        <w:spacing w:after="120"/>
      </w:pPr>
      <w:r w:rsidRPr="00BC09C7">
        <w:t>Domácnosti</w:t>
      </w:r>
    </w:p>
    <w:p w14:paraId="5544E16D" w14:textId="77777777" w:rsidR="00A7484D" w:rsidRDefault="00BC09C7" w:rsidP="005D42E5">
      <w:pPr>
        <w:spacing w:after="120"/>
      </w:pPr>
      <w:r>
        <w:t>Hrubý disponibilní důchod (HDD) domácností ve 4. čtvrtletí meziročně vzrostl o 126,4 mld. korun (14,3 %) na 1011,1 mld.</w:t>
      </w:r>
      <w:r w:rsidR="00DB15C4">
        <w:t xml:space="preserve"> Nominální růst HDD oproti předchozímu kvartálu oslabil, ale stále zůstal mimořádně vysoký. Prudký růst cenové hladiny ale ve výsledku znamenal, že se příjmy domácností reálně </w:t>
      </w:r>
      <w:r w:rsidR="00A7484D">
        <w:t xml:space="preserve">meziročně </w:t>
      </w:r>
      <w:r w:rsidR="00DB15C4">
        <w:t>propadly o 3,2 %</w:t>
      </w:r>
      <w:r w:rsidR="00DB15C4" w:rsidRPr="00BC09C7">
        <w:rPr>
          <w:rStyle w:val="Znakapoznpodarou"/>
        </w:rPr>
        <w:footnoteReference w:id="11"/>
      </w:r>
      <w:r w:rsidR="00DB15C4">
        <w:t>.</w:t>
      </w:r>
      <w:r w:rsidR="00A7484D">
        <w:t xml:space="preserve"> Podle sezónně očištěných údajů se HDD domácností mezičtvrtletně zvýšil o 27,7 mld. korun (2,9 %). Reálné navýšení dosáhlo 4,0 %. Za celý rok 2022 HDD domácností vystoupal o 423,2 mld. korun (12,7 %) na 3 754,3 mld. Po očištění o cenové vlivy se ale příjmy domácností propadly o 3,1 %.</w:t>
      </w:r>
    </w:p>
    <w:p w14:paraId="4E88F787" w14:textId="232F8390" w:rsidR="002022D4" w:rsidRPr="00A7484D" w:rsidRDefault="00714068" w:rsidP="005D42E5">
      <w:pPr>
        <w:spacing w:after="120"/>
      </w:pPr>
      <w:r>
        <w:t xml:space="preserve">Mzdy a platy, které domácnosti ve 4. čtvrtletí obdržely, dosáhly 624,9 mld. korun a meziročně se navýšily o 51,0 mld. (8,9 %). Nominální přírůstek zrychlil, ale ani to nestačilo na pokrytí růstu cenové hladiny a </w:t>
      </w:r>
      <w:r w:rsidR="005F3961">
        <w:t xml:space="preserve">reálný pokles mezd a platů tak dosáhl 7,7 %. Za celý rok 2022 se mzdy a platy domácností zvýšily o 184,9 mld. korun (8,7 %) na 2 304,2 mld. Jejich reálný pokles ale dosáhl 6,5 %. </w:t>
      </w:r>
      <w:r w:rsidR="003D22F2" w:rsidRPr="00A7484D">
        <w:t>Hrubý smíšený důchod</w:t>
      </w:r>
      <w:r w:rsidR="003D22F2" w:rsidRPr="00A7484D">
        <w:rPr>
          <w:rStyle w:val="Znakapoznpodarou"/>
        </w:rPr>
        <w:footnoteReference w:id="12"/>
      </w:r>
      <w:r w:rsidR="003D22F2" w:rsidRPr="00A7484D">
        <w:t xml:space="preserve"> podnikatelů zařazených do sektoru domácností </w:t>
      </w:r>
      <w:r w:rsidR="008F4513" w:rsidRPr="00A7484D">
        <w:t xml:space="preserve">ve </w:t>
      </w:r>
      <w:r w:rsidR="005F3961">
        <w:t>4</w:t>
      </w:r>
      <w:r w:rsidR="008F4513" w:rsidRPr="00A7484D">
        <w:t>.</w:t>
      </w:r>
      <w:r w:rsidR="003D22F2" w:rsidRPr="00A7484D">
        <w:t xml:space="preserve"> čtvrtletí </w:t>
      </w:r>
      <w:r w:rsidR="005F3961">
        <w:t>meziročně vzrostl o 37,2 mld. korun na 186,4 mld.</w:t>
      </w:r>
      <w:r w:rsidR="00337EDB">
        <w:t xml:space="preserve"> Pokračovala tak série velmi silných nárůstů ovlivněná zvýšením cenové hladiny. Mezičtvrtletně </w:t>
      </w:r>
      <w:r w:rsidR="005D7869" w:rsidRPr="00A7484D">
        <w:t>byl</w:t>
      </w:r>
      <w:r w:rsidR="009A5C79" w:rsidRPr="00A7484D">
        <w:t xml:space="preserve"> hrubý smíšený důchod </w:t>
      </w:r>
      <w:r w:rsidR="005D7869" w:rsidRPr="00A7484D">
        <w:t xml:space="preserve">vyšší </w:t>
      </w:r>
      <w:r w:rsidR="001C4AB9" w:rsidRPr="00A7484D">
        <w:t>o </w:t>
      </w:r>
      <w:r w:rsidR="00337EDB">
        <w:t>6,3</w:t>
      </w:r>
      <w:r w:rsidR="00C45A80" w:rsidRPr="00A7484D">
        <w:t xml:space="preserve"> </w:t>
      </w:r>
      <w:r w:rsidR="0032347E" w:rsidRPr="00A7484D">
        <w:t>mld</w:t>
      </w:r>
      <w:r w:rsidR="005D7869" w:rsidRPr="00A7484D">
        <w:t>. korun</w:t>
      </w:r>
      <w:r w:rsidR="009A5C79" w:rsidRPr="00A7484D">
        <w:t xml:space="preserve"> (sezónně očištěno)</w:t>
      </w:r>
      <w:r w:rsidR="00337EDB">
        <w:t xml:space="preserve">. </w:t>
      </w:r>
      <w:r w:rsidR="00434936" w:rsidRPr="00A7484D">
        <w:t>Hrubý provozní přebytek</w:t>
      </w:r>
      <w:r w:rsidR="00F12768" w:rsidRPr="00A7484D">
        <w:rPr>
          <w:rStyle w:val="Znakapoznpodarou"/>
        </w:rPr>
        <w:footnoteReference w:id="13"/>
      </w:r>
      <w:r w:rsidR="00434936" w:rsidRPr="00A7484D">
        <w:t xml:space="preserve"> </w:t>
      </w:r>
      <w:r w:rsidR="00C45A80" w:rsidRPr="00A7484D">
        <w:t>dosáhl 8</w:t>
      </w:r>
      <w:r w:rsidR="00337EDB">
        <w:t>4,4</w:t>
      </w:r>
      <w:r w:rsidR="00C45A80" w:rsidRPr="00A7484D">
        <w:t xml:space="preserve"> mld. korun a</w:t>
      </w:r>
      <w:r w:rsidR="00337EDB">
        <w:t xml:space="preserve"> jeho</w:t>
      </w:r>
      <w:r w:rsidR="00B822BB" w:rsidRPr="00A7484D">
        <w:t> </w:t>
      </w:r>
      <w:r w:rsidR="00C45A80" w:rsidRPr="00A7484D">
        <w:t>m</w:t>
      </w:r>
      <w:r w:rsidR="008F4513" w:rsidRPr="00A7484D">
        <w:t>eziročn</w:t>
      </w:r>
      <w:r w:rsidR="00337EDB">
        <w:t>í nárůst posílil na 2,7</w:t>
      </w:r>
      <w:r w:rsidR="008F4513" w:rsidRPr="00A7484D">
        <w:t xml:space="preserve"> mld.</w:t>
      </w:r>
      <w:r w:rsidR="002D3536" w:rsidRPr="00A7484D">
        <w:t xml:space="preserve"> Mezičtvrtletně (sezónně očištěný) hrubý provozní přebytek </w:t>
      </w:r>
      <w:r w:rsidR="00337EDB">
        <w:t>vzrostl</w:t>
      </w:r>
      <w:r w:rsidR="00797632">
        <w:t xml:space="preserve"> o 1,2 mld. korun, což bylo </w:t>
      </w:r>
      <w:r w:rsidR="00337EDB">
        <w:t>nejvíce od konce roku 2019</w:t>
      </w:r>
      <w:r w:rsidR="002D3536" w:rsidRPr="00A7484D">
        <w:t>.</w:t>
      </w:r>
      <w:r w:rsidR="00337EDB">
        <w:t xml:space="preserve"> </w:t>
      </w:r>
      <w:r w:rsidR="00797632">
        <w:t>Za celý rok 2022</w:t>
      </w:r>
      <w:r w:rsidR="00337EDB">
        <w:t xml:space="preserve"> se hrubý smíšený důchod </w:t>
      </w:r>
      <w:r w:rsidR="00337EDB">
        <w:lastRenderedPageBreak/>
        <w:t xml:space="preserve">domácností zvýšil o 156,7 mld. korun na 691,1 mld. a hrubý provozní přebytek </w:t>
      </w:r>
      <w:r w:rsidR="00797632">
        <w:t>dosáhl 326,9 mld. (+</w:t>
      </w:r>
      <w:r w:rsidR="00337EDB">
        <w:t>5,8 mld.</w:t>
      </w:r>
      <w:r w:rsidR="00797632">
        <w:t>).</w:t>
      </w:r>
      <w:r w:rsidR="00337EDB">
        <w:t xml:space="preserve"> </w:t>
      </w:r>
    </w:p>
    <w:p w14:paraId="778CC337" w14:textId="3FE89EC3" w:rsidR="00962C91" w:rsidRDefault="00E330C2" w:rsidP="005D42E5">
      <w:pPr>
        <w:spacing w:after="120"/>
      </w:pPr>
      <w:r>
        <w:t xml:space="preserve">Saldo důchodů z vlastnictví domácností </w:t>
      </w:r>
      <w:r w:rsidR="0077424B">
        <w:t xml:space="preserve">se </w:t>
      </w:r>
      <w:r>
        <w:t>ve 4. čtvrtletí</w:t>
      </w:r>
      <w:r w:rsidR="0077424B">
        <w:t xml:space="preserve"> meziročně zlepšilo o 23,2 mld. korun a</w:t>
      </w:r>
      <w:r w:rsidR="00962C91">
        <w:t> </w:t>
      </w:r>
      <w:r w:rsidR="0077424B">
        <w:t xml:space="preserve">dosáhlo přebytku 57,9 mld. Zvýšení přebytku </w:t>
      </w:r>
      <w:r w:rsidR="00B144F0">
        <w:t>šlo</w:t>
      </w:r>
      <w:r w:rsidR="0077424B">
        <w:t xml:space="preserve"> hlavně za rostoucími úroky. </w:t>
      </w:r>
      <w:r w:rsidR="00E11DD0" w:rsidRPr="00E330C2">
        <w:t xml:space="preserve">Na straně zdrojů se domácnostem zvýšily přijaté úroky meziročně o </w:t>
      </w:r>
      <w:r w:rsidR="0077424B">
        <w:t>17,9</w:t>
      </w:r>
      <w:r w:rsidR="00E11DD0" w:rsidRPr="00E330C2">
        <w:t xml:space="preserve"> mld. korun, </w:t>
      </w:r>
      <w:r w:rsidR="0077424B" w:rsidRPr="00E330C2">
        <w:t>reinvestované zisky z přímých zahraničních investic</w:t>
      </w:r>
      <w:r w:rsidR="0077424B">
        <w:t xml:space="preserve"> byly vyšší</w:t>
      </w:r>
      <w:r w:rsidR="0077424B" w:rsidRPr="00E330C2">
        <w:t xml:space="preserve"> o </w:t>
      </w:r>
      <w:r w:rsidR="0077424B">
        <w:t>4,9</w:t>
      </w:r>
      <w:r w:rsidR="0077424B" w:rsidRPr="00E330C2">
        <w:t xml:space="preserve"> mld</w:t>
      </w:r>
      <w:r w:rsidR="0077424B">
        <w:t xml:space="preserve">. a </w:t>
      </w:r>
      <w:r w:rsidR="00E11DD0" w:rsidRPr="00E330C2">
        <w:t xml:space="preserve">rozdělované důchody společností o </w:t>
      </w:r>
      <w:r w:rsidR="0077424B">
        <w:t>4,2</w:t>
      </w:r>
      <w:r w:rsidR="00E11DD0" w:rsidRPr="00E330C2">
        <w:t xml:space="preserve"> mld.</w:t>
      </w:r>
      <w:r w:rsidR="0077424B">
        <w:t xml:space="preserve"> Ostatní důchody z investic meziročně vzrostly o 3,9 mld. korun. D</w:t>
      </w:r>
      <w:r w:rsidR="00E11DD0" w:rsidRPr="00E330C2">
        <w:t xml:space="preserve">omácnosti </w:t>
      </w:r>
      <w:r w:rsidR="0077424B">
        <w:t>naopak ve formě úroků vyplatily o 7,6 mld. korun více. Za celý rok 2022 kladné saldo důchodů z vlastnictví domácností dosáhlo 144,3 mld. korun a zlepšilo se tak o 42,5 mld. Domácnosti p</w:t>
      </w:r>
      <w:r w:rsidR="0077424B" w:rsidRPr="00E330C2">
        <w:t>řija</w:t>
      </w:r>
      <w:r w:rsidR="0077424B">
        <w:t>ly o 50,0 mld. korun více ve formě úroků, rozdělované důchody společností vzrostly o 15,5 mld. a ostatní důchody z investic o 9,0 mld. R</w:t>
      </w:r>
      <w:r w:rsidR="0077424B" w:rsidRPr="00E330C2">
        <w:t>einvestované zisky z přímých zahraničních investic</w:t>
      </w:r>
      <w:r w:rsidR="0077424B">
        <w:t xml:space="preserve"> naopak klesly o 9,8 </w:t>
      </w:r>
      <w:r w:rsidR="0077424B" w:rsidRPr="00E330C2">
        <w:t>mld</w:t>
      </w:r>
      <w:r w:rsidR="0077424B">
        <w:t>.</w:t>
      </w:r>
      <w:r w:rsidR="00797632">
        <w:t xml:space="preserve"> korun.</w:t>
      </w:r>
      <w:r w:rsidR="0077424B">
        <w:t xml:space="preserve"> Zvýšení úrokových sazeb se </w:t>
      </w:r>
      <w:r w:rsidR="00797632">
        <w:t xml:space="preserve">loni </w:t>
      </w:r>
      <w:r w:rsidR="0077424B">
        <w:t>projevilo na straně užití nárůstem úroků zaplacených domácnostmi o 23,1 mld. korun.</w:t>
      </w:r>
    </w:p>
    <w:p w14:paraId="6E2A18A1" w14:textId="417450F0" w:rsidR="0080514F" w:rsidRDefault="007E2A6B" w:rsidP="005D42E5">
      <w:pPr>
        <w:spacing w:after="120"/>
      </w:pPr>
      <w:r>
        <w:t>Saldo sociální</w:t>
      </w:r>
      <w:r w:rsidR="007F5E11">
        <w:t>ch</w:t>
      </w:r>
      <w:r>
        <w:t xml:space="preserve"> důchodů se</w:t>
      </w:r>
      <w:r w:rsidR="00720D9F">
        <w:t xml:space="preserve"> ve 4. čtvrtletí</w:t>
      </w:r>
      <w:r>
        <w:t xml:space="preserve"> meziročně zvýšilo o 14,6 mld. korun a dosáhlo přebytku 124,9 mld. To je vysoko </w:t>
      </w:r>
      <w:r w:rsidR="00E95136" w:rsidRPr="00962C91">
        <w:t>nad ú</w:t>
      </w:r>
      <w:r w:rsidR="00B24A8E" w:rsidRPr="00962C91">
        <w:t xml:space="preserve">rovní stejného období </w:t>
      </w:r>
      <w:proofErr w:type="spellStart"/>
      <w:r w:rsidR="00D9137B" w:rsidRPr="00962C91">
        <w:t>předcovidových</w:t>
      </w:r>
      <w:proofErr w:type="spellEnd"/>
      <w:r w:rsidR="00B24A8E" w:rsidRPr="00962C91">
        <w:t xml:space="preserve"> let</w:t>
      </w:r>
      <w:r w:rsidR="00B24A8E" w:rsidRPr="00962C91">
        <w:rPr>
          <w:rStyle w:val="Znakapoznpodarou"/>
        </w:rPr>
        <w:footnoteReference w:id="14"/>
      </w:r>
      <w:r w:rsidR="00B24A8E" w:rsidRPr="00962C91">
        <w:t>.</w:t>
      </w:r>
      <w:r w:rsidR="00D9137B" w:rsidRPr="00962C91">
        <w:t xml:space="preserve"> </w:t>
      </w:r>
      <w:r w:rsidR="00E95136" w:rsidRPr="00962C91">
        <w:t>Domácnosti obdržely</w:t>
      </w:r>
      <w:r w:rsidR="00720D9F">
        <w:t xml:space="preserve"> sociální dávky </w:t>
      </w:r>
      <w:r w:rsidR="00AE6A84">
        <w:t xml:space="preserve">a příspěvky </w:t>
      </w:r>
      <w:r w:rsidR="00720D9F">
        <w:t>ve výši 244,0 mld. korun, což bylo meziročně o 16,</w:t>
      </w:r>
      <w:r w:rsidR="00AE6A84">
        <w:t>2</w:t>
      </w:r>
      <w:r w:rsidR="00720D9F">
        <w:t xml:space="preserve"> </w:t>
      </w:r>
      <w:r w:rsidR="005C3CF8" w:rsidRPr="00962C91">
        <w:t>mld.</w:t>
      </w:r>
      <w:r w:rsidR="00B144F0">
        <w:t xml:space="preserve"> </w:t>
      </w:r>
      <w:r w:rsidR="005C3CF8" w:rsidRPr="00962C91">
        <w:t>více</w:t>
      </w:r>
      <w:r w:rsidR="00720D9F">
        <w:t>. Oproti tomu domácnosti odvedly 119,1</w:t>
      </w:r>
      <w:r w:rsidR="005C3CF8" w:rsidRPr="00962C91">
        <w:t xml:space="preserve"> mld. korun jako sociální příspěvky (+</w:t>
      </w:r>
      <w:r w:rsidR="00720D9F">
        <w:t>2,2</w:t>
      </w:r>
      <w:r w:rsidR="005C3CF8" w:rsidRPr="00962C91">
        <w:t xml:space="preserve"> mld.).</w:t>
      </w:r>
      <w:r w:rsidR="00720D9F">
        <w:t xml:space="preserve"> Saldo ostat</w:t>
      </w:r>
      <w:r w:rsidR="005C3CF8" w:rsidRPr="00962C91">
        <w:t xml:space="preserve">ních transferů </w:t>
      </w:r>
      <w:r w:rsidR="00720D9F">
        <w:t xml:space="preserve">bylo ve 4. čtvrtletí meziročně vyšší o 4,2 mld. korun a činilo 5,7 mld. Ačkoli bylo saldo stále </w:t>
      </w:r>
      <w:proofErr w:type="gramStart"/>
      <w:r w:rsidR="00797632">
        <w:t>vyšší</w:t>
      </w:r>
      <w:proofErr w:type="gramEnd"/>
      <w:r w:rsidR="00797632">
        <w:t xml:space="preserve"> než je obvyklé</w:t>
      </w:r>
      <w:r w:rsidR="00720D9F">
        <w:t xml:space="preserve">, oproti 3. čtvrtletí, kdy se do něj promítaly </w:t>
      </w:r>
      <w:r w:rsidR="005C3CF8" w:rsidRPr="00962C91">
        <w:t xml:space="preserve">kompenzace domácnostem v rámci </w:t>
      </w:r>
      <w:r w:rsidR="00B144F0">
        <w:t xml:space="preserve">úsporného </w:t>
      </w:r>
      <w:r w:rsidR="005C3CF8" w:rsidRPr="00962C91">
        <w:t>energetického tarifu</w:t>
      </w:r>
      <w:r w:rsidR="00720D9F">
        <w:t>, se výrazně snížilo</w:t>
      </w:r>
      <w:r w:rsidR="005C3CF8" w:rsidRPr="00962C91">
        <w:t xml:space="preserve">. </w:t>
      </w:r>
      <w:r w:rsidR="00720D9F">
        <w:t>B</w:t>
      </w:r>
      <w:r w:rsidR="003538FB" w:rsidRPr="00962C91">
        <w:t xml:space="preserve">ěžné daně z důchodů a jmění, </w:t>
      </w:r>
      <w:r w:rsidR="00720D9F">
        <w:t>které domácnosti odvedly, byly m</w:t>
      </w:r>
      <w:r w:rsidR="003538FB" w:rsidRPr="00962C91">
        <w:t>eziročně</w:t>
      </w:r>
      <w:r w:rsidR="00720D9F">
        <w:t xml:space="preserve"> vyšší o 6,5</w:t>
      </w:r>
      <w:r w:rsidR="00B3323F" w:rsidRPr="00962C91">
        <w:t> </w:t>
      </w:r>
      <w:r w:rsidR="003538FB" w:rsidRPr="00962C91">
        <w:t>mld.</w:t>
      </w:r>
      <w:r w:rsidR="00797632">
        <w:t xml:space="preserve"> korun</w:t>
      </w:r>
      <w:r w:rsidR="00720D9F">
        <w:t xml:space="preserve"> a dosáhly 73,0 mld.</w:t>
      </w:r>
      <w:r w:rsidR="003538FB" w:rsidRPr="00962C91">
        <w:t xml:space="preserve"> </w:t>
      </w:r>
      <w:r w:rsidR="00C72A55" w:rsidRPr="00962C91">
        <w:t xml:space="preserve">Úroveň odvedených daní ale hluboce zaostávala za úrovní stejného období roku 2020 a byla nižší také oproti </w:t>
      </w:r>
      <w:r w:rsidR="00720D9F">
        <w:t>4</w:t>
      </w:r>
      <w:r w:rsidR="00C72A55" w:rsidRPr="00962C91">
        <w:t>. kvartálu let 2018 a 2019.</w:t>
      </w:r>
      <w:r w:rsidR="007F5E11">
        <w:t xml:space="preserve"> Za celý rok 2022 saldo sociálních důchodů</w:t>
      </w:r>
      <w:r w:rsidR="00AE6A84">
        <w:t xml:space="preserve"> domácností dosáhlo 502,5 mld. korun a bylo tak meziročně vyšší o 24,7 mld. Domácnosti obdržely sociální dávky a</w:t>
      </w:r>
      <w:r w:rsidR="00D16D94">
        <w:t> </w:t>
      </w:r>
      <w:r w:rsidR="00AE6A84">
        <w:t>příspěvky ve výši 978,7 mld. korun (+54,8 mld.) a naopak odvedly celkem 476,2 mld. (+30,1</w:t>
      </w:r>
      <w:r w:rsidR="00D16D94">
        <w:t> </w:t>
      </w:r>
      <w:r w:rsidR="00AE6A84">
        <w:t>mld.) jako sociální příspěvky. Zaplacené běžné daně z důchodů a jmění loni vyšplhaly o</w:t>
      </w:r>
      <w:r w:rsidR="00D16D94">
        <w:t> </w:t>
      </w:r>
      <w:r w:rsidR="00AE6A84">
        <w:t xml:space="preserve">18,6 mld. korun na 285,0 mld. Celková odvedená částka zaostávala za úrovní let 2018–2020. </w:t>
      </w:r>
      <w:r w:rsidR="006B72E4">
        <w:t>S</w:t>
      </w:r>
      <w:r w:rsidR="00AE6A84">
        <w:t xml:space="preserve">aldo ostatních transferů </w:t>
      </w:r>
      <w:r w:rsidR="006B72E4">
        <w:t xml:space="preserve">dosáhlo </w:t>
      </w:r>
      <w:r w:rsidR="00AE6A84">
        <w:t xml:space="preserve">díky kompenzacím </w:t>
      </w:r>
      <w:r w:rsidR="00797632">
        <w:t xml:space="preserve">vyplaceným </w:t>
      </w:r>
      <w:r w:rsidR="00AE6A84">
        <w:t xml:space="preserve">domácnostem </w:t>
      </w:r>
      <w:r w:rsidR="006B72E4">
        <w:t xml:space="preserve">29,0 mld. korun a bylo tak </w:t>
      </w:r>
      <w:r w:rsidR="00AE6A84">
        <w:t>meziročně vyšší o</w:t>
      </w:r>
      <w:r w:rsidR="006B72E4">
        <w:t xml:space="preserve"> 26,3 mld.</w:t>
      </w:r>
    </w:p>
    <w:p w14:paraId="5FFFB7DF" w14:textId="0DC065D1" w:rsidR="00322BAD" w:rsidRDefault="0080514F" w:rsidP="005D42E5">
      <w:pPr>
        <w:spacing w:after="120"/>
      </w:pPr>
      <w:r>
        <w:t>Spotřeba domácností ve 4. čtvrtletí meziročně nominálně vzrostla o 82,9 mld. korun (11,5 %) na 804,5 mld.</w:t>
      </w:r>
      <w:r w:rsidR="00590FA3">
        <w:t xml:space="preserve"> Nominální přírůstek byl stále výrazný, ale počtvrté v řadě oslabil. Reálně došlo k meziročnímu propadu spotřeby domácností o 5,5 %, což souviselo s výrazně rostoucí cenovou hladinou a reálně se snižující kupní silou</w:t>
      </w:r>
      <w:r w:rsidR="00797632">
        <w:t xml:space="preserve"> spotřebitelů</w:t>
      </w:r>
      <w:r w:rsidR="00590FA3">
        <w:t xml:space="preserve">. Útlum poptávky domácností byl patrný </w:t>
      </w:r>
      <w:r w:rsidR="00797632">
        <w:t xml:space="preserve">také </w:t>
      </w:r>
      <w:r w:rsidR="00590FA3">
        <w:t>na mezičtvrtletní dynamice spotřeby. Nominálně se totiž spotřeba domácností snížila o 30,8 mld. korun (</w:t>
      </w:r>
      <w:r w:rsidR="00834CC5">
        <w:t>−</w:t>
      </w:r>
      <w:r w:rsidR="00590FA3">
        <w:t xml:space="preserve">3,8 %). To byl největší </w:t>
      </w:r>
      <w:proofErr w:type="spellStart"/>
      <w:r w:rsidR="00590FA3">
        <w:t>mezikvartální</w:t>
      </w:r>
      <w:proofErr w:type="spellEnd"/>
      <w:r w:rsidR="00590FA3">
        <w:t xml:space="preserve"> propad od konce roku 2020. Reálně spotřeba domácností mezičtvrtletně klesla o 2,8 %.</w:t>
      </w:r>
      <w:r w:rsidR="00322BAD">
        <w:t xml:space="preserve"> Celkem loni výdaje na konečnou spotřebu domácností stouply o 413,8 mld. korun (15,2 %) na 3 129,7 mld.</w:t>
      </w:r>
      <w:r w:rsidR="00590FA3">
        <w:t xml:space="preserve"> </w:t>
      </w:r>
      <w:r w:rsidR="00322BAD">
        <w:t>Reálně ale spotřeba poklesla o 0,9 %.</w:t>
      </w:r>
    </w:p>
    <w:p w14:paraId="703DC8B1" w14:textId="6891AC70" w:rsidR="00E26E5D" w:rsidRPr="00322BAD" w:rsidRDefault="00322BAD" w:rsidP="005D42E5">
      <w:pPr>
        <w:spacing w:after="120"/>
      </w:pPr>
      <w:proofErr w:type="spellStart"/>
      <w:r>
        <w:t>Přibrždění</w:t>
      </w:r>
      <w:proofErr w:type="spellEnd"/>
      <w:r>
        <w:t xml:space="preserve"> výdajů domácností vyústilo v opětovný nárůst hrubých úspor</w:t>
      </w:r>
      <w:r w:rsidR="00797632">
        <w:rPr>
          <w:rStyle w:val="Znakapoznpodarou"/>
        </w:rPr>
        <w:footnoteReference w:id="15"/>
      </w:r>
      <w:r>
        <w:t>. Ty se ve 4. čtvrtletí</w:t>
      </w:r>
      <w:r w:rsidR="00797632">
        <w:t xml:space="preserve"> 2022</w:t>
      </w:r>
      <w:r>
        <w:t xml:space="preserve"> meziročně zvýšily o 39,1 mld. korun na 214,8 mld., což byla nejvyšší zaznamenaná hodnota pro dané období roku. Mezičtvrtletně se sezónně očištěné úspory zvýšily o 59,1 mld. korun. Za </w:t>
      </w:r>
      <w:r>
        <w:lastRenderedPageBreak/>
        <w:t xml:space="preserve">celý loňský rok hrubé úspory domácností dosáhly </w:t>
      </w:r>
      <w:r w:rsidR="00502031">
        <w:t xml:space="preserve">652,9 mld. korun a meziročně tak stagnovaly (−0,2 mld.). </w:t>
      </w:r>
      <w:r w:rsidR="00A46B64" w:rsidRPr="00322BAD">
        <w:t>M</w:t>
      </w:r>
      <w:r w:rsidR="00E26E5D" w:rsidRPr="00322BAD">
        <w:t>íra úspor</w:t>
      </w:r>
      <w:r w:rsidR="00E26E5D" w:rsidRPr="00322BAD">
        <w:rPr>
          <w:rStyle w:val="Znakapoznpodarou"/>
        </w:rPr>
        <w:footnoteReference w:id="16"/>
      </w:r>
      <w:r w:rsidR="00A46B64" w:rsidRPr="00322BAD">
        <w:t xml:space="preserve"> </w:t>
      </w:r>
      <w:r w:rsidR="00E26E5D" w:rsidRPr="00322BAD">
        <w:t xml:space="preserve">se </w:t>
      </w:r>
      <w:r w:rsidR="00502031">
        <w:t xml:space="preserve">ve 4. čtvrtletí </w:t>
      </w:r>
      <w:r w:rsidR="00E26E5D" w:rsidRPr="00322BAD">
        <w:t xml:space="preserve">mezičtvrtletně </w:t>
      </w:r>
      <w:r w:rsidR="00864880" w:rsidRPr="00322BAD">
        <w:t xml:space="preserve">zvýšila o </w:t>
      </w:r>
      <w:r w:rsidR="00502031">
        <w:t>5,5</w:t>
      </w:r>
      <w:r w:rsidR="00864880" w:rsidRPr="00322BAD">
        <w:t xml:space="preserve"> p. b. </w:t>
      </w:r>
      <w:r w:rsidR="00E26E5D" w:rsidRPr="00322BAD">
        <w:t xml:space="preserve">na </w:t>
      </w:r>
      <w:r w:rsidR="00502031">
        <w:t>21,7</w:t>
      </w:r>
      <w:r w:rsidR="00E26E5D" w:rsidRPr="00322BAD">
        <w:t xml:space="preserve"> % (sezónně očištěno). Meziročně byla míra úspor </w:t>
      </w:r>
      <w:r w:rsidR="00864880" w:rsidRPr="00322BAD">
        <w:t>vyšší o 1,</w:t>
      </w:r>
      <w:r w:rsidR="00502031">
        <w:t>5</w:t>
      </w:r>
      <w:r w:rsidR="00864880" w:rsidRPr="00322BAD">
        <w:t xml:space="preserve"> </w:t>
      </w:r>
      <w:r w:rsidR="00E26E5D" w:rsidRPr="00322BAD">
        <w:t>p. b. (sezónně neočištěno).</w:t>
      </w:r>
      <w:r w:rsidR="00502031">
        <w:t xml:space="preserve"> Za celý rok 2022 míra úspor domácností dosáhla 17,3 % a snížila se tak oproti roku 2021 o 2,1 p. b.</w:t>
      </w:r>
      <w:r w:rsidR="00E26E5D" w:rsidRPr="00322BAD">
        <w:t xml:space="preserve">  </w:t>
      </w:r>
    </w:p>
    <w:p w14:paraId="0D49109C" w14:textId="77777777" w:rsidR="00502031" w:rsidRDefault="00502031" w:rsidP="005D42E5">
      <w:pPr>
        <w:spacing w:after="120"/>
      </w:pPr>
      <w:r>
        <w:t>Kapitálové transfery domácnostem se ve 4. čtvrtletí meziročně navýšily o 1,4 mld. korun na 5,4 mld. Většinu z toho tvořily investiční dotace (4,5 mld. korun), které byly meziročně vyšší o 2,5 mld. O</w:t>
      </w:r>
      <w:r w:rsidRPr="00AE04A7">
        <w:t xml:space="preserve">statní kapitálové transfery dosáhly </w:t>
      </w:r>
      <w:r>
        <w:t xml:space="preserve">0,9 </w:t>
      </w:r>
      <w:r w:rsidRPr="00AE04A7">
        <w:t xml:space="preserve">mld. korun a klesly o </w:t>
      </w:r>
      <w:r>
        <w:t xml:space="preserve">1,1 </w:t>
      </w:r>
      <w:r w:rsidRPr="00AE04A7">
        <w:t>mld.</w:t>
      </w:r>
      <w:r>
        <w:t xml:space="preserve"> Za celý rok 2022 domácnosti obdržely ve formě kapitálových transferů 23,5 mld. korun, což bylo meziročně o 11,9 mld. méně. Projevilo se na tom hlavně ukončení podpůrných programů, které v roce 2021 tlumily dopady nucených uzavírek podniků. To je patrné na poklesu ostatních kapitálových transferů o 15,7 mld. korun na 7,9 mld. Investiční dotace domácnostem loni dosáhly 15,5 mld. korun a byly vyšší o 3,8 mld.</w:t>
      </w:r>
      <w:r w:rsidRPr="00AE04A7">
        <w:t xml:space="preserve"> </w:t>
      </w:r>
    </w:p>
    <w:p w14:paraId="470EF023" w14:textId="4CBA337D" w:rsidR="00502031" w:rsidRPr="00AE04A7" w:rsidRDefault="00502031" w:rsidP="005D42E5">
      <w:pPr>
        <w:spacing w:after="120"/>
        <w:rPr>
          <w:rFonts w:eastAsia="Times New Roman"/>
          <w:b/>
          <w:bCs/>
          <w:szCs w:val="28"/>
        </w:rPr>
      </w:pPr>
      <w:r w:rsidRPr="00AE04A7">
        <w:t xml:space="preserve">Výdaje </w:t>
      </w:r>
      <w:r>
        <w:t xml:space="preserve">domácností </w:t>
      </w:r>
      <w:r w:rsidRPr="00AE04A7">
        <w:t xml:space="preserve">na tvorbu hrubého fixního kapitálu </w:t>
      </w:r>
      <w:r>
        <w:t xml:space="preserve">byly ve 4. čtvrtletí </w:t>
      </w:r>
      <w:r w:rsidRPr="00AE04A7">
        <w:t>meziročně</w:t>
      </w:r>
      <w:r>
        <w:t xml:space="preserve"> vyšší o 10,2 mld. korun a dosáhly 108,6 mld. P</w:t>
      </w:r>
      <w:r w:rsidRPr="00AE04A7">
        <w:t>řírůstek</w:t>
      </w:r>
      <w:r>
        <w:t xml:space="preserve"> 10,7 % jen těsně překonal </w:t>
      </w:r>
      <w:r w:rsidR="00797632">
        <w:t xml:space="preserve">celkový růst </w:t>
      </w:r>
      <w:r w:rsidRPr="00AE04A7">
        <w:t xml:space="preserve">cen kapitálových statků. Mezičtvrtletně investice domácností </w:t>
      </w:r>
      <w:r>
        <w:t xml:space="preserve">vzrostly o 2,6 mld. korun </w:t>
      </w:r>
      <w:r w:rsidRPr="00AE04A7">
        <w:t>(sezónně očištěno).</w:t>
      </w:r>
      <w:r>
        <w:t xml:space="preserve"> Celkově loni výdaje domácností na tvorbu hrubého fixního kapitálu dosáhly 358,3 mld. korun, což bylo o 46,6 mld. více.</w:t>
      </w:r>
      <w:r w:rsidRPr="00AE04A7">
        <w:t xml:space="preserve"> Výsledná míra investic</w:t>
      </w:r>
      <w:r w:rsidRPr="00AE04A7">
        <w:rPr>
          <w:rStyle w:val="Znakapoznpodarou"/>
        </w:rPr>
        <w:footnoteReference w:id="17"/>
      </w:r>
      <w:r w:rsidRPr="00AE04A7">
        <w:t xml:space="preserve"> (sezónně očištěná) </w:t>
      </w:r>
      <w:r>
        <w:t>setrvala ve 4.</w:t>
      </w:r>
      <w:r w:rsidR="00797632">
        <w:t> </w:t>
      </w:r>
      <w:r>
        <w:t>čtvrtletí na úrovni 9,4 %.</w:t>
      </w:r>
      <w:r w:rsidRPr="00AE04A7">
        <w:t xml:space="preserve"> Meziročně se (neočištěná) míra investic snížila o 0,</w:t>
      </w:r>
      <w:r>
        <w:t>3</w:t>
      </w:r>
      <w:r w:rsidRPr="00AE04A7">
        <w:t> p. b.</w:t>
      </w:r>
      <w:r>
        <w:t xml:space="preserve"> V roce 2022 míra investic domácností dosáhla 9,5 %, což představovalo nárůst o 0,3 p. b.</w:t>
      </w:r>
    </w:p>
    <w:p w14:paraId="231F42C9" w14:textId="77777777" w:rsidR="00455E2F" w:rsidRPr="007E6EC4" w:rsidRDefault="00455E2F" w:rsidP="00455E2F">
      <w:pPr>
        <w:pStyle w:val="TabulkaGraf"/>
      </w:pPr>
      <w:r w:rsidRPr="007E6EC4">
        <w:t>Graf 5: Meziroční změna výdajů na tvorbu hrubého fixního kapitálu (mld. korun) a míra úspor a míra investic sektoru domácností (v %, sezónně očištěno)</w:t>
      </w:r>
    </w:p>
    <w:p w14:paraId="0151EB38" w14:textId="77777777" w:rsidR="00455E2F" w:rsidRPr="007E6EC4" w:rsidRDefault="007E6EC4" w:rsidP="00455E2F">
      <w:pPr>
        <w:pStyle w:val="TabulkaGraf"/>
        <w:jc w:val="center"/>
        <w:rPr>
          <w:b w:val="0"/>
          <w:bCs w:val="0"/>
        </w:rPr>
      </w:pPr>
      <w:r>
        <w:rPr>
          <w:noProof/>
        </w:rPr>
        <w:drawing>
          <wp:inline distT="0" distB="0" distL="0" distR="0" wp14:anchorId="57544CF5" wp14:editId="63A08B09">
            <wp:extent cx="4734425" cy="2904425"/>
            <wp:effectExtent l="0" t="0" r="0" b="0"/>
            <wp:docPr id="87701406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EB980C9" w14:textId="77777777" w:rsidR="00455E2F" w:rsidRPr="007E6EC4" w:rsidRDefault="00455E2F" w:rsidP="00797632">
      <w:r w:rsidRPr="007E6EC4">
        <w:t>Zdroj: ČSÚ, národní účty</w:t>
      </w:r>
    </w:p>
    <w:p w14:paraId="6D8E76C2" w14:textId="77777777" w:rsidR="00F50CEF" w:rsidRPr="00900F13" w:rsidRDefault="00F50CEF" w:rsidP="000302A6">
      <w:pPr>
        <w:pStyle w:val="Nadpis1"/>
        <w:spacing w:after="120"/>
      </w:pPr>
      <w:r w:rsidRPr="00900F13">
        <w:lastRenderedPageBreak/>
        <w:t>Finanční vztahy s</w:t>
      </w:r>
      <w:r w:rsidR="000D19F9" w:rsidRPr="00900F13">
        <w:t> </w:t>
      </w:r>
      <w:r w:rsidRPr="00900F13">
        <w:t>nerezidenty</w:t>
      </w:r>
    </w:p>
    <w:p w14:paraId="0D6EF0AF" w14:textId="77777777" w:rsidR="00597BEA" w:rsidRDefault="00900F13" w:rsidP="00060DD8">
      <w:pPr>
        <w:spacing w:after="120"/>
      </w:pPr>
      <w:r>
        <w:t xml:space="preserve">Ve 4. čtvrtletí se vývoz zboží a služeb meziročně zvýšil o 187,2 mld. korun na 1 346,5 mld. Nominální přírůstek ve srovnání s předchozím čtvrtletím oslabil, ale dál se zejména v souvislosti s růstem cenové hladiny držel na vysoké úrovni. Na druhé straně hodnota dovozu zboží a služeb dosáhla 1 356,8 mld. korun a meziročně byla vyšší o 193,9 mld. Bilance zahraničního obchodu tak setrvala v deficitu 10,2 mld. korun, což byl meziročně o 6,7 mld. horší výsledek. </w:t>
      </w:r>
      <w:r w:rsidR="00597BEA">
        <w:t xml:space="preserve">Loni se do výsledků zahraničního obchodu promítal prudký nárůst cen surovin a paliv a situace okolo zásobení ropou a zemním plynem. To ovlivnilo zejména prudký růst hodnoty dovozu a také zhoršení bilance. </w:t>
      </w:r>
      <w:r>
        <w:t>Za celý rok 2022 export zboží a služeb vzrostl o 642,6 mld. korun na 5 085,4</w:t>
      </w:r>
      <w:r w:rsidR="00597BEA">
        <w:t> </w:t>
      </w:r>
      <w:r>
        <w:t xml:space="preserve">mld. a import byl vyšší o 830,6 mld. a dosáhl 5 092,5 mld. </w:t>
      </w:r>
      <w:r w:rsidR="00597BEA">
        <w:t>Celkově tak zahraniční obchod se zbožím a službami skončil v deficitu 7,0 mld. korun</w:t>
      </w:r>
      <w:r w:rsidR="0005699E">
        <w:t xml:space="preserve"> (</w:t>
      </w:r>
      <w:r w:rsidR="00834CC5">
        <w:t>−</w:t>
      </w:r>
      <w:r w:rsidR="0005699E">
        <w:t>188,0 mld.)</w:t>
      </w:r>
      <w:r w:rsidR="00597BEA">
        <w:t>, což byl první schodek od roku 2003.</w:t>
      </w:r>
    </w:p>
    <w:p w14:paraId="741414F4" w14:textId="6767CDF0" w:rsidR="00F476A2" w:rsidRDefault="003F5414" w:rsidP="00060DD8">
      <w:pPr>
        <w:spacing w:after="120"/>
      </w:pPr>
      <w:r>
        <w:t>Ve formě důchodů z vlastnictví nerezidentům</w:t>
      </w:r>
      <w:r w:rsidRPr="00597BEA">
        <w:rPr>
          <w:rStyle w:val="Znakapoznpodarou"/>
        </w:rPr>
        <w:footnoteReference w:id="18"/>
      </w:r>
      <w:r>
        <w:t xml:space="preserve"> náleželo ve 4. čtvrtletí 148,1 mld. korun, což bylo meziročně o 36,5 mld</w:t>
      </w:r>
      <w:r w:rsidR="000F1825">
        <w:t>. více</w:t>
      </w:r>
      <w:r>
        <w:t>. Nejvíce se zvýšily rozdělované důchody společností (+16,4 mld. korun)</w:t>
      </w:r>
      <w:r w:rsidR="00B144F0">
        <w:t xml:space="preserve"> a</w:t>
      </w:r>
      <w:r>
        <w:t xml:space="preserve"> dále úroky (+10,2 mld.). Reinvestované zisky z přímých zahraničních investic byly meziročně vyšší o 9,8 mld. korun.</w:t>
      </w:r>
      <w:r w:rsidR="006E1BFB">
        <w:t xml:space="preserve"> Za celý rok 2022 důchody z vlastnictví nerezidentů vzrostly o</w:t>
      </w:r>
      <w:r w:rsidR="000F1825">
        <w:t> </w:t>
      </w:r>
      <w:r w:rsidR="006E1BFB">
        <w:t>74,5 mld. korun na 546,4 mld.</w:t>
      </w:r>
      <w:r>
        <w:t xml:space="preserve"> </w:t>
      </w:r>
      <w:r w:rsidR="006E1BFB">
        <w:t>Rozdělované důchody společností byly vyšší o 98,6 mld. korun</w:t>
      </w:r>
      <w:r w:rsidR="000F1825">
        <w:t xml:space="preserve"> a </w:t>
      </w:r>
      <w:r w:rsidR="006E1BFB">
        <w:t xml:space="preserve">úroky o 40,8 mld., ale reinvestované zisky z přímých zahraničních investic klesly o 65,1 mld. korun. </w:t>
      </w:r>
      <w:r>
        <w:t>Pro domácí investory v zahraničí se důchody z vlastnictví ve 4. čtvrtletí meziročně zvýšily o 25,2 mld. korun na 67,8 mld. Nárůst z většiny proběhl prostřednictvím úroků (+17,2 mld. korun)</w:t>
      </w:r>
      <w:r w:rsidR="006E1BFB">
        <w:t xml:space="preserve"> a</w:t>
      </w:r>
      <w:r w:rsidR="005017E0">
        <w:t> </w:t>
      </w:r>
      <w:r>
        <w:t xml:space="preserve">reinvestované zisky byly vyšší o 8,3 mld., </w:t>
      </w:r>
      <w:r w:rsidR="006E1BFB">
        <w:t xml:space="preserve">ale rozdělované důchody společností se meziročně snížily o 1,4 mld. </w:t>
      </w:r>
      <w:r w:rsidR="005017E0">
        <w:t xml:space="preserve">Celkově loni domácím investorům v zahraničí náleželo 221,0 mld. korun (+39,9 mld.). Z naprosté většiny k nárůstu přispěly úroky (+37,5 mld. korun). Reinvestované zisky ze zahraničních investic byly vyšší o 6,6 mld. korun, ale rozdělované důchody společností klesly o 5,7 mld. </w:t>
      </w:r>
      <w:r w:rsidR="002A2E87" w:rsidRPr="00597BEA">
        <w:t xml:space="preserve">Čistý odliv </w:t>
      </w:r>
      <w:r w:rsidR="007640A3" w:rsidRPr="00597BEA">
        <w:t>důchodů z vlastnictví do zahraničí v</w:t>
      </w:r>
      <w:r w:rsidR="008518E7" w:rsidRPr="00597BEA">
        <w:t>e</w:t>
      </w:r>
      <w:r w:rsidR="00131E21" w:rsidRPr="00597BEA">
        <w:t xml:space="preserve"> </w:t>
      </w:r>
      <w:r w:rsidR="005017E0">
        <w:t>4</w:t>
      </w:r>
      <w:r w:rsidR="007640A3" w:rsidRPr="00597BEA">
        <w:t>.</w:t>
      </w:r>
      <w:r w:rsidR="00B13907" w:rsidRPr="00597BEA">
        <w:t> čtvrtlet</w:t>
      </w:r>
      <w:r w:rsidR="007640A3" w:rsidRPr="00597BEA">
        <w:t>í 202</w:t>
      </w:r>
      <w:r w:rsidR="003609A7" w:rsidRPr="00597BEA">
        <w:t>2</w:t>
      </w:r>
      <w:r w:rsidR="007640A3" w:rsidRPr="00597BEA">
        <w:t xml:space="preserve"> </w:t>
      </w:r>
      <w:r w:rsidR="008518E7" w:rsidRPr="00597BEA">
        <w:t>dosáhl 8</w:t>
      </w:r>
      <w:r w:rsidR="005017E0">
        <w:t>0,4</w:t>
      </w:r>
      <w:r w:rsidR="008518E7" w:rsidRPr="00597BEA">
        <w:t xml:space="preserve"> mld. korun</w:t>
      </w:r>
      <w:r w:rsidR="001050DD" w:rsidRPr="00597BEA">
        <w:t xml:space="preserve"> a meziročně zesílil o </w:t>
      </w:r>
      <w:r w:rsidR="005017E0">
        <w:t>11,4</w:t>
      </w:r>
      <w:r w:rsidR="001050DD" w:rsidRPr="00597BEA">
        <w:t xml:space="preserve"> mld.</w:t>
      </w:r>
      <w:r w:rsidR="00811629">
        <w:t xml:space="preserve"> Za celý rok 2022 </w:t>
      </w:r>
      <w:r w:rsidR="00B144F0">
        <w:t xml:space="preserve">tak </w:t>
      </w:r>
      <w:r w:rsidR="006A05E8">
        <w:t>čistý odliv důchodů z vlastnictví vzrostl o 34,6 mld. korun na 325,4 mld. Přes meziroční navýšení</w:t>
      </w:r>
      <w:r w:rsidR="000F1825">
        <w:t xml:space="preserve"> loni</w:t>
      </w:r>
      <w:r w:rsidR="006A05E8">
        <w:t xml:space="preserve"> čistý odliv zaostával za úrovní let 2014–2020. Zisky zahraničních vlastníků korporací</w:t>
      </w:r>
      <w:r w:rsidR="00F86F7A">
        <w:rPr>
          <w:rStyle w:val="Znakapoznpodarou"/>
        </w:rPr>
        <w:footnoteReference w:id="19"/>
      </w:r>
      <w:r w:rsidR="006A05E8">
        <w:t xml:space="preserve"> loni dosáhly</w:t>
      </w:r>
      <w:r w:rsidR="00F476A2">
        <w:t xml:space="preserve"> 424,6 mld. korun, což představovalo </w:t>
      </w:r>
      <w:r w:rsidR="006A05E8">
        <w:t>6,2 % HDP</w:t>
      </w:r>
      <w:r w:rsidR="00F476A2">
        <w:t>. Šlo o nejnižší úroveň tohoto ukazatele od roku 2005.</w:t>
      </w:r>
    </w:p>
    <w:p w14:paraId="4174DB5D" w14:textId="26D4C224" w:rsidR="00C7585A" w:rsidRDefault="002869E0" w:rsidP="007909AA">
      <w:pPr>
        <w:spacing w:after="120"/>
      </w:pPr>
      <w:r>
        <w:t xml:space="preserve">Ve 4. čtvrtletí 2022 zaměstnancům v domácí ekonomice náležely náhrady ve výší 20,3 mld. korun, což byla </w:t>
      </w:r>
      <w:r w:rsidR="000F1825">
        <w:t>shodná</w:t>
      </w:r>
      <w:r>
        <w:t xml:space="preserve"> částka jako ve stejném období předcházejícího roku. Naopak náhrady do zahraničí meziročně vzrostly o 1,8 mld. korun</w:t>
      </w:r>
      <w:r w:rsidR="008519C6">
        <w:t xml:space="preserve"> na 17,5 mld. Saldo náhrad tak zůstalo kladné, ale kleslo meziročně o 1,9 mld. korun na 2,7 mld. Za celý rok 2022 se náhrady ze zahraničí zvýšily o</w:t>
      </w:r>
      <w:r w:rsidR="00105107">
        <w:t> </w:t>
      </w:r>
      <w:r w:rsidR="008519C6">
        <w:t>2,0 mld. korun na 75,5 mld., zatímco náhrady, které směřovaly do zahraničí, vzrostly o 10,5</w:t>
      </w:r>
      <w:r w:rsidR="00105107">
        <w:t> </w:t>
      </w:r>
      <w:r w:rsidR="008519C6">
        <w:t>mld. na 70,6 mld. Saldo náhrad tak dosáhlo přebytku 4,9 mld. korun, ale bylo meziročně nižší o</w:t>
      </w:r>
      <w:r w:rsidR="00105107">
        <w:t> </w:t>
      </w:r>
      <w:r w:rsidR="008519C6">
        <w:t xml:space="preserve">8,6 mld. Přebytek byl nejnižší od roku 2012. </w:t>
      </w:r>
      <w:r w:rsidR="003F2A47" w:rsidRPr="00AB5D19">
        <w:t>Daně z výroby a dovozu zaplacené do zahraničí</w:t>
      </w:r>
      <w:r w:rsidR="008519C6">
        <w:t xml:space="preserve"> ve 4. čtvrtletí</w:t>
      </w:r>
      <w:r w:rsidR="003F2A47" w:rsidRPr="00AB5D19">
        <w:t xml:space="preserve"> meziročně </w:t>
      </w:r>
      <w:r w:rsidR="008C27B1" w:rsidRPr="00AB5D19">
        <w:t>vzrostly</w:t>
      </w:r>
      <w:r w:rsidR="003F2A47" w:rsidRPr="00AB5D19">
        <w:t xml:space="preserve"> o 0,</w:t>
      </w:r>
      <w:r w:rsidR="008519C6">
        <w:t>8</w:t>
      </w:r>
      <w:r w:rsidR="003F2A47" w:rsidRPr="00AB5D19">
        <w:t xml:space="preserve"> mld.</w:t>
      </w:r>
      <w:r w:rsidR="008519C6">
        <w:t xml:space="preserve"> korun na 3,6</w:t>
      </w:r>
      <w:r w:rsidR="003F2A47" w:rsidRPr="00AB5D19">
        <w:t xml:space="preserve"> mld. </w:t>
      </w:r>
      <w:r w:rsidR="00C54EDD" w:rsidRPr="00AB5D19">
        <w:t>Dotace ze zahraničí</w:t>
      </w:r>
      <w:r w:rsidR="005D21E7" w:rsidRPr="00AB5D19">
        <w:t xml:space="preserve"> byly </w:t>
      </w:r>
      <w:r w:rsidR="00105107">
        <w:t>nižší</w:t>
      </w:r>
      <w:r w:rsidR="005D21E7" w:rsidRPr="00AB5D19">
        <w:t xml:space="preserve"> o</w:t>
      </w:r>
      <w:r w:rsidR="00105107">
        <w:t> </w:t>
      </w:r>
      <w:r w:rsidR="005D21E7" w:rsidRPr="00AB5D19">
        <w:t>1,1</w:t>
      </w:r>
      <w:r w:rsidR="00105107">
        <w:t> </w:t>
      </w:r>
      <w:r w:rsidR="00C54EDD" w:rsidRPr="00AB5D19">
        <w:t xml:space="preserve">mld. korun </w:t>
      </w:r>
      <w:r w:rsidR="005D21E7" w:rsidRPr="00AB5D19">
        <w:t xml:space="preserve">a dosáhly </w:t>
      </w:r>
      <w:r w:rsidR="00105107">
        <w:t>16,6</w:t>
      </w:r>
      <w:r w:rsidR="00C54EDD" w:rsidRPr="00AB5D19">
        <w:t xml:space="preserve"> mld.</w:t>
      </w:r>
      <w:r w:rsidR="00105107">
        <w:t xml:space="preserve"> Celkem bylo loni do zahraničí vyplaceno jako daně z výroby a dovozu 12,5 mld. korun, což bylo o 2,7 mld. více. Ve formě dotací domácí ekonomika získala 38,0 mld. korun (+0,7 mld.). S</w:t>
      </w:r>
      <w:r w:rsidR="00F77F8B" w:rsidRPr="00AB5D19">
        <w:t>ald</w:t>
      </w:r>
      <w:r w:rsidR="00105107">
        <w:t>o</w:t>
      </w:r>
      <w:r w:rsidR="00F77F8B" w:rsidRPr="00AB5D19">
        <w:t xml:space="preserve"> prvotních důchodů</w:t>
      </w:r>
      <w:r w:rsidR="00C17B2C" w:rsidRPr="00AB5D19">
        <w:t xml:space="preserve"> </w:t>
      </w:r>
      <w:r w:rsidR="00105107">
        <w:t xml:space="preserve">ve 4. čtvrtletí dosáhlo deficitu 64,6 mld. </w:t>
      </w:r>
      <w:r w:rsidR="00105107">
        <w:lastRenderedPageBreak/>
        <w:t xml:space="preserve">korun a zhoršilo se tak meziročně o 15,1 mld. Za celý rok 2022 </w:t>
      </w:r>
      <w:r w:rsidR="005D21E7" w:rsidRPr="00AB5D19">
        <w:t>se</w:t>
      </w:r>
      <w:r w:rsidR="00105107">
        <w:t xml:space="preserve"> deficit salda prvotních důchodů prohloubil o 45,2 mld. korun na 295,0 mld.</w:t>
      </w:r>
    </w:p>
    <w:p w14:paraId="3B10490A" w14:textId="77777777" w:rsidR="0005699E" w:rsidRDefault="004C5122" w:rsidP="007909AA">
      <w:pPr>
        <w:spacing w:after="120"/>
      </w:pPr>
      <w:r>
        <w:t>Deficit salda druhotn</w:t>
      </w:r>
      <w:r w:rsidR="00A824CF">
        <w:t>ého rozdělení</w:t>
      </w:r>
      <w:r>
        <w:t xml:space="preserve"> se ve 4. čtvrtletí meziročně zmírnil o 9,6 mld. korun na 10,2 mld. Hlavním důvodem bylo meziroční snížení ostatních běžných transferů vyplacených do zahraničí (</w:t>
      </w:r>
      <w:r w:rsidR="00834CC5">
        <w:t>−</w:t>
      </w:r>
      <w:r>
        <w:t>8,5 mld. korun). Zčásti za tím stál pokles odvedených vlastních zdrojů EU odvozených z DPH a HND o 4,9 mld. korun a také nižší objem jiných běžných transferů o 3,1 mld. Úroveň sociálních dávek vyplacených nerezidentům byla meziročně vyšší jen o 0,</w:t>
      </w:r>
      <w:r w:rsidR="00A824CF">
        <w:t>3</w:t>
      </w:r>
      <w:r>
        <w:t xml:space="preserve"> mld. korun a po </w:t>
      </w:r>
      <w:r w:rsidR="00A824CF">
        <w:t xml:space="preserve">zřetelném </w:t>
      </w:r>
      <w:r w:rsidR="00C84000" w:rsidRPr="00105107">
        <w:t>nárůst</w:t>
      </w:r>
      <w:r>
        <w:t xml:space="preserve">u souvisejícím s výplatou </w:t>
      </w:r>
      <w:r w:rsidR="00C84000" w:rsidRPr="00105107">
        <w:t>pomoc</w:t>
      </w:r>
      <w:r w:rsidR="00A824CF">
        <w:t>i</w:t>
      </w:r>
      <w:r w:rsidR="00C84000" w:rsidRPr="00105107">
        <w:t xml:space="preserve"> ukrajinským uprchlíkům</w:t>
      </w:r>
      <w:r w:rsidR="00A824CF">
        <w:t xml:space="preserve"> ve 2. a 3. čtvrtletí se vrátila zpět k obvyklým hodnotám. Za celý rok 2022 dosáhlo saldo druhotného rozdělení deficitu 65,1 mld. korun, což bylo meziročně o 6,0 mld. méně. Sociální příspěvky a dávky vyplacené do zahraničí narostly o 8,1 mld. korun (z toho sociální dávky o 7,6 mld.) a naopak ostatní běžné transfery byly nižší o 4,9 mld. Domácí ekonomika si naopak připsala o 2,2 mld. korun více ve formě sociálních příspěvků a dávek. Přijaté ostatní transfery se zvýšily o 6,6 mld. </w:t>
      </w:r>
      <w:r w:rsidR="00D326BD" w:rsidRPr="00105107">
        <w:t>S</w:t>
      </w:r>
      <w:r w:rsidR="00920317" w:rsidRPr="00105107">
        <w:t>aldo běžných transakcí domácí ekonomiky se zahraničím</w:t>
      </w:r>
      <w:r w:rsidR="009A1871" w:rsidRPr="00105107">
        <w:t xml:space="preserve"> </w:t>
      </w:r>
      <w:r w:rsidR="00A824CF">
        <w:t xml:space="preserve">ve 4. čtvrtletí </w:t>
      </w:r>
      <w:r w:rsidR="00D326BD" w:rsidRPr="00105107">
        <w:t>skončilo v</w:t>
      </w:r>
      <w:r w:rsidR="00A824CF">
        <w:t> </w:t>
      </w:r>
      <w:r w:rsidR="00D326BD" w:rsidRPr="00105107">
        <w:t>deficitu</w:t>
      </w:r>
      <w:r w:rsidR="00A824CF">
        <w:t xml:space="preserve"> 85,1</w:t>
      </w:r>
      <w:r w:rsidR="00D326BD" w:rsidRPr="00105107">
        <w:t xml:space="preserve"> mld. korun a</w:t>
      </w:r>
      <w:r w:rsidR="0005699E">
        <w:t> </w:t>
      </w:r>
      <w:r w:rsidR="00D326BD" w:rsidRPr="00105107">
        <w:t>meziročně se z</w:t>
      </w:r>
      <w:r w:rsidR="009A1871" w:rsidRPr="00105107">
        <w:t xml:space="preserve">horšilo o </w:t>
      </w:r>
      <w:r w:rsidR="00A824CF">
        <w:t>12,2</w:t>
      </w:r>
      <w:r w:rsidR="009A1871" w:rsidRPr="00105107">
        <w:t xml:space="preserve"> mld. </w:t>
      </w:r>
      <w:r w:rsidR="00A824CF">
        <w:t>Podobně jako v předchozích čtvrtletích šlo z</w:t>
      </w:r>
      <w:r w:rsidR="00D326BD" w:rsidRPr="00105107">
        <w:t>horšení na vrub zejména deficitu zahraničního obchodu a prohloubení schodku důchodů z vlastnictví</w:t>
      </w:r>
      <w:r w:rsidR="00920317" w:rsidRPr="00105107">
        <w:t>.</w:t>
      </w:r>
      <w:r w:rsidR="00A824CF">
        <w:t xml:space="preserve"> Za celý rok 2022 se deficit běžných transakcí prohloubil o 227,1 mld. korun na 367,3 mld.</w:t>
      </w:r>
    </w:p>
    <w:p w14:paraId="7ACEDEB1" w14:textId="77777777" w:rsidR="00C43DB8" w:rsidRDefault="00A61BE0" w:rsidP="00F915C2">
      <w:pPr>
        <w:spacing w:after="120"/>
      </w:pPr>
      <w:r>
        <w:t>V</w:t>
      </w:r>
      <w:r w:rsidR="00366D80" w:rsidRPr="0005699E">
        <w:t>e formě kapitálových transferů</w:t>
      </w:r>
      <w:r>
        <w:t xml:space="preserve"> přiteklo ve 4. čtvrtletí do domácí ekonomiky 33,0 mld. korun, meziročně o 11,2 mld. více. Z toho i</w:t>
      </w:r>
      <w:r w:rsidR="00366D80" w:rsidRPr="0005699E">
        <w:t xml:space="preserve">nvestiční dotace vzrostly o </w:t>
      </w:r>
      <w:r>
        <w:t xml:space="preserve">11,7 </w:t>
      </w:r>
      <w:r w:rsidR="00366D80" w:rsidRPr="0005699E">
        <w:t xml:space="preserve">mld. korun na </w:t>
      </w:r>
      <w:r>
        <w:t>32,2</w:t>
      </w:r>
      <w:r w:rsidR="00366D80" w:rsidRPr="0005699E">
        <w:t xml:space="preserve"> mld.</w:t>
      </w:r>
      <w:r>
        <w:t xml:space="preserve"> Do zahraničí bylo takto vyplaceno 1,8 ml</w:t>
      </w:r>
      <w:r w:rsidR="00F915C2" w:rsidRPr="0005699E">
        <w:t>d. korun</w:t>
      </w:r>
      <w:r>
        <w:t xml:space="preserve"> (+1,2 mld.)</w:t>
      </w:r>
      <w:r w:rsidR="00F915C2" w:rsidRPr="0005699E">
        <w:t xml:space="preserve">. Kladné saldo </w:t>
      </w:r>
      <w:r w:rsidR="00FD6D15" w:rsidRPr="0005699E">
        <w:t xml:space="preserve">kapitálových transferů mezi domácí ekonomikou </w:t>
      </w:r>
      <w:r w:rsidR="008C00A5" w:rsidRPr="0005699E">
        <w:t>a </w:t>
      </w:r>
      <w:r w:rsidR="00FD6D15" w:rsidRPr="0005699E">
        <w:t xml:space="preserve">zahraničím </w:t>
      </w:r>
      <w:r w:rsidR="00484F22" w:rsidRPr="0005699E">
        <w:t xml:space="preserve">se meziročně </w:t>
      </w:r>
      <w:r w:rsidR="00C87B18" w:rsidRPr="0005699E">
        <w:t>zlepšilo o</w:t>
      </w:r>
      <w:r w:rsidR="00B3323F" w:rsidRPr="0005699E">
        <w:t> </w:t>
      </w:r>
      <w:r>
        <w:t xml:space="preserve">12,5 </w:t>
      </w:r>
      <w:r w:rsidR="00C87B18" w:rsidRPr="0005699E">
        <w:t xml:space="preserve">mld. korun na </w:t>
      </w:r>
      <w:r>
        <w:t>31,2</w:t>
      </w:r>
      <w:r w:rsidR="00484F22" w:rsidRPr="0005699E">
        <w:t xml:space="preserve"> mld.</w:t>
      </w:r>
      <w:r>
        <w:t xml:space="preserve"> Za celý rok si domácí ekonomika připsala 91,3 mld. korun (</w:t>
      </w:r>
      <w:r w:rsidR="00834CC5">
        <w:t>−</w:t>
      </w:r>
      <w:r>
        <w:t xml:space="preserve">8,0 mld.) jako kapitálové transfery, z toho investiční dotace klesly o 16,2 mld. na 85,7 mld. Do zahraničí bylo vyplaceno 8,8 mld. korun (−3,9 mld.) a saldo kapitálových transferů dosáhlo přebytku 82,5 mld. korun (+11,9 mld.). </w:t>
      </w:r>
      <w:r w:rsidR="00FD6D15" w:rsidRPr="0005699E">
        <w:t xml:space="preserve">Domácí ekonomika </w:t>
      </w:r>
      <w:r w:rsidR="00F915C2" w:rsidRPr="0005699E">
        <w:t xml:space="preserve">si </w:t>
      </w:r>
      <w:r w:rsidR="00C87B18" w:rsidRPr="0005699E">
        <w:t xml:space="preserve">ve </w:t>
      </w:r>
      <w:r>
        <w:t>4</w:t>
      </w:r>
      <w:r w:rsidR="00C87B18" w:rsidRPr="0005699E">
        <w:t xml:space="preserve">. čtvrtletí </w:t>
      </w:r>
      <w:r w:rsidR="00E71ED8">
        <w:t xml:space="preserve">držela </w:t>
      </w:r>
      <w:r w:rsidR="00613EF0" w:rsidRPr="0005699E">
        <w:t>č</w:t>
      </w:r>
      <w:r w:rsidR="00FD6D15" w:rsidRPr="0005699E">
        <w:t>ist</w:t>
      </w:r>
      <w:r w:rsidR="00F915C2" w:rsidRPr="0005699E">
        <w:t>ou</w:t>
      </w:r>
      <w:r w:rsidR="00FD6D15" w:rsidRPr="0005699E">
        <w:t xml:space="preserve"> </w:t>
      </w:r>
      <w:r w:rsidR="00613EF0" w:rsidRPr="0005699E">
        <w:t>záporn</w:t>
      </w:r>
      <w:r w:rsidR="00F915C2" w:rsidRPr="0005699E">
        <w:t>ou</w:t>
      </w:r>
      <w:r w:rsidR="00613EF0" w:rsidRPr="0005699E">
        <w:t xml:space="preserve"> </w:t>
      </w:r>
      <w:r w:rsidR="00FD6D15" w:rsidRPr="0005699E">
        <w:t>pozic</w:t>
      </w:r>
      <w:r w:rsidR="00484F22" w:rsidRPr="0005699E">
        <w:t>i</w:t>
      </w:r>
      <w:r w:rsidR="00FD6D15" w:rsidRPr="0005699E">
        <w:t xml:space="preserve"> </w:t>
      </w:r>
      <w:r w:rsidR="00C87B18" w:rsidRPr="0005699E">
        <w:t xml:space="preserve">vůči zahraničí </w:t>
      </w:r>
      <w:r w:rsidR="008C00A5" w:rsidRPr="0005699E">
        <w:t>a </w:t>
      </w:r>
      <w:r w:rsidR="00FD6D15" w:rsidRPr="0005699E">
        <w:t>č</w:t>
      </w:r>
      <w:r w:rsidR="00B70ECD" w:rsidRPr="0005699E">
        <w:t xml:space="preserve">isté </w:t>
      </w:r>
      <w:r w:rsidR="00613EF0" w:rsidRPr="0005699E">
        <w:t>vý</w:t>
      </w:r>
      <w:r w:rsidR="00B70ECD" w:rsidRPr="0005699E">
        <w:t xml:space="preserve">půjčky </w:t>
      </w:r>
      <w:r w:rsidR="00C87B18" w:rsidRPr="0005699E">
        <w:t xml:space="preserve">činily </w:t>
      </w:r>
      <w:r w:rsidR="00E71ED8">
        <w:t>93,7</w:t>
      </w:r>
      <w:r w:rsidR="008C00A5" w:rsidRPr="0005699E">
        <w:t> mld.</w:t>
      </w:r>
      <w:r w:rsidR="00FD6D15" w:rsidRPr="0005699E">
        <w:t xml:space="preserve"> korun (meziročně </w:t>
      </w:r>
      <w:r w:rsidR="008C00A5" w:rsidRPr="0005699E">
        <w:t>o </w:t>
      </w:r>
      <w:r w:rsidR="00E71ED8">
        <w:t>54,7</w:t>
      </w:r>
      <w:r w:rsidR="00CD547F" w:rsidRPr="0005699E">
        <w:t> </w:t>
      </w:r>
      <w:r w:rsidR="00FD6D15" w:rsidRPr="0005699E">
        <w:t xml:space="preserve">mld. </w:t>
      </w:r>
      <w:r w:rsidR="00613EF0" w:rsidRPr="0005699E">
        <w:t>horší</w:t>
      </w:r>
      <w:r w:rsidR="00FD6D15" w:rsidRPr="0005699E">
        <w:t xml:space="preserve"> výsledek).</w:t>
      </w:r>
      <w:r w:rsidR="00E71ED8">
        <w:t xml:space="preserve"> Za celý rok čisté výpůjčky dosáhly úrovně 333,0 mld. korun a došlo tak ke zhoršení čisté pozice vůči zahraničí o 277,5 mld.</w:t>
      </w:r>
    </w:p>
    <w:p w14:paraId="6D42393D" w14:textId="77777777" w:rsidR="00834CC5" w:rsidRDefault="00834CC5">
      <w:pPr>
        <w:spacing w:line="240" w:lineRule="auto"/>
        <w:jc w:val="left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br w:type="page"/>
      </w:r>
    </w:p>
    <w:p w14:paraId="449668E5" w14:textId="4B671DCE" w:rsidR="00A54D7B" w:rsidRDefault="00BD57B8" w:rsidP="00B76199">
      <w:pPr>
        <w:jc w:val="left"/>
        <w:rPr>
          <w:rFonts w:ascii="Calibri" w:hAnsi="Calibri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lastRenderedPageBreak/>
        <w:t xml:space="preserve">Tabulka 1: </w:t>
      </w:r>
      <w:r w:rsidRPr="00BD57B8">
        <w:rPr>
          <w:rFonts w:eastAsia="Times New Roman" w:cs="Arial"/>
          <w:b/>
          <w:bCs/>
          <w:color w:val="000000"/>
          <w:szCs w:val="20"/>
          <w:lang w:eastAsia="cs-CZ"/>
        </w:rPr>
        <w:t>Vybrané hl</w:t>
      </w:r>
      <w:r>
        <w:rPr>
          <w:rFonts w:eastAsia="Times New Roman" w:cs="Arial"/>
          <w:b/>
          <w:bCs/>
          <w:color w:val="000000"/>
          <w:szCs w:val="20"/>
          <w:lang w:eastAsia="cs-CZ"/>
        </w:rPr>
        <w:t>avní ukazatele vývoje ekonomiky</w:t>
      </w:r>
    </w:p>
    <w:p w14:paraId="6DA8EC84" w14:textId="287C80D4" w:rsidR="00834CC5" w:rsidRDefault="00834CC5" w:rsidP="00834CC5">
      <w:pPr>
        <w:jc w:val="center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34CC5">
        <w:rPr>
          <w:noProof/>
        </w:rPr>
        <w:drawing>
          <wp:inline distT="0" distB="0" distL="0" distR="0" wp14:anchorId="57EB96E0" wp14:editId="0407E58C">
            <wp:extent cx="5229225" cy="5095875"/>
            <wp:effectExtent l="0" t="0" r="9525" b="9525"/>
            <wp:docPr id="27121209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6E5B" w14:textId="77777777" w:rsidR="00834CC5" w:rsidRDefault="00834CC5" w:rsidP="00C43DB8">
      <w:pPr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44449D7" w14:textId="77777777" w:rsidR="007E0FB5" w:rsidRDefault="00E976D2" w:rsidP="007E0FB5">
      <w:pPr>
        <w:jc w:val="center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C43DB8">
        <w:rPr>
          <w:noProof/>
          <w:lang w:eastAsia="cs-CZ"/>
        </w:rPr>
        <w:t xml:space="preserve"> </w:t>
      </w:r>
    </w:p>
    <w:p w14:paraId="3AD17A19" w14:textId="77777777" w:rsidR="007B1333" w:rsidRPr="00BD40CD" w:rsidRDefault="007B1333" w:rsidP="00E42E00">
      <w:pPr>
        <w:rPr>
          <w:b/>
        </w:rPr>
      </w:pPr>
      <w:r w:rsidRPr="00BD40CD">
        <w:rPr>
          <w:b/>
        </w:rPr>
        <w:t>Autor/Kontakt/Zpracoval</w:t>
      </w:r>
      <w:r w:rsidR="004C52C6" w:rsidRPr="00BD40CD">
        <w:rPr>
          <w:b/>
        </w:rPr>
        <w:t>a</w:t>
      </w:r>
    </w:p>
    <w:p w14:paraId="1145E561" w14:textId="77777777" w:rsidR="007B1333" w:rsidRPr="00BD40CD" w:rsidRDefault="00656A12" w:rsidP="00E42E00">
      <w:r w:rsidRPr="00BD40CD">
        <w:t>Karolína Zábojníková</w:t>
      </w:r>
    </w:p>
    <w:p w14:paraId="417D7AFA" w14:textId="77777777" w:rsidR="007B1333" w:rsidRPr="00BD40CD" w:rsidRDefault="00656A12" w:rsidP="00E42E00">
      <w:r w:rsidRPr="00BD40CD">
        <w:t>Odbor Kancelář předsedy</w:t>
      </w:r>
    </w:p>
    <w:p w14:paraId="05E3A044" w14:textId="77777777" w:rsidR="007B1333" w:rsidRPr="00BD40CD" w:rsidRDefault="007B1333" w:rsidP="00E42E00">
      <w:r w:rsidRPr="00BD40CD">
        <w:t>Tel.:</w:t>
      </w:r>
      <w:r w:rsidR="00656A12" w:rsidRPr="00BD40CD">
        <w:t xml:space="preserve"> 542</w:t>
      </w:r>
      <w:r w:rsidR="0038007D" w:rsidRPr="00BD40CD">
        <w:t> </w:t>
      </w:r>
      <w:r w:rsidR="00656A12" w:rsidRPr="00BD40CD">
        <w:t>528</w:t>
      </w:r>
      <w:r w:rsidR="0038007D" w:rsidRPr="00BD40CD">
        <w:t> </w:t>
      </w:r>
      <w:r w:rsidR="00656A12" w:rsidRPr="00BD40CD">
        <w:t>112</w:t>
      </w:r>
    </w:p>
    <w:p w14:paraId="08880335" w14:textId="77777777" w:rsidR="004920AD" w:rsidRPr="00BD40CD" w:rsidRDefault="007B1333" w:rsidP="00E42E00">
      <w:r w:rsidRPr="00BD40CD">
        <w:t>E-mail:</w:t>
      </w:r>
      <w:r w:rsidR="00346D76" w:rsidRPr="00BD40CD">
        <w:t xml:space="preserve"> karolina.zabojnikova@czso.cz</w:t>
      </w:r>
    </w:p>
    <w:sectPr w:rsidR="004920AD" w:rsidRPr="00BD40CD" w:rsidSect="00247E8D">
      <w:headerReference w:type="default" r:id="rId13"/>
      <w:footerReference w:type="default" r:id="rId14"/>
      <w:pgSz w:w="11907" w:h="16839" w:code="9"/>
      <w:pgMar w:top="2948" w:right="1418" w:bottom="1985" w:left="1985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AA33" w14:textId="77777777" w:rsidR="00CC1B27" w:rsidRDefault="00CC1B27" w:rsidP="00BA6370">
      <w:r>
        <w:separator/>
      </w:r>
    </w:p>
  </w:endnote>
  <w:endnote w:type="continuationSeparator" w:id="0">
    <w:p w14:paraId="6241D8F6" w14:textId="77777777" w:rsidR="00CC1B27" w:rsidRDefault="00CC1B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28405"/>
      <w:docPartObj>
        <w:docPartGallery w:val="Page Numbers (Bottom of Page)"/>
        <w:docPartUnique/>
      </w:docPartObj>
    </w:sdtPr>
    <w:sdtEndPr/>
    <w:sdtContent>
      <w:p w14:paraId="3D094395" w14:textId="77777777" w:rsidR="00EB4F8B" w:rsidRDefault="00EB4F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9E1">
          <w:rPr>
            <w:noProof/>
          </w:rPr>
          <w:t>10</w:t>
        </w:r>
        <w:r>
          <w:fldChar w:fldCharType="end"/>
        </w:r>
      </w:p>
    </w:sdtContent>
  </w:sdt>
  <w:p w14:paraId="277276BC" w14:textId="77777777" w:rsidR="00EB4F8B" w:rsidRDefault="00EB4F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BE6B" w14:textId="77777777" w:rsidR="00CC1B27" w:rsidRDefault="00CC1B27" w:rsidP="00BA6370">
      <w:r>
        <w:separator/>
      </w:r>
    </w:p>
  </w:footnote>
  <w:footnote w:type="continuationSeparator" w:id="0">
    <w:p w14:paraId="714B7DD9" w14:textId="77777777" w:rsidR="00CC1B27" w:rsidRDefault="00CC1B27" w:rsidP="00BA6370">
      <w:r>
        <w:continuationSeparator/>
      </w:r>
    </w:p>
  </w:footnote>
  <w:footnote w:id="1">
    <w:p w14:paraId="06F7F045" w14:textId="77777777" w:rsidR="00EB4F8B" w:rsidRPr="00F5750C" w:rsidRDefault="00EB4F8B" w:rsidP="009B4EA8">
      <w:pPr>
        <w:pStyle w:val="Textpoznpodarou"/>
        <w:rPr>
          <w:sz w:val="16"/>
          <w:szCs w:val="16"/>
        </w:rPr>
      </w:pPr>
      <w:r w:rsidRPr="00F5750C">
        <w:rPr>
          <w:rStyle w:val="Znakapoznpodarou"/>
          <w:sz w:val="16"/>
          <w:szCs w:val="16"/>
        </w:rPr>
        <w:footnoteRef/>
      </w:r>
      <w:r w:rsidRPr="00F5750C">
        <w:rPr>
          <w:sz w:val="16"/>
          <w:szCs w:val="16"/>
        </w:rPr>
        <w:t xml:space="preserve"> Není</w:t>
      </w:r>
      <w:r>
        <w:rPr>
          <w:sz w:val="16"/>
          <w:szCs w:val="16"/>
        </w:rPr>
        <w:t>-</w:t>
      </w:r>
      <w:r w:rsidRPr="00F5750C">
        <w:rPr>
          <w:sz w:val="16"/>
          <w:szCs w:val="16"/>
        </w:rPr>
        <w:t>li uvedeno jinak, jsou všechny údaje použité v textu bez sezónního očištění.</w:t>
      </w:r>
    </w:p>
  </w:footnote>
  <w:footnote w:id="2">
    <w:p w14:paraId="70C93751" w14:textId="77777777" w:rsidR="00EB4F8B" w:rsidRPr="0006237B" w:rsidRDefault="00EB4F8B" w:rsidP="009B4EA8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reálného vyjádření převedeno s pomocí </w:t>
      </w:r>
      <w:r w:rsidRPr="0006237B">
        <w:rPr>
          <w:sz w:val="16"/>
          <w:szCs w:val="16"/>
        </w:rPr>
        <w:t>celkov</w:t>
      </w:r>
      <w:r>
        <w:rPr>
          <w:sz w:val="16"/>
          <w:szCs w:val="16"/>
        </w:rPr>
        <w:t>ého</w:t>
      </w:r>
      <w:r w:rsidRPr="0006237B">
        <w:rPr>
          <w:sz w:val="16"/>
          <w:szCs w:val="16"/>
        </w:rPr>
        <w:t xml:space="preserve"> deflátor</w:t>
      </w:r>
      <w:r>
        <w:rPr>
          <w:sz w:val="16"/>
          <w:szCs w:val="16"/>
        </w:rPr>
        <w:t>u</w:t>
      </w:r>
      <w:r w:rsidRPr="0006237B">
        <w:rPr>
          <w:sz w:val="16"/>
          <w:szCs w:val="16"/>
        </w:rPr>
        <w:t xml:space="preserve"> HPH.</w:t>
      </w:r>
      <w:r>
        <w:rPr>
          <w:sz w:val="16"/>
          <w:szCs w:val="16"/>
        </w:rPr>
        <w:t xml:space="preserve"> Ve 4. čtvrtletí 2022 dosahoval meziroční deflátor HPH 11,5 %, mezičtvrtletně cenová hladina klesla o 0,3 %. Za celý rok 2022 deflátor dosáhl 7,5 %.</w:t>
      </w:r>
    </w:p>
  </w:footnote>
  <w:footnote w:id="3">
    <w:p w14:paraId="725C1DBA" w14:textId="77777777" w:rsidR="00EB4F8B" w:rsidRPr="0006237B" w:rsidRDefault="00EB4F8B" w:rsidP="0076719B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Pr="0006237B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hrubé přidané hodnotě (B.</w:t>
      </w:r>
      <w:proofErr w:type="gramStart"/>
      <w:r w:rsidRPr="0006237B">
        <w:rPr>
          <w:rFonts w:eastAsiaTheme="minorHAnsi" w:cs="Arial"/>
          <w:iCs/>
          <w:sz w:val="16"/>
          <w:szCs w:val="16"/>
          <w:lang w:eastAsia="en-US"/>
        </w:rPr>
        <w:t>2g</w:t>
      </w:r>
      <w:proofErr w:type="gramEnd"/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4">
    <w:p w14:paraId="52ED59C9" w14:textId="77777777" w:rsidR="00EB4F8B" w:rsidRPr="00984434" w:rsidRDefault="00EB4F8B" w:rsidP="00E0186F">
      <w:pPr>
        <w:pStyle w:val="Textpoznpodarou"/>
        <w:rPr>
          <w:sz w:val="16"/>
          <w:szCs w:val="16"/>
        </w:rPr>
      </w:pPr>
      <w:r w:rsidRPr="00984434">
        <w:rPr>
          <w:rStyle w:val="Znakapoznpodarou"/>
          <w:sz w:val="16"/>
          <w:szCs w:val="16"/>
        </w:rPr>
        <w:footnoteRef/>
      </w:r>
      <w:r w:rsidRPr="00984434">
        <w:rPr>
          <w:sz w:val="16"/>
          <w:szCs w:val="16"/>
        </w:rPr>
        <w:t xml:space="preserve"> Míra úspor nefinančních podniků je definována jako podíl hrubých úspor na hrubé přidané hodnotě </w:t>
      </w:r>
      <w:r w:rsidRPr="00984434">
        <w:rPr>
          <w:rFonts w:eastAsiaTheme="minorHAnsi" w:cs="Arial"/>
          <w:iCs/>
          <w:sz w:val="16"/>
          <w:szCs w:val="16"/>
          <w:lang w:eastAsia="en-US"/>
        </w:rPr>
        <w:t>(B.</w:t>
      </w:r>
      <w:proofErr w:type="gramStart"/>
      <w:r w:rsidRPr="00984434">
        <w:rPr>
          <w:rFonts w:eastAsiaTheme="minorHAnsi" w:cs="Arial"/>
          <w:iCs/>
          <w:sz w:val="16"/>
          <w:szCs w:val="16"/>
          <w:lang w:eastAsia="en-US"/>
        </w:rPr>
        <w:t>8g</w:t>
      </w:r>
      <w:proofErr w:type="gramEnd"/>
      <w:r w:rsidRPr="00984434">
        <w:rPr>
          <w:rFonts w:eastAsiaTheme="minorHAnsi" w:cs="Arial"/>
          <w:iCs/>
          <w:sz w:val="16"/>
          <w:szCs w:val="16"/>
          <w:lang w:eastAsia="en-US"/>
        </w:rPr>
        <w:t> / B.1g).</w:t>
      </w:r>
    </w:p>
  </w:footnote>
  <w:footnote w:id="5">
    <w:p w14:paraId="769A5F8A" w14:textId="77777777" w:rsidR="00CB0423" w:rsidRPr="00230086" w:rsidRDefault="00CB0423" w:rsidP="00CB0423">
      <w:pPr>
        <w:pStyle w:val="Textpoznpodarou"/>
        <w:rPr>
          <w:sz w:val="16"/>
          <w:szCs w:val="16"/>
        </w:rPr>
      </w:pPr>
      <w:r w:rsidRPr="00230086">
        <w:rPr>
          <w:rStyle w:val="Znakapoznpodarou"/>
          <w:sz w:val="16"/>
          <w:szCs w:val="16"/>
        </w:rPr>
        <w:footnoteRef/>
      </w:r>
      <w:r w:rsidRPr="002300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 zvýšené hodnotě ostatních transferů se projevil </w:t>
      </w:r>
      <w:r w:rsidRPr="00230086">
        <w:rPr>
          <w:sz w:val="16"/>
          <w:szCs w:val="16"/>
        </w:rPr>
        <w:t>transfer České poště za poskytování služeb</w:t>
      </w:r>
      <w:r>
        <w:rPr>
          <w:sz w:val="16"/>
          <w:szCs w:val="16"/>
        </w:rPr>
        <w:t>, ke kterému došlo ve 3. čtvrtletí</w:t>
      </w:r>
      <w:r w:rsidRPr="00230086">
        <w:rPr>
          <w:sz w:val="16"/>
          <w:szCs w:val="16"/>
        </w:rPr>
        <w:t>.</w:t>
      </w:r>
    </w:p>
  </w:footnote>
  <w:footnote w:id="6">
    <w:p w14:paraId="1B502413" w14:textId="77777777" w:rsidR="00EB4F8B" w:rsidRPr="00446302" w:rsidRDefault="00EB4F8B" w:rsidP="002C6B5F">
      <w:pPr>
        <w:pStyle w:val="Textpoznpodarou"/>
        <w:rPr>
          <w:sz w:val="16"/>
          <w:szCs w:val="16"/>
        </w:rPr>
      </w:pPr>
      <w:r w:rsidRPr="00446302">
        <w:rPr>
          <w:rStyle w:val="Znakapoznpodarou"/>
          <w:sz w:val="16"/>
          <w:szCs w:val="16"/>
        </w:rPr>
        <w:footnoteRef/>
      </w:r>
      <w:r w:rsidRPr="00446302">
        <w:rPr>
          <w:sz w:val="16"/>
          <w:szCs w:val="16"/>
        </w:rPr>
        <w:t xml:space="preserve"> Podle deflátoru </w:t>
      </w:r>
      <w:r>
        <w:rPr>
          <w:sz w:val="16"/>
          <w:szCs w:val="16"/>
        </w:rPr>
        <w:t xml:space="preserve">HDP </w:t>
      </w:r>
      <w:r w:rsidRPr="00446302">
        <w:rPr>
          <w:sz w:val="16"/>
          <w:szCs w:val="16"/>
        </w:rPr>
        <w:t>se ceny hrubého fixního kapitálu zvýšily</w:t>
      </w:r>
      <w:r w:rsidR="00CB0423">
        <w:rPr>
          <w:sz w:val="16"/>
          <w:szCs w:val="16"/>
        </w:rPr>
        <w:t xml:space="preserve"> ve 4. čtvrtletí</w:t>
      </w:r>
      <w:r w:rsidRPr="00446302">
        <w:rPr>
          <w:sz w:val="16"/>
          <w:szCs w:val="16"/>
        </w:rPr>
        <w:t xml:space="preserve"> meziročně o </w:t>
      </w:r>
      <w:r w:rsidR="00CB0423">
        <w:rPr>
          <w:sz w:val="16"/>
          <w:szCs w:val="16"/>
        </w:rPr>
        <w:t xml:space="preserve">10,2 </w:t>
      </w:r>
      <w:r w:rsidRPr="00446302">
        <w:rPr>
          <w:sz w:val="16"/>
          <w:szCs w:val="16"/>
        </w:rPr>
        <w:t>% a mezičtvrtletně</w:t>
      </w:r>
      <w:r>
        <w:rPr>
          <w:sz w:val="16"/>
          <w:szCs w:val="16"/>
        </w:rPr>
        <w:t xml:space="preserve"> klesly o 0,7</w:t>
      </w:r>
      <w:r w:rsidRPr="00446302">
        <w:rPr>
          <w:sz w:val="16"/>
          <w:szCs w:val="16"/>
        </w:rPr>
        <w:t xml:space="preserve"> %.</w:t>
      </w:r>
      <w:r w:rsidR="00CB0423">
        <w:rPr>
          <w:sz w:val="16"/>
          <w:szCs w:val="16"/>
        </w:rPr>
        <w:t xml:space="preserve"> Za celý rok 2022 byly vyšší o 8,9 %</w:t>
      </w:r>
    </w:p>
  </w:footnote>
  <w:footnote w:id="7">
    <w:p w14:paraId="6C84B8F4" w14:textId="77777777" w:rsidR="00EB4F8B" w:rsidRPr="00AB3D8D" w:rsidRDefault="00EB4F8B" w:rsidP="00820139">
      <w:pPr>
        <w:pStyle w:val="Textpoznpodarou"/>
        <w:rPr>
          <w:sz w:val="16"/>
          <w:szCs w:val="16"/>
        </w:rPr>
      </w:pPr>
      <w:r w:rsidRPr="00AB3D8D">
        <w:rPr>
          <w:rStyle w:val="Znakapoznpodarou"/>
          <w:sz w:val="16"/>
          <w:szCs w:val="16"/>
        </w:rPr>
        <w:footnoteRef/>
      </w:r>
      <w:r w:rsidRPr="00AB3D8D">
        <w:rPr>
          <w:sz w:val="16"/>
          <w:szCs w:val="16"/>
        </w:rPr>
        <w:t xml:space="preserve"> </w:t>
      </w:r>
      <w:r w:rsidRPr="00AB3D8D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hrubé přidané hodnotě (P.</w:t>
      </w:r>
      <w:proofErr w:type="gramStart"/>
      <w:r w:rsidRPr="00AB3D8D">
        <w:rPr>
          <w:rFonts w:eastAsiaTheme="minorHAnsi" w:cs="Arial"/>
          <w:iCs/>
          <w:sz w:val="16"/>
          <w:szCs w:val="16"/>
          <w:lang w:eastAsia="en-US"/>
        </w:rPr>
        <w:t>51g</w:t>
      </w:r>
      <w:proofErr w:type="gramEnd"/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8">
    <w:p w14:paraId="3AB8507E" w14:textId="77777777" w:rsidR="00A26507" w:rsidRPr="006A766A" w:rsidRDefault="00A26507" w:rsidP="00A26507">
      <w:pPr>
        <w:pStyle w:val="Textpoznpodarou"/>
        <w:rPr>
          <w:sz w:val="16"/>
          <w:szCs w:val="16"/>
        </w:rPr>
      </w:pPr>
      <w:r w:rsidRPr="006A766A">
        <w:rPr>
          <w:rStyle w:val="Znakapoznpodarou"/>
          <w:sz w:val="16"/>
          <w:szCs w:val="16"/>
        </w:rPr>
        <w:footnoteRef/>
      </w:r>
      <w:r w:rsidRPr="006A766A">
        <w:rPr>
          <w:sz w:val="16"/>
          <w:szCs w:val="16"/>
        </w:rPr>
        <w:t xml:space="preserve"> </w:t>
      </w:r>
      <w:r>
        <w:rPr>
          <w:sz w:val="16"/>
          <w:szCs w:val="16"/>
        </w:rPr>
        <w:t>Podrobnější informace o dopadech energetické krize a konfliktu na Ukrajině na hospodaření sektoru vládních institucí jsou obsaženy v</w:t>
      </w:r>
      <w:r w:rsidR="002F3F54">
        <w:rPr>
          <w:sz w:val="16"/>
          <w:szCs w:val="16"/>
        </w:rPr>
        <w:t> metodické poznámce</w:t>
      </w:r>
      <w:r>
        <w:rPr>
          <w:sz w:val="16"/>
          <w:szCs w:val="16"/>
        </w:rPr>
        <w:t xml:space="preserve">: </w:t>
      </w:r>
      <w:hyperlink r:id="rId1" w:history="1">
        <w:r w:rsidRPr="00583E21">
          <w:rPr>
            <w:rStyle w:val="Hypertextovodkaz"/>
            <w:sz w:val="16"/>
            <w:szCs w:val="16"/>
          </w:rPr>
          <w:t>https://www.czso.cz/documents/11350/190464167/cndv040323_komentar.pdf</w:t>
        </w:r>
      </w:hyperlink>
    </w:p>
  </w:footnote>
  <w:footnote w:id="9">
    <w:p w14:paraId="4BF4C252" w14:textId="77777777" w:rsidR="00AF7C8B" w:rsidRPr="00606826" w:rsidRDefault="00AF7C8B" w:rsidP="00AF7C8B">
      <w:pPr>
        <w:pStyle w:val="Textpoznpodarou"/>
        <w:rPr>
          <w:sz w:val="16"/>
          <w:szCs w:val="16"/>
        </w:rPr>
      </w:pPr>
      <w:r w:rsidRPr="00606826">
        <w:rPr>
          <w:rStyle w:val="Znakapoznpodarou"/>
          <w:sz w:val="16"/>
          <w:szCs w:val="16"/>
        </w:rPr>
        <w:footnoteRef/>
      </w:r>
      <w:r w:rsidRPr="00606826">
        <w:rPr>
          <w:sz w:val="16"/>
          <w:szCs w:val="16"/>
        </w:rPr>
        <w:t xml:space="preserve"> </w:t>
      </w:r>
      <w:r>
        <w:rPr>
          <w:sz w:val="16"/>
          <w:szCs w:val="16"/>
        </w:rPr>
        <w:t>Výrazný nárůst ovlivnila výplata k</w:t>
      </w:r>
      <w:r w:rsidRPr="00606826">
        <w:rPr>
          <w:sz w:val="16"/>
          <w:szCs w:val="16"/>
        </w:rPr>
        <w:t>ompenzac</w:t>
      </w:r>
      <w:r>
        <w:rPr>
          <w:sz w:val="16"/>
          <w:szCs w:val="16"/>
        </w:rPr>
        <w:t>í</w:t>
      </w:r>
      <w:r w:rsidRPr="00606826">
        <w:rPr>
          <w:sz w:val="16"/>
          <w:szCs w:val="16"/>
        </w:rPr>
        <w:t xml:space="preserve"> domácnostem v rámci energetického tarifu</w:t>
      </w:r>
      <w:r>
        <w:rPr>
          <w:sz w:val="16"/>
          <w:szCs w:val="16"/>
        </w:rPr>
        <w:t xml:space="preserve"> ve 3. čtvrtletí</w:t>
      </w:r>
      <w:r w:rsidRPr="00606826">
        <w:rPr>
          <w:sz w:val="16"/>
          <w:szCs w:val="16"/>
        </w:rPr>
        <w:t>.</w:t>
      </w:r>
    </w:p>
  </w:footnote>
  <w:footnote w:id="10">
    <w:p w14:paraId="07CFA7BF" w14:textId="77777777" w:rsidR="00962C91" w:rsidRPr="00337C71" w:rsidRDefault="00962C91" w:rsidP="00962C91">
      <w:pPr>
        <w:autoSpaceDE w:val="0"/>
        <w:autoSpaceDN w:val="0"/>
        <w:adjustRightInd w:val="0"/>
        <w:spacing w:line="240" w:lineRule="auto"/>
        <w:jc w:val="left"/>
        <w:rPr>
          <w:rStyle w:val="Znakapoznpodarou"/>
          <w:sz w:val="16"/>
          <w:szCs w:val="16"/>
          <w:vertAlign w:val="baseline"/>
          <w:lang w:eastAsia="cs-CZ"/>
        </w:rPr>
      </w:pPr>
      <w:r w:rsidRPr="00EC1A9F">
        <w:rPr>
          <w:rStyle w:val="Znakapoznpodarou"/>
          <w:sz w:val="16"/>
          <w:szCs w:val="16"/>
        </w:rPr>
        <w:footnoteRef/>
      </w:r>
      <w:r w:rsidRPr="00EC1A9F">
        <w:rPr>
          <w:sz w:val="16"/>
          <w:szCs w:val="16"/>
        </w:rPr>
        <w:t xml:space="preserve"> Dluh v sektorových účtech se liší (číselně i</w:t>
      </w:r>
      <w:r>
        <w:rPr>
          <w:sz w:val="16"/>
          <w:szCs w:val="16"/>
        </w:rPr>
        <w:t> </w:t>
      </w:r>
      <w:r w:rsidRPr="00EC1A9F">
        <w:rPr>
          <w:sz w:val="16"/>
          <w:szCs w:val="16"/>
        </w:rPr>
        <w:t>metodicky) od Maastrichtského dluhu pro potřeby EDP statistiky.</w:t>
      </w:r>
      <w:r>
        <w:rPr>
          <w:sz w:val="16"/>
          <w:szCs w:val="16"/>
        </w:rPr>
        <w:t xml:space="preserve"> Liší se zejména zahrnuté závazky i způsob jejich ohodnocení. </w:t>
      </w:r>
      <w:r w:rsidRPr="00EB3C89">
        <w:rPr>
          <w:rFonts w:cs="Arial"/>
          <w:sz w:val="16"/>
          <w:szCs w:val="16"/>
          <w:lang w:eastAsia="cs-CZ"/>
        </w:rPr>
        <w:t>Celkové závazky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sektorových účtech zahrnují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navíc měnové zlato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zvláštní práva čerpání, účasti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podíly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investičních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fondech, pojistné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penzijní programy, finanční deriváty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zaměstnanecké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opce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ostatní závazky. Všechny závazky jsou oceněny tržní hodnotou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bez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vlivu souvisejících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derivátových obchodů.</w:t>
      </w:r>
      <w:r>
        <w:rPr>
          <w:rFonts w:cs="Arial"/>
          <w:sz w:val="16"/>
          <w:szCs w:val="16"/>
          <w:lang w:eastAsia="cs-CZ"/>
        </w:rPr>
        <w:t xml:space="preserve"> Zdroj: Rybáček, V., Musil, P. (2020). </w:t>
      </w:r>
      <w:r w:rsidRPr="00EB3C89">
        <w:rPr>
          <w:rFonts w:cs="Arial"/>
          <w:sz w:val="16"/>
          <w:szCs w:val="16"/>
          <w:lang w:eastAsia="cs-CZ"/>
        </w:rPr>
        <w:t>Vztah mezi saldem hospodaření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dluhem vládních institucí.</w:t>
      </w:r>
      <w:r w:rsidRPr="00EB3C89">
        <w:rPr>
          <w:sz w:val="16"/>
          <w:szCs w:val="16"/>
        </w:rPr>
        <w:t xml:space="preserve"> </w:t>
      </w:r>
      <w:r w:rsidRPr="00EB3C89">
        <w:rPr>
          <w:i/>
          <w:iCs/>
          <w:sz w:val="16"/>
          <w:szCs w:val="16"/>
        </w:rPr>
        <w:t>Politická ekonomie</w:t>
      </w:r>
      <w:r w:rsidRPr="00EB3C89">
        <w:rPr>
          <w:sz w:val="16"/>
          <w:szCs w:val="16"/>
        </w:rPr>
        <w:t>, 68(4), 462</w:t>
      </w:r>
      <w:r>
        <w:rPr>
          <w:sz w:val="16"/>
          <w:szCs w:val="16"/>
        </w:rPr>
        <w:t>–</w:t>
      </w:r>
      <w:r w:rsidRPr="00EB3C89">
        <w:rPr>
          <w:sz w:val="16"/>
          <w:szCs w:val="16"/>
        </w:rPr>
        <w:t>482, https://doi.org/10.18267/j.polek.1290</w:t>
      </w:r>
      <w:r>
        <w:rPr>
          <w:sz w:val="16"/>
          <w:szCs w:val="16"/>
        </w:rPr>
        <w:t>.</w:t>
      </w:r>
    </w:p>
  </w:footnote>
  <w:footnote w:id="11">
    <w:p w14:paraId="446309B4" w14:textId="77777777" w:rsidR="00DB15C4" w:rsidRPr="009E0C2A" w:rsidRDefault="00DB15C4" w:rsidP="00DB15C4">
      <w:pPr>
        <w:pStyle w:val="Textpoznpodarou"/>
        <w:rPr>
          <w:sz w:val="16"/>
          <w:szCs w:val="16"/>
        </w:rPr>
      </w:pPr>
      <w:r w:rsidRPr="009E0C2A">
        <w:rPr>
          <w:rStyle w:val="Znakapoznpodarou"/>
          <w:sz w:val="16"/>
          <w:szCs w:val="16"/>
        </w:rPr>
        <w:footnoteRef/>
      </w:r>
      <w:r w:rsidRPr="009E0C2A">
        <w:rPr>
          <w:sz w:val="16"/>
          <w:szCs w:val="16"/>
        </w:rPr>
        <w:t xml:space="preserve"> </w:t>
      </w:r>
      <w:r>
        <w:rPr>
          <w:sz w:val="16"/>
          <w:szCs w:val="16"/>
        </w:rPr>
        <w:t>Pro očištění o vliv cen byl použit</w:t>
      </w:r>
      <w:r w:rsidRPr="009E0C2A">
        <w:rPr>
          <w:sz w:val="16"/>
          <w:szCs w:val="16"/>
        </w:rPr>
        <w:t xml:space="preserve"> deflátor výdajů na konečnou spotřebu domácností.</w:t>
      </w:r>
      <w:r>
        <w:rPr>
          <w:sz w:val="16"/>
          <w:szCs w:val="16"/>
        </w:rPr>
        <w:t xml:space="preserve"> Ve 4. čtvrtletí 2022 činil meziroční cenový nárůst 18,0 %</w:t>
      </w:r>
      <w:r w:rsidR="005D42E5">
        <w:rPr>
          <w:sz w:val="16"/>
          <w:szCs w:val="16"/>
        </w:rPr>
        <w:t xml:space="preserve"> a m</w:t>
      </w:r>
      <w:r>
        <w:rPr>
          <w:sz w:val="16"/>
          <w:szCs w:val="16"/>
        </w:rPr>
        <w:t xml:space="preserve">ezičtvrtletně </w:t>
      </w:r>
      <w:r w:rsidR="005D42E5">
        <w:rPr>
          <w:sz w:val="16"/>
          <w:szCs w:val="16"/>
        </w:rPr>
        <w:t>došlo k poklesu</w:t>
      </w:r>
      <w:r>
        <w:rPr>
          <w:sz w:val="16"/>
          <w:szCs w:val="16"/>
        </w:rPr>
        <w:t xml:space="preserve"> o 1,1 %. Za celý rok 2022 dosáhl nárůst cen 16,3 %.</w:t>
      </w:r>
    </w:p>
  </w:footnote>
  <w:footnote w:id="12">
    <w:p w14:paraId="26780487" w14:textId="77777777" w:rsidR="00EB4F8B" w:rsidRPr="00EB5544" w:rsidRDefault="00EB4F8B" w:rsidP="003D22F2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sektor</w:t>
      </w:r>
      <w:r>
        <w:rPr>
          <w:sz w:val="16"/>
          <w:szCs w:val="16"/>
        </w:rPr>
        <w:t>u</w:t>
      </w:r>
      <w:r w:rsidRPr="00EB5544">
        <w:rPr>
          <w:sz w:val="16"/>
          <w:szCs w:val="16"/>
        </w:rPr>
        <w:t xml:space="preserve"> domácností</w:t>
      </w:r>
      <w:r>
        <w:rPr>
          <w:sz w:val="16"/>
          <w:szCs w:val="16"/>
        </w:rPr>
        <w:t>.</w:t>
      </w:r>
    </w:p>
  </w:footnote>
  <w:footnote w:id="13">
    <w:p w14:paraId="6552631E" w14:textId="77777777" w:rsidR="00EB4F8B" w:rsidRPr="00EB5544" w:rsidRDefault="00EB4F8B" w:rsidP="00F12768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14">
    <w:p w14:paraId="24B158F5" w14:textId="77777777" w:rsidR="00EB4F8B" w:rsidRPr="00707951" w:rsidRDefault="00EB4F8B" w:rsidP="00B24A8E">
      <w:pPr>
        <w:pStyle w:val="Textpoznpodarou"/>
        <w:rPr>
          <w:sz w:val="16"/>
          <w:szCs w:val="16"/>
        </w:rPr>
      </w:pPr>
      <w:r w:rsidRPr="00707951">
        <w:rPr>
          <w:rStyle w:val="Znakapoznpodarou"/>
          <w:sz w:val="16"/>
          <w:szCs w:val="16"/>
        </w:rPr>
        <w:footnoteRef/>
      </w:r>
      <w:r w:rsidRPr="00707951">
        <w:rPr>
          <w:sz w:val="16"/>
          <w:szCs w:val="16"/>
        </w:rPr>
        <w:t xml:space="preserve"> V </w:t>
      </w:r>
      <w:r>
        <w:rPr>
          <w:sz w:val="16"/>
          <w:szCs w:val="16"/>
        </w:rPr>
        <w:t xml:space="preserve">roce 2019 to bylo </w:t>
      </w:r>
      <w:r w:rsidR="007E2A6B">
        <w:rPr>
          <w:sz w:val="16"/>
          <w:szCs w:val="16"/>
        </w:rPr>
        <w:t>89,0</w:t>
      </w:r>
      <w:r>
        <w:rPr>
          <w:sz w:val="16"/>
          <w:szCs w:val="16"/>
        </w:rPr>
        <w:t xml:space="preserve"> mld. korun, rok předtím </w:t>
      </w:r>
      <w:r w:rsidR="007E2A6B">
        <w:rPr>
          <w:sz w:val="16"/>
          <w:szCs w:val="16"/>
        </w:rPr>
        <w:t>81,4</w:t>
      </w:r>
      <w:r>
        <w:rPr>
          <w:sz w:val="16"/>
          <w:szCs w:val="16"/>
        </w:rPr>
        <w:t xml:space="preserve"> mld.</w:t>
      </w:r>
    </w:p>
  </w:footnote>
  <w:footnote w:id="15">
    <w:p w14:paraId="379121D3" w14:textId="411B9026" w:rsidR="00797632" w:rsidRPr="00797632" w:rsidRDefault="00797632">
      <w:pPr>
        <w:pStyle w:val="Textpoznpodarou"/>
        <w:rPr>
          <w:sz w:val="16"/>
          <w:szCs w:val="16"/>
        </w:rPr>
      </w:pPr>
      <w:r w:rsidRPr="00797632">
        <w:rPr>
          <w:rStyle w:val="Znakapoznpodarou"/>
          <w:sz w:val="16"/>
          <w:szCs w:val="16"/>
        </w:rPr>
        <w:footnoteRef/>
      </w:r>
      <w:r w:rsidRPr="00797632">
        <w:rPr>
          <w:sz w:val="16"/>
          <w:szCs w:val="16"/>
        </w:rPr>
        <w:t xml:space="preserve"> </w:t>
      </w:r>
      <w:r w:rsidRPr="00797632">
        <w:rPr>
          <w:rFonts w:cs="Arial"/>
          <w:iCs/>
          <w:sz w:val="16"/>
          <w:szCs w:val="16"/>
        </w:rPr>
        <w:t>Hrubé úspory představují část hrubého disponibilního důchodu, která nebyla spotřebována ve formě výdajů na konečnou spotřebu.</w:t>
      </w:r>
    </w:p>
  </w:footnote>
  <w:footnote w:id="16">
    <w:p w14:paraId="42AE676D" w14:textId="7544947D" w:rsidR="00EB4F8B" w:rsidRPr="00E9501D" w:rsidRDefault="00EB4F8B" w:rsidP="00E26E5D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E9501D">
        <w:rPr>
          <w:rStyle w:val="Znakapoznpodarou"/>
          <w:sz w:val="16"/>
          <w:szCs w:val="16"/>
        </w:rPr>
        <w:footnoteRef/>
      </w:r>
      <w:r w:rsidRPr="00E9501D">
        <w:rPr>
          <w:sz w:val="16"/>
          <w:szCs w:val="16"/>
        </w:rPr>
        <w:t xml:space="preserve"> </w:t>
      </w:r>
      <w:r w:rsidRPr="00E9501D">
        <w:rPr>
          <w:rFonts w:cs="Arial"/>
          <w:bCs/>
          <w:iCs/>
          <w:sz w:val="16"/>
          <w:szCs w:val="16"/>
        </w:rPr>
        <w:t xml:space="preserve">Míra úspor domácností </w:t>
      </w:r>
      <w:r w:rsidRPr="00E9501D">
        <w:rPr>
          <w:rFonts w:cs="Arial"/>
          <w:iCs/>
          <w:sz w:val="16"/>
          <w:szCs w:val="16"/>
        </w:rPr>
        <w:t>je definována jako podíl hrubých úspor a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hrubého disponibilního důchodu se zahrnutím úpravy o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čistý podíl domácností na rezervách penzijních fondů (B.</w:t>
      </w:r>
      <w:proofErr w:type="gramStart"/>
      <w:r w:rsidRPr="00E9501D">
        <w:rPr>
          <w:rFonts w:cs="Arial"/>
          <w:iCs/>
          <w:sz w:val="16"/>
          <w:szCs w:val="16"/>
        </w:rPr>
        <w:t>8g</w:t>
      </w:r>
      <w:proofErr w:type="gramEnd"/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(B.6g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+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 xml:space="preserve">D.8)). </w:t>
      </w:r>
    </w:p>
  </w:footnote>
  <w:footnote w:id="17">
    <w:p w14:paraId="37C291D2" w14:textId="77777777" w:rsidR="00502031" w:rsidRPr="00D20875" w:rsidRDefault="00502031" w:rsidP="00502031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cs="Arial"/>
          <w:bCs/>
          <w:iCs/>
          <w:sz w:val="16"/>
          <w:szCs w:val="16"/>
        </w:rPr>
        <w:t xml:space="preserve">Míra investic domácností </w:t>
      </w:r>
      <w:r w:rsidRPr="00D20875">
        <w:rPr>
          <w:rFonts w:cs="Arial"/>
          <w:iCs/>
          <w:sz w:val="16"/>
          <w:szCs w:val="16"/>
        </w:rPr>
        <w:t>je definována jako podíl hrubé tvorby fixního kapitálu k hrubému disponibilnímu důchodu se zahrnutím úpravy o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čistý podíl domácností na rezervách penzijních fondů (P.</w:t>
      </w:r>
      <w:proofErr w:type="gramStart"/>
      <w:r w:rsidRPr="00D20875">
        <w:rPr>
          <w:rFonts w:cs="Arial"/>
          <w:iCs/>
          <w:sz w:val="16"/>
          <w:szCs w:val="16"/>
        </w:rPr>
        <w:t>51g</w:t>
      </w:r>
      <w:proofErr w:type="gramEnd"/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(</w:t>
      </w:r>
      <w:r w:rsidRPr="00D20875">
        <w:rPr>
          <w:rFonts w:cs="Arial"/>
          <w:iCs/>
          <w:sz w:val="16"/>
          <w:szCs w:val="16"/>
        </w:rPr>
        <w:t>B.6g</w:t>
      </w:r>
      <w:r>
        <w:rPr>
          <w:rFonts w:cs="Arial"/>
          <w:iCs/>
          <w:sz w:val="16"/>
          <w:szCs w:val="16"/>
        </w:rPr>
        <w:t> + </w:t>
      </w:r>
      <w:r w:rsidRPr="00D20875">
        <w:rPr>
          <w:rFonts w:cs="Arial"/>
          <w:iCs/>
          <w:sz w:val="16"/>
          <w:szCs w:val="16"/>
        </w:rPr>
        <w:t>D.8</w:t>
      </w:r>
      <w:r>
        <w:rPr>
          <w:rFonts w:cs="Arial"/>
          <w:iCs/>
          <w:sz w:val="16"/>
          <w:szCs w:val="16"/>
        </w:rPr>
        <w:t>)</w:t>
      </w:r>
      <w:r w:rsidRPr="00D20875">
        <w:rPr>
          <w:rFonts w:cs="Arial"/>
          <w:iCs/>
          <w:sz w:val="16"/>
          <w:szCs w:val="16"/>
        </w:rPr>
        <w:t>).</w:t>
      </w:r>
    </w:p>
  </w:footnote>
  <w:footnote w:id="18">
    <w:p w14:paraId="3E60FB3B" w14:textId="77777777" w:rsidR="003F5414" w:rsidRPr="00B342F4" w:rsidRDefault="003F5414" w:rsidP="003F5414">
      <w:pPr>
        <w:pStyle w:val="Textpoznpodarou"/>
        <w:rPr>
          <w:rFonts w:cs="Arial"/>
          <w:sz w:val="16"/>
          <w:szCs w:val="16"/>
        </w:rPr>
      </w:pPr>
      <w:r w:rsidRPr="00273CB1">
        <w:rPr>
          <w:rStyle w:val="Znakapoznpodarou"/>
          <w:sz w:val="16"/>
          <w:szCs w:val="16"/>
        </w:rPr>
        <w:footnoteRef/>
      </w:r>
      <w:r w:rsidRPr="00273CB1">
        <w:rPr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bCs/>
          <w:sz w:val="16"/>
          <w:szCs w:val="16"/>
        </w:rPr>
        <w:t xml:space="preserve">Nerezidenti </w:t>
      </w:r>
      <w:r w:rsidRPr="00273CB1">
        <w:rPr>
          <w:rStyle w:val="odkaz-style-wrapper"/>
          <w:rFonts w:cs="Arial"/>
          <w:sz w:val="16"/>
          <w:szCs w:val="16"/>
        </w:rPr>
        <w:t xml:space="preserve">představují </w:t>
      </w:r>
      <w:r>
        <w:rPr>
          <w:rStyle w:val="odkaz-style-wrapper"/>
          <w:rFonts w:cs="Arial"/>
          <w:sz w:val="16"/>
          <w:szCs w:val="16"/>
        </w:rPr>
        <w:t xml:space="preserve">různorodé </w:t>
      </w:r>
      <w:r w:rsidRPr="00273CB1">
        <w:rPr>
          <w:rStyle w:val="odkaz-style-wrapper"/>
          <w:rFonts w:cs="Arial"/>
          <w:sz w:val="16"/>
          <w:szCs w:val="16"/>
        </w:rPr>
        <w:t>seskupení jednotek</w:t>
      </w:r>
      <w:r>
        <w:rPr>
          <w:rStyle w:val="odkaz-style-wrapper"/>
          <w:rFonts w:cs="Arial"/>
          <w:sz w:val="16"/>
          <w:szCs w:val="16"/>
        </w:rPr>
        <w:t>, jejichž společným znakem je, že nesídlí na ekonomickém území státu, ale mají s daným národním hospodářstvím ekonomické vztahy.</w:t>
      </w:r>
    </w:p>
  </w:footnote>
  <w:footnote w:id="19">
    <w:p w14:paraId="2992ED63" w14:textId="77777777" w:rsidR="00F86F7A" w:rsidRPr="00F86F7A" w:rsidRDefault="00F86F7A">
      <w:pPr>
        <w:pStyle w:val="Textpoznpodarou"/>
        <w:rPr>
          <w:sz w:val="16"/>
          <w:szCs w:val="16"/>
        </w:rPr>
      </w:pPr>
      <w:r w:rsidRPr="00F86F7A">
        <w:rPr>
          <w:rStyle w:val="Znakapoznpodarou"/>
          <w:sz w:val="16"/>
          <w:szCs w:val="16"/>
        </w:rPr>
        <w:footnoteRef/>
      </w:r>
      <w:r w:rsidRPr="00F86F7A">
        <w:rPr>
          <w:sz w:val="16"/>
          <w:szCs w:val="16"/>
        </w:rPr>
        <w:t xml:space="preserve"> Jedná se o součet dividend (D.421) a reinvestovaných zisků z přímých zahraničních investic</w:t>
      </w:r>
      <w:r>
        <w:rPr>
          <w:sz w:val="16"/>
          <w:szCs w:val="16"/>
        </w:rPr>
        <w:t xml:space="preserve"> (D.43)</w:t>
      </w:r>
      <w:r w:rsidRPr="00F86F7A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E062" w14:textId="77777777" w:rsidR="00EB4F8B" w:rsidRDefault="00EB4F8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100DFE" wp14:editId="57F5ACE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69E7D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fEy3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rlyvt8BuutK4/gAKxDIbts6U2bWC/xJU26IZs9oYdWOcz7Xym/d2cabDQ&#10;4pn2/en2Vtyfiy7YEO6Z9qebu6cfj3cPT59rNh52WElhjW0Wawxmg6yxflMa17DBf452o5hvZivC&#10;GbpRi+7tjXJzBQxv3t/Dxfo/L8DRuLn4eNHBj5MlK/AGBhN/BpsOF+8uxk4dgRkIe8EMtNmNDi6w&#10;M4PtdnVcOKdnoM3h4OCCqZH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39"/>
    <w:rsid w:val="0000044B"/>
    <w:rsid w:val="00001C9A"/>
    <w:rsid w:val="0000208F"/>
    <w:rsid w:val="00002857"/>
    <w:rsid w:val="00002DDA"/>
    <w:rsid w:val="0000403F"/>
    <w:rsid w:val="00006A93"/>
    <w:rsid w:val="000070E8"/>
    <w:rsid w:val="00011945"/>
    <w:rsid w:val="00012BC2"/>
    <w:rsid w:val="00013757"/>
    <w:rsid w:val="00014904"/>
    <w:rsid w:val="000151DF"/>
    <w:rsid w:val="0001683E"/>
    <w:rsid w:val="00016AA5"/>
    <w:rsid w:val="00016F9F"/>
    <w:rsid w:val="000171C5"/>
    <w:rsid w:val="000171CD"/>
    <w:rsid w:val="000207B9"/>
    <w:rsid w:val="00020D9A"/>
    <w:rsid w:val="0002212C"/>
    <w:rsid w:val="00025278"/>
    <w:rsid w:val="00026950"/>
    <w:rsid w:val="00026DC4"/>
    <w:rsid w:val="000302A6"/>
    <w:rsid w:val="00031A2E"/>
    <w:rsid w:val="00032C87"/>
    <w:rsid w:val="00032E76"/>
    <w:rsid w:val="00035558"/>
    <w:rsid w:val="00035A2B"/>
    <w:rsid w:val="00036709"/>
    <w:rsid w:val="000370D3"/>
    <w:rsid w:val="00037808"/>
    <w:rsid w:val="000408A4"/>
    <w:rsid w:val="00040CEA"/>
    <w:rsid w:val="00041D8C"/>
    <w:rsid w:val="00042640"/>
    <w:rsid w:val="00043656"/>
    <w:rsid w:val="00043BF4"/>
    <w:rsid w:val="00043E0C"/>
    <w:rsid w:val="00045A7A"/>
    <w:rsid w:val="00045F4E"/>
    <w:rsid w:val="00046AB2"/>
    <w:rsid w:val="00047A6C"/>
    <w:rsid w:val="000507CF"/>
    <w:rsid w:val="00055D8F"/>
    <w:rsid w:val="00055EBE"/>
    <w:rsid w:val="0005699E"/>
    <w:rsid w:val="0006007D"/>
    <w:rsid w:val="00060C03"/>
    <w:rsid w:val="00060DD8"/>
    <w:rsid w:val="00061682"/>
    <w:rsid w:val="000633FC"/>
    <w:rsid w:val="000657C6"/>
    <w:rsid w:val="00066E38"/>
    <w:rsid w:val="00067394"/>
    <w:rsid w:val="0007031E"/>
    <w:rsid w:val="0007050D"/>
    <w:rsid w:val="00070DF8"/>
    <w:rsid w:val="00073558"/>
    <w:rsid w:val="00073A99"/>
    <w:rsid w:val="00073B8E"/>
    <w:rsid w:val="00074BF6"/>
    <w:rsid w:val="00076404"/>
    <w:rsid w:val="0007692E"/>
    <w:rsid w:val="000771E3"/>
    <w:rsid w:val="00082045"/>
    <w:rsid w:val="00082547"/>
    <w:rsid w:val="00082749"/>
    <w:rsid w:val="000827CE"/>
    <w:rsid w:val="00082B42"/>
    <w:rsid w:val="000843A5"/>
    <w:rsid w:val="0008507E"/>
    <w:rsid w:val="0008521C"/>
    <w:rsid w:val="00087487"/>
    <w:rsid w:val="00087A80"/>
    <w:rsid w:val="00090013"/>
    <w:rsid w:val="00090B9E"/>
    <w:rsid w:val="00092C15"/>
    <w:rsid w:val="00092CCF"/>
    <w:rsid w:val="0009303F"/>
    <w:rsid w:val="00093BCB"/>
    <w:rsid w:val="00096BC2"/>
    <w:rsid w:val="000A09BC"/>
    <w:rsid w:val="000A0B3A"/>
    <w:rsid w:val="000A3200"/>
    <w:rsid w:val="000A5AAC"/>
    <w:rsid w:val="000B090E"/>
    <w:rsid w:val="000B1F66"/>
    <w:rsid w:val="000B3B92"/>
    <w:rsid w:val="000B3CB8"/>
    <w:rsid w:val="000B470E"/>
    <w:rsid w:val="000B4AB2"/>
    <w:rsid w:val="000B5125"/>
    <w:rsid w:val="000B544B"/>
    <w:rsid w:val="000B5EAC"/>
    <w:rsid w:val="000B6F63"/>
    <w:rsid w:val="000B7488"/>
    <w:rsid w:val="000B7652"/>
    <w:rsid w:val="000C07E9"/>
    <w:rsid w:val="000C1D29"/>
    <w:rsid w:val="000C2CA9"/>
    <w:rsid w:val="000C43AA"/>
    <w:rsid w:val="000C6700"/>
    <w:rsid w:val="000C7427"/>
    <w:rsid w:val="000D19F9"/>
    <w:rsid w:val="000D267F"/>
    <w:rsid w:val="000D26CD"/>
    <w:rsid w:val="000D3E4F"/>
    <w:rsid w:val="000E0DCE"/>
    <w:rsid w:val="000E1C19"/>
    <w:rsid w:val="000F11C8"/>
    <w:rsid w:val="000F1825"/>
    <w:rsid w:val="000F53DF"/>
    <w:rsid w:val="000F5B28"/>
    <w:rsid w:val="000F6917"/>
    <w:rsid w:val="000F6E26"/>
    <w:rsid w:val="000F6F36"/>
    <w:rsid w:val="000F7753"/>
    <w:rsid w:val="000F7F50"/>
    <w:rsid w:val="00100C3E"/>
    <w:rsid w:val="00101622"/>
    <w:rsid w:val="00101C34"/>
    <w:rsid w:val="00102B7E"/>
    <w:rsid w:val="00102BFF"/>
    <w:rsid w:val="00102EAC"/>
    <w:rsid w:val="00104388"/>
    <w:rsid w:val="001050DD"/>
    <w:rsid w:val="00105107"/>
    <w:rsid w:val="00106C6F"/>
    <w:rsid w:val="00107529"/>
    <w:rsid w:val="0010766F"/>
    <w:rsid w:val="001078B8"/>
    <w:rsid w:val="0010796E"/>
    <w:rsid w:val="00107E15"/>
    <w:rsid w:val="001171CC"/>
    <w:rsid w:val="00117525"/>
    <w:rsid w:val="00117984"/>
    <w:rsid w:val="00120DF6"/>
    <w:rsid w:val="00121123"/>
    <w:rsid w:val="00121D14"/>
    <w:rsid w:val="0012377A"/>
    <w:rsid w:val="00123848"/>
    <w:rsid w:val="0012384F"/>
    <w:rsid w:val="00123E91"/>
    <w:rsid w:val="001258A6"/>
    <w:rsid w:val="00125D2F"/>
    <w:rsid w:val="00127216"/>
    <w:rsid w:val="0012777D"/>
    <w:rsid w:val="00130931"/>
    <w:rsid w:val="00131E21"/>
    <w:rsid w:val="00133417"/>
    <w:rsid w:val="00135967"/>
    <w:rsid w:val="00137535"/>
    <w:rsid w:val="001404AB"/>
    <w:rsid w:val="00142A45"/>
    <w:rsid w:val="0014432B"/>
    <w:rsid w:val="001453D8"/>
    <w:rsid w:val="00145FEE"/>
    <w:rsid w:val="00146931"/>
    <w:rsid w:val="001521A2"/>
    <w:rsid w:val="001526E3"/>
    <w:rsid w:val="00155FA8"/>
    <w:rsid w:val="00156B60"/>
    <w:rsid w:val="001578BA"/>
    <w:rsid w:val="00160DE1"/>
    <w:rsid w:val="00161FAB"/>
    <w:rsid w:val="00165362"/>
    <w:rsid w:val="001658A9"/>
    <w:rsid w:val="0016606A"/>
    <w:rsid w:val="00170938"/>
    <w:rsid w:val="00170C0F"/>
    <w:rsid w:val="00171121"/>
    <w:rsid w:val="0017143B"/>
    <w:rsid w:val="0017145A"/>
    <w:rsid w:val="0017231D"/>
    <w:rsid w:val="0017281B"/>
    <w:rsid w:val="00174391"/>
    <w:rsid w:val="00174EEE"/>
    <w:rsid w:val="00175ABA"/>
    <w:rsid w:val="00176CFE"/>
    <w:rsid w:val="0017753D"/>
    <w:rsid w:val="0017763E"/>
    <w:rsid w:val="001810DC"/>
    <w:rsid w:val="00182418"/>
    <w:rsid w:val="00183219"/>
    <w:rsid w:val="00183259"/>
    <w:rsid w:val="00185D0B"/>
    <w:rsid w:val="001869C8"/>
    <w:rsid w:val="00186D8E"/>
    <w:rsid w:val="001876AB"/>
    <w:rsid w:val="001903B8"/>
    <w:rsid w:val="00191EB3"/>
    <w:rsid w:val="00197A07"/>
    <w:rsid w:val="001A1D78"/>
    <w:rsid w:val="001A1D88"/>
    <w:rsid w:val="001A352A"/>
    <w:rsid w:val="001A3851"/>
    <w:rsid w:val="001A5270"/>
    <w:rsid w:val="001A532E"/>
    <w:rsid w:val="001A5571"/>
    <w:rsid w:val="001A5758"/>
    <w:rsid w:val="001A59BF"/>
    <w:rsid w:val="001A6821"/>
    <w:rsid w:val="001B1CC6"/>
    <w:rsid w:val="001B33C3"/>
    <w:rsid w:val="001B5506"/>
    <w:rsid w:val="001B579F"/>
    <w:rsid w:val="001B5D69"/>
    <w:rsid w:val="001B607F"/>
    <w:rsid w:val="001B62ED"/>
    <w:rsid w:val="001B6452"/>
    <w:rsid w:val="001C0063"/>
    <w:rsid w:val="001C1F2F"/>
    <w:rsid w:val="001C21F4"/>
    <w:rsid w:val="001C3B2C"/>
    <w:rsid w:val="001C4AB9"/>
    <w:rsid w:val="001C5644"/>
    <w:rsid w:val="001C6AAC"/>
    <w:rsid w:val="001C7758"/>
    <w:rsid w:val="001C7FEF"/>
    <w:rsid w:val="001D02CC"/>
    <w:rsid w:val="001D11FD"/>
    <w:rsid w:val="001D1530"/>
    <w:rsid w:val="001D1DD7"/>
    <w:rsid w:val="001D2496"/>
    <w:rsid w:val="001D369A"/>
    <w:rsid w:val="001D5F9E"/>
    <w:rsid w:val="001D5FDB"/>
    <w:rsid w:val="001D67BC"/>
    <w:rsid w:val="001D708D"/>
    <w:rsid w:val="001D7172"/>
    <w:rsid w:val="001D7686"/>
    <w:rsid w:val="001E11DD"/>
    <w:rsid w:val="001E249C"/>
    <w:rsid w:val="001E4EFB"/>
    <w:rsid w:val="001F01BB"/>
    <w:rsid w:val="001F1D88"/>
    <w:rsid w:val="001F691A"/>
    <w:rsid w:val="001F6C45"/>
    <w:rsid w:val="001F7B11"/>
    <w:rsid w:val="002002A3"/>
    <w:rsid w:val="002022D4"/>
    <w:rsid w:val="00203B05"/>
    <w:rsid w:val="00203B48"/>
    <w:rsid w:val="00203B5E"/>
    <w:rsid w:val="002070FB"/>
    <w:rsid w:val="00210B17"/>
    <w:rsid w:val="00210E73"/>
    <w:rsid w:val="0021146C"/>
    <w:rsid w:val="00212AE2"/>
    <w:rsid w:val="00213729"/>
    <w:rsid w:val="00213ECF"/>
    <w:rsid w:val="00214968"/>
    <w:rsid w:val="002161B2"/>
    <w:rsid w:val="00216AF2"/>
    <w:rsid w:val="00220B84"/>
    <w:rsid w:val="002214D9"/>
    <w:rsid w:val="00222071"/>
    <w:rsid w:val="0022219E"/>
    <w:rsid w:val="00222B76"/>
    <w:rsid w:val="00223B39"/>
    <w:rsid w:val="00225A5C"/>
    <w:rsid w:val="0022766F"/>
    <w:rsid w:val="00227AD7"/>
    <w:rsid w:val="00230086"/>
    <w:rsid w:val="0023054D"/>
    <w:rsid w:val="00233086"/>
    <w:rsid w:val="0023363B"/>
    <w:rsid w:val="002338CE"/>
    <w:rsid w:val="00234585"/>
    <w:rsid w:val="00236EE0"/>
    <w:rsid w:val="002371F1"/>
    <w:rsid w:val="002406FA"/>
    <w:rsid w:val="002442F7"/>
    <w:rsid w:val="00245D70"/>
    <w:rsid w:val="002461C3"/>
    <w:rsid w:val="002464F8"/>
    <w:rsid w:val="00246793"/>
    <w:rsid w:val="00246917"/>
    <w:rsid w:val="002472F5"/>
    <w:rsid w:val="00247354"/>
    <w:rsid w:val="00247E8D"/>
    <w:rsid w:val="00250BF4"/>
    <w:rsid w:val="00251388"/>
    <w:rsid w:val="00254D66"/>
    <w:rsid w:val="00255F50"/>
    <w:rsid w:val="002562CE"/>
    <w:rsid w:val="0026186F"/>
    <w:rsid w:val="002630D4"/>
    <w:rsid w:val="00263486"/>
    <w:rsid w:val="002636CE"/>
    <w:rsid w:val="00265A44"/>
    <w:rsid w:val="00270064"/>
    <w:rsid w:val="00270CE3"/>
    <w:rsid w:val="002726C7"/>
    <w:rsid w:val="00273216"/>
    <w:rsid w:val="002733A3"/>
    <w:rsid w:val="002735F1"/>
    <w:rsid w:val="00273EA6"/>
    <w:rsid w:val="00274A90"/>
    <w:rsid w:val="002777B6"/>
    <w:rsid w:val="00280276"/>
    <w:rsid w:val="002805A9"/>
    <w:rsid w:val="0028179A"/>
    <w:rsid w:val="00285689"/>
    <w:rsid w:val="002869E0"/>
    <w:rsid w:val="0028701D"/>
    <w:rsid w:val="0029071A"/>
    <w:rsid w:val="0029200A"/>
    <w:rsid w:val="00293514"/>
    <w:rsid w:val="002956A8"/>
    <w:rsid w:val="002968EB"/>
    <w:rsid w:val="0029746B"/>
    <w:rsid w:val="002977FE"/>
    <w:rsid w:val="002A27D9"/>
    <w:rsid w:val="002A2E87"/>
    <w:rsid w:val="002A3A03"/>
    <w:rsid w:val="002A54F5"/>
    <w:rsid w:val="002A6710"/>
    <w:rsid w:val="002A6BB7"/>
    <w:rsid w:val="002B14E8"/>
    <w:rsid w:val="002B2425"/>
    <w:rsid w:val="002B2E47"/>
    <w:rsid w:val="002B56A8"/>
    <w:rsid w:val="002B5926"/>
    <w:rsid w:val="002B5CC3"/>
    <w:rsid w:val="002B6288"/>
    <w:rsid w:val="002B67E8"/>
    <w:rsid w:val="002C2BAC"/>
    <w:rsid w:val="002C3203"/>
    <w:rsid w:val="002C363D"/>
    <w:rsid w:val="002C4EAA"/>
    <w:rsid w:val="002C666C"/>
    <w:rsid w:val="002C6B5F"/>
    <w:rsid w:val="002C757B"/>
    <w:rsid w:val="002C76B2"/>
    <w:rsid w:val="002D2FAA"/>
    <w:rsid w:val="002D3536"/>
    <w:rsid w:val="002D4DB4"/>
    <w:rsid w:val="002D5909"/>
    <w:rsid w:val="002D6A6C"/>
    <w:rsid w:val="002D6AA2"/>
    <w:rsid w:val="002E4CA7"/>
    <w:rsid w:val="002E5E99"/>
    <w:rsid w:val="002E6E86"/>
    <w:rsid w:val="002E6F00"/>
    <w:rsid w:val="002F0636"/>
    <w:rsid w:val="002F0CAA"/>
    <w:rsid w:val="002F19E2"/>
    <w:rsid w:val="002F21EC"/>
    <w:rsid w:val="002F3F54"/>
    <w:rsid w:val="002F510A"/>
    <w:rsid w:val="003047BF"/>
    <w:rsid w:val="003054E7"/>
    <w:rsid w:val="003057B2"/>
    <w:rsid w:val="00306DD9"/>
    <w:rsid w:val="003071C4"/>
    <w:rsid w:val="00311A7C"/>
    <w:rsid w:val="00312162"/>
    <w:rsid w:val="00312165"/>
    <w:rsid w:val="003149E1"/>
    <w:rsid w:val="00314A1E"/>
    <w:rsid w:val="00317048"/>
    <w:rsid w:val="003175B7"/>
    <w:rsid w:val="0032007F"/>
    <w:rsid w:val="00321E61"/>
    <w:rsid w:val="00322BAD"/>
    <w:rsid w:val="0032347E"/>
    <w:rsid w:val="003248C3"/>
    <w:rsid w:val="0032577C"/>
    <w:rsid w:val="0032589E"/>
    <w:rsid w:val="00327644"/>
    <w:rsid w:val="003276BE"/>
    <w:rsid w:val="003301A3"/>
    <w:rsid w:val="0033298E"/>
    <w:rsid w:val="00333784"/>
    <w:rsid w:val="00335604"/>
    <w:rsid w:val="00336825"/>
    <w:rsid w:val="00337C71"/>
    <w:rsid w:val="00337EDB"/>
    <w:rsid w:val="00340993"/>
    <w:rsid w:val="00340A26"/>
    <w:rsid w:val="00341577"/>
    <w:rsid w:val="00342EF6"/>
    <w:rsid w:val="00342F7F"/>
    <w:rsid w:val="003460CB"/>
    <w:rsid w:val="00346D76"/>
    <w:rsid w:val="00351213"/>
    <w:rsid w:val="00352168"/>
    <w:rsid w:val="0035298C"/>
    <w:rsid w:val="003538FB"/>
    <w:rsid w:val="00354A44"/>
    <w:rsid w:val="0035520E"/>
    <w:rsid w:val="00355C29"/>
    <w:rsid w:val="00357702"/>
    <w:rsid w:val="003609A7"/>
    <w:rsid w:val="00361733"/>
    <w:rsid w:val="0036199B"/>
    <w:rsid w:val="00361B5E"/>
    <w:rsid w:val="003634AF"/>
    <w:rsid w:val="0036370A"/>
    <w:rsid w:val="00364D0D"/>
    <w:rsid w:val="00366A08"/>
    <w:rsid w:val="00366D80"/>
    <w:rsid w:val="0036777B"/>
    <w:rsid w:val="00371845"/>
    <w:rsid w:val="0037363B"/>
    <w:rsid w:val="00373ED1"/>
    <w:rsid w:val="0037421A"/>
    <w:rsid w:val="0037459C"/>
    <w:rsid w:val="00374EF6"/>
    <w:rsid w:val="003757F0"/>
    <w:rsid w:val="00375A0D"/>
    <w:rsid w:val="00376CF4"/>
    <w:rsid w:val="00377ED2"/>
    <w:rsid w:val="0038007D"/>
    <w:rsid w:val="00380823"/>
    <w:rsid w:val="00380AAD"/>
    <w:rsid w:val="0038282A"/>
    <w:rsid w:val="00385470"/>
    <w:rsid w:val="00385C2B"/>
    <w:rsid w:val="00391917"/>
    <w:rsid w:val="003919D3"/>
    <w:rsid w:val="00391D8D"/>
    <w:rsid w:val="00391E86"/>
    <w:rsid w:val="00393900"/>
    <w:rsid w:val="00393979"/>
    <w:rsid w:val="003955AF"/>
    <w:rsid w:val="003957D1"/>
    <w:rsid w:val="00395DCC"/>
    <w:rsid w:val="00397580"/>
    <w:rsid w:val="003A1794"/>
    <w:rsid w:val="003A34B3"/>
    <w:rsid w:val="003A3C37"/>
    <w:rsid w:val="003A44AD"/>
    <w:rsid w:val="003A45C8"/>
    <w:rsid w:val="003A55A7"/>
    <w:rsid w:val="003A5771"/>
    <w:rsid w:val="003A580D"/>
    <w:rsid w:val="003A5965"/>
    <w:rsid w:val="003A5DC7"/>
    <w:rsid w:val="003B01DC"/>
    <w:rsid w:val="003B05D1"/>
    <w:rsid w:val="003B1584"/>
    <w:rsid w:val="003B2089"/>
    <w:rsid w:val="003B3198"/>
    <w:rsid w:val="003B3260"/>
    <w:rsid w:val="003B3765"/>
    <w:rsid w:val="003B7187"/>
    <w:rsid w:val="003C092E"/>
    <w:rsid w:val="003C094F"/>
    <w:rsid w:val="003C1B23"/>
    <w:rsid w:val="003C2DCF"/>
    <w:rsid w:val="003C3817"/>
    <w:rsid w:val="003C526C"/>
    <w:rsid w:val="003C7494"/>
    <w:rsid w:val="003C7FE7"/>
    <w:rsid w:val="003D0499"/>
    <w:rsid w:val="003D1524"/>
    <w:rsid w:val="003D21DB"/>
    <w:rsid w:val="003D22F2"/>
    <w:rsid w:val="003D388F"/>
    <w:rsid w:val="003D3D9F"/>
    <w:rsid w:val="003D5B03"/>
    <w:rsid w:val="003D6494"/>
    <w:rsid w:val="003D7C0D"/>
    <w:rsid w:val="003E183B"/>
    <w:rsid w:val="003E2AD7"/>
    <w:rsid w:val="003E3B40"/>
    <w:rsid w:val="003E47F3"/>
    <w:rsid w:val="003E5F84"/>
    <w:rsid w:val="003E63CD"/>
    <w:rsid w:val="003E7D31"/>
    <w:rsid w:val="003F06AA"/>
    <w:rsid w:val="003F2A47"/>
    <w:rsid w:val="003F2E32"/>
    <w:rsid w:val="003F432E"/>
    <w:rsid w:val="003F43E5"/>
    <w:rsid w:val="003F526A"/>
    <w:rsid w:val="003F5414"/>
    <w:rsid w:val="003F5C51"/>
    <w:rsid w:val="003F5CC1"/>
    <w:rsid w:val="003F5D15"/>
    <w:rsid w:val="00401D42"/>
    <w:rsid w:val="00402910"/>
    <w:rsid w:val="00402B0A"/>
    <w:rsid w:val="00403019"/>
    <w:rsid w:val="00403033"/>
    <w:rsid w:val="00403938"/>
    <w:rsid w:val="00405244"/>
    <w:rsid w:val="004065C6"/>
    <w:rsid w:val="004124F0"/>
    <w:rsid w:val="0041257F"/>
    <w:rsid w:val="00412FFB"/>
    <w:rsid w:val="00413AF7"/>
    <w:rsid w:val="004153B8"/>
    <w:rsid w:val="00415ADE"/>
    <w:rsid w:val="004161E2"/>
    <w:rsid w:val="004166A6"/>
    <w:rsid w:val="00416817"/>
    <w:rsid w:val="00417433"/>
    <w:rsid w:val="00417D45"/>
    <w:rsid w:val="004222A3"/>
    <w:rsid w:val="0042259B"/>
    <w:rsid w:val="00426019"/>
    <w:rsid w:val="00426645"/>
    <w:rsid w:val="0042770B"/>
    <w:rsid w:val="00431468"/>
    <w:rsid w:val="004323BD"/>
    <w:rsid w:val="00433C60"/>
    <w:rsid w:val="00434936"/>
    <w:rsid w:val="0043790B"/>
    <w:rsid w:val="00437B90"/>
    <w:rsid w:val="004403B3"/>
    <w:rsid w:val="004409C1"/>
    <w:rsid w:val="00441887"/>
    <w:rsid w:val="00441FA9"/>
    <w:rsid w:val="004436EE"/>
    <w:rsid w:val="00446302"/>
    <w:rsid w:val="0045547F"/>
    <w:rsid w:val="00455E2F"/>
    <w:rsid w:val="00456CCF"/>
    <w:rsid w:val="00457776"/>
    <w:rsid w:val="0045777C"/>
    <w:rsid w:val="00461AA0"/>
    <w:rsid w:val="00462BD9"/>
    <w:rsid w:val="00463075"/>
    <w:rsid w:val="00465ED9"/>
    <w:rsid w:val="00471810"/>
    <w:rsid w:val="00474248"/>
    <w:rsid w:val="00477B3A"/>
    <w:rsid w:val="004847D1"/>
    <w:rsid w:val="00484F22"/>
    <w:rsid w:val="0048551D"/>
    <w:rsid w:val="00485A84"/>
    <w:rsid w:val="00486ABD"/>
    <w:rsid w:val="00487978"/>
    <w:rsid w:val="00487F69"/>
    <w:rsid w:val="00490592"/>
    <w:rsid w:val="00491234"/>
    <w:rsid w:val="00491236"/>
    <w:rsid w:val="0049203F"/>
    <w:rsid w:val="004920AD"/>
    <w:rsid w:val="004942F4"/>
    <w:rsid w:val="004943E1"/>
    <w:rsid w:val="004950F0"/>
    <w:rsid w:val="00495108"/>
    <w:rsid w:val="004951F3"/>
    <w:rsid w:val="00495989"/>
    <w:rsid w:val="00497031"/>
    <w:rsid w:val="004A1FAE"/>
    <w:rsid w:val="004A2C67"/>
    <w:rsid w:val="004A492E"/>
    <w:rsid w:val="004B0F65"/>
    <w:rsid w:val="004B13D2"/>
    <w:rsid w:val="004B14E7"/>
    <w:rsid w:val="004B4671"/>
    <w:rsid w:val="004B631A"/>
    <w:rsid w:val="004B6B61"/>
    <w:rsid w:val="004C0099"/>
    <w:rsid w:val="004C26A0"/>
    <w:rsid w:val="004C3F2E"/>
    <w:rsid w:val="004C5122"/>
    <w:rsid w:val="004C52C6"/>
    <w:rsid w:val="004C63CF"/>
    <w:rsid w:val="004C7829"/>
    <w:rsid w:val="004D05B3"/>
    <w:rsid w:val="004D21CF"/>
    <w:rsid w:val="004D4265"/>
    <w:rsid w:val="004D5280"/>
    <w:rsid w:val="004D5B03"/>
    <w:rsid w:val="004D6743"/>
    <w:rsid w:val="004E1F70"/>
    <w:rsid w:val="004E479E"/>
    <w:rsid w:val="004E6B0B"/>
    <w:rsid w:val="004E759A"/>
    <w:rsid w:val="004E75C9"/>
    <w:rsid w:val="004E7E1E"/>
    <w:rsid w:val="004F3483"/>
    <w:rsid w:val="004F78E6"/>
    <w:rsid w:val="00500130"/>
    <w:rsid w:val="00500CB1"/>
    <w:rsid w:val="00501608"/>
    <w:rsid w:val="005017E0"/>
    <w:rsid w:val="005019A7"/>
    <w:rsid w:val="00501B16"/>
    <w:rsid w:val="00502031"/>
    <w:rsid w:val="005024A7"/>
    <w:rsid w:val="005041DE"/>
    <w:rsid w:val="0050484A"/>
    <w:rsid w:val="0050641C"/>
    <w:rsid w:val="0050756B"/>
    <w:rsid w:val="00511C14"/>
    <w:rsid w:val="00512D99"/>
    <w:rsid w:val="0051469C"/>
    <w:rsid w:val="00514883"/>
    <w:rsid w:val="00514960"/>
    <w:rsid w:val="00515E8A"/>
    <w:rsid w:val="00521DD5"/>
    <w:rsid w:val="005237CD"/>
    <w:rsid w:val="0053146A"/>
    <w:rsid w:val="00531DBB"/>
    <w:rsid w:val="005320B3"/>
    <w:rsid w:val="0053225A"/>
    <w:rsid w:val="00532C1D"/>
    <w:rsid w:val="005334AB"/>
    <w:rsid w:val="0053545A"/>
    <w:rsid w:val="005357DB"/>
    <w:rsid w:val="005374DA"/>
    <w:rsid w:val="00541343"/>
    <w:rsid w:val="005416EE"/>
    <w:rsid w:val="005427FC"/>
    <w:rsid w:val="00542C59"/>
    <w:rsid w:val="00543277"/>
    <w:rsid w:val="00544B6D"/>
    <w:rsid w:val="005455AF"/>
    <w:rsid w:val="00545C39"/>
    <w:rsid w:val="00550D6E"/>
    <w:rsid w:val="00551085"/>
    <w:rsid w:val="005521D0"/>
    <w:rsid w:val="005523EC"/>
    <w:rsid w:val="00552BD8"/>
    <w:rsid w:val="005531E2"/>
    <w:rsid w:val="00553DAA"/>
    <w:rsid w:val="00554D35"/>
    <w:rsid w:val="00555F01"/>
    <w:rsid w:val="005566EC"/>
    <w:rsid w:val="00557B94"/>
    <w:rsid w:val="00560026"/>
    <w:rsid w:val="005646B3"/>
    <w:rsid w:val="005646FC"/>
    <w:rsid w:val="005655D7"/>
    <w:rsid w:val="005665C5"/>
    <w:rsid w:val="005670BE"/>
    <w:rsid w:val="00570ABA"/>
    <w:rsid w:val="0057104A"/>
    <w:rsid w:val="00572072"/>
    <w:rsid w:val="00572A70"/>
    <w:rsid w:val="00573D5F"/>
    <w:rsid w:val="0057433C"/>
    <w:rsid w:val="00574630"/>
    <w:rsid w:val="00574740"/>
    <w:rsid w:val="00575E4D"/>
    <w:rsid w:val="00576430"/>
    <w:rsid w:val="00576E3A"/>
    <w:rsid w:val="005859A8"/>
    <w:rsid w:val="00586CF2"/>
    <w:rsid w:val="005878E1"/>
    <w:rsid w:val="005900E3"/>
    <w:rsid w:val="00590723"/>
    <w:rsid w:val="00590FA3"/>
    <w:rsid w:val="00592257"/>
    <w:rsid w:val="00593318"/>
    <w:rsid w:val="00596EEF"/>
    <w:rsid w:val="00597BEA"/>
    <w:rsid w:val="005A0668"/>
    <w:rsid w:val="005A0817"/>
    <w:rsid w:val="005A220F"/>
    <w:rsid w:val="005A26D1"/>
    <w:rsid w:val="005A37E0"/>
    <w:rsid w:val="005A443A"/>
    <w:rsid w:val="005A65C5"/>
    <w:rsid w:val="005A719E"/>
    <w:rsid w:val="005A7879"/>
    <w:rsid w:val="005A7AC3"/>
    <w:rsid w:val="005B0A5A"/>
    <w:rsid w:val="005B4F27"/>
    <w:rsid w:val="005B59A3"/>
    <w:rsid w:val="005B6F95"/>
    <w:rsid w:val="005B72C7"/>
    <w:rsid w:val="005C149A"/>
    <w:rsid w:val="005C1BB9"/>
    <w:rsid w:val="005C2AA4"/>
    <w:rsid w:val="005C3CF8"/>
    <w:rsid w:val="005C4003"/>
    <w:rsid w:val="005C4014"/>
    <w:rsid w:val="005C46F4"/>
    <w:rsid w:val="005C51E8"/>
    <w:rsid w:val="005C5354"/>
    <w:rsid w:val="005C5729"/>
    <w:rsid w:val="005C676E"/>
    <w:rsid w:val="005C69D6"/>
    <w:rsid w:val="005C7FBE"/>
    <w:rsid w:val="005D0714"/>
    <w:rsid w:val="005D0716"/>
    <w:rsid w:val="005D0B33"/>
    <w:rsid w:val="005D21E7"/>
    <w:rsid w:val="005D2C9A"/>
    <w:rsid w:val="005D35F2"/>
    <w:rsid w:val="005D36C7"/>
    <w:rsid w:val="005D42E5"/>
    <w:rsid w:val="005D7869"/>
    <w:rsid w:val="005E09C8"/>
    <w:rsid w:val="005E2616"/>
    <w:rsid w:val="005E3E64"/>
    <w:rsid w:val="005E3EC9"/>
    <w:rsid w:val="005E519B"/>
    <w:rsid w:val="005F1821"/>
    <w:rsid w:val="005F1E2F"/>
    <w:rsid w:val="005F2451"/>
    <w:rsid w:val="005F3961"/>
    <w:rsid w:val="005F3DE2"/>
    <w:rsid w:val="005F4667"/>
    <w:rsid w:val="005F49EC"/>
    <w:rsid w:val="005F603D"/>
    <w:rsid w:val="005F6782"/>
    <w:rsid w:val="005F699D"/>
    <w:rsid w:val="005F7379"/>
    <w:rsid w:val="005F79FB"/>
    <w:rsid w:val="00600E0E"/>
    <w:rsid w:val="006012B3"/>
    <w:rsid w:val="00604406"/>
    <w:rsid w:val="006047C1"/>
    <w:rsid w:val="006052D8"/>
    <w:rsid w:val="00605F4A"/>
    <w:rsid w:val="00606826"/>
    <w:rsid w:val="00607822"/>
    <w:rsid w:val="00610355"/>
    <w:rsid w:val="006103AA"/>
    <w:rsid w:val="00611583"/>
    <w:rsid w:val="00612634"/>
    <w:rsid w:val="006133FC"/>
    <w:rsid w:val="00613BBF"/>
    <w:rsid w:val="00613D4C"/>
    <w:rsid w:val="00613EF0"/>
    <w:rsid w:val="00614585"/>
    <w:rsid w:val="0061471F"/>
    <w:rsid w:val="00614A9F"/>
    <w:rsid w:val="00615EB2"/>
    <w:rsid w:val="006171E2"/>
    <w:rsid w:val="006177EB"/>
    <w:rsid w:val="006207D9"/>
    <w:rsid w:val="006220ED"/>
    <w:rsid w:val="00622B80"/>
    <w:rsid w:val="00624989"/>
    <w:rsid w:val="006257C0"/>
    <w:rsid w:val="00625B26"/>
    <w:rsid w:val="006276AF"/>
    <w:rsid w:val="006303F0"/>
    <w:rsid w:val="0063068A"/>
    <w:rsid w:val="00630CF8"/>
    <w:rsid w:val="00631512"/>
    <w:rsid w:val="00633794"/>
    <w:rsid w:val="00633A27"/>
    <w:rsid w:val="0063661A"/>
    <w:rsid w:val="006370C9"/>
    <w:rsid w:val="00637A81"/>
    <w:rsid w:val="0064139A"/>
    <w:rsid w:val="006502A4"/>
    <w:rsid w:val="00652756"/>
    <w:rsid w:val="006538B5"/>
    <w:rsid w:val="00656651"/>
    <w:rsid w:val="00656A12"/>
    <w:rsid w:val="00656CF8"/>
    <w:rsid w:val="0066101B"/>
    <w:rsid w:val="006616AC"/>
    <w:rsid w:val="00661C54"/>
    <w:rsid w:val="0066266D"/>
    <w:rsid w:val="006626A5"/>
    <w:rsid w:val="00666BE7"/>
    <w:rsid w:val="00666FF0"/>
    <w:rsid w:val="00667E3D"/>
    <w:rsid w:val="006724D0"/>
    <w:rsid w:val="00672CB6"/>
    <w:rsid w:val="00673280"/>
    <w:rsid w:val="0067442E"/>
    <w:rsid w:val="00674BE6"/>
    <w:rsid w:val="00674D43"/>
    <w:rsid w:val="00675702"/>
    <w:rsid w:val="006814AC"/>
    <w:rsid w:val="0068240C"/>
    <w:rsid w:val="00682B34"/>
    <w:rsid w:val="00684601"/>
    <w:rsid w:val="00684E36"/>
    <w:rsid w:val="00685440"/>
    <w:rsid w:val="0068614B"/>
    <w:rsid w:val="006861E3"/>
    <w:rsid w:val="00686231"/>
    <w:rsid w:val="006879E0"/>
    <w:rsid w:val="00687BBE"/>
    <w:rsid w:val="00690F0D"/>
    <w:rsid w:val="00692350"/>
    <w:rsid w:val="006929F3"/>
    <w:rsid w:val="00696C16"/>
    <w:rsid w:val="006A05E8"/>
    <w:rsid w:val="006A3330"/>
    <w:rsid w:val="006A3430"/>
    <w:rsid w:val="006A4091"/>
    <w:rsid w:val="006A50B6"/>
    <w:rsid w:val="006A766A"/>
    <w:rsid w:val="006A79D4"/>
    <w:rsid w:val="006B1345"/>
    <w:rsid w:val="006B1FB1"/>
    <w:rsid w:val="006B3399"/>
    <w:rsid w:val="006B5A01"/>
    <w:rsid w:val="006B610C"/>
    <w:rsid w:val="006B6B22"/>
    <w:rsid w:val="006B72E4"/>
    <w:rsid w:val="006C09DD"/>
    <w:rsid w:val="006C2E9D"/>
    <w:rsid w:val="006C75E5"/>
    <w:rsid w:val="006C7A42"/>
    <w:rsid w:val="006D08B9"/>
    <w:rsid w:val="006D6521"/>
    <w:rsid w:val="006D7932"/>
    <w:rsid w:val="006E024F"/>
    <w:rsid w:val="006E0314"/>
    <w:rsid w:val="006E0595"/>
    <w:rsid w:val="006E1BFB"/>
    <w:rsid w:val="006E3457"/>
    <w:rsid w:val="006E381E"/>
    <w:rsid w:val="006E4E81"/>
    <w:rsid w:val="006E5112"/>
    <w:rsid w:val="006F05E3"/>
    <w:rsid w:val="006F1B5E"/>
    <w:rsid w:val="006F419E"/>
    <w:rsid w:val="006F4339"/>
    <w:rsid w:val="006F43C5"/>
    <w:rsid w:val="006F7CA8"/>
    <w:rsid w:val="007012C8"/>
    <w:rsid w:val="00701DA6"/>
    <w:rsid w:val="00702D2D"/>
    <w:rsid w:val="0070619B"/>
    <w:rsid w:val="00707951"/>
    <w:rsid w:val="00707F7D"/>
    <w:rsid w:val="00710434"/>
    <w:rsid w:val="00711F11"/>
    <w:rsid w:val="00714068"/>
    <w:rsid w:val="007146C8"/>
    <w:rsid w:val="007152CF"/>
    <w:rsid w:val="0071669A"/>
    <w:rsid w:val="00717614"/>
    <w:rsid w:val="00717EC5"/>
    <w:rsid w:val="00720A25"/>
    <w:rsid w:val="00720D9F"/>
    <w:rsid w:val="00722FE7"/>
    <w:rsid w:val="0072356C"/>
    <w:rsid w:val="007243C8"/>
    <w:rsid w:val="00726E4F"/>
    <w:rsid w:val="00727E9A"/>
    <w:rsid w:val="00731693"/>
    <w:rsid w:val="007318A9"/>
    <w:rsid w:val="007326B5"/>
    <w:rsid w:val="00732745"/>
    <w:rsid w:val="007338EE"/>
    <w:rsid w:val="00733AC3"/>
    <w:rsid w:val="0073435F"/>
    <w:rsid w:val="00735B9D"/>
    <w:rsid w:val="00737B80"/>
    <w:rsid w:val="007404F6"/>
    <w:rsid w:val="00741D13"/>
    <w:rsid w:val="00742725"/>
    <w:rsid w:val="00743982"/>
    <w:rsid w:val="007460F1"/>
    <w:rsid w:val="00746BD9"/>
    <w:rsid w:val="00750C6C"/>
    <w:rsid w:val="00751C83"/>
    <w:rsid w:val="00752583"/>
    <w:rsid w:val="00752C5F"/>
    <w:rsid w:val="00753FD1"/>
    <w:rsid w:val="0075439D"/>
    <w:rsid w:val="00754742"/>
    <w:rsid w:val="0075481D"/>
    <w:rsid w:val="00756FB7"/>
    <w:rsid w:val="0076005F"/>
    <w:rsid w:val="007608AF"/>
    <w:rsid w:val="00762B6E"/>
    <w:rsid w:val="00763254"/>
    <w:rsid w:val="007640A3"/>
    <w:rsid w:val="007651A6"/>
    <w:rsid w:val="00766670"/>
    <w:rsid w:val="00766AD8"/>
    <w:rsid w:val="0076719B"/>
    <w:rsid w:val="0077424B"/>
    <w:rsid w:val="00775238"/>
    <w:rsid w:val="00776326"/>
    <w:rsid w:val="007764C0"/>
    <w:rsid w:val="00776506"/>
    <w:rsid w:val="00777139"/>
    <w:rsid w:val="00777576"/>
    <w:rsid w:val="0078195F"/>
    <w:rsid w:val="007820D8"/>
    <w:rsid w:val="007829FD"/>
    <w:rsid w:val="00783F7F"/>
    <w:rsid w:val="0078586F"/>
    <w:rsid w:val="0079023C"/>
    <w:rsid w:val="007909AA"/>
    <w:rsid w:val="00792107"/>
    <w:rsid w:val="0079299A"/>
    <w:rsid w:val="00793148"/>
    <w:rsid w:val="00793D06"/>
    <w:rsid w:val="00794B22"/>
    <w:rsid w:val="00797632"/>
    <w:rsid w:val="007A15DA"/>
    <w:rsid w:val="007A28FC"/>
    <w:rsid w:val="007A57F2"/>
    <w:rsid w:val="007B1333"/>
    <w:rsid w:val="007B24C8"/>
    <w:rsid w:val="007B45C5"/>
    <w:rsid w:val="007B7E54"/>
    <w:rsid w:val="007C044D"/>
    <w:rsid w:val="007C1691"/>
    <w:rsid w:val="007C234D"/>
    <w:rsid w:val="007C36A2"/>
    <w:rsid w:val="007C3BA7"/>
    <w:rsid w:val="007C407D"/>
    <w:rsid w:val="007C4CFC"/>
    <w:rsid w:val="007C55AD"/>
    <w:rsid w:val="007D0ACE"/>
    <w:rsid w:val="007D29CC"/>
    <w:rsid w:val="007D3631"/>
    <w:rsid w:val="007D5951"/>
    <w:rsid w:val="007D6250"/>
    <w:rsid w:val="007D7EC1"/>
    <w:rsid w:val="007E0412"/>
    <w:rsid w:val="007E0FB5"/>
    <w:rsid w:val="007E23A3"/>
    <w:rsid w:val="007E257D"/>
    <w:rsid w:val="007E2A6B"/>
    <w:rsid w:val="007E2D9F"/>
    <w:rsid w:val="007E39B1"/>
    <w:rsid w:val="007E3E1C"/>
    <w:rsid w:val="007E6EC4"/>
    <w:rsid w:val="007F1A39"/>
    <w:rsid w:val="007F1FEE"/>
    <w:rsid w:val="007F264F"/>
    <w:rsid w:val="007F4A89"/>
    <w:rsid w:val="007F4AEB"/>
    <w:rsid w:val="007F5E11"/>
    <w:rsid w:val="007F6239"/>
    <w:rsid w:val="007F75B2"/>
    <w:rsid w:val="007F7F00"/>
    <w:rsid w:val="00801791"/>
    <w:rsid w:val="00803372"/>
    <w:rsid w:val="008043C4"/>
    <w:rsid w:val="00804CD3"/>
    <w:rsid w:val="0080514F"/>
    <w:rsid w:val="00807E1E"/>
    <w:rsid w:val="00807EB8"/>
    <w:rsid w:val="0081082C"/>
    <w:rsid w:val="00811629"/>
    <w:rsid w:val="008124B8"/>
    <w:rsid w:val="00813226"/>
    <w:rsid w:val="00813976"/>
    <w:rsid w:val="00813DFB"/>
    <w:rsid w:val="00815588"/>
    <w:rsid w:val="008157C0"/>
    <w:rsid w:val="00820139"/>
    <w:rsid w:val="00820E8E"/>
    <w:rsid w:val="008221FB"/>
    <w:rsid w:val="008242CC"/>
    <w:rsid w:val="00825070"/>
    <w:rsid w:val="00826BD9"/>
    <w:rsid w:val="00827A91"/>
    <w:rsid w:val="00830309"/>
    <w:rsid w:val="00831B1B"/>
    <w:rsid w:val="00834CC5"/>
    <w:rsid w:val="008354B4"/>
    <w:rsid w:val="008358E0"/>
    <w:rsid w:val="00835F3F"/>
    <w:rsid w:val="00840938"/>
    <w:rsid w:val="00840F99"/>
    <w:rsid w:val="00841D76"/>
    <w:rsid w:val="00842032"/>
    <w:rsid w:val="00842A98"/>
    <w:rsid w:val="008434E7"/>
    <w:rsid w:val="00846BC4"/>
    <w:rsid w:val="00847A8C"/>
    <w:rsid w:val="00850AAD"/>
    <w:rsid w:val="008514B8"/>
    <w:rsid w:val="008518E7"/>
    <w:rsid w:val="0085193E"/>
    <w:rsid w:val="008519C6"/>
    <w:rsid w:val="00852098"/>
    <w:rsid w:val="0085235F"/>
    <w:rsid w:val="00852368"/>
    <w:rsid w:val="008538A7"/>
    <w:rsid w:val="00854404"/>
    <w:rsid w:val="00856098"/>
    <w:rsid w:val="00861D0E"/>
    <w:rsid w:val="00861F45"/>
    <w:rsid w:val="00862854"/>
    <w:rsid w:val="0086334D"/>
    <w:rsid w:val="00863D68"/>
    <w:rsid w:val="00864880"/>
    <w:rsid w:val="00865FA6"/>
    <w:rsid w:val="00866BA8"/>
    <w:rsid w:val="00867569"/>
    <w:rsid w:val="00867807"/>
    <w:rsid w:val="0087060D"/>
    <w:rsid w:val="00870CF3"/>
    <w:rsid w:val="00871086"/>
    <w:rsid w:val="008710C7"/>
    <w:rsid w:val="00872214"/>
    <w:rsid w:val="008727FA"/>
    <w:rsid w:val="00872B8E"/>
    <w:rsid w:val="00874A90"/>
    <w:rsid w:val="008804D0"/>
    <w:rsid w:val="0088129D"/>
    <w:rsid w:val="00884029"/>
    <w:rsid w:val="00884BD5"/>
    <w:rsid w:val="00887972"/>
    <w:rsid w:val="008914B7"/>
    <w:rsid w:val="008917B3"/>
    <w:rsid w:val="00891C37"/>
    <w:rsid w:val="00891D95"/>
    <w:rsid w:val="008945F2"/>
    <w:rsid w:val="00897527"/>
    <w:rsid w:val="008A0E8F"/>
    <w:rsid w:val="008A1027"/>
    <w:rsid w:val="008A18A9"/>
    <w:rsid w:val="008A287F"/>
    <w:rsid w:val="008A6342"/>
    <w:rsid w:val="008A6A3B"/>
    <w:rsid w:val="008A750A"/>
    <w:rsid w:val="008B225C"/>
    <w:rsid w:val="008B334E"/>
    <w:rsid w:val="008B4550"/>
    <w:rsid w:val="008B7891"/>
    <w:rsid w:val="008C00A5"/>
    <w:rsid w:val="008C0108"/>
    <w:rsid w:val="008C27B1"/>
    <w:rsid w:val="008C384C"/>
    <w:rsid w:val="008C45BF"/>
    <w:rsid w:val="008C502E"/>
    <w:rsid w:val="008C5E9A"/>
    <w:rsid w:val="008D0F11"/>
    <w:rsid w:val="008D136D"/>
    <w:rsid w:val="008D2561"/>
    <w:rsid w:val="008D3805"/>
    <w:rsid w:val="008D5298"/>
    <w:rsid w:val="008D6ECA"/>
    <w:rsid w:val="008D6F55"/>
    <w:rsid w:val="008E15B5"/>
    <w:rsid w:val="008E29EF"/>
    <w:rsid w:val="008E68EB"/>
    <w:rsid w:val="008E7E4F"/>
    <w:rsid w:val="008F0222"/>
    <w:rsid w:val="008F20C6"/>
    <w:rsid w:val="008F35E4"/>
    <w:rsid w:val="008F4513"/>
    <w:rsid w:val="008F492F"/>
    <w:rsid w:val="008F5309"/>
    <w:rsid w:val="008F73B4"/>
    <w:rsid w:val="008F7E5F"/>
    <w:rsid w:val="00900EDB"/>
    <w:rsid w:val="00900F13"/>
    <w:rsid w:val="009015C7"/>
    <w:rsid w:val="0090404E"/>
    <w:rsid w:val="009049FB"/>
    <w:rsid w:val="009061A5"/>
    <w:rsid w:val="00906ECF"/>
    <w:rsid w:val="0090741A"/>
    <w:rsid w:val="009076B5"/>
    <w:rsid w:val="00907ADB"/>
    <w:rsid w:val="009112BA"/>
    <w:rsid w:val="00911AC8"/>
    <w:rsid w:val="00916073"/>
    <w:rsid w:val="009168C2"/>
    <w:rsid w:val="00917CA6"/>
    <w:rsid w:val="00920317"/>
    <w:rsid w:val="0092081A"/>
    <w:rsid w:val="00920AD4"/>
    <w:rsid w:val="00920D32"/>
    <w:rsid w:val="00922570"/>
    <w:rsid w:val="0092310A"/>
    <w:rsid w:val="00927ADE"/>
    <w:rsid w:val="00927DD9"/>
    <w:rsid w:val="00930B3C"/>
    <w:rsid w:val="00931A52"/>
    <w:rsid w:val="00931B1D"/>
    <w:rsid w:val="00933883"/>
    <w:rsid w:val="009357BD"/>
    <w:rsid w:val="00936D58"/>
    <w:rsid w:val="009372DF"/>
    <w:rsid w:val="00937610"/>
    <w:rsid w:val="009405D2"/>
    <w:rsid w:val="00941335"/>
    <w:rsid w:val="009416A7"/>
    <w:rsid w:val="00942BAF"/>
    <w:rsid w:val="00942D88"/>
    <w:rsid w:val="00943AD2"/>
    <w:rsid w:val="00944126"/>
    <w:rsid w:val="00946FC5"/>
    <w:rsid w:val="00947FAB"/>
    <w:rsid w:val="0095227E"/>
    <w:rsid w:val="0095430A"/>
    <w:rsid w:val="009544CC"/>
    <w:rsid w:val="00956495"/>
    <w:rsid w:val="00957441"/>
    <w:rsid w:val="00960186"/>
    <w:rsid w:val="00960BF2"/>
    <w:rsid w:val="00961ECD"/>
    <w:rsid w:val="00962BC7"/>
    <w:rsid w:val="00962C91"/>
    <w:rsid w:val="0096328A"/>
    <w:rsid w:val="00963E6F"/>
    <w:rsid w:val="00964190"/>
    <w:rsid w:val="009678FC"/>
    <w:rsid w:val="009701AB"/>
    <w:rsid w:val="00971D38"/>
    <w:rsid w:val="009729CD"/>
    <w:rsid w:val="00973287"/>
    <w:rsid w:val="00973301"/>
    <w:rsid w:val="009740BF"/>
    <w:rsid w:val="00976B5B"/>
    <w:rsid w:val="00976D97"/>
    <w:rsid w:val="00981238"/>
    <w:rsid w:val="0098149A"/>
    <w:rsid w:val="00982C53"/>
    <w:rsid w:val="00983A9B"/>
    <w:rsid w:val="00984434"/>
    <w:rsid w:val="00984499"/>
    <w:rsid w:val="009844EB"/>
    <w:rsid w:val="00985EE5"/>
    <w:rsid w:val="00986D8D"/>
    <w:rsid w:val="009873F0"/>
    <w:rsid w:val="00987FFE"/>
    <w:rsid w:val="0099050D"/>
    <w:rsid w:val="00991E8D"/>
    <w:rsid w:val="00992601"/>
    <w:rsid w:val="009950AF"/>
    <w:rsid w:val="009958A1"/>
    <w:rsid w:val="00995DA7"/>
    <w:rsid w:val="009A1871"/>
    <w:rsid w:val="009A218F"/>
    <w:rsid w:val="009A38F9"/>
    <w:rsid w:val="009A3ACE"/>
    <w:rsid w:val="009A4753"/>
    <w:rsid w:val="009A4B79"/>
    <w:rsid w:val="009A5942"/>
    <w:rsid w:val="009A5C79"/>
    <w:rsid w:val="009B16D4"/>
    <w:rsid w:val="009B3B40"/>
    <w:rsid w:val="009B4969"/>
    <w:rsid w:val="009B4EA8"/>
    <w:rsid w:val="009B55B1"/>
    <w:rsid w:val="009B68A7"/>
    <w:rsid w:val="009C0D4F"/>
    <w:rsid w:val="009C15DC"/>
    <w:rsid w:val="009C4150"/>
    <w:rsid w:val="009C60B7"/>
    <w:rsid w:val="009C6103"/>
    <w:rsid w:val="009C7AA7"/>
    <w:rsid w:val="009C7BF5"/>
    <w:rsid w:val="009D055A"/>
    <w:rsid w:val="009D0BD5"/>
    <w:rsid w:val="009D4881"/>
    <w:rsid w:val="009D5E52"/>
    <w:rsid w:val="009D6C0C"/>
    <w:rsid w:val="009E0621"/>
    <w:rsid w:val="009E1BCE"/>
    <w:rsid w:val="009E2AB5"/>
    <w:rsid w:val="009E31D4"/>
    <w:rsid w:val="009E52CF"/>
    <w:rsid w:val="009E617C"/>
    <w:rsid w:val="009F0332"/>
    <w:rsid w:val="009F0A39"/>
    <w:rsid w:val="009F0F8D"/>
    <w:rsid w:val="009F116F"/>
    <w:rsid w:val="009F276D"/>
    <w:rsid w:val="009F2D91"/>
    <w:rsid w:val="009F491A"/>
    <w:rsid w:val="009F5F23"/>
    <w:rsid w:val="009F70EB"/>
    <w:rsid w:val="009F7FD8"/>
    <w:rsid w:val="00A001F0"/>
    <w:rsid w:val="00A01EEF"/>
    <w:rsid w:val="00A0276F"/>
    <w:rsid w:val="00A02E15"/>
    <w:rsid w:val="00A041BC"/>
    <w:rsid w:val="00A0458C"/>
    <w:rsid w:val="00A05534"/>
    <w:rsid w:val="00A07E96"/>
    <w:rsid w:val="00A1071A"/>
    <w:rsid w:val="00A10F29"/>
    <w:rsid w:val="00A13C0B"/>
    <w:rsid w:val="00A14819"/>
    <w:rsid w:val="00A15B50"/>
    <w:rsid w:val="00A15BC6"/>
    <w:rsid w:val="00A15C6C"/>
    <w:rsid w:val="00A171FC"/>
    <w:rsid w:val="00A2003A"/>
    <w:rsid w:val="00A20BED"/>
    <w:rsid w:val="00A2262B"/>
    <w:rsid w:val="00A23096"/>
    <w:rsid w:val="00A230B3"/>
    <w:rsid w:val="00A233AA"/>
    <w:rsid w:val="00A26507"/>
    <w:rsid w:val="00A27991"/>
    <w:rsid w:val="00A32891"/>
    <w:rsid w:val="00A33E60"/>
    <w:rsid w:val="00A35CDB"/>
    <w:rsid w:val="00A35F83"/>
    <w:rsid w:val="00A362DC"/>
    <w:rsid w:val="00A37A32"/>
    <w:rsid w:val="00A404D4"/>
    <w:rsid w:val="00A40856"/>
    <w:rsid w:val="00A4248F"/>
    <w:rsid w:val="00A431FA"/>
    <w:rsid w:val="00A4343D"/>
    <w:rsid w:val="00A438DA"/>
    <w:rsid w:val="00A448C7"/>
    <w:rsid w:val="00A45C7B"/>
    <w:rsid w:val="00A46B64"/>
    <w:rsid w:val="00A46E13"/>
    <w:rsid w:val="00A502F1"/>
    <w:rsid w:val="00A525AF"/>
    <w:rsid w:val="00A53140"/>
    <w:rsid w:val="00A54D7B"/>
    <w:rsid w:val="00A55C4E"/>
    <w:rsid w:val="00A56C80"/>
    <w:rsid w:val="00A60E41"/>
    <w:rsid w:val="00A61BE0"/>
    <w:rsid w:val="00A63DD4"/>
    <w:rsid w:val="00A65A70"/>
    <w:rsid w:val="00A662D0"/>
    <w:rsid w:val="00A70A83"/>
    <w:rsid w:val="00A73918"/>
    <w:rsid w:val="00A74120"/>
    <w:rsid w:val="00A7484D"/>
    <w:rsid w:val="00A75F37"/>
    <w:rsid w:val="00A761CF"/>
    <w:rsid w:val="00A7683E"/>
    <w:rsid w:val="00A774B2"/>
    <w:rsid w:val="00A7774A"/>
    <w:rsid w:val="00A80351"/>
    <w:rsid w:val="00A81EB3"/>
    <w:rsid w:val="00A824CF"/>
    <w:rsid w:val="00A826E6"/>
    <w:rsid w:val="00A8291E"/>
    <w:rsid w:val="00A84430"/>
    <w:rsid w:val="00A860F4"/>
    <w:rsid w:val="00A86219"/>
    <w:rsid w:val="00A873BA"/>
    <w:rsid w:val="00A904D9"/>
    <w:rsid w:val="00A90ECE"/>
    <w:rsid w:val="00A92693"/>
    <w:rsid w:val="00A93025"/>
    <w:rsid w:val="00A9504A"/>
    <w:rsid w:val="00A950C7"/>
    <w:rsid w:val="00A961DA"/>
    <w:rsid w:val="00A969A9"/>
    <w:rsid w:val="00A97AD4"/>
    <w:rsid w:val="00A97CA2"/>
    <w:rsid w:val="00AA1B32"/>
    <w:rsid w:val="00AA3711"/>
    <w:rsid w:val="00AA435D"/>
    <w:rsid w:val="00AA439D"/>
    <w:rsid w:val="00AA4ECF"/>
    <w:rsid w:val="00AA6E75"/>
    <w:rsid w:val="00AA73A5"/>
    <w:rsid w:val="00AB208F"/>
    <w:rsid w:val="00AB22E1"/>
    <w:rsid w:val="00AB2399"/>
    <w:rsid w:val="00AB410C"/>
    <w:rsid w:val="00AB594C"/>
    <w:rsid w:val="00AB5CFD"/>
    <w:rsid w:val="00AB5D19"/>
    <w:rsid w:val="00AB73C1"/>
    <w:rsid w:val="00AB7ADF"/>
    <w:rsid w:val="00AC4564"/>
    <w:rsid w:val="00AC5BE0"/>
    <w:rsid w:val="00AC60CC"/>
    <w:rsid w:val="00AC6570"/>
    <w:rsid w:val="00AC6A14"/>
    <w:rsid w:val="00AC72CC"/>
    <w:rsid w:val="00AC72E1"/>
    <w:rsid w:val="00AD09C9"/>
    <w:rsid w:val="00AD4691"/>
    <w:rsid w:val="00AD5C35"/>
    <w:rsid w:val="00AD6519"/>
    <w:rsid w:val="00AD6CA9"/>
    <w:rsid w:val="00AD6D62"/>
    <w:rsid w:val="00AE04A7"/>
    <w:rsid w:val="00AE3964"/>
    <w:rsid w:val="00AE59AB"/>
    <w:rsid w:val="00AE5C88"/>
    <w:rsid w:val="00AE63EF"/>
    <w:rsid w:val="00AE6A84"/>
    <w:rsid w:val="00AF2358"/>
    <w:rsid w:val="00AF2CB6"/>
    <w:rsid w:val="00AF40A6"/>
    <w:rsid w:val="00AF63B0"/>
    <w:rsid w:val="00AF66FA"/>
    <w:rsid w:val="00AF77D3"/>
    <w:rsid w:val="00AF78C1"/>
    <w:rsid w:val="00AF7C8B"/>
    <w:rsid w:val="00B00C1D"/>
    <w:rsid w:val="00B01408"/>
    <w:rsid w:val="00B043D9"/>
    <w:rsid w:val="00B06174"/>
    <w:rsid w:val="00B07CA2"/>
    <w:rsid w:val="00B10B53"/>
    <w:rsid w:val="00B1299C"/>
    <w:rsid w:val="00B13907"/>
    <w:rsid w:val="00B144F0"/>
    <w:rsid w:val="00B15E58"/>
    <w:rsid w:val="00B16115"/>
    <w:rsid w:val="00B16369"/>
    <w:rsid w:val="00B1677F"/>
    <w:rsid w:val="00B16FC6"/>
    <w:rsid w:val="00B179C6"/>
    <w:rsid w:val="00B20108"/>
    <w:rsid w:val="00B20DE0"/>
    <w:rsid w:val="00B20F58"/>
    <w:rsid w:val="00B21CE7"/>
    <w:rsid w:val="00B2435B"/>
    <w:rsid w:val="00B24A8E"/>
    <w:rsid w:val="00B24C95"/>
    <w:rsid w:val="00B26AFC"/>
    <w:rsid w:val="00B26BED"/>
    <w:rsid w:val="00B26C4E"/>
    <w:rsid w:val="00B31464"/>
    <w:rsid w:val="00B328D3"/>
    <w:rsid w:val="00B33194"/>
    <w:rsid w:val="00B3323F"/>
    <w:rsid w:val="00B33880"/>
    <w:rsid w:val="00B33F33"/>
    <w:rsid w:val="00B342F4"/>
    <w:rsid w:val="00B34EDA"/>
    <w:rsid w:val="00B351F5"/>
    <w:rsid w:val="00B365F7"/>
    <w:rsid w:val="00B403FC"/>
    <w:rsid w:val="00B40D47"/>
    <w:rsid w:val="00B42F9B"/>
    <w:rsid w:val="00B435ED"/>
    <w:rsid w:val="00B44ECB"/>
    <w:rsid w:val="00B468DA"/>
    <w:rsid w:val="00B4790F"/>
    <w:rsid w:val="00B47E07"/>
    <w:rsid w:val="00B52F87"/>
    <w:rsid w:val="00B53BDE"/>
    <w:rsid w:val="00B54330"/>
    <w:rsid w:val="00B54C52"/>
    <w:rsid w:val="00B55193"/>
    <w:rsid w:val="00B57649"/>
    <w:rsid w:val="00B60120"/>
    <w:rsid w:val="00B60BBA"/>
    <w:rsid w:val="00B61E39"/>
    <w:rsid w:val="00B62E04"/>
    <w:rsid w:val="00B66166"/>
    <w:rsid w:val="00B70ECD"/>
    <w:rsid w:val="00B70FF6"/>
    <w:rsid w:val="00B7235B"/>
    <w:rsid w:val="00B72D2F"/>
    <w:rsid w:val="00B75E48"/>
    <w:rsid w:val="00B76199"/>
    <w:rsid w:val="00B8043F"/>
    <w:rsid w:val="00B80695"/>
    <w:rsid w:val="00B817AE"/>
    <w:rsid w:val="00B822BB"/>
    <w:rsid w:val="00B83EC6"/>
    <w:rsid w:val="00B868B8"/>
    <w:rsid w:val="00B920DD"/>
    <w:rsid w:val="00B92E7A"/>
    <w:rsid w:val="00BA0F08"/>
    <w:rsid w:val="00BA439F"/>
    <w:rsid w:val="00BA44EC"/>
    <w:rsid w:val="00BA5834"/>
    <w:rsid w:val="00BA6370"/>
    <w:rsid w:val="00BA6BD0"/>
    <w:rsid w:val="00BA77F0"/>
    <w:rsid w:val="00BB06CA"/>
    <w:rsid w:val="00BB6268"/>
    <w:rsid w:val="00BC09C7"/>
    <w:rsid w:val="00BC1564"/>
    <w:rsid w:val="00BC6747"/>
    <w:rsid w:val="00BC6921"/>
    <w:rsid w:val="00BC692F"/>
    <w:rsid w:val="00BC748B"/>
    <w:rsid w:val="00BD1AEF"/>
    <w:rsid w:val="00BD40CD"/>
    <w:rsid w:val="00BD57B8"/>
    <w:rsid w:val="00BD6F1C"/>
    <w:rsid w:val="00BD71CC"/>
    <w:rsid w:val="00BE0028"/>
    <w:rsid w:val="00BE1CA4"/>
    <w:rsid w:val="00BE1D3B"/>
    <w:rsid w:val="00BE206D"/>
    <w:rsid w:val="00BE210B"/>
    <w:rsid w:val="00BE2A53"/>
    <w:rsid w:val="00BE3302"/>
    <w:rsid w:val="00BE3335"/>
    <w:rsid w:val="00BE550F"/>
    <w:rsid w:val="00BE560B"/>
    <w:rsid w:val="00BE5C4A"/>
    <w:rsid w:val="00BE69B6"/>
    <w:rsid w:val="00BE6D51"/>
    <w:rsid w:val="00BE7C44"/>
    <w:rsid w:val="00BF029D"/>
    <w:rsid w:val="00BF1519"/>
    <w:rsid w:val="00BF34CC"/>
    <w:rsid w:val="00BF37CC"/>
    <w:rsid w:val="00BF62F1"/>
    <w:rsid w:val="00C00155"/>
    <w:rsid w:val="00C007B6"/>
    <w:rsid w:val="00C0255B"/>
    <w:rsid w:val="00C04EC7"/>
    <w:rsid w:val="00C0500E"/>
    <w:rsid w:val="00C051D5"/>
    <w:rsid w:val="00C054BF"/>
    <w:rsid w:val="00C05AE7"/>
    <w:rsid w:val="00C0711F"/>
    <w:rsid w:val="00C10B92"/>
    <w:rsid w:val="00C13B2D"/>
    <w:rsid w:val="00C14FA3"/>
    <w:rsid w:val="00C155D7"/>
    <w:rsid w:val="00C159FA"/>
    <w:rsid w:val="00C17B2C"/>
    <w:rsid w:val="00C2080D"/>
    <w:rsid w:val="00C22415"/>
    <w:rsid w:val="00C2278C"/>
    <w:rsid w:val="00C232B3"/>
    <w:rsid w:val="00C2354F"/>
    <w:rsid w:val="00C24B18"/>
    <w:rsid w:val="00C26525"/>
    <w:rsid w:val="00C269D4"/>
    <w:rsid w:val="00C26D85"/>
    <w:rsid w:val="00C30A81"/>
    <w:rsid w:val="00C3197B"/>
    <w:rsid w:val="00C35652"/>
    <w:rsid w:val="00C35B84"/>
    <w:rsid w:val="00C36AD6"/>
    <w:rsid w:val="00C4160D"/>
    <w:rsid w:val="00C42CB8"/>
    <w:rsid w:val="00C4301F"/>
    <w:rsid w:val="00C439CF"/>
    <w:rsid w:val="00C43DB8"/>
    <w:rsid w:val="00C45A80"/>
    <w:rsid w:val="00C45B06"/>
    <w:rsid w:val="00C50339"/>
    <w:rsid w:val="00C50BEB"/>
    <w:rsid w:val="00C510FD"/>
    <w:rsid w:val="00C5191D"/>
    <w:rsid w:val="00C51B65"/>
    <w:rsid w:val="00C52C3F"/>
    <w:rsid w:val="00C54720"/>
    <w:rsid w:val="00C54EDD"/>
    <w:rsid w:val="00C55504"/>
    <w:rsid w:val="00C558B2"/>
    <w:rsid w:val="00C5698F"/>
    <w:rsid w:val="00C576EC"/>
    <w:rsid w:val="00C57B79"/>
    <w:rsid w:val="00C60451"/>
    <w:rsid w:val="00C60AE0"/>
    <w:rsid w:val="00C61158"/>
    <w:rsid w:val="00C63561"/>
    <w:rsid w:val="00C63A88"/>
    <w:rsid w:val="00C65315"/>
    <w:rsid w:val="00C658B8"/>
    <w:rsid w:val="00C65FAA"/>
    <w:rsid w:val="00C6637E"/>
    <w:rsid w:val="00C67D2D"/>
    <w:rsid w:val="00C72A55"/>
    <w:rsid w:val="00C74370"/>
    <w:rsid w:val="00C743A0"/>
    <w:rsid w:val="00C74A84"/>
    <w:rsid w:val="00C7537C"/>
    <w:rsid w:val="00C7577F"/>
    <w:rsid w:val="00C7585A"/>
    <w:rsid w:val="00C84000"/>
    <w:rsid w:val="00C8406E"/>
    <w:rsid w:val="00C863B6"/>
    <w:rsid w:val="00C864A9"/>
    <w:rsid w:val="00C86BDB"/>
    <w:rsid w:val="00C874BC"/>
    <w:rsid w:val="00C87B18"/>
    <w:rsid w:val="00C91009"/>
    <w:rsid w:val="00C91BB8"/>
    <w:rsid w:val="00C92874"/>
    <w:rsid w:val="00C94419"/>
    <w:rsid w:val="00C947EC"/>
    <w:rsid w:val="00C950A2"/>
    <w:rsid w:val="00C9586C"/>
    <w:rsid w:val="00C95A4D"/>
    <w:rsid w:val="00C96169"/>
    <w:rsid w:val="00C96221"/>
    <w:rsid w:val="00C969E1"/>
    <w:rsid w:val="00C97062"/>
    <w:rsid w:val="00CA1B47"/>
    <w:rsid w:val="00CA2A0A"/>
    <w:rsid w:val="00CA2CFD"/>
    <w:rsid w:val="00CA4B6F"/>
    <w:rsid w:val="00CA7469"/>
    <w:rsid w:val="00CB0423"/>
    <w:rsid w:val="00CB088B"/>
    <w:rsid w:val="00CB19EA"/>
    <w:rsid w:val="00CB1D8D"/>
    <w:rsid w:val="00CB2709"/>
    <w:rsid w:val="00CB356D"/>
    <w:rsid w:val="00CB5EA3"/>
    <w:rsid w:val="00CB6F89"/>
    <w:rsid w:val="00CC098E"/>
    <w:rsid w:val="00CC1B27"/>
    <w:rsid w:val="00CC2897"/>
    <w:rsid w:val="00CC410E"/>
    <w:rsid w:val="00CD07B7"/>
    <w:rsid w:val="00CD0981"/>
    <w:rsid w:val="00CD448E"/>
    <w:rsid w:val="00CD547F"/>
    <w:rsid w:val="00CD64C4"/>
    <w:rsid w:val="00CD7418"/>
    <w:rsid w:val="00CD7E6C"/>
    <w:rsid w:val="00CE0364"/>
    <w:rsid w:val="00CE04EA"/>
    <w:rsid w:val="00CE07E7"/>
    <w:rsid w:val="00CE1C49"/>
    <w:rsid w:val="00CE1CC5"/>
    <w:rsid w:val="00CE1E87"/>
    <w:rsid w:val="00CE228C"/>
    <w:rsid w:val="00CE3027"/>
    <w:rsid w:val="00CE3410"/>
    <w:rsid w:val="00CE3CED"/>
    <w:rsid w:val="00CE5DBC"/>
    <w:rsid w:val="00CE615B"/>
    <w:rsid w:val="00CE6C12"/>
    <w:rsid w:val="00CE75DD"/>
    <w:rsid w:val="00CF1CFF"/>
    <w:rsid w:val="00CF1E81"/>
    <w:rsid w:val="00CF22AA"/>
    <w:rsid w:val="00CF27B5"/>
    <w:rsid w:val="00CF2886"/>
    <w:rsid w:val="00CF344C"/>
    <w:rsid w:val="00CF37D7"/>
    <w:rsid w:val="00CF3C2E"/>
    <w:rsid w:val="00CF4669"/>
    <w:rsid w:val="00CF507F"/>
    <w:rsid w:val="00CF545B"/>
    <w:rsid w:val="00CF5795"/>
    <w:rsid w:val="00CF707A"/>
    <w:rsid w:val="00D03A5E"/>
    <w:rsid w:val="00D03F01"/>
    <w:rsid w:val="00D0656D"/>
    <w:rsid w:val="00D113B5"/>
    <w:rsid w:val="00D11FF5"/>
    <w:rsid w:val="00D13375"/>
    <w:rsid w:val="00D166AC"/>
    <w:rsid w:val="00D16B34"/>
    <w:rsid w:val="00D16D94"/>
    <w:rsid w:val="00D175AA"/>
    <w:rsid w:val="00D17D3F"/>
    <w:rsid w:val="00D17E82"/>
    <w:rsid w:val="00D20BA5"/>
    <w:rsid w:val="00D20BD0"/>
    <w:rsid w:val="00D21345"/>
    <w:rsid w:val="00D22D06"/>
    <w:rsid w:val="00D25B5F"/>
    <w:rsid w:val="00D26769"/>
    <w:rsid w:val="00D27B3D"/>
    <w:rsid w:val="00D27D69"/>
    <w:rsid w:val="00D308E8"/>
    <w:rsid w:val="00D326BD"/>
    <w:rsid w:val="00D33100"/>
    <w:rsid w:val="00D33DFC"/>
    <w:rsid w:val="00D34949"/>
    <w:rsid w:val="00D34CA3"/>
    <w:rsid w:val="00D432E3"/>
    <w:rsid w:val="00D43488"/>
    <w:rsid w:val="00D44452"/>
    <w:rsid w:val="00D4470F"/>
    <w:rsid w:val="00D448C2"/>
    <w:rsid w:val="00D468F7"/>
    <w:rsid w:val="00D502CF"/>
    <w:rsid w:val="00D50B0A"/>
    <w:rsid w:val="00D573FE"/>
    <w:rsid w:val="00D60BAF"/>
    <w:rsid w:val="00D62931"/>
    <w:rsid w:val="00D657AC"/>
    <w:rsid w:val="00D666C3"/>
    <w:rsid w:val="00D718B9"/>
    <w:rsid w:val="00D71C1C"/>
    <w:rsid w:val="00D72769"/>
    <w:rsid w:val="00D74DBA"/>
    <w:rsid w:val="00D806A3"/>
    <w:rsid w:val="00D80EFF"/>
    <w:rsid w:val="00D80F3C"/>
    <w:rsid w:val="00D819D0"/>
    <w:rsid w:val="00D83BC6"/>
    <w:rsid w:val="00D83EE9"/>
    <w:rsid w:val="00D84C29"/>
    <w:rsid w:val="00D852D4"/>
    <w:rsid w:val="00D85B40"/>
    <w:rsid w:val="00D86734"/>
    <w:rsid w:val="00D87206"/>
    <w:rsid w:val="00D875B2"/>
    <w:rsid w:val="00D9137B"/>
    <w:rsid w:val="00D93B67"/>
    <w:rsid w:val="00D9542B"/>
    <w:rsid w:val="00D959E2"/>
    <w:rsid w:val="00D95EA7"/>
    <w:rsid w:val="00D97040"/>
    <w:rsid w:val="00DA0096"/>
    <w:rsid w:val="00DA05BA"/>
    <w:rsid w:val="00DA10C1"/>
    <w:rsid w:val="00DA1298"/>
    <w:rsid w:val="00DA2F85"/>
    <w:rsid w:val="00DA3AE5"/>
    <w:rsid w:val="00DA3ED4"/>
    <w:rsid w:val="00DA56DA"/>
    <w:rsid w:val="00DA6116"/>
    <w:rsid w:val="00DA6EE0"/>
    <w:rsid w:val="00DA7747"/>
    <w:rsid w:val="00DA7A94"/>
    <w:rsid w:val="00DB0771"/>
    <w:rsid w:val="00DB0CC6"/>
    <w:rsid w:val="00DB15C4"/>
    <w:rsid w:val="00DB2214"/>
    <w:rsid w:val="00DB3CBA"/>
    <w:rsid w:val="00DB4709"/>
    <w:rsid w:val="00DB4E76"/>
    <w:rsid w:val="00DB60A2"/>
    <w:rsid w:val="00DB7976"/>
    <w:rsid w:val="00DB7C60"/>
    <w:rsid w:val="00DC2BF6"/>
    <w:rsid w:val="00DC4BEF"/>
    <w:rsid w:val="00DC4DBF"/>
    <w:rsid w:val="00DC533E"/>
    <w:rsid w:val="00DC5E7F"/>
    <w:rsid w:val="00DC6E28"/>
    <w:rsid w:val="00DD0AD6"/>
    <w:rsid w:val="00DD0BA9"/>
    <w:rsid w:val="00DD1DC3"/>
    <w:rsid w:val="00DD1EAE"/>
    <w:rsid w:val="00DD1F40"/>
    <w:rsid w:val="00DD2662"/>
    <w:rsid w:val="00DD4CB4"/>
    <w:rsid w:val="00DD6C3A"/>
    <w:rsid w:val="00DE0702"/>
    <w:rsid w:val="00DE0ACA"/>
    <w:rsid w:val="00DE3DA2"/>
    <w:rsid w:val="00DE4A84"/>
    <w:rsid w:val="00DE4D6D"/>
    <w:rsid w:val="00DE4E56"/>
    <w:rsid w:val="00DE6BE6"/>
    <w:rsid w:val="00DF091E"/>
    <w:rsid w:val="00DF1DE4"/>
    <w:rsid w:val="00DF47FE"/>
    <w:rsid w:val="00DF6A83"/>
    <w:rsid w:val="00E00CD4"/>
    <w:rsid w:val="00E014D6"/>
    <w:rsid w:val="00E017FD"/>
    <w:rsid w:val="00E0186F"/>
    <w:rsid w:val="00E1074D"/>
    <w:rsid w:val="00E1126E"/>
    <w:rsid w:val="00E11D10"/>
    <w:rsid w:val="00E11DD0"/>
    <w:rsid w:val="00E12C71"/>
    <w:rsid w:val="00E13EE8"/>
    <w:rsid w:val="00E1614A"/>
    <w:rsid w:val="00E165D2"/>
    <w:rsid w:val="00E16ACA"/>
    <w:rsid w:val="00E20705"/>
    <w:rsid w:val="00E21F33"/>
    <w:rsid w:val="00E2204B"/>
    <w:rsid w:val="00E23803"/>
    <w:rsid w:val="00E2448E"/>
    <w:rsid w:val="00E26081"/>
    <w:rsid w:val="00E260AC"/>
    <w:rsid w:val="00E26704"/>
    <w:rsid w:val="00E2689A"/>
    <w:rsid w:val="00E26A5C"/>
    <w:rsid w:val="00E26E5D"/>
    <w:rsid w:val="00E26E70"/>
    <w:rsid w:val="00E2757D"/>
    <w:rsid w:val="00E309BB"/>
    <w:rsid w:val="00E316C8"/>
    <w:rsid w:val="00E3189B"/>
    <w:rsid w:val="00E31980"/>
    <w:rsid w:val="00E330C2"/>
    <w:rsid w:val="00E330F7"/>
    <w:rsid w:val="00E369AB"/>
    <w:rsid w:val="00E3719D"/>
    <w:rsid w:val="00E41272"/>
    <w:rsid w:val="00E41331"/>
    <w:rsid w:val="00E4152F"/>
    <w:rsid w:val="00E41970"/>
    <w:rsid w:val="00E421D3"/>
    <w:rsid w:val="00E424B7"/>
    <w:rsid w:val="00E42E00"/>
    <w:rsid w:val="00E46082"/>
    <w:rsid w:val="00E52B7F"/>
    <w:rsid w:val="00E52E01"/>
    <w:rsid w:val="00E564C0"/>
    <w:rsid w:val="00E571BD"/>
    <w:rsid w:val="00E57C4B"/>
    <w:rsid w:val="00E620E4"/>
    <w:rsid w:val="00E63873"/>
    <w:rsid w:val="00E638E3"/>
    <w:rsid w:val="00E63E1E"/>
    <w:rsid w:val="00E6423C"/>
    <w:rsid w:val="00E64284"/>
    <w:rsid w:val="00E64DE8"/>
    <w:rsid w:val="00E700E6"/>
    <w:rsid w:val="00E70818"/>
    <w:rsid w:val="00E71ED8"/>
    <w:rsid w:val="00E72B57"/>
    <w:rsid w:val="00E7483E"/>
    <w:rsid w:val="00E754BF"/>
    <w:rsid w:val="00E77C6D"/>
    <w:rsid w:val="00E77C90"/>
    <w:rsid w:val="00E8075D"/>
    <w:rsid w:val="00E82FD0"/>
    <w:rsid w:val="00E83BCC"/>
    <w:rsid w:val="00E83FAB"/>
    <w:rsid w:val="00E8434E"/>
    <w:rsid w:val="00E843B7"/>
    <w:rsid w:val="00E86DC9"/>
    <w:rsid w:val="00E910B6"/>
    <w:rsid w:val="00E9181E"/>
    <w:rsid w:val="00E92F26"/>
    <w:rsid w:val="00E9349A"/>
    <w:rsid w:val="00E93830"/>
    <w:rsid w:val="00E9388E"/>
    <w:rsid w:val="00E93E0E"/>
    <w:rsid w:val="00E94B66"/>
    <w:rsid w:val="00E95136"/>
    <w:rsid w:val="00E976D2"/>
    <w:rsid w:val="00EA0A2C"/>
    <w:rsid w:val="00EA1DBD"/>
    <w:rsid w:val="00EA3AFD"/>
    <w:rsid w:val="00EA42D5"/>
    <w:rsid w:val="00EA48C2"/>
    <w:rsid w:val="00EA65C0"/>
    <w:rsid w:val="00EA7AF3"/>
    <w:rsid w:val="00EA7B94"/>
    <w:rsid w:val="00EA7F86"/>
    <w:rsid w:val="00EB01C0"/>
    <w:rsid w:val="00EB1ED3"/>
    <w:rsid w:val="00EB2E1B"/>
    <w:rsid w:val="00EB3C89"/>
    <w:rsid w:val="00EB4B5C"/>
    <w:rsid w:val="00EB4F8B"/>
    <w:rsid w:val="00EB630F"/>
    <w:rsid w:val="00EB6F45"/>
    <w:rsid w:val="00EC12DA"/>
    <w:rsid w:val="00EC2D51"/>
    <w:rsid w:val="00EC659E"/>
    <w:rsid w:val="00EC6791"/>
    <w:rsid w:val="00EC6D60"/>
    <w:rsid w:val="00EC7AEF"/>
    <w:rsid w:val="00ED01DB"/>
    <w:rsid w:val="00ED055F"/>
    <w:rsid w:val="00ED3B49"/>
    <w:rsid w:val="00ED6FE8"/>
    <w:rsid w:val="00ED7B69"/>
    <w:rsid w:val="00EE227D"/>
    <w:rsid w:val="00EE3CBD"/>
    <w:rsid w:val="00EE3D9D"/>
    <w:rsid w:val="00EE4713"/>
    <w:rsid w:val="00EE484C"/>
    <w:rsid w:val="00EE4F33"/>
    <w:rsid w:val="00EE5B06"/>
    <w:rsid w:val="00EE5BCA"/>
    <w:rsid w:val="00EE701D"/>
    <w:rsid w:val="00EF0152"/>
    <w:rsid w:val="00EF05BD"/>
    <w:rsid w:val="00EF38F4"/>
    <w:rsid w:val="00EF3A5B"/>
    <w:rsid w:val="00EF3B9E"/>
    <w:rsid w:val="00EF625A"/>
    <w:rsid w:val="00EF788F"/>
    <w:rsid w:val="00F0005E"/>
    <w:rsid w:val="00F00922"/>
    <w:rsid w:val="00F00AEE"/>
    <w:rsid w:val="00F03815"/>
    <w:rsid w:val="00F0500E"/>
    <w:rsid w:val="00F068AE"/>
    <w:rsid w:val="00F1049C"/>
    <w:rsid w:val="00F12768"/>
    <w:rsid w:val="00F12A9A"/>
    <w:rsid w:val="00F13385"/>
    <w:rsid w:val="00F13564"/>
    <w:rsid w:val="00F13F05"/>
    <w:rsid w:val="00F169B0"/>
    <w:rsid w:val="00F174C2"/>
    <w:rsid w:val="00F179FE"/>
    <w:rsid w:val="00F21DB3"/>
    <w:rsid w:val="00F220C4"/>
    <w:rsid w:val="00F23E34"/>
    <w:rsid w:val="00F26395"/>
    <w:rsid w:val="00F271A0"/>
    <w:rsid w:val="00F2781C"/>
    <w:rsid w:val="00F27EFE"/>
    <w:rsid w:val="00F30003"/>
    <w:rsid w:val="00F32DA4"/>
    <w:rsid w:val="00F35441"/>
    <w:rsid w:val="00F3675B"/>
    <w:rsid w:val="00F40602"/>
    <w:rsid w:val="00F40D9B"/>
    <w:rsid w:val="00F414CB"/>
    <w:rsid w:val="00F41E59"/>
    <w:rsid w:val="00F42BCA"/>
    <w:rsid w:val="00F4347E"/>
    <w:rsid w:val="00F45237"/>
    <w:rsid w:val="00F455DC"/>
    <w:rsid w:val="00F46655"/>
    <w:rsid w:val="00F47127"/>
    <w:rsid w:val="00F476A2"/>
    <w:rsid w:val="00F50BF2"/>
    <w:rsid w:val="00F50C5B"/>
    <w:rsid w:val="00F50CEF"/>
    <w:rsid w:val="00F515A6"/>
    <w:rsid w:val="00F51BBA"/>
    <w:rsid w:val="00F5305C"/>
    <w:rsid w:val="00F5445D"/>
    <w:rsid w:val="00F55946"/>
    <w:rsid w:val="00F56F25"/>
    <w:rsid w:val="00F578B6"/>
    <w:rsid w:val="00F61A0A"/>
    <w:rsid w:val="00F61E35"/>
    <w:rsid w:val="00F62444"/>
    <w:rsid w:val="00F62E57"/>
    <w:rsid w:val="00F6357F"/>
    <w:rsid w:val="00F64042"/>
    <w:rsid w:val="00F6479D"/>
    <w:rsid w:val="00F6760A"/>
    <w:rsid w:val="00F70CF6"/>
    <w:rsid w:val="00F72354"/>
    <w:rsid w:val="00F7297B"/>
    <w:rsid w:val="00F72F36"/>
    <w:rsid w:val="00F73581"/>
    <w:rsid w:val="00F73A45"/>
    <w:rsid w:val="00F74BE5"/>
    <w:rsid w:val="00F74C26"/>
    <w:rsid w:val="00F77F8B"/>
    <w:rsid w:val="00F81280"/>
    <w:rsid w:val="00F81F79"/>
    <w:rsid w:val="00F82B3B"/>
    <w:rsid w:val="00F84060"/>
    <w:rsid w:val="00F86F7A"/>
    <w:rsid w:val="00F907FA"/>
    <w:rsid w:val="00F90C0B"/>
    <w:rsid w:val="00F91278"/>
    <w:rsid w:val="00F915C2"/>
    <w:rsid w:val="00F91A68"/>
    <w:rsid w:val="00F91C80"/>
    <w:rsid w:val="00F91E77"/>
    <w:rsid w:val="00F92017"/>
    <w:rsid w:val="00F92950"/>
    <w:rsid w:val="00F92F9A"/>
    <w:rsid w:val="00F93F26"/>
    <w:rsid w:val="00F95B02"/>
    <w:rsid w:val="00F96F6C"/>
    <w:rsid w:val="00F97CCA"/>
    <w:rsid w:val="00FA051F"/>
    <w:rsid w:val="00FA2E2F"/>
    <w:rsid w:val="00FA3ABC"/>
    <w:rsid w:val="00FA3D9D"/>
    <w:rsid w:val="00FB0388"/>
    <w:rsid w:val="00FB109A"/>
    <w:rsid w:val="00FB11E5"/>
    <w:rsid w:val="00FB1415"/>
    <w:rsid w:val="00FB3E4B"/>
    <w:rsid w:val="00FB5889"/>
    <w:rsid w:val="00FB6173"/>
    <w:rsid w:val="00FB687C"/>
    <w:rsid w:val="00FB6BCB"/>
    <w:rsid w:val="00FB7E0F"/>
    <w:rsid w:val="00FC0B20"/>
    <w:rsid w:val="00FC5D0B"/>
    <w:rsid w:val="00FD2E7E"/>
    <w:rsid w:val="00FD3187"/>
    <w:rsid w:val="00FD51EB"/>
    <w:rsid w:val="00FD5E47"/>
    <w:rsid w:val="00FD63F3"/>
    <w:rsid w:val="00FD6B25"/>
    <w:rsid w:val="00FD6D15"/>
    <w:rsid w:val="00FD6DEA"/>
    <w:rsid w:val="00FE0B91"/>
    <w:rsid w:val="00FE0C2F"/>
    <w:rsid w:val="00FE14B7"/>
    <w:rsid w:val="00FE1513"/>
    <w:rsid w:val="00FE355C"/>
    <w:rsid w:val="00FE4662"/>
    <w:rsid w:val="00FE5AAD"/>
    <w:rsid w:val="00FF04D9"/>
    <w:rsid w:val="00FF2D6A"/>
    <w:rsid w:val="00FF301C"/>
    <w:rsid w:val="00FF3DA2"/>
    <w:rsid w:val="00FF465A"/>
    <w:rsid w:val="00FF79E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  <w14:docId w14:val="126B5CCA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C6E2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B5A01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4AB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A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.em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documents/11350/190464167/cndv040323_komenta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96006416751094E-2"/>
          <c:y val="3.9316672295395698E-2"/>
          <c:w val="0.84196935157041541"/>
          <c:h val="0.75316250140718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NP!$C$7</c:f>
              <c:strCache>
                <c:ptCount val="1"/>
                <c:pt idx="0">
                  <c:v>HPH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NP!$A$16:$B$43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NP!$C$16:$C$43</c:f>
              <c:numCache>
                <c:formatCode>0.0</c:formatCode>
                <c:ptCount val="28"/>
                <c:pt idx="0">
                  <c:v>35.908999999999999</c:v>
                </c:pt>
                <c:pt idx="1">
                  <c:v>38.994999999999997</c:v>
                </c:pt>
                <c:pt idx="2">
                  <c:v>17.914999999999999</c:v>
                </c:pt>
                <c:pt idx="3">
                  <c:v>15.045999999999999</c:v>
                </c:pt>
                <c:pt idx="4">
                  <c:v>30.613</c:v>
                </c:pt>
                <c:pt idx="5">
                  <c:v>40.911000000000001</c:v>
                </c:pt>
                <c:pt idx="6">
                  <c:v>61.198999999999998</c:v>
                </c:pt>
                <c:pt idx="7">
                  <c:v>49.415999999999997</c:v>
                </c:pt>
                <c:pt idx="8">
                  <c:v>37.255000000000003</c:v>
                </c:pt>
                <c:pt idx="9">
                  <c:v>30.933</c:v>
                </c:pt>
                <c:pt idx="10">
                  <c:v>28.498999999999999</c:v>
                </c:pt>
                <c:pt idx="11">
                  <c:v>36.008000000000003</c:v>
                </c:pt>
                <c:pt idx="12">
                  <c:v>45.710999999999999</c:v>
                </c:pt>
                <c:pt idx="13">
                  <c:v>56.304000000000002</c:v>
                </c:pt>
                <c:pt idx="14">
                  <c:v>69.814999999999998</c:v>
                </c:pt>
                <c:pt idx="15">
                  <c:v>64.856999999999999</c:v>
                </c:pt>
                <c:pt idx="16">
                  <c:v>26.132000000000001</c:v>
                </c:pt>
                <c:pt idx="17">
                  <c:v>-79.585999999999999</c:v>
                </c:pt>
                <c:pt idx="18">
                  <c:v>-22.152999999999999</c:v>
                </c:pt>
                <c:pt idx="19">
                  <c:v>-10.071</c:v>
                </c:pt>
                <c:pt idx="20" formatCode="General">
                  <c:v>12.1</c:v>
                </c:pt>
                <c:pt idx="21" formatCode="General">
                  <c:v>126.651</c:v>
                </c:pt>
                <c:pt idx="22" formatCode="General">
                  <c:v>70.298000000000002</c:v>
                </c:pt>
                <c:pt idx="23" formatCode="General">
                  <c:v>48.523000000000003</c:v>
                </c:pt>
                <c:pt idx="24" formatCode="General">
                  <c:v>77.22</c:v>
                </c:pt>
                <c:pt idx="25" formatCode="General">
                  <c:v>86.513999999999996</c:v>
                </c:pt>
                <c:pt idx="26" formatCode="General">
                  <c:v>108.17700000000001</c:v>
                </c:pt>
                <c:pt idx="27" formatCode="General">
                  <c:v>116.53100000000001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83-4BD6-9DE4-42E463842752}"/>
            </c:ext>
          </c:extLst>
        </c:ser>
        <c:ser>
          <c:idx val="1"/>
          <c:order val="1"/>
          <c:tx>
            <c:strRef>
              <c:f>NP!$D$7</c:f>
              <c:strCache>
                <c:ptCount val="1"/>
                <c:pt idx="0">
                  <c:v>Náhrady zaměstnancům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NP!$A$16:$B$43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NP!$D$16:$D$43</c:f>
              <c:numCache>
                <c:formatCode>0.0</c:formatCode>
                <c:ptCount val="28"/>
                <c:pt idx="0">
                  <c:v>21.411999999999999</c:v>
                </c:pt>
                <c:pt idx="1">
                  <c:v>19.292000000000002</c:v>
                </c:pt>
                <c:pt idx="2">
                  <c:v>22.242999999999999</c:v>
                </c:pt>
                <c:pt idx="3">
                  <c:v>19.733000000000001</c:v>
                </c:pt>
                <c:pt idx="4">
                  <c:v>27.047000000000001</c:v>
                </c:pt>
                <c:pt idx="5">
                  <c:v>37.268999999999998</c:v>
                </c:pt>
                <c:pt idx="6">
                  <c:v>35.341999999999999</c:v>
                </c:pt>
                <c:pt idx="7">
                  <c:v>32.363999999999997</c:v>
                </c:pt>
                <c:pt idx="8">
                  <c:v>35.039000000000001</c:v>
                </c:pt>
                <c:pt idx="9">
                  <c:v>36.268000000000001</c:v>
                </c:pt>
                <c:pt idx="10">
                  <c:v>33.268999999999998</c:v>
                </c:pt>
                <c:pt idx="11">
                  <c:v>40.823</c:v>
                </c:pt>
                <c:pt idx="12">
                  <c:v>32.991</c:v>
                </c:pt>
                <c:pt idx="13">
                  <c:v>32.084000000000003</c:v>
                </c:pt>
                <c:pt idx="14">
                  <c:v>27.997</c:v>
                </c:pt>
                <c:pt idx="15">
                  <c:v>27.196000000000002</c:v>
                </c:pt>
                <c:pt idx="16">
                  <c:v>20.518999999999998</c:v>
                </c:pt>
                <c:pt idx="17">
                  <c:v>-29.218</c:v>
                </c:pt>
                <c:pt idx="18">
                  <c:v>-6.2619999999999996</c:v>
                </c:pt>
                <c:pt idx="19">
                  <c:v>1.2110000000000001</c:v>
                </c:pt>
                <c:pt idx="20" formatCode="General">
                  <c:v>-14.814</c:v>
                </c:pt>
                <c:pt idx="21" formatCode="General">
                  <c:v>47.508000000000003</c:v>
                </c:pt>
                <c:pt idx="22" formatCode="General">
                  <c:v>42.628</c:v>
                </c:pt>
                <c:pt idx="23" formatCode="General">
                  <c:v>38.332999999999998</c:v>
                </c:pt>
                <c:pt idx="24" formatCode="General">
                  <c:v>51.822000000000003</c:v>
                </c:pt>
                <c:pt idx="25" formatCode="General">
                  <c:v>51.61</c:v>
                </c:pt>
                <c:pt idx="26" formatCode="General">
                  <c:v>36.707000000000001</c:v>
                </c:pt>
                <c:pt idx="27" formatCode="General">
                  <c:v>45.319000000000003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83-4BD6-9DE4-42E463842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27"/>
        <c:axId val="779606304"/>
        <c:axId val="779603392"/>
      </c:barChart>
      <c:lineChart>
        <c:grouping val="standard"/>
        <c:varyColors val="0"/>
        <c:ser>
          <c:idx val="2"/>
          <c:order val="2"/>
          <c:tx>
            <c:strRef>
              <c:f>NP!$E$7</c:f>
              <c:strCache>
                <c:ptCount val="1"/>
                <c:pt idx="0">
                  <c:v>Míra zisku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NP!$A$16:$B$43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NP!$E$16:$E$43</c:f>
              <c:numCache>
                <c:formatCode>0.0</c:formatCode>
                <c:ptCount val="28"/>
                <c:pt idx="0">
                  <c:v>49.467836837870635</c:v>
                </c:pt>
                <c:pt idx="1">
                  <c:v>49.168482948797973</c:v>
                </c:pt>
                <c:pt idx="2">
                  <c:v>48.105800859902281</c:v>
                </c:pt>
                <c:pt idx="3">
                  <c:v>47.953305143994776</c:v>
                </c:pt>
                <c:pt idx="4">
                  <c:v>47.269787946364588</c:v>
                </c:pt>
                <c:pt idx="5">
                  <c:v>47.605381634566989</c:v>
                </c:pt>
                <c:pt idx="6">
                  <c:v>47.44588744588745</c:v>
                </c:pt>
                <c:pt idx="7">
                  <c:v>47.108619965388002</c:v>
                </c:pt>
                <c:pt idx="8">
                  <c:v>45.602266712165715</c:v>
                </c:pt>
                <c:pt idx="9">
                  <c:v>45.095328412162381</c:v>
                </c:pt>
                <c:pt idx="10">
                  <c:v>45.125437687697534</c:v>
                </c:pt>
                <c:pt idx="11">
                  <c:v>44.33068820710568</c:v>
                </c:pt>
                <c:pt idx="12">
                  <c:v>44.535233074901463</c:v>
                </c:pt>
                <c:pt idx="13">
                  <c:v>45.13907001966524</c:v>
                </c:pt>
                <c:pt idx="14">
                  <c:v>45.225928148846776</c:v>
                </c:pt>
                <c:pt idx="15">
                  <c:v>45.33734893294961</c:v>
                </c:pt>
                <c:pt idx="16">
                  <c:v>43.654297688238671</c:v>
                </c:pt>
                <c:pt idx="17" formatCode="General">
                  <c:v>44.541162703088304</c:v>
                </c:pt>
                <c:pt idx="18" formatCode="General">
                  <c:v>45.469953174921258</c:v>
                </c:pt>
                <c:pt idx="19" formatCode="General">
                  <c:v>46.697011782407714</c:v>
                </c:pt>
                <c:pt idx="20" formatCode="General">
                  <c:v>48.666885592657607</c:v>
                </c:pt>
                <c:pt idx="21" formatCode="General">
                  <c:v>47.090798132830294</c:v>
                </c:pt>
                <c:pt idx="22" formatCode="General">
                  <c:v>45.179804377815657</c:v>
                </c:pt>
                <c:pt idx="23" formatCode="General">
                  <c:v>44.305858640181377</c:v>
                </c:pt>
                <c:pt idx="24" formatCode="General">
                  <c:v>44.976739527834972</c:v>
                </c:pt>
                <c:pt idx="25" formatCode="General">
                  <c:v>45.290629233477681</c:v>
                </c:pt>
                <c:pt idx="26" formatCode="General">
                  <c:v>46.895381630026243</c:v>
                </c:pt>
                <c:pt idx="27" formatCode="General">
                  <c:v>46.870201144818417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083-4BD6-9DE4-42E463842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5184"/>
        <c:axId val="787196880"/>
      </c:lineChart>
      <c:catAx>
        <c:axId val="7796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3392"/>
        <c:crosses val="autoZero"/>
        <c:auto val="1"/>
        <c:lblAlgn val="ctr"/>
        <c:lblOffset val="100"/>
        <c:noMultiLvlLbl val="0"/>
      </c:catAx>
      <c:valAx>
        <c:axId val="779603392"/>
        <c:scaling>
          <c:orientation val="minMax"/>
          <c:min val="-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HPH, </a:t>
                </a:r>
                <a:r>
                  <a:rPr lang="cs-CZ"/>
                  <a:t>ná</a:t>
                </a:r>
                <a:r>
                  <a:rPr lang="en-US"/>
                  <a:t>hrady</a:t>
                </a:r>
                <a:r>
                  <a:rPr lang="cs-CZ"/>
                  <a:t> zaměstnancům (mld. korun)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6304"/>
        <c:crosses val="autoZero"/>
        <c:crossBetween val="between"/>
        <c:majorUnit val="30"/>
      </c:valAx>
      <c:valAx>
        <c:axId val="787196880"/>
        <c:scaling>
          <c:orientation val="minMax"/>
          <c:min val="43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Míra zisku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5184"/>
        <c:crosses val="max"/>
        <c:crossBetween val="between"/>
      </c:valAx>
      <c:catAx>
        <c:axId val="78721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19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22821681864235E-2"/>
          <c:y val="0.89978976697061808"/>
          <c:w val="0.84271572104018899"/>
          <c:h val="7.8764775413711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78765619723061E-2"/>
          <c:y val="3.9316672295395698E-2"/>
          <c:w val="0.83534806653157723"/>
          <c:h val="0.76456855791962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'NP2'!$C$6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'NP2'!$A$15:$B$42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'NP2'!$C$15:$C$42</c:f>
              <c:numCache>
                <c:formatCode>General</c:formatCode>
                <c:ptCount val="28"/>
                <c:pt idx="0">
                  <c:v>3.5840000000000001</c:v>
                </c:pt>
                <c:pt idx="1">
                  <c:v>4.2910000000000004</c:v>
                </c:pt>
                <c:pt idx="2">
                  <c:v>5.6639999999999997</c:v>
                </c:pt>
                <c:pt idx="3">
                  <c:v>13.547000000000001</c:v>
                </c:pt>
                <c:pt idx="4">
                  <c:v>8.5790000000000006</c:v>
                </c:pt>
                <c:pt idx="5">
                  <c:v>16.106000000000002</c:v>
                </c:pt>
                <c:pt idx="6">
                  <c:v>18.687000000000001</c:v>
                </c:pt>
                <c:pt idx="7">
                  <c:v>26.071999999999999</c:v>
                </c:pt>
                <c:pt idx="8">
                  <c:v>6.3949999999999996</c:v>
                </c:pt>
                <c:pt idx="9">
                  <c:v>8.6140000000000008</c:v>
                </c:pt>
                <c:pt idx="10">
                  <c:v>7.9569999999999999</c:v>
                </c:pt>
                <c:pt idx="11">
                  <c:v>16.013000000000002</c:v>
                </c:pt>
                <c:pt idx="12">
                  <c:v>17.695</c:v>
                </c:pt>
                <c:pt idx="13">
                  <c:v>13.617000000000001</c:v>
                </c:pt>
                <c:pt idx="14">
                  <c:v>25.163</c:v>
                </c:pt>
                <c:pt idx="15">
                  <c:v>32.338999999999999</c:v>
                </c:pt>
                <c:pt idx="16">
                  <c:v>-3.714</c:v>
                </c:pt>
                <c:pt idx="17">
                  <c:v>-7.29</c:v>
                </c:pt>
                <c:pt idx="18">
                  <c:v>-20.146000000000001</c:v>
                </c:pt>
                <c:pt idx="19">
                  <c:v>-40.325000000000003</c:v>
                </c:pt>
                <c:pt idx="20">
                  <c:v>1.694</c:v>
                </c:pt>
                <c:pt idx="21">
                  <c:v>16.667000000000002</c:v>
                </c:pt>
                <c:pt idx="22">
                  <c:v>12.728999999999999</c:v>
                </c:pt>
                <c:pt idx="23">
                  <c:v>23.949000000000002</c:v>
                </c:pt>
                <c:pt idx="24">
                  <c:v>34.08</c:v>
                </c:pt>
                <c:pt idx="25">
                  <c:v>45.859000000000002</c:v>
                </c:pt>
                <c:pt idx="26">
                  <c:v>47.265000000000001</c:v>
                </c:pt>
                <c:pt idx="27">
                  <c:v>45.145000000000003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13-41A1-AC4A-EFDAB3FB9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787223504"/>
        <c:axId val="787224752"/>
      </c:barChart>
      <c:lineChart>
        <c:grouping val="standard"/>
        <c:varyColors val="0"/>
        <c:ser>
          <c:idx val="1"/>
          <c:order val="1"/>
          <c:tx>
            <c:strRef>
              <c:f>'NP2'!$D$6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'NP2'!$A$15:$B$42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'NP2'!$D$15:$D$42</c:f>
              <c:numCache>
                <c:formatCode>General</c:formatCode>
                <c:ptCount val="28"/>
                <c:pt idx="0">
                  <c:v>28.379862110249565</c:v>
                </c:pt>
                <c:pt idx="1">
                  <c:v>28.595307511586714</c:v>
                </c:pt>
                <c:pt idx="2">
                  <c:v>28.747335946907032</c:v>
                </c:pt>
                <c:pt idx="3">
                  <c:v>28.044499648971215</c:v>
                </c:pt>
                <c:pt idx="4">
                  <c:v>28.999438192585288</c:v>
                </c:pt>
                <c:pt idx="5">
                  <c:v>28.683991232292005</c:v>
                </c:pt>
                <c:pt idx="6">
                  <c:v>28.863873848199866</c:v>
                </c:pt>
                <c:pt idx="7">
                  <c:v>29.300432446100576</c:v>
                </c:pt>
                <c:pt idx="8">
                  <c:v>28.283387385838154</c:v>
                </c:pt>
                <c:pt idx="9">
                  <c:v>28.745101408283162</c:v>
                </c:pt>
                <c:pt idx="10">
                  <c:v>28.924894758239024</c:v>
                </c:pt>
                <c:pt idx="11">
                  <c:v>29.967639737201772</c:v>
                </c:pt>
                <c:pt idx="12">
                  <c:v>29.225196918013658</c:v>
                </c:pt>
                <c:pt idx="13">
                  <c:v>28.094727992459028</c:v>
                </c:pt>
                <c:pt idx="14">
                  <c:v>30.071287710831569</c:v>
                </c:pt>
                <c:pt idx="15">
                  <c:v>31.147651621424888</c:v>
                </c:pt>
                <c:pt idx="16">
                  <c:v>27.920375676614572</c:v>
                </c:pt>
                <c:pt idx="17">
                  <c:v>29.719490332181799</c:v>
                </c:pt>
                <c:pt idx="18">
                  <c:v>28.227469121454984</c:v>
                </c:pt>
                <c:pt idx="19">
                  <c:v>27.031133210831083</c:v>
                </c:pt>
                <c:pt idx="20">
                  <c:v>27.59131507715934</c:v>
                </c:pt>
                <c:pt idx="21">
                  <c:v>27.654816785999238</c:v>
                </c:pt>
                <c:pt idx="22">
                  <c:v>27.444384131253795</c:v>
                </c:pt>
                <c:pt idx="23">
                  <c:v>28.157969430683536</c:v>
                </c:pt>
                <c:pt idx="24">
                  <c:v>29.398001151192521</c:v>
                </c:pt>
                <c:pt idx="25">
                  <c:v>30.050109581687494</c:v>
                </c:pt>
                <c:pt idx="26">
                  <c:v>29.303453051321966</c:v>
                </c:pt>
                <c:pt idx="27">
                  <c:v>28.894817664929374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13-41A1-AC4A-EFDAB3FB9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2272"/>
        <c:axId val="787206864"/>
      </c:lineChart>
      <c:catAx>
        <c:axId val="7872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4752"/>
        <c:crosses val="autoZero"/>
        <c:auto val="1"/>
        <c:lblAlgn val="ctr"/>
        <c:lblOffset val="100"/>
        <c:noMultiLvlLbl val="0"/>
      </c:catAx>
      <c:valAx>
        <c:axId val="787224752"/>
        <c:scaling>
          <c:orientation val="minMax"/>
          <c:max val="50"/>
          <c:min val="-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Tvorba HFK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3504"/>
        <c:crosses val="autoZero"/>
        <c:crossBetween val="between"/>
        <c:majorUnit val="10"/>
      </c:valAx>
      <c:valAx>
        <c:axId val="787206864"/>
        <c:scaling>
          <c:orientation val="minMax"/>
          <c:min val="2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2272"/>
        <c:crosses val="max"/>
        <c:crossBetween val="between"/>
      </c:valAx>
      <c:catAx>
        <c:axId val="78721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20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501013171225936E-2"/>
          <c:y val="0.92549279522683781"/>
          <c:w val="0.85512390239783864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4.5653594771241833E-2"/>
          <c:w val="0.89171162613981758"/>
          <c:h val="0.67538431372549024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VI!$F$6</c:f>
              <c:strCache>
                <c:ptCount val="1"/>
                <c:pt idx="0">
                  <c:v>Fondy sociálního zabezpečení (zdravotní pojišťovny)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VI!$A$15:$B$42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VI!$F$15:$F$42</c:f>
              <c:numCache>
                <c:formatCode>General</c:formatCode>
                <c:ptCount val="28"/>
                <c:pt idx="0">
                  <c:v>1.337</c:v>
                </c:pt>
                <c:pt idx="1">
                  <c:v>1.087</c:v>
                </c:pt>
                <c:pt idx="2">
                  <c:v>3.8919999999999999</c:v>
                </c:pt>
                <c:pt idx="3">
                  <c:v>-1.43</c:v>
                </c:pt>
                <c:pt idx="4">
                  <c:v>0.34899999999999998</c:v>
                </c:pt>
                <c:pt idx="5">
                  <c:v>4.6449999999999996</c:v>
                </c:pt>
                <c:pt idx="6">
                  <c:v>6.37</c:v>
                </c:pt>
                <c:pt idx="7">
                  <c:v>-3.1819999999999999</c:v>
                </c:pt>
                <c:pt idx="8">
                  <c:v>3.45</c:v>
                </c:pt>
                <c:pt idx="9">
                  <c:v>4.9660000000000002</c:v>
                </c:pt>
                <c:pt idx="10">
                  <c:v>6.6139999999999999</c:v>
                </c:pt>
                <c:pt idx="11">
                  <c:v>1.6160000000000001</c:v>
                </c:pt>
                <c:pt idx="12">
                  <c:v>3.3359999999999999</c:v>
                </c:pt>
                <c:pt idx="13">
                  <c:v>4.9089999999999998</c:v>
                </c:pt>
                <c:pt idx="14">
                  <c:v>5.3339999999999996</c:v>
                </c:pt>
                <c:pt idx="15">
                  <c:v>-2.1880000000000002</c:v>
                </c:pt>
                <c:pt idx="16">
                  <c:v>-4.07</c:v>
                </c:pt>
                <c:pt idx="17">
                  <c:v>-1.4410000000000001</c:v>
                </c:pt>
                <c:pt idx="18">
                  <c:v>4.4909999999999997</c:v>
                </c:pt>
                <c:pt idx="19">
                  <c:v>-10.641</c:v>
                </c:pt>
                <c:pt idx="20">
                  <c:v>4.1180000000000003</c:v>
                </c:pt>
                <c:pt idx="21">
                  <c:v>9.0719999999999992</c:v>
                </c:pt>
                <c:pt idx="22">
                  <c:v>-12.209</c:v>
                </c:pt>
                <c:pt idx="23">
                  <c:v>-10.253</c:v>
                </c:pt>
                <c:pt idx="24">
                  <c:v>3.1949999999999998</c:v>
                </c:pt>
                <c:pt idx="25">
                  <c:v>7.3520000000000003</c:v>
                </c:pt>
                <c:pt idx="26">
                  <c:v>4.5759999999999996</c:v>
                </c:pt>
                <c:pt idx="27">
                  <c:v>-17.344999999999999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8B-4324-BC23-4F4079FF65A2}"/>
            </c:ext>
          </c:extLst>
        </c:ser>
        <c:ser>
          <c:idx val="2"/>
          <c:order val="2"/>
          <c:tx>
            <c:strRef>
              <c:f>VI!$E$6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VI!$A$15:$B$42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VI!$E$15:$E$42</c:f>
              <c:numCache>
                <c:formatCode>General</c:formatCode>
                <c:ptCount val="28"/>
                <c:pt idx="0">
                  <c:v>17.620999999999999</c:v>
                </c:pt>
                <c:pt idx="1">
                  <c:v>26.577999999999999</c:v>
                </c:pt>
                <c:pt idx="2">
                  <c:v>9.0079999999999991</c:v>
                </c:pt>
                <c:pt idx="3">
                  <c:v>-3.5289999999999999</c:v>
                </c:pt>
                <c:pt idx="4">
                  <c:v>16.695</c:v>
                </c:pt>
                <c:pt idx="5">
                  <c:v>26.521000000000001</c:v>
                </c:pt>
                <c:pt idx="6">
                  <c:v>5.6349999999999998</c:v>
                </c:pt>
                <c:pt idx="7">
                  <c:v>-6.9260000000000002</c:v>
                </c:pt>
                <c:pt idx="8">
                  <c:v>15.24</c:v>
                </c:pt>
                <c:pt idx="9">
                  <c:v>24.675000000000001</c:v>
                </c:pt>
                <c:pt idx="10">
                  <c:v>-5.1619999999999999</c:v>
                </c:pt>
                <c:pt idx="11">
                  <c:v>-11.194000000000001</c:v>
                </c:pt>
                <c:pt idx="12">
                  <c:v>20.981000000000002</c:v>
                </c:pt>
                <c:pt idx="13">
                  <c:v>28.152000000000001</c:v>
                </c:pt>
                <c:pt idx="14">
                  <c:v>-1.296</c:v>
                </c:pt>
                <c:pt idx="15">
                  <c:v>-10.241</c:v>
                </c:pt>
                <c:pt idx="16">
                  <c:v>14.45</c:v>
                </c:pt>
                <c:pt idx="17">
                  <c:v>14.35</c:v>
                </c:pt>
                <c:pt idx="18">
                  <c:v>14.858000000000001</c:v>
                </c:pt>
                <c:pt idx="19">
                  <c:v>-17.312000000000001</c:v>
                </c:pt>
                <c:pt idx="20">
                  <c:v>14.379</c:v>
                </c:pt>
                <c:pt idx="21">
                  <c:v>40.017000000000003</c:v>
                </c:pt>
                <c:pt idx="22">
                  <c:v>14.627000000000001</c:v>
                </c:pt>
                <c:pt idx="23">
                  <c:v>-13.222</c:v>
                </c:pt>
                <c:pt idx="24">
                  <c:v>5.0229999999999997</c:v>
                </c:pt>
                <c:pt idx="25">
                  <c:v>62.497</c:v>
                </c:pt>
                <c:pt idx="26">
                  <c:v>4.4480000000000004</c:v>
                </c:pt>
                <c:pt idx="27">
                  <c:v>-19.216000000000001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8B-4324-BC23-4F4079FF65A2}"/>
            </c:ext>
          </c:extLst>
        </c:ser>
        <c:ser>
          <c:idx val="1"/>
          <c:order val="3"/>
          <c:tx>
            <c:strRef>
              <c:f>VI!$D$6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VI!$A$15:$B$42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VI!$D$15:$D$42</c:f>
              <c:numCache>
                <c:formatCode>General</c:formatCode>
                <c:ptCount val="28"/>
                <c:pt idx="0">
                  <c:v>-21.896999999999998</c:v>
                </c:pt>
                <c:pt idx="1">
                  <c:v>2.395</c:v>
                </c:pt>
                <c:pt idx="2">
                  <c:v>13.132</c:v>
                </c:pt>
                <c:pt idx="3">
                  <c:v>-14.051</c:v>
                </c:pt>
                <c:pt idx="4">
                  <c:v>-15.212999999999999</c:v>
                </c:pt>
                <c:pt idx="5">
                  <c:v>10.332000000000001</c:v>
                </c:pt>
                <c:pt idx="6">
                  <c:v>20.634</c:v>
                </c:pt>
                <c:pt idx="7">
                  <c:v>10.872999999999999</c:v>
                </c:pt>
                <c:pt idx="8">
                  <c:v>-16.704000000000001</c:v>
                </c:pt>
                <c:pt idx="9">
                  <c:v>11.66</c:v>
                </c:pt>
                <c:pt idx="10">
                  <c:v>14.561999999999999</c:v>
                </c:pt>
                <c:pt idx="11">
                  <c:v>-1.431</c:v>
                </c:pt>
                <c:pt idx="12">
                  <c:v>-26.315000000000001</c:v>
                </c:pt>
                <c:pt idx="13">
                  <c:v>-6.0869999999999997</c:v>
                </c:pt>
                <c:pt idx="14">
                  <c:v>12.068</c:v>
                </c:pt>
                <c:pt idx="15">
                  <c:v>-11.944000000000001</c:v>
                </c:pt>
                <c:pt idx="16">
                  <c:v>-60.658000000000001</c:v>
                </c:pt>
                <c:pt idx="17">
                  <c:v>-111.324</c:v>
                </c:pt>
                <c:pt idx="18">
                  <c:v>-62.37</c:v>
                </c:pt>
                <c:pt idx="19">
                  <c:v>-109.54900000000001</c:v>
                </c:pt>
                <c:pt idx="20">
                  <c:v>-149.547</c:v>
                </c:pt>
                <c:pt idx="21">
                  <c:v>-89.224999999999994</c:v>
                </c:pt>
                <c:pt idx="22">
                  <c:v>-45.093000000000004</c:v>
                </c:pt>
                <c:pt idx="23">
                  <c:v>-73.292000000000002</c:v>
                </c:pt>
                <c:pt idx="24">
                  <c:v>-77.22</c:v>
                </c:pt>
                <c:pt idx="25">
                  <c:v>-78.501999999999995</c:v>
                </c:pt>
                <c:pt idx="26">
                  <c:v>-75.061000000000007</c:v>
                </c:pt>
                <c:pt idx="27">
                  <c:v>-67.236000000000004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8B-4324-BC23-4F4079FF6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836024223"/>
        <c:axId val="1836025471"/>
      </c:barChart>
      <c:lineChart>
        <c:grouping val="standard"/>
        <c:varyColors val="0"/>
        <c:ser>
          <c:idx val="0"/>
          <c:order val="1"/>
          <c:tx>
            <c:strRef>
              <c:f>VI!$C$6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VI!$A$15:$B$42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VI!$C$15:$C$42</c:f>
              <c:numCache>
                <c:formatCode>General</c:formatCode>
                <c:ptCount val="28"/>
                <c:pt idx="0">
                  <c:v>-2.9390000000000001</c:v>
                </c:pt>
                <c:pt idx="1">
                  <c:v>30.06</c:v>
                </c:pt>
                <c:pt idx="2">
                  <c:v>26.032</c:v>
                </c:pt>
                <c:pt idx="3">
                  <c:v>-19.010000000000002</c:v>
                </c:pt>
                <c:pt idx="4">
                  <c:v>1.831</c:v>
                </c:pt>
                <c:pt idx="5">
                  <c:v>41.497999999999998</c:v>
                </c:pt>
                <c:pt idx="6">
                  <c:v>32.639000000000003</c:v>
                </c:pt>
                <c:pt idx="7">
                  <c:v>0.76500000000000001</c:v>
                </c:pt>
                <c:pt idx="8">
                  <c:v>1.986</c:v>
                </c:pt>
                <c:pt idx="9">
                  <c:v>41.301000000000002</c:v>
                </c:pt>
                <c:pt idx="10">
                  <c:v>16.013999999999999</c:v>
                </c:pt>
                <c:pt idx="11">
                  <c:v>-11.009</c:v>
                </c:pt>
                <c:pt idx="12">
                  <c:v>-1.998</c:v>
                </c:pt>
                <c:pt idx="13">
                  <c:v>26.974</c:v>
                </c:pt>
                <c:pt idx="14">
                  <c:v>16.106000000000002</c:v>
                </c:pt>
                <c:pt idx="15">
                  <c:v>-24.373000000000001</c:v>
                </c:pt>
                <c:pt idx="16">
                  <c:v>-50.277999999999999</c:v>
                </c:pt>
                <c:pt idx="17">
                  <c:v>-98.415000000000006</c:v>
                </c:pt>
                <c:pt idx="18">
                  <c:v>-43.021000000000001</c:v>
                </c:pt>
                <c:pt idx="19">
                  <c:v>-137.50200000000001</c:v>
                </c:pt>
                <c:pt idx="20">
                  <c:v>-131.05000000000001</c:v>
                </c:pt>
                <c:pt idx="21">
                  <c:v>-40.136000000000003</c:v>
                </c:pt>
                <c:pt idx="22">
                  <c:v>-42.674999999999997</c:v>
                </c:pt>
                <c:pt idx="23">
                  <c:v>-96.766999999999996</c:v>
                </c:pt>
                <c:pt idx="24">
                  <c:v>-69.001999999999995</c:v>
                </c:pt>
                <c:pt idx="25">
                  <c:v>-8.6530000000000005</c:v>
                </c:pt>
                <c:pt idx="26">
                  <c:v>-66.037000000000006</c:v>
                </c:pt>
                <c:pt idx="27">
                  <c:v>-103.797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98B-4324-BC23-4F4079FF6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024223"/>
        <c:axId val="1836025471"/>
      </c:lineChart>
      <c:catAx>
        <c:axId val="183602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5471"/>
        <c:crosses val="autoZero"/>
        <c:auto val="1"/>
        <c:lblAlgn val="ctr"/>
        <c:lblOffset val="100"/>
        <c:noMultiLvlLbl val="0"/>
      </c:catAx>
      <c:valAx>
        <c:axId val="1836025471"/>
        <c:scaling>
          <c:orientation val="minMax"/>
          <c:max val="75"/>
          <c:min val="-1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Saldo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4223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584979736575483E-2"/>
          <c:y val="0.84149411764705884"/>
          <c:w val="0.88776300236406624"/>
          <c:h val="0.14605490196078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204280648429587E-2"/>
          <c:y val="4.5653594771241833E-2"/>
          <c:w val="0.87830821513002355"/>
          <c:h val="0.6760251633986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'VI2'!$C$5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'VI2'!$A$14:$B$41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'VI2'!$C$14:$C$41</c:f>
              <c:numCache>
                <c:formatCode>General</c:formatCode>
                <c:ptCount val="28"/>
                <c:pt idx="0">
                  <c:v>37.271000000000001</c:v>
                </c:pt>
                <c:pt idx="1">
                  <c:v>69.44</c:v>
                </c:pt>
                <c:pt idx="2">
                  <c:v>83.290999999999997</c:v>
                </c:pt>
                <c:pt idx="3">
                  <c:v>24.291</c:v>
                </c:pt>
                <c:pt idx="4">
                  <c:v>101.614</c:v>
                </c:pt>
                <c:pt idx="5">
                  <c:v>9.9260000000000002</c:v>
                </c:pt>
                <c:pt idx="6">
                  <c:v>-29.707000000000001</c:v>
                </c:pt>
                <c:pt idx="7">
                  <c:v>-30.15</c:v>
                </c:pt>
                <c:pt idx="8">
                  <c:v>-187.25800000000001</c:v>
                </c:pt>
                <c:pt idx="9">
                  <c:v>-61.563000000000002</c:v>
                </c:pt>
                <c:pt idx="10">
                  <c:v>-37.698</c:v>
                </c:pt>
                <c:pt idx="11">
                  <c:v>-8.4459999999999997</c:v>
                </c:pt>
                <c:pt idx="12">
                  <c:v>159.285</c:v>
                </c:pt>
                <c:pt idx="13">
                  <c:v>100.34699999999999</c:v>
                </c:pt>
                <c:pt idx="14">
                  <c:v>88.245999999999995</c:v>
                </c:pt>
                <c:pt idx="15">
                  <c:v>41.860999999999997</c:v>
                </c:pt>
                <c:pt idx="16">
                  <c:v>-24.57</c:v>
                </c:pt>
                <c:pt idx="17">
                  <c:v>303.31900000000002</c:v>
                </c:pt>
                <c:pt idx="18">
                  <c:v>288.69200000000001</c:v>
                </c:pt>
                <c:pt idx="19">
                  <c:v>396.11</c:v>
                </c:pt>
                <c:pt idx="20">
                  <c:v>539.68100000000004</c:v>
                </c:pt>
                <c:pt idx="21">
                  <c:v>310.03300000000002</c:v>
                </c:pt>
                <c:pt idx="22">
                  <c:v>298.214</c:v>
                </c:pt>
                <c:pt idx="23">
                  <c:v>336.65300000000002</c:v>
                </c:pt>
                <c:pt idx="24">
                  <c:v>267.19400000000002</c:v>
                </c:pt>
                <c:pt idx="25">
                  <c:v>182.11500000000001</c:v>
                </c:pt>
                <c:pt idx="26">
                  <c:v>296.947</c:v>
                </c:pt>
                <c:pt idx="27">
                  <c:v>272.63499999999999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F8-49F8-9A61-351A6ECEF258}"/>
            </c:ext>
          </c:extLst>
        </c:ser>
        <c:ser>
          <c:idx val="1"/>
          <c:order val="1"/>
          <c:tx>
            <c:strRef>
              <c:f>'VI2'!$D$5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E9090"/>
            </a:solidFill>
            <a:ln>
              <a:noFill/>
            </a:ln>
            <a:effectLst/>
          </c:spPr>
          <c:invertIfNegative val="0"/>
          <c:cat>
            <c:multiLvlStrRef>
              <c:f>'VI2'!$A$14:$B$41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'VI2'!$D$14:$D$41</c:f>
              <c:numCache>
                <c:formatCode>General</c:formatCode>
                <c:ptCount val="28"/>
                <c:pt idx="0">
                  <c:v>-2.016</c:v>
                </c:pt>
                <c:pt idx="1">
                  <c:v>-30.206</c:v>
                </c:pt>
                <c:pt idx="2">
                  <c:v>-86.369</c:v>
                </c:pt>
                <c:pt idx="3">
                  <c:v>-79.730999999999995</c:v>
                </c:pt>
                <c:pt idx="4">
                  <c:v>-8.9580000000000002</c:v>
                </c:pt>
                <c:pt idx="5">
                  <c:v>89.825000000000003</c:v>
                </c:pt>
                <c:pt idx="6">
                  <c:v>-17.864999999999998</c:v>
                </c:pt>
                <c:pt idx="7">
                  <c:v>39.607999999999997</c:v>
                </c:pt>
                <c:pt idx="8">
                  <c:v>110.06399999999999</c:v>
                </c:pt>
                <c:pt idx="9">
                  <c:v>-73.570999999999998</c:v>
                </c:pt>
                <c:pt idx="10">
                  <c:v>42.71</c:v>
                </c:pt>
                <c:pt idx="11">
                  <c:v>-40.204999999999998</c:v>
                </c:pt>
                <c:pt idx="12">
                  <c:v>-178.68899999999999</c:v>
                </c:pt>
                <c:pt idx="13">
                  <c:v>-72.613</c:v>
                </c:pt>
                <c:pt idx="14">
                  <c:v>-42.478000000000002</c:v>
                </c:pt>
                <c:pt idx="15">
                  <c:v>0.13200000000000001</c:v>
                </c:pt>
                <c:pt idx="16">
                  <c:v>65.55</c:v>
                </c:pt>
                <c:pt idx="17">
                  <c:v>130.24100000000001</c:v>
                </c:pt>
                <c:pt idx="18">
                  <c:v>100.735</c:v>
                </c:pt>
                <c:pt idx="19">
                  <c:v>19.956</c:v>
                </c:pt>
                <c:pt idx="20">
                  <c:v>-42.252000000000002</c:v>
                </c:pt>
                <c:pt idx="21">
                  <c:v>-110.548</c:v>
                </c:pt>
                <c:pt idx="22">
                  <c:v>-85.460999999999999</c:v>
                </c:pt>
                <c:pt idx="23">
                  <c:v>9.3879999999999999</c:v>
                </c:pt>
                <c:pt idx="24">
                  <c:v>12.741</c:v>
                </c:pt>
                <c:pt idx="25">
                  <c:v>28.202000000000002</c:v>
                </c:pt>
                <c:pt idx="26">
                  <c:v>86.478999999999999</c:v>
                </c:pt>
                <c:pt idx="27">
                  <c:v>-33.298000000000002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F8-49F8-9A61-351A6ECEF258}"/>
            </c:ext>
          </c:extLst>
        </c:ser>
        <c:ser>
          <c:idx val="2"/>
          <c:order val="2"/>
          <c:tx>
            <c:strRef>
              <c:f>'VI2'!$E$5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'VI2'!$A$14:$B$41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'VI2'!$E$14:$E$41</c:f>
              <c:numCache>
                <c:formatCode>General</c:formatCode>
                <c:ptCount val="28"/>
                <c:pt idx="0">
                  <c:v>-6.1390000000000002</c:v>
                </c:pt>
                <c:pt idx="1">
                  <c:v>-4.306</c:v>
                </c:pt>
                <c:pt idx="2">
                  <c:v>-5.09</c:v>
                </c:pt>
                <c:pt idx="3">
                  <c:v>-22.616</c:v>
                </c:pt>
                <c:pt idx="4">
                  <c:v>-22.443000000000001</c:v>
                </c:pt>
                <c:pt idx="5">
                  <c:v>-21.582999999999998</c:v>
                </c:pt>
                <c:pt idx="6">
                  <c:v>-23.733000000000001</c:v>
                </c:pt>
                <c:pt idx="7">
                  <c:v>-12.262</c:v>
                </c:pt>
                <c:pt idx="8">
                  <c:v>-12.497999999999999</c:v>
                </c:pt>
                <c:pt idx="9">
                  <c:v>-10.695</c:v>
                </c:pt>
                <c:pt idx="10">
                  <c:v>-8.8230000000000004</c:v>
                </c:pt>
                <c:pt idx="11">
                  <c:v>-11.949</c:v>
                </c:pt>
                <c:pt idx="12">
                  <c:v>-9.83</c:v>
                </c:pt>
                <c:pt idx="13">
                  <c:v>-9.6769999999999996</c:v>
                </c:pt>
                <c:pt idx="14">
                  <c:v>-6.806</c:v>
                </c:pt>
                <c:pt idx="15">
                  <c:v>-2.5350000000000001</c:v>
                </c:pt>
                <c:pt idx="16">
                  <c:v>1.1910000000000001</c:v>
                </c:pt>
                <c:pt idx="17">
                  <c:v>2.137</c:v>
                </c:pt>
                <c:pt idx="18">
                  <c:v>8.7710000000000008</c:v>
                </c:pt>
                <c:pt idx="19">
                  <c:v>2.0659999999999998</c:v>
                </c:pt>
                <c:pt idx="20">
                  <c:v>50.624000000000002</c:v>
                </c:pt>
                <c:pt idx="21">
                  <c:v>47.749000000000002</c:v>
                </c:pt>
                <c:pt idx="22">
                  <c:v>46.271000000000001</c:v>
                </c:pt>
                <c:pt idx="23">
                  <c:v>49.628</c:v>
                </c:pt>
                <c:pt idx="24">
                  <c:v>-4.6859999999999999</c:v>
                </c:pt>
                <c:pt idx="25">
                  <c:v>-2.109</c:v>
                </c:pt>
                <c:pt idx="26">
                  <c:v>-6.1980000000000004</c:v>
                </c:pt>
                <c:pt idx="27">
                  <c:v>53.430999999999997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F8-49F8-9A61-351A6ECEF258}"/>
            </c:ext>
          </c:extLst>
        </c:ser>
        <c:ser>
          <c:idx val="3"/>
          <c:order val="3"/>
          <c:tx>
            <c:strRef>
              <c:f>'VI2'!$F$5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'VI2'!$A$14:$B$41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'VI2'!$F$14:$F$41</c:f>
              <c:numCache>
                <c:formatCode>General</c:formatCode>
                <c:ptCount val="28"/>
                <c:pt idx="0">
                  <c:v>-3.3530000000000002</c:v>
                </c:pt>
                <c:pt idx="1">
                  <c:v>-12.811</c:v>
                </c:pt>
                <c:pt idx="2">
                  <c:v>-10.784000000000001</c:v>
                </c:pt>
                <c:pt idx="3">
                  <c:v>-5.4210000000000003</c:v>
                </c:pt>
                <c:pt idx="4">
                  <c:v>-2.968</c:v>
                </c:pt>
                <c:pt idx="5">
                  <c:v>-1.4670000000000001</c:v>
                </c:pt>
                <c:pt idx="6">
                  <c:v>0.63</c:v>
                </c:pt>
                <c:pt idx="7">
                  <c:v>1.002</c:v>
                </c:pt>
                <c:pt idx="8">
                  <c:v>1.8140000000000001</c:v>
                </c:pt>
                <c:pt idx="9">
                  <c:v>53.356999999999999</c:v>
                </c:pt>
                <c:pt idx="10">
                  <c:v>50.372</c:v>
                </c:pt>
                <c:pt idx="11">
                  <c:v>42.76</c:v>
                </c:pt>
                <c:pt idx="12">
                  <c:v>34.055</c:v>
                </c:pt>
                <c:pt idx="13">
                  <c:v>-27.446000000000002</c:v>
                </c:pt>
                <c:pt idx="14">
                  <c:v>-33.340000000000003</c:v>
                </c:pt>
                <c:pt idx="15">
                  <c:v>-30.263000000000002</c:v>
                </c:pt>
                <c:pt idx="16">
                  <c:v>5.1239999999999997</c:v>
                </c:pt>
                <c:pt idx="17">
                  <c:v>7.8109999999999999</c:v>
                </c:pt>
                <c:pt idx="18">
                  <c:v>-13.019</c:v>
                </c:pt>
                <c:pt idx="19">
                  <c:v>-14.334</c:v>
                </c:pt>
                <c:pt idx="20">
                  <c:v>76.912000000000006</c:v>
                </c:pt>
                <c:pt idx="21">
                  <c:v>0.82799999999999996</c:v>
                </c:pt>
                <c:pt idx="22">
                  <c:v>-4.3040000000000003</c:v>
                </c:pt>
                <c:pt idx="23">
                  <c:v>16.015000000000001</c:v>
                </c:pt>
                <c:pt idx="24">
                  <c:v>-102.806</c:v>
                </c:pt>
                <c:pt idx="25">
                  <c:v>76.260000000000005</c:v>
                </c:pt>
                <c:pt idx="26">
                  <c:v>170.92400000000001</c:v>
                </c:pt>
                <c:pt idx="27">
                  <c:v>131.446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F8-49F8-9A61-351A6ECEF258}"/>
            </c:ext>
          </c:extLst>
        </c:ser>
        <c:ser>
          <c:idx val="4"/>
          <c:order val="4"/>
          <c:tx>
            <c:strRef>
              <c:f>'VI2'!$G$5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'VI2'!$A$14:$B$41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'VI2'!$G$14:$G$41</c:f>
              <c:numCache>
                <c:formatCode>General</c:formatCode>
                <c:ptCount val="28"/>
                <c:pt idx="0">
                  <c:v>-2.9249999999999998</c:v>
                </c:pt>
                <c:pt idx="1">
                  <c:v>0.24399999999999999</c:v>
                </c:pt>
                <c:pt idx="2">
                  <c:v>3.173</c:v>
                </c:pt>
                <c:pt idx="3">
                  <c:v>2.1669999999999998</c:v>
                </c:pt>
                <c:pt idx="4">
                  <c:v>-0.40899999999999997</c:v>
                </c:pt>
                <c:pt idx="5">
                  <c:v>-3.468</c:v>
                </c:pt>
                <c:pt idx="6">
                  <c:v>-1.865</c:v>
                </c:pt>
                <c:pt idx="7">
                  <c:v>-3.258</c:v>
                </c:pt>
                <c:pt idx="8">
                  <c:v>-2.6560000000000001</c:v>
                </c:pt>
                <c:pt idx="9">
                  <c:v>-1.3320000000000001</c:v>
                </c:pt>
                <c:pt idx="10">
                  <c:v>-7.0730000000000004</c:v>
                </c:pt>
                <c:pt idx="11">
                  <c:v>2.7650000000000001</c:v>
                </c:pt>
                <c:pt idx="12">
                  <c:v>-2.7530000000000001</c:v>
                </c:pt>
                <c:pt idx="13">
                  <c:v>-3.827</c:v>
                </c:pt>
                <c:pt idx="14">
                  <c:v>0.35099999999999998</c:v>
                </c:pt>
                <c:pt idx="15">
                  <c:v>-3.5339999999999998</c:v>
                </c:pt>
                <c:pt idx="16">
                  <c:v>6.2709999999999999</c:v>
                </c:pt>
                <c:pt idx="17">
                  <c:v>4.931</c:v>
                </c:pt>
                <c:pt idx="18">
                  <c:v>3.0760000000000001</c:v>
                </c:pt>
                <c:pt idx="19">
                  <c:v>5.7610000000000001</c:v>
                </c:pt>
                <c:pt idx="20">
                  <c:v>-1.653</c:v>
                </c:pt>
                <c:pt idx="21">
                  <c:v>3.8149999999999999</c:v>
                </c:pt>
                <c:pt idx="22">
                  <c:v>5.4320000000000004</c:v>
                </c:pt>
                <c:pt idx="23">
                  <c:v>5.2249999999999996</c:v>
                </c:pt>
                <c:pt idx="24">
                  <c:v>-0.84</c:v>
                </c:pt>
                <c:pt idx="25">
                  <c:v>-7.7539999999999996</c:v>
                </c:pt>
                <c:pt idx="26">
                  <c:v>1.837</c:v>
                </c:pt>
                <c:pt idx="27">
                  <c:v>6.1379999999999999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F8-49F8-9A61-351A6ECEF2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00462447"/>
        <c:axId val="1700462863"/>
      </c:barChart>
      <c:lineChart>
        <c:grouping val="standard"/>
        <c:varyColors val="0"/>
        <c:ser>
          <c:idx val="5"/>
          <c:order val="5"/>
          <c:tx>
            <c:strRef>
              <c:f>'VI2'!$H$5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'VI2'!$A$14:$B$41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'VI2'!$H$14:$H$41</c:f>
              <c:numCache>
                <c:formatCode>General</c:formatCode>
                <c:ptCount val="28"/>
                <c:pt idx="0">
                  <c:v>22.838000000000001</c:v>
                </c:pt>
                <c:pt idx="1">
                  <c:v>22.361000000000001</c:v>
                </c:pt>
                <c:pt idx="2">
                  <c:v>-15.779</c:v>
                </c:pt>
                <c:pt idx="3">
                  <c:v>-81.31</c:v>
                </c:pt>
                <c:pt idx="4">
                  <c:v>66.835999999999999</c:v>
                </c:pt>
                <c:pt idx="5">
                  <c:v>73.233000000000004</c:v>
                </c:pt>
                <c:pt idx="6">
                  <c:v>-72.540000000000006</c:v>
                </c:pt>
                <c:pt idx="7">
                  <c:v>-5.0599999999999996</c:v>
                </c:pt>
                <c:pt idx="8">
                  <c:v>-90.534000000000006</c:v>
                </c:pt>
                <c:pt idx="9">
                  <c:v>-93.804000000000002</c:v>
                </c:pt>
                <c:pt idx="10">
                  <c:v>39.488</c:v>
                </c:pt>
                <c:pt idx="11">
                  <c:v>-15.074999999999999</c:v>
                </c:pt>
                <c:pt idx="12">
                  <c:v>2.0680000000000001</c:v>
                </c:pt>
                <c:pt idx="13">
                  <c:v>-13.215999999999999</c:v>
                </c:pt>
                <c:pt idx="14">
                  <c:v>5.9729999999999999</c:v>
                </c:pt>
                <c:pt idx="15">
                  <c:v>5.6609999999999996</c:v>
                </c:pt>
                <c:pt idx="16">
                  <c:v>53.566000000000003</c:v>
                </c:pt>
                <c:pt idx="17">
                  <c:v>448.43900000000002</c:v>
                </c:pt>
                <c:pt idx="18">
                  <c:v>388.255</c:v>
                </c:pt>
                <c:pt idx="19">
                  <c:v>409.55900000000003</c:v>
                </c:pt>
                <c:pt idx="20">
                  <c:v>623.31200000000001</c:v>
                </c:pt>
                <c:pt idx="21">
                  <c:v>251.87700000000001</c:v>
                </c:pt>
                <c:pt idx="22">
                  <c:v>260.15199999999999</c:v>
                </c:pt>
                <c:pt idx="23">
                  <c:v>416.90899999999999</c:v>
                </c:pt>
                <c:pt idx="24">
                  <c:v>171.60300000000001</c:v>
                </c:pt>
                <c:pt idx="25">
                  <c:v>276.714</c:v>
                </c:pt>
                <c:pt idx="26">
                  <c:v>549.98900000000003</c:v>
                </c:pt>
                <c:pt idx="27">
                  <c:v>430.35199999999998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9F8-49F8-9A61-351A6ECEF2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462447"/>
        <c:axId val="1700462863"/>
      </c:lineChart>
      <c:catAx>
        <c:axId val="170046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863"/>
        <c:crosses val="autoZero"/>
        <c:auto val="1"/>
        <c:lblAlgn val="ctr"/>
        <c:lblOffset val="100"/>
        <c:noMultiLvlLbl val="0"/>
      </c:catAx>
      <c:valAx>
        <c:axId val="1700462863"/>
        <c:scaling>
          <c:orientation val="minMax"/>
          <c:max val="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dluhu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6288660130718953"/>
          <c:w val="0.89207911178655863"/>
          <c:h val="0.11221143790849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16957953394123"/>
          <c:y val="4.5653594771241833E-2"/>
          <c:w val="0.80265725261735887"/>
          <c:h val="0.7266225490196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Dom!$C$4</c:f>
              <c:strCache>
                <c:ptCount val="1"/>
                <c:pt idx="0">
                  <c:v>Výdaje na tvorbu hrubého fixního kapitálu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Dom!$A$13:$B$40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Dom!$C$13:$C$40</c:f>
              <c:numCache>
                <c:formatCode>General</c:formatCode>
                <c:ptCount val="28"/>
                <c:pt idx="0">
                  <c:v>0.42799999999999999</c:v>
                </c:pt>
                <c:pt idx="1">
                  <c:v>4.4530000000000003</c:v>
                </c:pt>
                <c:pt idx="2">
                  <c:v>2.6150000000000002</c:v>
                </c:pt>
                <c:pt idx="3">
                  <c:v>10.651999999999999</c:v>
                </c:pt>
                <c:pt idx="4">
                  <c:v>-3.9460000000000002</c:v>
                </c:pt>
                <c:pt idx="5">
                  <c:v>-5.0069999999999997</c:v>
                </c:pt>
                <c:pt idx="6">
                  <c:v>-2.9910000000000001</c:v>
                </c:pt>
                <c:pt idx="7">
                  <c:v>-9.234</c:v>
                </c:pt>
                <c:pt idx="8">
                  <c:v>9.016</c:v>
                </c:pt>
                <c:pt idx="9">
                  <c:v>10.769</c:v>
                </c:pt>
                <c:pt idx="10">
                  <c:v>14.337999999999999</c:v>
                </c:pt>
                <c:pt idx="11">
                  <c:v>14.686</c:v>
                </c:pt>
                <c:pt idx="12">
                  <c:v>7.1550000000000002</c:v>
                </c:pt>
                <c:pt idx="13">
                  <c:v>7.4320000000000004</c:v>
                </c:pt>
                <c:pt idx="14">
                  <c:v>8.4429999999999996</c:v>
                </c:pt>
                <c:pt idx="15">
                  <c:v>8.8279999999999994</c:v>
                </c:pt>
                <c:pt idx="16">
                  <c:v>1.732</c:v>
                </c:pt>
                <c:pt idx="17">
                  <c:v>1.119</c:v>
                </c:pt>
                <c:pt idx="18">
                  <c:v>-4.2069999999999999</c:v>
                </c:pt>
                <c:pt idx="19">
                  <c:v>5.1470000000000002</c:v>
                </c:pt>
                <c:pt idx="20">
                  <c:v>-2.9239999999999999</c:v>
                </c:pt>
                <c:pt idx="21">
                  <c:v>7.0570000000000004</c:v>
                </c:pt>
                <c:pt idx="22">
                  <c:v>8.093</c:v>
                </c:pt>
                <c:pt idx="23">
                  <c:v>5.0739999999999998</c:v>
                </c:pt>
                <c:pt idx="24">
                  <c:v>17.210999999999999</c:v>
                </c:pt>
                <c:pt idx="25">
                  <c:v>9.5980000000000008</c:v>
                </c:pt>
                <c:pt idx="26">
                  <c:v>9.6189999999999998</c:v>
                </c:pt>
                <c:pt idx="27">
                  <c:v>10.202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3A-4FDF-AE62-326E44A50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043804271"/>
        <c:axId val="2043808015"/>
      </c:barChart>
      <c:lineChart>
        <c:grouping val="standard"/>
        <c:varyColors val="0"/>
        <c:ser>
          <c:idx val="1"/>
          <c:order val="1"/>
          <c:tx>
            <c:strRef>
              <c:f>Dom!$D$4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multiLvlStrRef>
              <c:f>Dom!$A$13:$B$40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Dom!$D$13:$D$40</c:f>
              <c:numCache>
                <c:formatCode>0.0</c:formatCode>
                <c:ptCount val="28"/>
                <c:pt idx="0">
                  <c:v>11.652416401560984</c:v>
                </c:pt>
                <c:pt idx="1">
                  <c:v>11.739988266848123</c:v>
                </c:pt>
                <c:pt idx="2">
                  <c:v>11.565313809834622</c:v>
                </c:pt>
                <c:pt idx="3">
                  <c:v>10.476493180540702</c:v>
                </c:pt>
                <c:pt idx="4">
                  <c:v>11.703766136905232</c:v>
                </c:pt>
                <c:pt idx="5">
                  <c:v>11.84160116157558</c:v>
                </c:pt>
                <c:pt idx="6">
                  <c:v>11.252178021913116</c:v>
                </c:pt>
                <c:pt idx="7">
                  <c:v>11.622274626978026</c:v>
                </c:pt>
                <c:pt idx="8">
                  <c:v>11.768529819260827</c:v>
                </c:pt>
                <c:pt idx="9">
                  <c:v>12.500296496596219</c:v>
                </c:pt>
                <c:pt idx="10">
                  <c:v>11.182312781217981</c:v>
                </c:pt>
                <c:pt idx="11">
                  <c:v>13.020491068761576</c:v>
                </c:pt>
                <c:pt idx="12">
                  <c:v>12.777100852925313</c:v>
                </c:pt>
                <c:pt idx="13">
                  <c:v>13.360672640940569</c:v>
                </c:pt>
                <c:pt idx="14">
                  <c:v>12.744526135405474</c:v>
                </c:pt>
                <c:pt idx="15">
                  <c:v>13.654959960191043</c:v>
                </c:pt>
                <c:pt idx="16">
                  <c:v>16.191223548925013</c:v>
                </c:pt>
                <c:pt idx="17">
                  <c:v>19.523649649451961</c:v>
                </c:pt>
                <c:pt idx="18" formatCode="General">
                  <c:v>17.454232188353824</c:v>
                </c:pt>
                <c:pt idx="19" formatCode="General">
                  <c:v>23.93303045724878</c:v>
                </c:pt>
                <c:pt idx="20" formatCode="General">
                  <c:v>22.071420555853418</c:v>
                </c:pt>
                <c:pt idx="21" formatCode="General">
                  <c:v>19.392365527154848</c:v>
                </c:pt>
                <c:pt idx="22" formatCode="General">
                  <c:v>16.14444628649164</c:v>
                </c:pt>
                <c:pt idx="23" formatCode="General">
                  <c:v>20.168806977232634</c:v>
                </c:pt>
                <c:pt idx="24" formatCode="General">
                  <c:v>16.159511924570161</c:v>
                </c:pt>
                <c:pt idx="25" formatCode="General">
                  <c:v>14.792825502242838</c:v>
                </c:pt>
                <c:pt idx="26" formatCode="General">
                  <c:v>16.171719397747164</c:v>
                </c:pt>
                <c:pt idx="27" formatCode="General">
                  <c:v>21.680422301697728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3A-4FDF-AE62-326E44A50CBB}"/>
            </c:ext>
          </c:extLst>
        </c:ser>
        <c:ser>
          <c:idx val="2"/>
          <c:order val="2"/>
          <c:tx>
            <c:strRef>
              <c:f>Dom!$E$4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Dom!$A$13:$B$40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Dom!$E$13:$E$40</c:f>
              <c:numCache>
                <c:formatCode>0.0</c:formatCode>
                <c:ptCount val="28"/>
                <c:pt idx="0">
                  <c:v>9.0960230141113687</c:v>
                </c:pt>
                <c:pt idx="1">
                  <c:v>9.2513835739053434</c:v>
                </c:pt>
                <c:pt idx="2">
                  <c:v>9.1108262623561895</c:v>
                </c:pt>
                <c:pt idx="3">
                  <c:v>9.1072778998163422</c:v>
                </c:pt>
                <c:pt idx="4">
                  <c:v>7.968857061430902</c:v>
                </c:pt>
                <c:pt idx="5">
                  <c:v>7.6596607400273991</c:v>
                </c:pt>
                <c:pt idx="6">
                  <c:v>7.7070966598741926</c:v>
                </c:pt>
                <c:pt idx="7">
                  <c:v>7.7766051851755336</c:v>
                </c:pt>
                <c:pt idx="8">
                  <c:v>8.5126358104244364</c:v>
                </c:pt>
                <c:pt idx="9">
                  <c:v>8.8766197434641683</c:v>
                </c:pt>
                <c:pt idx="10">
                  <c:v>9.2459460061478147</c:v>
                </c:pt>
                <c:pt idx="11">
                  <c:v>9.3405981675890271</c:v>
                </c:pt>
                <c:pt idx="12">
                  <c:v>9.3930980298157642</c:v>
                </c:pt>
                <c:pt idx="13">
                  <c:v>9.4353240908723084</c:v>
                </c:pt>
                <c:pt idx="14">
                  <c:v>9.6060428502942035</c:v>
                </c:pt>
                <c:pt idx="15">
                  <c:v>9.4602705572741126</c:v>
                </c:pt>
                <c:pt idx="16">
                  <c:v>9.4611757901723212</c:v>
                </c:pt>
                <c:pt idx="17">
                  <c:v>9.5878345018267996</c:v>
                </c:pt>
                <c:pt idx="18" formatCode="General">
                  <c:v>9.189436360857389</c:v>
                </c:pt>
                <c:pt idx="19" formatCode="General">
                  <c:v>9.222613922146234</c:v>
                </c:pt>
                <c:pt idx="20" formatCode="General">
                  <c:v>9.0746998167105151</c:v>
                </c:pt>
                <c:pt idx="21" formatCode="General">
                  <c:v>9.1088382658282505</c:v>
                </c:pt>
                <c:pt idx="22" formatCode="General">
                  <c:v>9.3845641931892079</c:v>
                </c:pt>
                <c:pt idx="23" formatCode="General">
                  <c:v>9.415109303321163</c:v>
                </c:pt>
                <c:pt idx="24" formatCode="General">
                  <c:v>9.6492512479201338</c:v>
                </c:pt>
                <c:pt idx="25" formatCode="General">
                  <c:v>9.5060587854003415</c:v>
                </c:pt>
                <c:pt idx="26" formatCode="General">
                  <c:v>9.3766242406350191</c:v>
                </c:pt>
                <c:pt idx="27" formatCode="General">
                  <c:v>9.3675975532673252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93A-4FDF-AE62-326E44A50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2767"/>
        <c:axId val="161119023"/>
      </c:lineChart>
      <c:catAx>
        <c:axId val="204380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8015"/>
        <c:crosses val="autoZero"/>
        <c:auto val="1"/>
        <c:lblAlgn val="ctr"/>
        <c:lblOffset val="100"/>
        <c:noMultiLvlLbl val="0"/>
      </c:catAx>
      <c:valAx>
        <c:axId val="2043808015"/>
        <c:scaling>
          <c:orientation val="minMax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4271"/>
        <c:crosses val="autoZero"/>
        <c:crossBetween val="between"/>
      </c:valAx>
      <c:valAx>
        <c:axId val="161119023"/>
        <c:scaling>
          <c:orientation val="minMax"/>
          <c:max val="25"/>
          <c:min val="7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investic, míra úspor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1122767"/>
        <c:crosses val="max"/>
        <c:crossBetween val="between"/>
        <c:majorUnit val="3"/>
      </c:valAx>
      <c:catAx>
        <c:axId val="1611227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190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AFEB6-A036-4369-8B39-9EA6625BA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4FB55-C68B-43DA-ADE9-9FF208F999B7}"/>
</file>

<file path=customXml/itemProps3.xml><?xml version="1.0" encoding="utf-8"?>
<ds:datastoreItem xmlns:ds="http://schemas.openxmlformats.org/officeDocument/2006/customXml" ds:itemID="{C60515FA-F9EF-4709-A381-F6F7325B13D1}"/>
</file>

<file path=customXml/itemProps4.xml><?xml version="1.0" encoding="utf-8"?>
<ds:datastoreItem xmlns:ds="http://schemas.openxmlformats.org/officeDocument/2006/customXml" ds:itemID="{9830FB9B-F300-482A-97A2-9C32FEB2DB49}"/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0</TotalTime>
  <Pages>12</Pages>
  <Words>4142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28524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Karolína Zábojníková</cp:lastModifiedBy>
  <cp:revision>2</cp:revision>
  <dcterms:created xsi:type="dcterms:W3CDTF">2023-04-24T06:25:00Z</dcterms:created>
  <dcterms:modified xsi:type="dcterms:W3CDTF">2023-04-24T06:25:00Z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