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614670EA" w:rsidR="00867569" w:rsidRPr="00BD40CD" w:rsidRDefault="00E330F7" w:rsidP="00E42E00">
      <w:pPr>
        <w:pStyle w:val="Datum"/>
      </w:pPr>
      <w:r>
        <w:t>2</w:t>
      </w:r>
      <w:r w:rsidR="00521DD5">
        <w:t>6</w:t>
      </w:r>
      <w:r w:rsidR="00F03815" w:rsidRPr="00BD40CD">
        <w:t>. </w:t>
      </w:r>
      <w:r w:rsidR="00521DD5">
        <w:t>července</w:t>
      </w:r>
      <w:r w:rsidR="007F6239" w:rsidRPr="00BD40CD">
        <w:t xml:space="preserve"> 202</w:t>
      </w:r>
      <w:r w:rsidR="006929F3">
        <w:t>2</w:t>
      </w:r>
    </w:p>
    <w:p w14:paraId="0B263346" w14:textId="25843E8F"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521DD5">
        <w:t>1</w:t>
      </w:r>
      <w:r w:rsidRPr="00BD40CD">
        <w:t>.</w:t>
      </w:r>
      <w:r w:rsidR="00F03815" w:rsidRPr="00BD40CD">
        <w:t> čtvrtlet</w:t>
      </w:r>
      <w:r w:rsidRPr="00BD40CD">
        <w:t>í 202</w:t>
      </w:r>
      <w:r w:rsidR="00521DD5">
        <w:t>2</w:t>
      </w:r>
    </w:p>
    <w:p w14:paraId="2D26F2BC" w14:textId="4C3A6865" w:rsidR="00B92E7A" w:rsidRPr="00813226" w:rsidRDefault="00E46082" w:rsidP="000302A6">
      <w:pPr>
        <w:pStyle w:val="Perex"/>
        <w:spacing w:after="120"/>
      </w:pPr>
      <w:r w:rsidRPr="00813226">
        <w:t xml:space="preserve">V </w:t>
      </w:r>
      <w:r w:rsidR="00813226">
        <w:t>1</w:t>
      </w:r>
      <w:r w:rsidRPr="00813226">
        <w:t>.</w:t>
      </w:r>
      <w:r w:rsidR="0032347E" w:rsidRPr="00813226">
        <w:t> čtvrtlet</w:t>
      </w:r>
      <w:r w:rsidRPr="00813226">
        <w:t>í 202</w:t>
      </w:r>
      <w:r w:rsidR="00813226">
        <w:t>2</w:t>
      </w:r>
      <w:r w:rsidRPr="00813226">
        <w:t xml:space="preserve"> </w:t>
      </w:r>
      <w:r w:rsidR="0006007D">
        <w:t>h</w:t>
      </w:r>
      <w:r w:rsidR="00813226">
        <w:t>rubá</w:t>
      </w:r>
      <w:r w:rsidRPr="00813226">
        <w:t xml:space="preserve"> přidan</w:t>
      </w:r>
      <w:r w:rsidR="00813226">
        <w:t>á</w:t>
      </w:r>
      <w:r w:rsidRPr="00813226">
        <w:t xml:space="preserve"> hodnot</w:t>
      </w:r>
      <w:r w:rsidR="00813226">
        <w:t>a</w:t>
      </w:r>
      <w:r w:rsidRPr="00813226">
        <w:t xml:space="preserve"> nefinančních podniků</w:t>
      </w:r>
      <w:r w:rsidR="00813226">
        <w:t xml:space="preserve"> reálně meziročně vzrostla</w:t>
      </w:r>
      <w:r w:rsidR="009F2D91">
        <w:t>.</w:t>
      </w:r>
      <w:r w:rsidRPr="00813226">
        <w:t xml:space="preserve"> </w:t>
      </w:r>
      <w:r w:rsidR="009F2D91">
        <w:t>Příjmy domácností meziročně reálně klesly.</w:t>
      </w:r>
      <w:r w:rsidR="0006007D">
        <w:t xml:space="preserve"> Silně rostoucí cenová hladina zvyšovala obavy domácností z dalšího ekonomického vývoje</w:t>
      </w:r>
      <w:r w:rsidR="002442F7">
        <w:t xml:space="preserve"> a</w:t>
      </w:r>
      <w:r w:rsidR="0006007D">
        <w:t xml:space="preserve"> jejich spotřeba tak o</w:t>
      </w:r>
      <w:r w:rsidR="009F2D91">
        <w:t xml:space="preserve">proti konci roku 2021 reálně </w:t>
      </w:r>
      <w:r w:rsidR="0006007D">
        <w:t>klesla</w:t>
      </w:r>
      <w:r w:rsidR="009F2D91">
        <w:t>. Deficit hospodaření s</w:t>
      </w:r>
      <w:r w:rsidRPr="00813226">
        <w:t>ektor</w:t>
      </w:r>
      <w:r w:rsidR="009F2D91">
        <w:t>u</w:t>
      </w:r>
      <w:r w:rsidRPr="00813226">
        <w:t xml:space="preserve"> vládních institucí</w:t>
      </w:r>
      <w:r w:rsidR="009F2D91">
        <w:t xml:space="preserve"> se meziročně zmírnil.</w:t>
      </w:r>
    </w:p>
    <w:p w14:paraId="284FBAAC" w14:textId="5B1D34A7" w:rsidR="00066E38" w:rsidRPr="00521DD5" w:rsidRDefault="008F35E4" w:rsidP="000302A6">
      <w:pPr>
        <w:pStyle w:val="Nadpis1"/>
        <w:spacing w:after="120"/>
      </w:pPr>
      <w:r w:rsidRPr="00521DD5">
        <w:t>Nefinanční podniky</w:t>
      </w:r>
    </w:p>
    <w:p w14:paraId="50E27F52" w14:textId="2360C81A" w:rsidR="00922570" w:rsidRDefault="0029200A" w:rsidP="009F7FD8">
      <w:pPr>
        <w:spacing w:after="120"/>
      </w:pPr>
      <w:r>
        <w:t xml:space="preserve">V 1. čtvrtletí 2022 pokračovalo postupné zotavování ekonomiky z pandemické krize. </w:t>
      </w:r>
      <w:r w:rsidR="00426645">
        <w:t xml:space="preserve">Především </w:t>
      </w:r>
      <w:r w:rsidR="004847D1">
        <w:t xml:space="preserve">ve službách a obchodu se výrazně zlepšila situace </w:t>
      </w:r>
      <w:r w:rsidR="00426645">
        <w:t>ve srovnání se stejným obdobím roku</w:t>
      </w:r>
      <w:r w:rsidR="002442F7">
        <w:t xml:space="preserve"> 2021</w:t>
      </w:r>
      <w:r w:rsidR="00426645">
        <w:t>. Na druhé straně</w:t>
      </w:r>
      <w:r w:rsidR="00B043D9">
        <w:t xml:space="preserve"> byly v </w:t>
      </w:r>
      <w:r w:rsidR="00426645">
        <w:t>průmysl</w:t>
      </w:r>
      <w:r w:rsidR="00B043D9">
        <w:t>u meziročně větší problémy</w:t>
      </w:r>
      <w:r w:rsidR="00426645">
        <w:t xml:space="preserve"> s narušením dodavatelských řetězců a nedostatkem </w:t>
      </w:r>
      <w:r w:rsidR="002442F7">
        <w:t xml:space="preserve">výrobních </w:t>
      </w:r>
      <w:r w:rsidR="00426645">
        <w:t>komponent.</w:t>
      </w:r>
      <w:r w:rsidR="004847D1">
        <w:t xml:space="preserve"> Oproti konci roku 2021 byla situace opačná – oslabení spotřeby domácností růst služeb a obchodu </w:t>
      </w:r>
      <w:r w:rsidR="00EE5BCA">
        <w:t>brzdilo,</w:t>
      </w:r>
      <w:r w:rsidR="004847D1">
        <w:t xml:space="preserve"> a naopak v průmyslu došlo k</w:t>
      </w:r>
      <w:r w:rsidR="00EE5BCA">
        <w:t>e</w:t>
      </w:r>
      <w:r w:rsidR="004847D1">
        <w:t> </w:t>
      </w:r>
      <w:r w:rsidR="00EE5BCA">
        <w:t>zrychlení</w:t>
      </w:r>
      <w:r w:rsidR="004847D1">
        <w:t>. Výsledkem byl meziroční růst hrubé přidané hodnoty (HPH) nefinančních podniků</w:t>
      </w:r>
      <w:r w:rsidR="002371F1">
        <w:t xml:space="preserve"> o 76,5 mld. korun</w:t>
      </w:r>
      <w:r w:rsidR="002371F1" w:rsidRPr="0029200A">
        <w:rPr>
          <w:rStyle w:val="Znakapoznpodarou"/>
        </w:rPr>
        <w:footnoteReference w:id="1"/>
      </w:r>
      <w:r w:rsidR="002371F1">
        <w:t>. Reálně se HPH</w:t>
      </w:r>
      <w:r w:rsidR="00EE5BCA">
        <w:t xml:space="preserve"> nefinančních podniků zvýšila o 4,1 %</w:t>
      </w:r>
      <w:r w:rsidR="00EE5BCA" w:rsidRPr="0029200A">
        <w:rPr>
          <w:rStyle w:val="Znakapoznpodarou"/>
          <w:spacing w:val="-2"/>
        </w:rPr>
        <w:footnoteReference w:id="2"/>
      </w:r>
      <w:r w:rsidR="00EE5BCA">
        <w:t>. Podle sezónně očištěných dat mezičtvrtletní nominální přírůstek HPH dosáhl 33,2 mld. korun</w:t>
      </w:r>
      <w:r w:rsidR="00AB208F">
        <w:t>. Po úpravě o velmi silný nárůst cenové hladiny ale HPH reálně mezičtvrtletně klesla o 0,8 %.</w:t>
      </w:r>
    </w:p>
    <w:p w14:paraId="4A354F5E" w14:textId="77777777" w:rsidR="0006007D" w:rsidRPr="00EF625A" w:rsidRDefault="0006007D" w:rsidP="0006007D">
      <w:pPr>
        <w:pStyle w:val="TabulkaGraf"/>
        <w:jc w:val="both"/>
      </w:pPr>
      <w:r w:rsidRPr="00EF625A">
        <w:t>Graf 1: Meziroční nominální přírůstek HPH a náhrad zaměstnancům (v mld. korun), míra zisku (sezónně očištěno, v %)</w:t>
      </w:r>
    </w:p>
    <w:p w14:paraId="7A32B0C5" w14:textId="77777777" w:rsidR="0006007D" w:rsidRPr="00EF625A" w:rsidRDefault="0006007D" w:rsidP="0006007D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784A6A8C" wp14:editId="59E67797">
            <wp:extent cx="4734425" cy="290442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F625A">
        <w:rPr>
          <w:noProof/>
          <w:lang w:eastAsia="cs-CZ"/>
        </w:rPr>
        <w:t xml:space="preserve"> </w:t>
      </w:r>
    </w:p>
    <w:p w14:paraId="05B47DCA" w14:textId="77777777" w:rsidR="0006007D" w:rsidRPr="00EF625A" w:rsidRDefault="0006007D" w:rsidP="0006007D">
      <w:pPr>
        <w:spacing w:after="120"/>
      </w:pPr>
      <w:r w:rsidRPr="00EF625A">
        <w:t>Zdroj: ČSÚ, národní účty</w:t>
      </w:r>
    </w:p>
    <w:p w14:paraId="59E461D2" w14:textId="334938EF" w:rsidR="006F419E" w:rsidRDefault="00922570" w:rsidP="009F7FD8">
      <w:pPr>
        <w:spacing w:after="120"/>
      </w:pPr>
      <w:r>
        <w:lastRenderedPageBreak/>
        <w:t>Celková zaměstnanost v sektoru NP v 1. čtvrtletí</w:t>
      </w:r>
      <w:r w:rsidR="00E94B66">
        <w:t xml:space="preserve"> 2022</w:t>
      </w:r>
      <w:r>
        <w:t xml:space="preserve"> </w:t>
      </w:r>
      <w:r w:rsidR="00E94B66">
        <w:t>meziročně vzrostla o 2,0 %</w:t>
      </w:r>
      <w:r w:rsidR="00E94B66" w:rsidRPr="00E94B66">
        <w:rPr>
          <w:rStyle w:val="Znakapoznpodarou"/>
        </w:rPr>
        <w:footnoteReference w:id="3"/>
      </w:r>
      <w:r w:rsidR="00E94B66">
        <w:t xml:space="preserve">. Zaměstnanost také překonala úroveň </w:t>
      </w:r>
      <w:r w:rsidR="003F2E32">
        <w:t xml:space="preserve">předkrizového </w:t>
      </w:r>
      <w:r w:rsidR="00E94B66">
        <w:t>1. čtvrtletí 2019.</w:t>
      </w:r>
      <w:r w:rsidR="00F2781C">
        <w:t xml:space="preserve"> Objem náhrad zaměstnancům, které NP vyplatily</w:t>
      </w:r>
      <w:r w:rsidR="00317048">
        <w:t>,</w:t>
      </w:r>
      <w:r w:rsidR="00F2781C">
        <w:t xml:space="preserve"> se meziročně zvýšil o 52,8 mld. korun (12,0 %). Z toho vyplacené mzdy a platy dosáhly </w:t>
      </w:r>
      <w:r w:rsidR="00B33F33">
        <w:t xml:space="preserve">378,2 mld. korun a vzrostly o 47,7 mld. (14,4 %), zatímco sociální příspěvky zaměstnavatelů měly výrazně slabší dynamiku (+5,1 mld., 4,6 %). Meziroční </w:t>
      </w:r>
      <w:r w:rsidR="00FE1513">
        <w:t xml:space="preserve">přírůstky </w:t>
      </w:r>
      <w:r w:rsidR="00B33F33">
        <w:t>j</w:t>
      </w:r>
      <w:r w:rsidR="00FE1513">
        <w:t>sou</w:t>
      </w:r>
      <w:r w:rsidR="00B33F33">
        <w:t xml:space="preserve"> ale stále zatížen</w:t>
      </w:r>
      <w:r w:rsidR="00FE1513">
        <w:t xml:space="preserve">y srovnáním s loňským 1. kvartálem, kdy </w:t>
      </w:r>
      <w:r w:rsidR="00FE1513" w:rsidRPr="00E94B66">
        <w:t>příspěvky zahrnovaly prostředky vyplacené v rámci stabilizačních programů zaměstnanosti</w:t>
      </w:r>
      <w:r w:rsidR="00FE1513">
        <w:t xml:space="preserve">. Mezičtvrtletně se sezónně očištěný objem náhrad zaměstnancům zvýšil o 11,9 mld. korun (2,4 %). Ve formě dotací nefinanční podniky obdržely v 1. čtvrtletí 18,4 mld. korun. To je meziročně o 23,2 mld. méně. Propad odráží hlavně </w:t>
      </w:r>
      <w:r w:rsidR="006F419E">
        <w:t>ukončení různých podpůrných programů souvisejících s ekonomickými dopady pandemie. Řádově je také objem dotací srovnatelný se stejným obdobím let 2018–2020.</w:t>
      </w:r>
    </w:p>
    <w:p w14:paraId="4F864ED9" w14:textId="74A46352" w:rsidR="00FF7B39" w:rsidRPr="006F419E" w:rsidRDefault="005B59A3" w:rsidP="00B1299C">
      <w:pPr>
        <w:spacing w:after="120"/>
      </w:pPr>
      <w:r>
        <w:t>Hrubý provozní přebytek NP v 1. čtvrtletí meziročně prakticky stagnoval (</w:t>
      </w:r>
      <w:r w:rsidR="0021146C">
        <w:t>+1,3 mld. korun</w:t>
      </w:r>
      <w:r>
        <w:t>)</w:t>
      </w:r>
      <w:r w:rsidR="0021146C">
        <w:t xml:space="preserve"> a</w:t>
      </w:r>
      <w:r w:rsidR="003A580D">
        <w:t> </w:t>
      </w:r>
      <w:r w:rsidR="0021146C">
        <w:t xml:space="preserve">dosáhl 383,2 mld. </w:t>
      </w:r>
      <w:r w:rsidR="003A44AD">
        <w:t>O</w:t>
      </w:r>
      <w:r w:rsidR="0021146C">
        <w:t>proti konci roku 2021</w:t>
      </w:r>
      <w:r w:rsidR="003A44AD">
        <w:t xml:space="preserve"> se sezónně očištěný HPP zvýšil o 18,5 mld. korun.</w:t>
      </w:r>
      <w:r w:rsidR="005D0B33">
        <w:t xml:space="preserve"> </w:t>
      </w:r>
      <w:r w:rsidR="0076719B" w:rsidRPr="006F419E">
        <w:t>Výsledná míra zisku</w:t>
      </w:r>
      <w:r w:rsidR="00687BBE" w:rsidRPr="006F419E">
        <w:t> </w:t>
      </w:r>
      <w:r w:rsidR="008538A7" w:rsidRPr="006F419E">
        <w:t>NP</w:t>
      </w:r>
      <w:r w:rsidR="0076719B" w:rsidRPr="006F419E">
        <w:rPr>
          <w:rStyle w:val="Znakapoznpodarou"/>
        </w:rPr>
        <w:footnoteReference w:id="4"/>
      </w:r>
      <w:r w:rsidR="0076719B" w:rsidRPr="006F419E">
        <w:t xml:space="preserve"> mezičtvrtletně </w:t>
      </w:r>
      <w:r w:rsidR="005D0B33">
        <w:t xml:space="preserve">vzrostla o </w:t>
      </w:r>
      <w:r w:rsidR="0086334D" w:rsidRPr="006F419E">
        <w:t>0</w:t>
      </w:r>
      <w:r w:rsidR="007F1A39" w:rsidRPr="006F419E">
        <w:t>,</w:t>
      </w:r>
      <w:r w:rsidR="005D0B33">
        <w:t>4</w:t>
      </w:r>
      <w:r w:rsidR="00B13907" w:rsidRPr="006F419E">
        <w:t> p. b.</w:t>
      </w:r>
      <w:r w:rsidR="0076719B" w:rsidRPr="006F419E">
        <w:t xml:space="preserve"> </w:t>
      </w:r>
      <w:proofErr w:type="gramStart"/>
      <w:r w:rsidR="0076719B" w:rsidRPr="006F419E">
        <w:t>na</w:t>
      </w:r>
      <w:proofErr w:type="gramEnd"/>
      <w:r w:rsidR="0076719B" w:rsidRPr="006F419E">
        <w:t xml:space="preserve"> 4</w:t>
      </w:r>
      <w:r w:rsidR="005D0B33">
        <w:t>4</w:t>
      </w:r>
      <w:r w:rsidR="007F1A39" w:rsidRPr="006F419E">
        <w:t>,</w:t>
      </w:r>
      <w:r w:rsidR="005D0B33">
        <w:t>8</w:t>
      </w:r>
      <w:r w:rsidR="00B13907" w:rsidRPr="006F419E">
        <w:t> %</w:t>
      </w:r>
      <w:r w:rsidR="0076719B" w:rsidRPr="006F419E">
        <w:t xml:space="preserve"> (</w:t>
      </w:r>
      <w:r w:rsidR="002F19E2" w:rsidRPr="006F419E">
        <w:t>sezónně očištěno</w:t>
      </w:r>
      <w:r w:rsidR="0076719B" w:rsidRPr="006F419E">
        <w:t>)</w:t>
      </w:r>
      <w:r w:rsidR="005D0B33">
        <w:t>.</w:t>
      </w:r>
      <w:r w:rsidR="002F19E2" w:rsidRPr="006F419E">
        <w:t xml:space="preserve"> Meziročně</w:t>
      </w:r>
      <w:r w:rsidR="00EF625A">
        <w:t xml:space="preserve"> byla</w:t>
      </w:r>
      <w:r w:rsidR="002F19E2" w:rsidRPr="006F419E">
        <w:t xml:space="preserve"> míra zisku </w:t>
      </w:r>
      <w:r w:rsidR="00EF625A">
        <w:t>nižší o 4,1 p. b</w:t>
      </w:r>
      <w:r w:rsidR="002F19E2" w:rsidRPr="006F419E">
        <w:t>. (sezónně neočištěno).</w:t>
      </w:r>
    </w:p>
    <w:p w14:paraId="379C4B12" w14:textId="393B56B7" w:rsidR="001B6452" w:rsidRDefault="00E1614A" w:rsidP="009F7FD8">
      <w:pPr>
        <w:spacing w:after="120"/>
      </w:pPr>
      <w:r>
        <w:t xml:space="preserve">Deficit salda důchodů z vlastnictví NP se v 1. čtvrtletí 2022 meziročně zmírnil o 17,1 mld. korun na 93,7 mld. S výjimkou roku 2020 jde o </w:t>
      </w:r>
      <w:r w:rsidR="00CE3410">
        <w:t>nejnižší</w:t>
      </w:r>
      <w:r>
        <w:t xml:space="preserve"> schodek za 1. kvartál od roku 2016.</w:t>
      </w:r>
      <w:r w:rsidR="001078B8">
        <w:t xml:space="preserve"> </w:t>
      </w:r>
      <w:r w:rsidR="00D11FF5" w:rsidRPr="00A86219">
        <w:t xml:space="preserve">Na straně zdrojů </w:t>
      </w:r>
      <w:r w:rsidR="001078B8">
        <w:t xml:space="preserve">se </w:t>
      </w:r>
      <w:r w:rsidR="00D11FF5" w:rsidRPr="00A86219">
        <w:t>meziročn</w:t>
      </w:r>
      <w:r w:rsidR="001078B8">
        <w:t>ě o 6,3 mld. snížily</w:t>
      </w:r>
      <w:r w:rsidR="00D95EA7" w:rsidRPr="00A86219">
        <w:t xml:space="preserve"> </w:t>
      </w:r>
      <w:r w:rsidR="00D11FF5" w:rsidRPr="00A86219">
        <w:t>důchod</w:t>
      </w:r>
      <w:r w:rsidR="001078B8">
        <w:t>y</w:t>
      </w:r>
      <w:r w:rsidR="00D11FF5" w:rsidRPr="00A86219">
        <w:t xml:space="preserve"> z</w:t>
      </w:r>
      <w:r w:rsidR="001078B8">
        <w:t> </w:t>
      </w:r>
      <w:r w:rsidR="00D11FF5" w:rsidRPr="00A86219">
        <w:t>vlastnictví</w:t>
      </w:r>
      <w:r w:rsidR="001078B8">
        <w:t>. Z</w:t>
      </w:r>
      <w:r w:rsidR="00D11FF5" w:rsidRPr="00A86219">
        <w:t xml:space="preserve"> toho se </w:t>
      </w:r>
      <w:r w:rsidR="001078B8">
        <w:t xml:space="preserve">rozdělované důchody společností propadly o 13,0 mld. korun, zatímco reinvestované zisky z přímých zahraničních investic rostly o 4,7 mld. a </w:t>
      </w:r>
      <w:r w:rsidR="00D11FF5" w:rsidRPr="00A86219">
        <w:t>úroky</w:t>
      </w:r>
      <w:r w:rsidR="001078B8">
        <w:t xml:space="preserve"> o 2,0 mld.</w:t>
      </w:r>
      <w:r w:rsidR="00D11FF5" w:rsidRPr="00A86219">
        <w:t xml:space="preserve"> </w:t>
      </w:r>
      <w:r w:rsidR="00D95EA7" w:rsidRPr="00A86219">
        <w:t xml:space="preserve">Na </w:t>
      </w:r>
      <w:r w:rsidR="009E1BCE" w:rsidRPr="00A86219">
        <w:t>s</w:t>
      </w:r>
      <w:r w:rsidR="00D95EA7" w:rsidRPr="00A86219">
        <w:t xml:space="preserve">traně užití byl </w:t>
      </w:r>
      <w:r w:rsidR="009E1BCE" w:rsidRPr="00A86219">
        <w:t>o</w:t>
      </w:r>
      <w:r w:rsidR="00D11FF5" w:rsidRPr="00A86219">
        <w:t xml:space="preserve">bjem vyplacených důchodů z vlastnictví meziročně </w:t>
      </w:r>
      <w:r w:rsidR="009E1BCE" w:rsidRPr="00A86219">
        <w:t xml:space="preserve">nižší </w:t>
      </w:r>
      <w:r w:rsidR="000F6E26" w:rsidRPr="00A86219">
        <w:t>o </w:t>
      </w:r>
      <w:r w:rsidR="001078B8">
        <w:t>23,4</w:t>
      </w:r>
      <w:r w:rsidR="0032347E" w:rsidRPr="00A86219">
        <w:t> mld</w:t>
      </w:r>
      <w:r w:rsidR="00D11FF5" w:rsidRPr="00A86219">
        <w:t>.</w:t>
      </w:r>
      <w:r w:rsidR="00CB5EA3" w:rsidRPr="00A86219">
        <w:t xml:space="preserve"> korun, přičemž rozdělované důchody společností </w:t>
      </w:r>
      <w:r w:rsidR="009E1BCE" w:rsidRPr="00A86219">
        <w:t>klesly</w:t>
      </w:r>
      <w:r w:rsidR="00CB5EA3" w:rsidRPr="00A86219">
        <w:t xml:space="preserve"> </w:t>
      </w:r>
      <w:r w:rsidR="000F6E26" w:rsidRPr="00A86219">
        <w:t>o </w:t>
      </w:r>
      <w:r w:rsidR="007E0412">
        <w:t>37,6</w:t>
      </w:r>
      <w:r w:rsidR="00CB5EA3" w:rsidRPr="00A86219">
        <w:t xml:space="preserve"> mld., zatímco reinvestované zisky </w:t>
      </w:r>
      <w:r w:rsidR="009E1BCE" w:rsidRPr="00A86219">
        <w:t>vzrostly</w:t>
      </w:r>
      <w:r w:rsidR="00CB5EA3" w:rsidRPr="00A86219">
        <w:t xml:space="preserve"> </w:t>
      </w:r>
      <w:r w:rsidR="000F6E26" w:rsidRPr="00A86219">
        <w:t>o </w:t>
      </w:r>
      <w:r w:rsidR="007E0412">
        <w:t xml:space="preserve">11,6 </w:t>
      </w:r>
      <w:r w:rsidR="003D21DB" w:rsidRPr="00A86219">
        <w:t>mld</w:t>
      </w:r>
      <w:r w:rsidR="00CB5EA3" w:rsidRPr="00A86219">
        <w:t>.</w:t>
      </w:r>
    </w:p>
    <w:p w14:paraId="4983C464" w14:textId="4398CCAC" w:rsidR="00820139" w:rsidRDefault="00E16ACA" w:rsidP="00820139">
      <w:pPr>
        <w:spacing w:after="120"/>
      </w:pPr>
      <w:r>
        <w:t xml:space="preserve">Deficit druhotných důchodů se v 1. čtvrtletí meziročně prohloubil o 6,5 mld. korun na 41,9 mld. </w:t>
      </w:r>
      <w:r w:rsidR="00D44452">
        <w:t>T</w:t>
      </w:r>
      <w:r w:rsidR="00907ADB">
        <w:t xml:space="preserve">o je téměř stejná úroveň jako ve stejném období roku 2019. O 4,0 mld. korun vyšší byly běžné daně z důchodů a jmění, které NP zaplatily. Zaplacené ostatní běžné transfery byly vyšší o 60,9 mld. korun. Na straně zdrojů se obdržené ostatní běžné transfery zvýšily o </w:t>
      </w:r>
      <w:r w:rsidR="00220B84">
        <w:t>58,5 mld. korun.</w:t>
      </w:r>
      <w:r w:rsidR="00820139">
        <w:t xml:space="preserve"> </w:t>
      </w:r>
      <w:r w:rsidR="00BA6BD0" w:rsidRPr="00220B84">
        <w:t>Hrubé úspory</w:t>
      </w:r>
      <w:r w:rsidR="00E9181E" w:rsidRPr="00220B84">
        <w:t> </w:t>
      </w:r>
      <w:r w:rsidR="00BA6BD0" w:rsidRPr="00220B84">
        <w:t>NP dosáhly</w:t>
      </w:r>
      <w:r w:rsidR="005C676E" w:rsidRPr="00220B84">
        <w:t xml:space="preserve"> v </w:t>
      </w:r>
      <w:r w:rsidR="00220B84">
        <w:t>1</w:t>
      </w:r>
      <w:r w:rsidR="005C676E" w:rsidRPr="00220B84">
        <w:t>.</w:t>
      </w:r>
      <w:r w:rsidR="0032347E" w:rsidRPr="00220B84">
        <w:t> čtvrtlet</w:t>
      </w:r>
      <w:r w:rsidR="005C676E" w:rsidRPr="00220B84">
        <w:t>í</w:t>
      </w:r>
      <w:r w:rsidR="00BA6BD0" w:rsidRPr="00220B84">
        <w:t xml:space="preserve"> 2</w:t>
      </w:r>
      <w:r w:rsidR="00220B84">
        <w:t>47,6</w:t>
      </w:r>
      <w:r w:rsidR="00BA6BD0" w:rsidRPr="00220B84">
        <w:t> mld. korun</w:t>
      </w:r>
      <w:r w:rsidR="00D44452">
        <w:t xml:space="preserve"> a meziročně vzrostly</w:t>
      </w:r>
      <w:r w:rsidR="005C676E" w:rsidRPr="00220B84">
        <w:t xml:space="preserve"> </w:t>
      </w:r>
      <w:r w:rsidR="001C4AB9" w:rsidRPr="00220B84">
        <w:t>o </w:t>
      </w:r>
      <w:r w:rsidR="00220B84">
        <w:t>12,0</w:t>
      </w:r>
      <w:r w:rsidR="0032347E" w:rsidRPr="00220B84">
        <w:t> mld</w:t>
      </w:r>
      <w:r w:rsidR="005C676E" w:rsidRPr="00220B84">
        <w:t>.</w:t>
      </w:r>
      <w:r w:rsidR="00220B84">
        <w:t xml:space="preserve"> V rámci 1.</w:t>
      </w:r>
      <w:r w:rsidR="00D44452">
        <w:t> </w:t>
      </w:r>
      <w:r w:rsidR="00220B84">
        <w:t>kvartálu š</w:t>
      </w:r>
      <w:r w:rsidR="005C676E" w:rsidRPr="00220B84">
        <w:t xml:space="preserve">lo </w:t>
      </w:r>
      <w:r w:rsidR="001C4AB9" w:rsidRPr="00220B84">
        <w:t>o </w:t>
      </w:r>
      <w:r w:rsidR="005C676E" w:rsidRPr="00220B84">
        <w:t xml:space="preserve">nejvyšší zaznamenanou úroveň hrubých úspor. </w:t>
      </w:r>
      <w:r w:rsidR="00E0186F" w:rsidRPr="00220B84">
        <w:t>Míra úspor</w:t>
      </w:r>
      <w:r w:rsidR="00CF1E81" w:rsidRPr="00220B84">
        <w:t> </w:t>
      </w:r>
      <w:r w:rsidR="00E0186F" w:rsidRPr="00220B84">
        <w:t>NP</w:t>
      </w:r>
      <w:r w:rsidR="00E0186F" w:rsidRPr="00220B84">
        <w:rPr>
          <w:rStyle w:val="Znakapoznpodarou"/>
        </w:rPr>
        <w:footnoteReference w:id="5"/>
      </w:r>
      <w:r w:rsidR="00E0186F" w:rsidRPr="00220B84">
        <w:t xml:space="preserve"> </w:t>
      </w:r>
      <w:r w:rsidR="009A3ACE" w:rsidRPr="00220B84">
        <w:t>dosáhla 2</w:t>
      </w:r>
      <w:r w:rsidR="00820139">
        <w:t>8,7</w:t>
      </w:r>
      <w:r w:rsidR="00BD40CD" w:rsidRPr="00220B84">
        <w:t> %</w:t>
      </w:r>
      <w:r w:rsidR="00820139">
        <w:t xml:space="preserve"> a meziročně tak klesla o 1,2</w:t>
      </w:r>
      <w:r w:rsidR="0032347E" w:rsidRPr="00220B84">
        <w:t> p. b.</w:t>
      </w:r>
      <w:r w:rsidR="00DD6C3A" w:rsidRPr="00220B84">
        <w:t xml:space="preserve"> </w:t>
      </w:r>
    </w:p>
    <w:p w14:paraId="356A9877" w14:textId="02DCEE9B" w:rsidR="00820139" w:rsidRPr="00820139" w:rsidRDefault="00820139" w:rsidP="00820139">
      <w:pPr>
        <w:spacing w:after="120"/>
      </w:pPr>
      <w:r w:rsidRPr="00820139">
        <w:t xml:space="preserve">V </w:t>
      </w:r>
      <w:r>
        <w:t>1</w:t>
      </w:r>
      <w:r w:rsidRPr="00820139">
        <w:t xml:space="preserve">. čtvrtletí </w:t>
      </w:r>
      <w:r>
        <w:t xml:space="preserve">2022 </w:t>
      </w:r>
      <w:r w:rsidRPr="00820139">
        <w:t>nefinanční podniky obdržely celkově 10,</w:t>
      </w:r>
      <w:r>
        <w:t>8</w:t>
      </w:r>
      <w:r w:rsidRPr="00820139">
        <w:t> mld. korun ve formě kapitálových transferů</w:t>
      </w:r>
      <w:r>
        <w:t>. To bylo o 2,6 mld. více než ve stejném</w:t>
      </w:r>
      <w:r w:rsidRPr="00820139">
        <w:t xml:space="preserve"> období roku 202</w:t>
      </w:r>
      <w:r>
        <w:t>1</w:t>
      </w:r>
      <w:r w:rsidRPr="00820139">
        <w:t xml:space="preserve">. Z toho </w:t>
      </w:r>
      <w:r w:rsidR="00F92F9A">
        <w:t>4,6</w:t>
      </w:r>
      <w:r w:rsidRPr="00820139">
        <w:t xml:space="preserve"> mld. korun tvořily investiční dotace (meziročně </w:t>
      </w:r>
      <w:r w:rsidR="0053146A">
        <w:t>−</w:t>
      </w:r>
      <w:r w:rsidR="00F92F9A">
        <w:t>2,1</w:t>
      </w:r>
      <w:r w:rsidRPr="00820139">
        <w:t> mld.)</w:t>
      </w:r>
      <w:r w:rsidR="00731693">
        <w:t>.</w:t>
      </w:r>
      <w:r w:rsidRPr="00820139">
        <w:t xml:space="preserve"> </w:t>
      </w:r>
      <w:r w:rsidR="002735F1">
        <w:t>O</w:t>
      </w:r>
      <w:r w:rsidRPr="00820139">
        <w:t>statní kapitálové transfery</w:t>
      </w:r>
      <w:r w:rsidR="00731693">
        <w:t xml:space="preserve"> dosáhly</w:t>
      </w:r>
      <w:r w:rsidRPr="00820139">
        <w:t xml:space="preserve"> </w:t>
      </w:r>
      <w:r w:rsidR="00F92F9A">
        <w:t>6,2</w:t>
      </w:r>
      <w:r w:rsidRPr="00820139">
        <w:t> mld. (</w:t>
      </w:r>
      <w:r w:rsidR="00F92F9A">
        <w:t>+4,7</w:t>
      </w:r>
      <w:r w:rsidRPr="00820139">
        <w:t> mld.)</w:t>
      </w:r>
      <w:r w:rsidR="00D44452">
        <w:t>.</w:t>
      </w:r>
      <w:r w:rsidR="002735F1">
        <w:t xml:space="preserve"> </w:t>
      </w:r>
      <w:r w:rsidR="00F92F9A">
        <w:t>Investiční aktivita n</w:t>
      </w:r>
      <w:r w:rsidRPr="00820139">
        <w:t>efinanční</w:t>
      </w:r>
      <w:r w:rsidR="00F92F9A">
        <w:t>ch</w:t>
      </w:r>
      <w:r w:rsidRPr="00820139">
        <w:t xml:space="preserve"> podnik</w:t>
      </w:r>
      <w:r w:rsidR="00F92F9A">
        <w:t>ů</w:t>
      </w:r>
      <w:r w:rsidRPr="00820139">
        <w:t xml:space="preserve"> v </w:t>
      </w:r>
      <w:r w:rsidR="00F92F9A">
        <w:t>1</w:t>
      </w:r>
      <w:r w:rsidRPr="00820139">
        <w:t>. čtvrtletí 202</w:t>
      </w:r>
      <w:r w:rsidR="00F92F9A">
        <w:t>2</w:t>
      </w:r>
      <w:r w:rsidRPr="00820139">
        <w:t xml:space="preserve"> meziročně posílil</w:t>
      </w:r>
      <w:r w:rsidR="00F92F9A">
        <w:t>a a</w:t>
      </w:r>
      <w:r w:rsidR="003A580D">
        <w:t> </w:t>
      </w:r>
      <w:r w:rsidR="00F92F9A">
        <w:t>výdaje na tvorbu hrubého fixního kapitálu se zvýšily o 34,5 mld. korun.</w:t>
      </w:r>
      <w:r w:rsidRPr="00820139">
        <w:t xml:space="preserve"> Podle sezónně očištěných údajů byly jejich investice</w:t>
      </w:r>
      <w:r w:rsidR="00D44452">
        <w:t xml:space="preserve"> mezičtvrtletně</w:t>
      </w:r>
      <w:r w:rsidRPr="00820139">
        <w:t xml:space="preserve"> vyšší o </w:t>
      </w:r>
      <w:r w:rsidR="00F92F9A">
        <w:t>21,9</w:t>
      </w:r>
      <w:r w:rsidRPr="00820139">
        <w:t> mld. korun</w:t>
      </w:r>
      <w:r w:rsidR="00F92F9A">
        <w:t>, což je nejvyšší přírůstek od začátku roku 2007</w:t>
      </w:r>
      <w:r w:rsidRPr="00820139">
        <w:t>.</w:t>
      </w:r>
      <w:r w:rsidR="00F92F9A">
        <w:t xml:space="preserve"> </w:t>
      </w:r>
      <w:r w:rsidR="00446302">
        <w:t>Nominální n</w:t>
      </w:r>
      <w:r w:rsidR="00F92F9A">
        <w:t>árůst investi</w:t>
      </w:r>
      <w:r w:rsidR="00446302">
        <w:t>c ale zahrnuje i posílení cenové hladiny</w:t>
      </w:r>
      <w:r w:rsidR="00446302">
        <w:rPr>
          <w:rStyle w:val="Znakapoznpodarou"/>
        </w:rPr>
        <w:footnoteReference w:id="6"/>
      </w:r>
      <w:r w:rsidR="00446302">
        <w:t xml:space="preserve">. </w:t>
      </w:r>
      <w:r w:rsidRPr="00820139">
        <w:t xml:space="preserve"> Míra investic</w:t>
      </w:r>
      <w:r w:rsidRPr="00820139">
        <w:rPr>
          <w:rStyle w:val="Znakapoznpodarou"/>
        </w:rPr>
        <w:footnoteReference w:id="7"/>
      </w:r>
      <w:r w:rsidRPr="00820139">
        <w:t xml:space="preserve"> NP se </w:t>
      </w:r>
      <w:r w:rsidR="00446302">
        <w:t xml:space="preserve">i tak </w:t>
      </w:r>
      <w:r w:rsidRPr="00820139">
        <w:lastRenderedPageBreak/>
        <w:t>zvýšila o</w:t>
      </w:r>
      <w:r w:rsidR="00446302">
        <w:t xml:space="preserve"> výrazných</w:t>
      </w:r>
      <w:r w:rsidRPr="00820139">
        <w:t> </w:t>
      </w:r>
      <w:r w:rsidR="00446302">
        <w:t>1</w:t>
      </w:r>
      <w:r w:rsidRPr="00820139">
        <w:t xml:space="preserve">,4 p. b. </w:t>
      </w:r>
      <w:proofErr w:type="gramStart"/>
      <w:r w:rsidRPr="00820139">
        <w:t>na</w:t>
      </w:r>
      <w:proofErr w:type="gramEnd"/>
      <w:r w:rsidRPr="00820139">
        <w:t xml:space="preserve"> 2</w:t>
      </w:r>
      <w:r w:rsidR="00446302">
        <w:t>9,4</w:t>
      </w:r>
      <w:r w:rsidRPr="00820139">
        <w:t> % (sezónně očištěno) a </w:t>
      </w:r>
      <w:r w:rsidR="00446302">
        <w:t xml:space="preserve">přiblížila se úrovni před rokem 2020. </w:t>
      </w:r>
      <w:r w:rsidRPr="00820139">
        <w:t xml:space="preserve">Meziročně byla míra investic NP (neočištěná) </w:t>
      </w:r>
      <w:r w:rsidR="00446302">
        <w:t>vyšší o 1,</w:t>
      </w:r>
      <w:r w:rsidR="00F40602">
        <w:t>7</w:t>
      </w:r>
      <w:r w:rsidRPr="00820139">
        <w:t xml:space="preserve"> p. b. </w:t>
      </w:r>
    </w:p>
    <w:p w14:paraId="551D4C2E" w14:textId="2A5949EA" w:rsidR="0050641C" w:rsidRPr="00E16ACA" w:rsidRDefault="009F7FD8" w:rsidP="000302A6">
      <w:pPr>
        <w:pStyle w:val="TabulkaGraf"/>
        <w:spacing w:after="120"/>
      </w:pPr>
      <w:r w:rsidRPr="00E16ACA">
        <w:t>G</w:t>
      </w:r>
      <w:r w:rsidR="002E6F00" w:rsidRPr="00E16ACA">
        <w:t>raf </w:t>
      </w:r>
      <w:r w:rsidR="0050641C" w:rsidRPr="00E16ACA">
        <w:t>2: Meziroční nominální přírůstek tvorby hrubého fixního kapitálu (v</w:t>
      </w:r>
      <w:r w:rsidR="00840938" w:rsidRPr="00E16ACA">
        <w:t> mld.</w:t>
      </w:r>
      <w:r w:rsidR="0050641C" w:rsidRPr="00E16ACA">
        <w:t xml:space="preserve"> korun) </w:t>
      </w:r>
      <w:r w:rsidR="00F03815" w:rsidRPr="00E16ACA">
        <w:t>a </w:t>
      </w:r>
      <w:r w:rsidR="0050641C" w:rsidRPr="00E16ACA">
        <w:t>míra investic (sezónně očištěno, v</w:t>
      </w:r>
      <w:r w:rsidR="00840938" w:rsidRPr="00E16ACA">
        <w:t> %</w:t>
      </w:r>
      <w:r w:rsidR="0050641C" w:rsidRPr="00E16ACA">
        <w:t>)</w:t>
      </w:r>
    </w:p>
    <w:p w14:paraId="2423C116" w14:textId="7CC04B2A" w:rsidR="007B7E54" w:rsidRPr="00E16ACA" w:rsidRDefault="00E16ACA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11EF075A" wp14:editId="19F9C85C">
            <wp:extent cx="4743950" cy="2910775"/>
            <wp:effectExtent l="0" t="0" r="0" b="444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16ACA">
        <w:rPr>
          <w:noProof/>
          <w:lang w:eastAsia="cs-CZ"/>
        </w:rPr>
        <w:t xml:space="preserve"> </w:t>
      </w:r>
    </w:p>
    <w:p w14:paraId="7D7145A9" w14:textId="43A617D7" w:rsidR="00D60BAF" w:rsidRPr="00E16ACA" w:rsidRDefault="00941335" w:rsidP="00702D2D">
      <w:pPr>
        <w:spacing w:after="240"/>
        <w:rPr>
          <w:rFonts w:eastAsia="Times New Roman"/>
          <w:b/>
          <w:bCs/>
          <w:szCs w:val="28"/>
        </w:rPr>
      </w:pPr>
      <w:r w:rsidRPr="00E16ACA">
        <w:t>Zdroj: ČSÚ, národní účty</w:t>
      </w:r>
    </w:p>
    <w:p w14:paraId="7BF2286A" w14:textId="0414F794" w:rsidR="00F50CEF" w:rsidRPr="00EF38F4" w:rsidRDefault="00F50CEF" w:rsidP="00210B17">
      <w:pPr>
        <w:spacing w:after="120"/>
        <w:rPr>
          <w:b/>
          <w:bCs/>
        </w:rPr>
      </w:pPr>
      <w:r w:rsidRPr="00EF38F4">
        <w:rPr>
          <w:b/>
          <w:bCs/>
        </w:rPr>
        <w:t>Vládní instituce</w:t>
      </w:r>
    </w:p>
    <w:p w14:paraId="43BCE733" w14:textId="4C6C440E" w:rsidR="006A3430" w:rsidRDefault="00EF38F4" w:rsidP="00A969A9">
      <w:pPr>
        <w:spacing w:after="120"/>
      </w:pPr>
      <w:r>
        <w:t xml:space="preserve">Hospodaření sektoru vládních institucí (VI) vstoupilo do roku 2022 deficitem. Ten v 1. čtvrtletí dosáhl </w:t>
      </w:r>
      <w:r w:rsidR="00361B5E">
        <w:t>75,3</w:t>
      </w:r>
      <w:r>
        <w:t xml:space="preserve"> mld. korun a meziročně se tak zmírnil o </w:t>
      </w:r>
      <w:r w:rsidR="00361B5E">
        <w:t>66,5</w:t>
      </w:r>
      <w:r>
        <w:t xml:space="preserve"> mld. </w:t>
      </w:r>
      <w:r w:rsidR="006207D9">
        <w:t>Tomu napomohlo zejména výrazné zvýšení příjmů, které čerpaly z meziročního zlepšení hospodářské situace</w:t>
      </w:r>
      <w:r w:rsidR="00BF1519">
        <w:t>,</w:t>
      </w:r>
      <w:r w:rsidR="00514960">
        <w:t xml:space="preserve"> a</w:t>
      </w:r>
      <w:r w:rsidR="0041257F">
        <w:t xml:space="preserve"> zčásti i </w:t>
      </w:r>
      <w:r w:rsidR="00BF1519">
        <w:t xml:space="preserve">z </w:t>
      </w:r>
      <w:r w:rsidR="00514960">
        <w:t>růstu cenové hladiny</w:t>
      </w:r>
      <w:r w:rsidR="006207D9">
        <w:t>. Navzdory meziročnímu zlepšení bylo ale záporné saldo v 1. čtvrtletí 2022 druhým nejhorším výsledkem hospodaření v rámci stejného období předchozích let. Podle sezónně očištěných dat se deficit mezičtvrtletně zmírnil.</w:t>
      </w:r>
    </w:p>
    <w:p w14:paraId="65AFD2D0" w14:textId="5DA2BA10" w:rsidR="00C947EC" w:rsidRDefault="00E52E01" w:rsidP="00A969A9">
      <w:pPr>
        <w:spacing w:after="120"/>
      </w:pPr>
      <w:r>
        <w:t>Příjmy VI v 1. čtvrtletí 2022 meziročně vzrostly o 7</w:t>
      </w:r>
      <w:r w:rsidR="00FB3E4B">
        <w:t>4,4</w:t>
      </w:r>
      <w:r>
        <w:t xml:space="preserve"> mld. korun (</w:t>
      </w:r>
      <w:r w:rsidR="00514960">
        <w:t>13,</w:t>
      </w:r>
      <w:r w:rsidR="00FB3E4B">
        <w:t>6</w:t>
      </w:r>
      <w:r w:rsidR="00514960">
        <w:t xml:space="preserve"> %</w:t>
      </w:r>
      <w:r>
        <w:t>)</w:t>
      </w:r>
      <w:r w:rsidR="00731693">
        <w:t xml:space="preserve"> na 6</w:t>
      </w:r>
      <w:r w:rsidR="00082B42">
        <w:t>21,1</w:t>
      </w:r>
      <w:r w:rsidR="00731693">
        <w:t xml:space="preserve"> mld. </w:t>
      </w:r>
      <w:r w:rsidR="00DF6A83">
        <w:t>Většina ze zdrojů příjmů</w:t>
      </w:r>
      <w:r w:rsidR="009357BD">
        <w:t xml:space="preserve"> rostla.</w:t>
      </w:r>
      <w:r w:rsidR="00DF6A83">
        <w:t xml:space="preserve"> </w:t>
      </w:r>
      <w:r w:rsidR="00731693">
        <w:t xml:space="preserve">Největší přírůstek měly přijaté daně z výroby a dovozu (+25,5 mld. korun) následované čistými sociálními příspěvky (+21,2 mld.) a </w:t>
      </w:r>
      <w:r w:rsidR="00DF6A83">
        <w:t>běžnými daněmi z důchodů a jmění (+1</w:t>
      </w:r>
      <w:r w:rsidR="00082B42">
        <w:t>3</w:t>
      </w:r>
      <w:r w:rsidR="00DF6A83">
        <w:t>,</w:t>
      </w:r>
      <w:r w:rsidR="00082B42">
        <w:t>1</w:t>
      </w:r>
      <w:r w:rsidR="00DF6A83">
        <w:t xml:space="preserve"> mld.)</w:t>
      </w:r>
      <w:r w:rsidR="00731693">
        <w:t>. Popsané navýšení</w:t>
      </w:r>
      <w:r w:rsidR="00DF6A83">
        <w:t xml:space="preserve"> bylo podpořeno ekonomickým oživením, ale zejména u daní z výroby a dovozu odráželo i navýšení cenové hladiny, které se promítlo do hodnoty produkce. Hodnota tržní produkce a produkce pro vlastní užití se meziročně zvýšila o 7,7 mld. korun</w:t>
      </w:r>
      <w:r w:rsidR="00554D35">
        <w:t xml:space="preserve">. Především nárůst úroků stál za přírůstkem přijatých důchodů z vlastnictví (+5,9 </w:t>
      </w:r>
      <w:r w:rsidR="009357BD">
        <w:t>mld. korun</w:t>
      </w:r>
      <w:r w:rsidR="00554D35">
        <w:t>). Mírně narostly i přijaté ostatní běžné transfery (+2,0 mld.</w:t>
      </w:r>
      <w:r w:rsidR="00586CF2">
        <w:t xml:space="preserve"> korun</w:t>
      </w:r>
      <w:r w:rsidR="00554D35">
        <w:t>). J</w:t>
      </w:r>
      <w:r w:rsidR="009357BD">
        <w:t>edinou příjmovou položkou, která</w:t>
      </w:r>
      <w:r w:rsidR="00554D35">
        <w:t xml:space="preserve"> meziročně klesla</w:t>
      </w:r>
      <w:r w:rsidR="00C947EC">
        <w:t>,</w:t>
      </w:r>
      <w:r w:rsidR="00554D35">
        <w:t xml:space="preserve"> byly přijaté kapitálové transfery (</w:t>
      </w:r>
      <w:r w:rsidR="0053146A">
        <w:t>−</w:t>
      </w:r>
      <w:r w:rsidR="00554D35">
        <w:t xml:space="preserve">0,9 </w:t>
      </w:r>
      <w:r w:rsidR="00586CF2">
        <w:t>mld. korun</w:t>
      </w:r>
      <w:r w:rsidR="00554D35">
        <w:t>).</w:t>
      </w:r>
    </w:p>
    <w:p w14:paraId="4F612538" w14:textId="500A900C" w:rsidR="00777576" w:rsidRDefault="00F21DB3" w:rsidP="00A969A9">
      <w:pPr>
        <w:spacing w:after="120"/>
      </w:pPr>
      <w:r>
        <w:t xml:space="preserve">Výdaje VI se meziročně zvýšily o </w:t>
      </w:r>
      <w:r w:rsidR="00380AAD">
        <w:t>8,0</w:t>
      </w:r>
      <w:r>
        <w:t xml:space="preserve"> mld. korun (</w:t>
      </w:r>
      <w:r w:rsidR="00380AAD">
        <w:t>1,2</w:t>
      </w:r>
      <w:r>
        <w:t xml:space="preserve"> %) a dosáhly </w:t>
      </w:r>
      <w:r w:rsidR="00380AAD">
        <w:t>696,4</w:t>
      </w:r>
      <w:r>
        <w:t xml:space="preserve"> mld. Dynamika výdajů oslabila, na čemž se podepisuje i srovnání s vysokou úrovní loňského 1. kvartálu. </w:t>
      </w:r>
      <w:r w:rsidR="002C757B">
        <w:t xml:space="preserve">K růstu výdajů </w:t>
      </w:r>
      <w:r w:rsidR="009357BD">
        <w:t xml:space="preserve">v letošním 1. čtvrtletí </w:t>
      </w:r>
      <w:r w:rsidR="002C757B">
        <w:t>nejvíce přispívaly sociální dávky a naturální sociální transfery (+17,5 mld.)</w:t>
      </w:r>
      <w:r w:rsidR="00380AAD">
        <w:t xml:space="preserve">, </w:t>
      </w:r>
      <w:proofErr w:type="spellStart"/>
      <w:r w:rsidR="00380AAD">
        <w:lastRenderedPageBreak/>
        <w:t>mezispotřeba</w:t>
      </w:r>
      <w:proofErr w:type="spellEnd"/>
      <w:r w:rsidR="005E09C8">
        <w:t xml:space="preserve"> (+9,3 mld. korun)</w:t>
      </w:r>
      <w:r w:rsidR="00380AAD">
        <w:t xml:space="preserve"> a</w:t>
      </w:r>
      <w:r w:rsidR="005E09C8">
        <w:t xml:space="preserve"> náhrady zaměstnancům (+5,8 mld.). Nárůst úroků ovlivnil i placené důchody z vlastnictví (+4,1</w:t>
      </w:r>
      <w:r w:rsidR="00586CF2">
        <w:t> </w:t>
      </w:r>
      <w:r w:rsidR="005E09C8">
        <w:t>mld. korun). Poměrně slabě rostla investiční aktivita VI (+2,0</w:t>
      </w:r>
      <w:r w:rsidR="00380AAD">
        <w:t> </w:t>
      </w:r>
      <w:r w:rsidR="005E09C8">
        <w:t>mld. korun). Ve srovnání s loňským 1. kvartálem ovlivněným pandemií prudce meziročně poklesl objem vyplacených dotací (</w:t>
      </w:r>
      <w:r w:rsidR="0053146A">
        <w:t>−</w:t>
      </w:r>
      <w:r w:rsidR="005E09C8">
        <w:t>26,5 mld. korun). Dotace se tak vrátily blízko úrovně, kterou měly před rokem 2020.</w:t>
      </w:r>
      <w:r w:rsidR="00682B34">
        <w:t xml:space="preserve"> Podobně se snížily i placené ostatní běžné transfery (</w:t>
      </w:r>
      <w:r w:rsidR="0053146A">
        <w:t>−</w:t>
      </w:r>
      <w:r w:rsidR="00682B34">
        <w:t>9,1 mld. korun).</w:t>
      </w:r>
    </w:p>
    <w:p w14:paraId="22EABE59" w14:textId="600CDC85" w:rsidR="000070E8" w:rsidRDefault="00043E0C" w:rsidP="009F7FD8">
      <w:pPr>
        <w:spacing w:after="120"/>
      </w:pPr>
      <w:r>
        <w:t xml:space="preserve">Stejně jako v předchozích dvou letech měl hlavní podíl na celkovém deficitu </w:t>
      </w:r>
      <w:r w:rsidR="000070E8">
        <w:t xml:space="preserve">hospodaření vládních institucí </w:t>
      </w:r>
      <w:proofErr w:type="spellStart"/>
      <w:r>
        <w:t>subsektor</w:t>
      </w:r>
      <w:proofErr w:type="spellEnd"/>
      <w:r>
        <w:t xml:space="preserve"> ústředních vládních institucí. V 1. čtvrtletí 2022 záporné saldo hospodaření ústředních vládních institucí dosáhlo </w:t>
      </w:r>
      <w:r w:rsidR="0053146A">
        <w:t>−</w:t>
      </w:r>
      <w:r w:rsidR="002161B2">
        <w:t>83,4</w:t>
      </w:r>
      <w:r>
        <w:t xml:space="preserve"> mld. korun a meziročně se zmírnilo o </w:t>
      </w:r>
      <w:r w:rsidR="002161B2">
        <w:t>72,4</w:t>
      </w:r>
      <w:r>
        <w:t xml:space="preserve"> mld. Zlepšení hospodaření souvisí zejména s redukcí nákladů na kompenzaci ekonomických dopadů pandemie, za které </w:t>
      </w:r>
      <w:proofErr w:type="spellStart"/>
      <w:r>
        <w:t>subsektor</w:t>
      </w:r>
      <w:proofErr w:type="spellEnd"/>
      <w:r>
        <w:t xml:space="preserve"> nesl hlavní zodpovědnost. Výdaje ústředních vládních institucí meziročně klesly o </w:t>
      </w:r>
      <w:r w:rsidR="002161B2">
        <w:t>26,4</w:t>
      </w:r>
      <w:r w:rsidR="000C7427">
        <w:t xml:space="preserve"> mld. korun (</w:t>
      </w:r>
      <w:r w:rsidR="0053146A">
        <w:t>−</w:t>
      </w:r>
      <w:r w:rsidR="002161B2">
        <w:t>5,0</w:t>
      </w:r>
      <w:r w:rsidR="000C7427">
        <w:t xml:space="preserve"> %). Snížily se vyplacené dotace (</w:t>
      </w:r>
      <w:r w:rsidR="0053146A">
        <w:t>−</w:t>
      </w:r>
      <w:r w:rsidR="000C7427">
        <w:t>27,4 mld. korun) a</w:t>
      </w:r>
      <w:r w:rsidR="003A580D">
        <w:t> </w:t>
      </w:r>
      <w:r w:rsidR="000C7427">
        <w:t>ostatní běžné transfery (</w:t>
      </w:r>
      <w:r w:rsidR="0053146A">
        <w:t>−</w:t>
      </w:r>
      <w:r w:rsidR="000C7427">
        <w:t xml:space="preserve">26,3 mld.), což byly položky zvýšené v přímé souvislosti s kompenzacemi dopadů pandemie. Ostatní výdaje rostly – na </w:t>
      </w:r>
      <w:proofErr w:type="spellStart"/>
      <w:r w:rsidR="000C7427">
        <w:t>subsektor</w:t>
      </w:r>
      <w:proofErr w:type="spellEnd"/>
      <w:r w:rsidR="000C7427">
        <w:t xml:space="preserve"> připadl růst placených sociálních dávek</w:t>
      </w:r>
      <w:r w:rsidR="002161B2">
        <w:t xml:space="preserve"> a naturálních sociálních transferů</w:t>
      </w:r>
      <w:r w:rsidR="000C7427">
        <w:t xml:space="preserve"> (+1</w:t>
      </w:r>
      <w:r w:rsidR="002161B2">
        <w:t>1</w:t>
      </w:r>
      <w:r w:rsidR="000C7427">
        <w:t>,</w:t>
      </w:r>
      <w:r w:rsidR="002161B2">
        <w:t>3</w:t>
      </w:r>
      <w:r w:rsidR="000C7427">
        <w:t xml:space="preserve"> mld.)</w:t>
      </w:r>
      <w:r w:rsidR="002161B2">
        <w:t xml:space="preserve"> a </w:t>
      </w:r>
      <w:r w:rsidR="002161B2">
        <w:t>navýšení vyplacených kapitálových transferů (+</w:t>
      </w:r>
      <w:r w:rsidR="002161B2">
        <w:t>5,4</w:t>
      </w:r>
      <w:r w:rsidR="002161B2">
        <w:t xml:space="preserve"> mld. korun)</w:t>
      </w:r>
      <w:r w:rsidR="000C7427">
        <w:t xml:space="preserve">. Příjmy ústředních vládních institucí meziročně posílily o </w:t>
      </w:r>
      <w:r w:rsidR="000C1D29">
        <w:t>4</w:t>
      </w:r>
      <w:r w:rsidR="002161B2">
        <w:t>6</w:t>
      </w:r>
      <w:r w:rsidR="000C1D29">
        <w:t>,</w:t>
      </w:r>
      <w:r w:rsidR="002161B2">
        <w:t>1</w:t>
      </w:r>
      <w:r w:rsidR="000C1D29">
        <w:t xml:space="preserve"> mld. korun (1</w:t>
      </w:r>
      <w:r w:rsidR="002161B2">
        <w:t>2</w:t>
      </w:r>
      <w:r w:rsidR="000C1D29">
        <w:t>,</w:t>
      </w:r>
      <w:r w:rsidR="002161B2">
        <w:t>3</w:t>
      </w:r>
      <w:r w:rsidR="000C1D29">
        <w:t xml:space="preserve"> %). Rostly všechny zdroje příjmů, především daně z výroby a dovozu (+16,7 mld. korun), čisté sociální příspěvky (+10,8 mld.) a běžné daně z důchodů a jmění (+</w:t>
      </w:r>
      <w:r w:rsidR="002161B2">
        <w:t>8,3 </w:t>
      </w:r>
      <w:r w:rsidR="000C1D29">
        <w:t>mld.).</w:t>
      </w:r>
    </w:p>
    <w:p w14:paraId="22E32039" w14:textId="30F33BA8" w:rsidR="00BD57B8" w:rsidRPr="00710434" w:rsidRDefault="00BD57B8" w:rsidP="00BD57B8">
      <w:pPr>
        <w:pStyle w:val="TabulkaGraf"/>
      </w:pPr>
      <w:r>
        <w:t>G</w:t>
      </w:r>
      <w:r w:rsidRPr="00710434">
        <w:t>raf 3: Saldo hospodaření vládních institucí (v mld. korun)</w:t>
      </w:r>
    </w:p>
    <w:p w14:paraId="7E57F88E" w14:textId="66F92465" w:rsidR="00BD57B8" w:rsidRPr="00710434" w:rsidRDefault="00EC659E" w:rsidP="00BD57B8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C398F31" wp14:editId="20FAD588">
            <wp:extent cx="4737600" cy="3060000"/>
            <wp:effectExtent l="0" t="0" r="635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BD57B8" w:rsidRPr="00710434">
        <w:rPr>
          <w:noProof/>
          <w:lang w:eastAsia="cs-CZ"/>
        </w:rPr>
        <w:t xml:space="preserve"> </w:t>
      </w:r>
    </w:p>
    <w:p w14:paraId="0FE7553A" w14:textId="77777777" w:rsidR="00BD57B8" w:rsidRPr="00710434" w:rsidRDefault="00BD57B8" w:rsidP="00BD57B8">
      <w:pPr>
        <w:spacing w:after="120"/>
        <w:jc w:val="left"/>
      </w:pPr>
      <w:r w:rsidRPr="00710434">
        <w:t>Zdroj: ČSÚ, národní účty</w:t>
      </w:r>
    </w:p>
    <w:p w14:paraId="6F5D3DE3" w14:textId="474B5117" w:rsidR="002735F1" w:rsidRDefault="002735F1" w:rsidP="002735F1">
      <w:pPr>
        <w:spacing w:after="120"/>
      </w:pPr>
      <w:r>
        <w:t xml:space="preserve">Místní vládní instituce hospodařily s přebytkem </w:t>
      </w:r>
      <w:r w:rsidR="00EC659E">
        <w:t>4,8</w:t>
      </w:r>
      <w:r>
        <w:t xml:space="preserve"> mld. korun. Kladné saldo se meziročně snížilo o </w:t>
      </w:r>
      <w:r w:rsidR="00EC659E">
        <w:t>5,2</w:t>
      </w:r>
      <w:r>
        <w:t xml:space="preserve"> mld. korun. Stálo za tím hlavně posílení dynamiky výdajů (+10,1 mld. korun, 5,5 %), hlavně </w:t>
      </w:r>
      <w:proofErr w:type="spellStart"/>
      <w:r>
        <w:t>mezispotřeby</w:t>
      </w:r>
      <w:proofErr w:type="spellEnd"/>
      <w:r>
        <w:t xml:space="preserve"> (+6,1 mld.) a náhrad zaměstnancům (+4,0 mld.). Naopak meziročně nižší byly placené kapitálové transfery (−3,1 mld. korun) a také ostatní běžné transfery (−1,4 mld.). Příjmy místních vládních institucí celkově vzrostly o </w:t>
      </w:r>
      <w:r w:rsidR="00EC659E">
        <w:t>4,9</w:t>
      </w:r>
      <w:r>
        <w:t xml:space="preserve"> mld. korun (2,</w:t>
      </w:r>
      <w:r w:rsidR="00EC659E">
        <w:t>5</w:t>
      </w:r>
      <w:r>
        <w:t xml:space="preserve"> %). Podpořilo je především </w:t>
      </w:r>
      <w:r>
        <w:lastRenderedPageBreak/>
        <w:t>meziroční navýšení přijatých daní z výroby a dovozu (+8,8 mld. korun), hodnoty tržní produkce a produkce pro vlastní užití (+5,3 mld.) a přijatých běžných daní z důchodů a jmění (+4,8 mld.). Naopak se prudce meziročně snížily ostatní běžné transfery (−15,3 mld. korun), které místní vládní instituce dříve dostávaly jako náhradu za vyplácené kompenzační bonusy.</w:t>
      </w:r>
    </w:p>
    <w:p w14:paraId="67C8695B" w14:textId="300EC10F" w:rsidR="00F1049C" w:rsidRDefault="00BE3302" w:rsidP="00BE3302">
      <w:pPr>
        <w:spacing w:after="120"/>
      </w:pPr>
      <w:r>
        <w:t xml:space="preserve">Přebytku 3,4 mld. korun v 1. čtvrtletí 2022 dosáhly i fondy </w:t>
      </w:r>
      <w:r w:rsidR="00354A44" w:rsidRPr="00BE3302">
        <w:t>sociálního zabezpečení (zdravotní pojišťovny)</w:t>
      </w:r>
      <w:r>
        <w:t>. Saldo se meziročně zhoršilo o 0,8 mld. korun.</w:t>
      </w:r>
      <w:r w:rsidR="00354A44" w:rsidRPr="00BE3302">
        <w:t xml:space="preserve"> </w:t>
      </w:r>
      <w:r w:rsidR="007338EE" w:rsidRPr="00BE3302">
        <w:t xml:space="preserve">Jejich výdaje vzrostly </w:t>
      </w:r>
      <w:r w:rsidR="001C4AB9" w:rsidRPr="00BE3302">
        <w:t>o </w:t>
      </w:r>
      <w:r w:rsidR="00F1049C">
        <w:t xml:space="preserve">10,2 </w:t>
      </w:r>
      <w:r w:rsidR="0032347E" w:rsidRPr="00BE3302">
        <w:t>mld</w:t>
      </w:r>
      <w:r w:rsidR="007338EE" w:rsidRPr="00BE3302">
        <w:t>. korun (</w:t>
      </w:r>
      <w:r w:rsidR="00F1049C">
        <w:t xml:space="preserve">11,1 </w:t>
      </w:r>
      <w:r w:rsidR="007338EE" w:rsidRPr="00BE3302">
        <w:t>%)</w:t>
      </w:r>
      <w:r w:rsidR="00F1049C">
        <w:t>. K tomu přispělo navýšení hodnoty naturálních sociálních transferů o 5,4 mld. korun a</w:t>
      </w:r>
      <w:r w:rsidR="003A580D">
        <w:t> </w:t>
      </w:r>
      <w:r w:rsidR="00F1049C">
        <w:t>ostatních běžných transferů o 4,2 mld.</w:t>
      </w:r>
      <w:r w:rsidR="008B4550">
        <w:t xml:space="preserve"> Příjmy zdravotních pojišťoven se meziročně zvýšily o</w:t>
      </w:r>
      <w:r w:rsidR="003A580D">
        <w:t> </w:t>
      </w:r>
      <w:r w:rsidR="008B4550">
        <w:t xml:space="preserve">9,4 mld. korun (9,8 %), především pod vlivem rostoucích přijatých čistých sociálních příspěvků (+9,6 mld.).  </w:t>
      </w:r>
    </w:p>
    <w:p w14:paraId="2D35C949" w14:textId="77777777" w:rsidR="00092CCF" w:rsidRPr="00710434" w:rsidRDefault="00092CCF" w:rsidP="00092CCF">
      <w:pPr>
        <w:pStyle w:val="TabulkaGraf"/>
        <w:spacing w:after="120"/>
      </w:pPr>
      <w:r w:rsidRPr="00710434">
        <w:t>Graf 4: Dluh sektoru vládních institucí a jeho struktura (meziroční změna v mld. korun)</w:t>
      </w:r>
    </w:p>
    <w:p w14:paraId="0377B224" w14:textId="77777777" w:rsidR="00092CCF" w:rsidRPr="00710434" w:rsidRDefault="00092CCF" w:rsidP="00092CCF">
      <w:pPr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055BF6C1" wp14:editId="2D02132D">
            <wp:extent cx="4743950" cy="3060000"/>
            <wp:effectExtent l="0" t="0" r="0" b="762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10434">
        <w:rPr>
          <w:noProof/>
          <w:lang w:eastAsia="cs-CZ"/>
        </w:rPr>
        <w:t xml:space="preserve"> </w:t>
      </w:r>
    </w:p>
    <w:p w14:paraId="21F9C088" w14:textId="77777777" w:rsidR="00092CCF" w:rsidRPr="00710434" w:rsidRDefault="00092CCF" w:rsidP="00092CCF">
      <w:pPr>
        <w:spacing w:after="120"/>
      </w:pPr>
      <w:r w:rsidRPr="00710434">
        <w:t>Zdroj: ČSÚ, národní účty</w:t>
      </w:r>
    </w:p>
    <w:p w14:paraId="29DC91D1" w14:textId="77777777" w:rsidR="002735F1" w:rsidRPr="00884029" w:rsidRDefault="002735F1" w:rsidP="002735F1">
      <w:pPr>
        <w:spacing w:after="240"/>
      </w:pPr>
      <w:r w:rsidRPr="00884029">
        <w:t xml:space="preserve">Dluh sektoru vládních institucí v </w:t>
      </w:r>
      <w:r>
        <w:t>1</w:t>
      </w:r>
      <w:r w:rsidRPr="00884029">
        <w:t>. čtvrtletí 202</w:t>
      </w:r>
      <w:r>
        <w:t>2</w:t>
      </w:r>
      <w:r w:rsidRPr="00884029">
        <w:t xml:space="preserve"> </w:t>
      </w:r>
      <w:r>
        <w:t>meziročně vzrostl o 171,0 mld. korun a dosáhl 2 683,5 mld.</w:t>
      </w:r>
      <w:r w:rsidRPr="00884029">
        <w:rPr>
          <w:rStyle w:val="Znakapoznpodarou"/>
        </w:rPr>
        <w:footnoteReference w:id="8"/>
      </w:r>
      <w:r>
        <w:t>. M</w:t>
      </w:r>
      <w:r w:rsidRPr="00884029">
        <w:t>íra zadlužení vládních institucí dosáhla 4</w:t>
      </w:r>
      <w:r>
        <w:t>2</w:t>
      </w:r>
      <w:r w:rsidRPr="00884029">
        <w:t>,</w:t>
      </w:r>
      <w:r>
        <w:t>8</w:t>
      </w:r>
      <w:r w:rsidRPr="00884029">
        <w:t xml:space="preserve"> % HDP, což představovalo meziroční </w:t>
      </w:r>
      <w:r>
        <w:t>pokles o 1,1</w:t>
      </w:r>
      <w:r w:rsidRPr="00884029">
        <w:t xml:space="preserve"> p. b. </w:t>
      </w:r>
      <w:r>
        <w:t>Vývoj HDP působil ve směru poklesu zadlužení 3,8 p. b., zatímco nominální dluh přispěl k navýšení zadlužení 2,7 p. b.</w:t>
      </w:r>
      <w:r w:rsidRPr="00884029">
        <w:t xml:space="preserve"> </w:t>
      </w:r>
      <w:r>
        <w:t>K m</w:t>
      </w:r>
      <w:r w:rsidRPr="00884029">
        <w:t>eziroční</w:t>
      </w:r>
      <w:r>
        <w:t>mu</w:t>
      </w:r>
      <w:r w:rsidRPr="00884029">
        <w:t xml:space="preserve"> navýšení dluhu </w:t>
      </w:r>
      <w:r>
        <w:t>přispěl především nárůst objemu d</w:t>
      </w:r>
      <w:r w:rsidRPr="00884029">
        <w:t xml:space="preserve">luhových cenných papírů </w:t>
      </w:r>
      <w:r>
        <w:t xml:space="preserve">o 280,0 mld. korun. Z toho objem dlouhodobých dluhopisů vzrostl o 267,3 mld. korun a krátkodobých o 12,7 mld. V dluhovém </w:t>
      </w:r>
      <w:r>
        <w:lastRenderedPageBreak/>
        <w:t>portfoliu došlo k meziroční redukci půjček o 108,2 mld. korun. Krátkodobé půjčky klesly o 102,8 mld. korun a dlouhodobé o 5,3 mld.</w:t>
      </w:r>
    </w:p>
    <w:p w14:paraId="7F1AAFC6" w14:textId="3B8BD56C" w:rsidR="00F50CEF" w:rsidRPr="0017281B" w:rsidRDefault="00F50CEF" w:rsidP="000302A6">
      <w:pPr>
        <w:pStyle w:val="Nadpis1"/>
        <w:spacing w:after="120"/>
      </w:pPr>
      <w:r w:rsidRPr="0017281B">
        <w:t>Domácnosti</w:t>
      </w:r>
    </w:p>
    <w:p w14:paraId="5DA54AF3" w14:textId="5088BAE9" w:rsidR="003D22F2" w:rsidRDefault="000E0DCE" w:rsidP="00BE206D">
      <w:pPr>
        <w:spacing w:after="120"/>
      </w:pPr>
      <w:r>
        <w:t>Hrubý disponibilní důchod (HDD) domácností v 1. čtvrtletí 2022 dosáhl 861,9 mld. korun a</w:t>
      </w:r>
      <w:r w:rsidR="003A580D">
        <w:t> </w:t>
      </w:r>
      <w:r>
        <w:t>meziročně se zvýšil o 76,9 mld. (9,8 %). Nominální dynamika HDD tak zůstala velmi silná, zčásti i vlivem slabší srovnávací základny začátku loňského roku. Ani to ale nestačilo na kompenzaci prudkého růstu cenové hladiny. Reálně se tak HDD domácností meziročně snížil o 2,3 %</w:t>
      </w:r>
      <w:r w:rsidRPr="0017281B">
        <w:rPr>
          <w:rStyle w:val="Znakapoznpodarou"/>
        </w:rPr>
        <w:footnoteReference w:id="9"/>
      </w:r>
      <w:r>
        <w:t>. Sezónně očištěný HDD se mezičtvrtletně zvýšil o 29,5 mld. korun (3,4 %), ale reálně došlo k propadu o 5,3 %.</w:t>
      </w:r>
    </w:p>
    <w:p w14:paraId="65444EE7" w14:textId="7E88694F" w:rsidR="00DB7976" w:rsidRDefault="003D22F2" w:rsidP="00BE206D">
      <w:pPr>
        <w:spacing w:after="120"/>
      </w:pPr>
      <w:r>
        <w:t xml:space="preserve">Domácnosti v 1. čtvrtletí obdržely 542,4 mld. korun ve formě mezd a platů. To představovalo velmi silný meziroční nárůst o 58,6 mld. korun (12,1 %). Reálně ale mzdy a platy </w:t>
      </w:r>
      <w:r w:rsidR="000A0B3A">
        <w:t xml:space="preserve">meziročně </w:t>
      </w:r>
      <w:r>
        <w:t>stagnovaly (</w:t>
      </w:r>
      <w:r w:rsidR="0053146A">
        <w:t>−</w:t>
      </w:r>
      <w:r>
        <w:t>0,2 %). Mírnější byla meziroční dynamika sociálních příspěvků zaměstnavatelů (+7,2</w:t>
      </w:r>
      <w:r w:rsidR="000A0B3A">
        <w:t> </w:t>
      </w:r>
      <w:r>
        <w:t>mld. korun, 4,5 %). Hrubý smíšený důchod</w:t>
      </w:r>
      <w:r w:rsidRPr="003D22F2">
        <w:rPr>
          <w:rStyle w:val="Znakapoznpodarou"/>
        </w:rPr>
        <w:footnoteReference w:id="10"/>
      </w:r>
      <w:r>
        <w:t xml:space="preserve"> podnikatelů zařazených do sektoru domácností se v 1. čtvrtletí 2022 meziročně zvýšil o 30,0 mld. korun na 143,9 mld. </w:t>
      </w:r>
      <w:r w:rsidR="00DB7976">
        <w:t xml:space="preserve">Mimořádně silný </w:t>
      </w:r>
      <w:r>
        <w:t>přírůstek</w:t>
      </w:r>
      <w:r w:rsidR="00DB7976">
        <w:t xml:space="preserve"> </w:t>
      </w:r>
      <w:r>
        <w:t>ovlivnila nízká srovnávací základna loňského 1. kvartálu i nárůst cenové hladiny.</w:t>
      </w:r>
      <w:r w:rsidR="00DB7976">
        <w:t xml:space="preserve"> </w:t>
      </w:r>
      <w:r w:rsidR="009A5C79" w:rsidRPr="003D22F2">
        <w:t>Mezičtvrtletně</w:t>
      </w:r>
      <w:r w:rsidR="005D7869" w:rsidRPr="003D22F2">
        <w:t xml:space="preserve"> byl</w:t>
      </w:r>
      <w:r w:rsidR="009A5C79" w:rsidRPr="003D22F2">
        <w:t xml:space="preserve"> hrubý smíšený důchod </w:t>
      </w:r>
      <w:r w:rsidR="005D7869" w:rsidRPr="003D22F2">
        <w:t xml:space="preserve">vyšší </w:t>
      </w:r>
      <w:r w:rsidR="001C4AB9" w:rsidRPr="003D22F2">
        <w:t>o </w:t>
      </w:r>
      <w:r w:rsidR="00DB7976">
        <w:t>12,1</w:t>
      </w:r>
      <w:r w:rsidR="0032347E" w:rsidRPr="003D22F2">
        <w:t> mld</w:t>
      </w:r>
      <w:r w:rsidR="005D7869" w:rsidRPr="003D22F2">
        <w:t>. korun</w:t>
      </w:r>
      <w:r w:rsidR="009A5C79" w:rsidRPr="003D22F2">
        <w:t xml:space="preserve"> (sezónně očištěno).</w:t>
      </w:r>
      <w:r w:rsidR="00DB7976">
        <w:t xml:space="preserve"> </w:t>
      </w:r>
      <w:r w:rsidR="00434936" w:rsidRPr="003D22F2">
        <w:t>Hrubý provozní přebytek</w:t>
      </w:r>
      <w:r w:rsidR="00F12768" w:rsidRPr="003D22F2">
        <w:rPr>
          <w:rStyle w:val="Znakapoznpodarou"/>
        </w:rPr>
        <w:footnoteReference w:id="11"/>
      </w:r>
      <w:r w:rsidR="00434936" w:rsidRPr="003D22F2">
        <w:t xml:space="preserve"> dosáhl </w:t>
      </w:r>
      <w:r w:rsidR="00DB7976">
        <w:t>80,4</w:t>
      </w:r>
      <w:r w:rsidR="003D21DB" w:rsidRPr="003D22F2">
        <w:t> mld</w:t>
      </w:r>
      <w:r w:rsidR="00434936" w:rsidRPr="003D22F2">
        <w:t xml:space="preserve">. korun </w:t>
      </w:r>
      <w:r w:rsidR="000F6E26" w:rsidRPr="003D22F2">
        <w:t>a </w:t>
      </w:r>
      <w:r w:rsidR="00434936" w:rsidRPr="003D22F2">
        <w:t xml:space="preserve">meziročně vzrostl </w:t>
      </w:r>
      <w:r w:rsidR="000F6E26" w:rsidRPr="003D22F2">
        <w:t>o </w:t>
      </w:r>
      <w:r w:rsidR="00DB7976">
        <w:t>1,0</w:t>
      </w:r>
      <w:r w:rsidR="003D21DB" w:rsidRPr="003D22F2">
        <w:t> mld</w:t>
      </w:r>
      <w:r w:rsidR="00434936" w:rsidRPr="003D22F2">
        <w:t>.</w:t>
      </w:r>
      <w:r w:rsidR="002D3536">
        <w:t xml:space="preserve"> Jeho dynamika je tak již více než rok utlumená. Mezičtvrtletně (sezónně očištěný) hrubý provozní přebytek mírně klesl.</w:t>
      </w:r>
      <w:r w:rsidR="00120DF6" w:rsidRPr="003D22F2">
        <w:t xml:space="preserve"> </w:t>
      </w:r>
    </w:p>
    <w:p w14:paraId="26D2E5BB" w14:textId="71111B20" w:rsidR="00542C59" w:rsidRDefault="00542C59" w:rsidP="00BE206D">
      <w:pPr>
        <w:spacing w:after="120"/>
      </w:pPr>
      <w:r>
        <w:t>Kladné saldo důchodů z vlastnictví domácností v 1. čtvrtletí dosáhlo 30,6 mld. korun a meziročně se snížilo o 4,7 mld. Na straně zdrojů meziročně klesly především reinvestované zisky z přímých zahraničních investic (</w:t>
      </w:r>
      <w:r w:rsidR="0053146A">
        <w:t>−</w:t>
      </w:r>
      <w:r>
        <w:t>9,3 mld. korun). Na kompenzaci tohoto propadu nestačil nárůst obdržených úroků (+3,3 mld. korun) ani rozdělovaných důchodů společností (+3,1 mld.), takže celkové přijaté důchody z vlastnictví klesly o 3,0 mld. Naopak důchody z vlastnictví, které domácnosti musely platit, byly meziročně vyšší o 1,7 mld. korun, především pod vlivem rostoucích úroků.</w:t>
      </w:r>
    </w:p>
    <w:p w14:paraId="10081D95" w14:textId="2131E526" w:rsidR="00541343" w:rsidRDefault="005D2C9A" w:rsidP="007D5951">
      <w:pPr>
        <w:spacing w:after="120"/>
      </w:pPr>
      <w:r>
        <w:t>Saldo sociálních důchodů se v 1. čtvrtletí 2022 meziročně snížilo o 2,6 mld. korun na 125,7 mld. Kladné saldo nadále setrvávalo výrazně nad úrovní, kterou nabývalo v 1. kvartálu před rokem 2020</w:t>
      </w:r>
      <w:r w:rsidRPr="00542C59">
        <w:rPr>
          <w:rStyle w:val="Znakapoznpodarou"/>
        </w:rPr>
        <w:footnoteReference w:id="12"/>
      </w:r>
      <w:r>
        <w:t>.</w:t>
      </w:r>
      <w:r w:rsidR="005334AB">
        <w:t xml:space="preserve"> Domácnosti obdržely </w:t>
      </w:r>
      <w:r w:rsidR="007F4A89">
        <w:t>242,4 mld. korun ve formě sociálních dávek, což bylo meziročně o</w:t>
      </w:r>
      <w:r w:rsidR="003A580D">
        <w:t> </w:t>
      </w:r>
      <w:r w:rsidR="007F4A89">
        <w:t xml:space="preserve">7,2 mld. více. </w:t>
      </w:r>
      <w:r w:rsidR="002777B6">
        <w:t>Naopak odvedly 116,7 mld. korun jako sociální příspěvky (meziroční nárůst o</w:t>
      </w:r>
      <w:r w:rsidR="003A580D">
        <w:t> </w:t>
      </w:r>
      <w:r w:rsidR="002777B6">
        <w:t>9,9 mld.).</w:t>
      </w:r>
      <w:r w:rsidR="002A6BB7">
        <w:t xml:space="preserve"> </w:t>
      </w:r>
      <w:r w:rsidR="00FD6B25" w:rsidRPr="00542C59">
        <w:t xml:space="preserve">Saldo ostatních transferů bylo kladné </w:t>
      </w:r>
      <w:r w:rsidR="001C4AB9" w:rsidRPr="00542C59">
        <w:t>a </w:t>
      </w:r>
      <w:r w:rsidR="00FD6B25" w:rsidRPr="00542C59">
        <w:t xml:space="preserve">činilo </w:t>
      </w:r>
      <w:r w:rsidR="002A6BB7">
        <w:t>0,6</w:t>
      </w:r>
      <w:r w:rsidR="0032347E" w:rsidRPr="00542C59">
        <w:t> mld</w:t>
      </w:r>
      <w:r w:rsidR="00FD6B25" w:rsidRPr="00542C59">
        <w:t>. korun.</w:t>
      </w:r>
      <w:r w:rsidR="002A6BB7">
        <w:t xml:space="preserve"> Objem běžných daní z důchodů a jmění, které domácnosti v 1. čtvrtletí odvedly, se meziročně zvýšil o 6,4 mld. korun na 61,8 mld.</w:t>
      </w:r>
      <w:r w:rsidR="00541343">
        <w:t xml:space="preserve"> Výše této částky ale zaostávala za úrovní stejného období let 2017–2020.</w:t>
      </w:r>
    </w:p>
    <w:p w14:paraId="51E5B3A0" w14:textId="3CED92BD" w:rsidR="00441887" w:rsidRDefault="00DA7747" w:rsidP="007D5951">
      <w:pPr>
        <w:spacing w:after="120"/>
      </w:pPr>
      <w:r>
        <w:t xml:space="preserve">Výdaje domácností na konečnou spotřebu v 1. čtvrtletí meziročně vzrostly o 125,7 mld. korun </w:t>
      </w:r>
      <w:r w:rsidR="008A0E8F">
        <w:t xml:space="preserve">(21,0 %) </w:t>
      </w:r>
      <w:r>
        <w:t>na 722,9 mld. Na meziroční srovnání ale opět měla vliv nízká základna loňského 1.</w:t>
      </w:r>
      <w:r w:rsidR="008A0E8F">
        <w:t> </w:t>
      </w:r>
      <w:r>
        <w:t>kvartálu</w:t>
      </w:r>
      <w:r w:rsidRPr="00541343">
        <w:rPr>
          <w:rStyle w:val="Znakapoznpodarou"/>
        </w:rPr>
        <w:footnoteReference w:id="13"/>
      </w:r>
      <w:r>
        <w:t xml:space="preserve"> a nezanedbatelný </w:t>
      </w:r>
      <w:r w:rsidR="00BE560B">
        <w:t>byl</w:t>
      </w:r>
      <w:r>
        <w:t xml:space="preserve"> i dopad meziročního nárůstu cenové hladiny</w:t>
      </w:r>
      <w:r w:rsidR="008A0E8F">
        <w:t xml:space="preserve"> (reálně spotřeba </w:t>
      </w:r>
      <w:r w:rsidR="008A0E8F">
        <w:lastRenderedPageBreak/>
        <w:t>meziročně vzrostla o 7,8 %)</w:t>
      </w:r>
      <w:r>
        <w:t>. Sezónně očištěné údaje ukazují mezičtvrtletní nárůst spotřeby o</w:t>
      </w:r>
      <w:r w:rsidR="003A580D">
        <w:t> </w:t>
      </w:r>
      <w:r>
        <w:t>55,3 mld. korun</w:t>
      </w:r>
      <w:r w:rsidR="0092310A">
        <w:t xml:space="preserve"> (7,9 %), reálně</w:t>
      </w:r>
      <w:r w:rsidR="00BE560B">
        <w:t xml:space="preserve"> ale</w:t>
      </w:r>
      <w:r w:rsidR="0092310A">
        <w:t xml:space="preserve"> spotřeba klesla o 1,2 %.</w:t>
      </w:r>
      <w:r w:rsidR="003071C4">
        <w:t xml:space="preserve"> Hodnota statků a služeb, které domácnosti spotřebovaly jako naturální sociální transfery</w:t>
      </w:r>
      <w:r w:rsidR="00BE560B">
        <w:t>,</w:t>
      </w:r>
      <w:r w:rsidR="003071C4">
        <w:t xml:space="preserve"> se v 1. čtvrtletí meziročně zvýšila o</w:t>
      </w:r>
      <w:r w:rsidR="003A580D">
        <w:t> </w:t>
      </w:r>
      <w:r w:rsidR="003071C4">
        <w:t>13,3 mld. korun na 194,1 mld.</w:t>
      </w:r>
    </w:p>
    <w:p w14:paraId="73C4DC2D" w14:textId="030A121F" w:rsidR="00E26E5D" w:rsidRDefault="00E26E5D" w:rsidP="007D5951">
      <w:pPr>
        <w:spacing w:after="120"/>
      </w:pPr>
      <w:r>
        <w:t>Pokračoval také postupný návrat hrubých úspor domácností</w:t>
      </w:r>
      <w:r w:rsidRPr="00E26E5D">
        <w:rPr>
          <w:rStyle w:val="Znakapoznpodarou"/>
        </w:rPr>
        <w:footnoteReference w:id="14"/>
      </w:r>
      <w:r>
        <w:t xml:space="preserve"> k běžnější úrovni. Celkem úspory v 1. čtvrtletí dosáhly 145,7 mld. korun, což bylo meziročně o 51,2 mld. méně. Dál ale výrazně převyšovaly úroveň 1. kvartálu v </w:t>
      </w:r>
      <w:proofErr w:type="spellStart"/>
      <w:r>
        <w:t>předpandemických</w:t>
      </w:r>
      <w:proofErr w:type="spellEnd"/>
      <w:r>
        <w:t xml:space="preserve"> letech</w:t>
      </w:r>
      <w:r>
        <w:rPr>
          <w:rStyle w:val="Znakapoznpodarou"/>
        </w:rPr>
        <w:footnoteReference w:id="15"/>
      </w:r>
      <w:r>
        <w:t>.  Sezónně očištěné úspory oproti konci roku 2021 klesly o 30,7 mld. korun. Nižší byla také míra úspor</w:t>
      </w:r>
      <w:r w:rsidRPr="00E26E5D">
        <w:rPr>
          <w:rStyle w:val="Znakapoznpodarou"/>
        </w:rPr>
        <w:footnoteReference w:id="16"/>
      </w:r>
      <w:r>
        <w:t xml:space="preserve">. Ta se mezičtvrtletně snížila o 4,0 p. b. </w:t>
      </w:r>
      <w:proofErr w:type="gramStart"/>
      <w:r>
        <w:t>na</w:t>
      </w:r>
      <w:proofErr w:type="gramEnd"/>
      <w:r>
        <w:t xml:space="preserve"> 16,1 % (sezónně očištěno). Meziročně byla míra úspor nižší o 8,0 p. b. (sezónně neočištěno).  </w:t>
      </w:r>
    </w:p>
    <w:p w14:paraId="2C1BEB6C" w14:textId="77777777" w:rsidR="00455E2F" w:rsidRPr="00DA7747" w:rsidRDefault="00455E2F" w:rsidP="00455E2F">
      <w:pPr>
        <w:pStyle w:val="TabulkaGraf"/>
      </w:pPr>
      <w:r w:rsidRPr="00DA7747">
        <w:t>Graf 5: Meziroční změna výdajů na tvorbu hrubého fixního kapitálu (mld. korun) a míra úspor a míra investic sektoru domácností (v %, sezónně očištěno)</w:t>
      </w:r>
    </w:p>
    <w:p w14:paraId="46235EEF" w14:textId="07135465" w:rsidR="00455E2F" w:rsidRPr="00DA7747" w:rsidRDefault="00DA7747" w:rsidP="00455E2F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5B3A1899" wp14:editId="27227FDA">
            <wp:extent cx="4737600" cy="3060000"/>
            <wp:effectExtent l="0" t="0" r="6350" b="762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FDC25A" w14:textId="77777777" w:rsidR="00455E2F" w:rsidRPr="00DA7747" w:rsidRDefault="00455E2F" w:rsidP="00455E2F">
      <w:pPr>
        <w:spacing w:after="120"/>
      </w:pPr>
      <w:r w:rsidRPr="00DA7747">
        <w:t>Zdroj: ČSÚ, národní účty</w:t>
      </w:r>
    </w:p>
    <w:p w14:paraId="112AA82A" w14:textId="6CD0E889" w:rsidR="006E0314" w:rsidRDefault="002214D9" w:rsidP="002735F1">
      <w:pPr>
        <w:spacing w:after="240"/>
        <w:rPr>
          <w:rFonts w:eastAsia="Times New Roman"/>
          <w:b/>
          <w:bCs/>
          <w:szCs w:val="28"/>
        </w:rPr>
      </w:pPr>
      <w:r>
        <w:t>Kapitálové transfery, které domácnosti v 1. čtvrtletí obdržely,</w:t>
      </w:r>
      <w:r w:rsidR="00C4301F">
        <w:t xml:space="preserve"> byly meziročně vyšší o 11,5 mld. korun a dosáhly 25,3 mld. Ostatní kapitálové transfery tak byly meziročně vyšší o 12,0 mld. korun a dosáhly 23,9 mld. Investiční dotace se meziročně snížily o 0,5 mld. korun na 1,4 mld., což odpovídá obvyklé úrovni v 1. čtvrtletí.</w:t>
      </w:r>
      <w:r w:rsidR="002735F1">
        <w:t xml:space="preserve"> </w:t>
      </w:r>
      <w:r w:rsidR="003D5B03">
        <w:t>Investiční aktivita domácností značně posílila. Výdaje na tvorbu hrubého fixního kapitálu</w:t>
      </w:r>
      <w:r w:rsidR="00C4301F">
        <w:t xml:space="preserve"> domácností se meziročně zvýšily o 17,3 mld. korun na 75,9 mld. Mezičtvrtletně se investice domácností zvýšily o 6,5 mld. korun (sezónně očištěno).</w:t>
      </w:r>
      <w:r w:rsidR="003D5B03">
        <w:t xml:space="preserve"> </w:t>
      </w:r>
      <w:r w:rsidR="00B26C4E" w:rsidRPr="00C4301F">
        <w:t xml:space="preserve">Výsledná </w:t>
      </w:r>
      <w:r w:rsidR="00B26C4E" w:rsidRPr="00C4301F">
        <w:lastRenderedPageBreak/>
        <w:t>míra investic</w:t>
      </w:r>
      <w:r w:rsidR="00B26C4E" w:rsidRPr="00C4301F">
        <w:rPr>
          <w:rStyle w:val="Znakapoznpodarou"/>
        </w:rPr>
        <w:footnoteReference w:id="17"/>
      </w:r>
      <w:r w:rsidR="00B26C4E" w:rsidRPr="00C4301F">
        <w:t xml:space="preserve"> (sezónně očištěná) mezičtvrtletně vzrostla o 0,</w:t>
      </w:r>
      <w:r w:rsidR="003D5B03">
        <w:t>5</w:t>
      </w:r>
      <w:r w:rsidR="00B26C4E" w:rsidRPr="00C4301F">
        <w:t xml:space="preserve"> p. b. </w:t>
      </w:r>
      <w:proofErr w:type="gramStart"/>
      <w:r w:rsidR="00B26C4E" w:rsidRPr="00C4301F">
        <w:t>na</w:t>
      </w:r>
      <w:proofErr w:type="gramEnd"/>
      <w:r w:rsidR="00B26C4E" w:rsidRPr="00C4301F">
        <w:t xml:space="preserve"> 10,0 % (nejvíce od 1.</w:t>
      </w:r>
      <w:r w:rsidR="0032347E" w:rsidRPr="00C4301F">
        <w:t> čtvrtlet</w:t>
      </w:r>
      <w:r w:rsidR="00B26C4E" w:rsidRPr="00C4301F">
        <w:t>í 2011). Meziročně se (neočištěná) míra investic zvýšila o 1,</w:t>
      </w:r>
      <w:r w:rsidR="003D5B03">
        <w:t>4</w:t>
      </w:r>
      <w:r w:rsidR="00B26C4E" w:rsidRPr="00C4301F">
        <w:t> p. b.</w:t>
      </w:r>
    </w:p>
    <w:p w14:paraId="71BB4AD3" w14:textId="5326C399" w:rsidR="00F50CEF" w:rsidRPr="004D5280" w:rsidRDefault="00F50CEF" w:rsidP="000302A6">
      <w:pPr>
        <w:pStyle w:val="Nadpis1"/>
        <w:spacing w:after="120"/>
      </w:pPr>
      <w:r w:rsidRPr="004D5280">
        <w:t>Finanční vztahy s</w:t>
      </w:r>
      <w:r w:rsidR="000D19F9" w:rsidRPr="004D5280">
        <w:t> </w:t>
      </w:r>
      <w:r w:rsidRPr="004D5280">
        <w:t>nerezidenty</w:t>
      </w:r>
    </w:p>
    <w:p w14:paraId="21DF1082" w14:textId="694C646C" w:rsidR="002A54F5" w:rsidRDefault="0095227E" w:rsidP="00060DD8">
      <w:pPr>
        <w:spacing w:after="120"/>
      </w:pPr>
      <w:r>
        <w:t xml:space="preserve">Vývoz zboží a služeb v 1. čtvrtletí 2022 </w:t>
      </w:r>
      <w:r w:rsidR="008C27B1">
        <w:t xml:space="preserve">opět </w:t>
      </w:r>
      <w:r>
        <w:t xml:space="preserve">rostl pomaleji než dovoz. Vývoz byl meziročně vyšší o </w:t>
      </w:r>
      <w:r w:rsidR="004951F3">
        <w:t xml:space="preserve">velmi výrazných </w:t>
      </w:r>
      <w:r>
        <w:t>81,6 mld. korun</w:t>
      </w:r>
      <w:r w:rsidR="004951F3">
        <w:t>. D</w:t>
      </w:r>
      <w:r>
        <w:t>ovoz</w:t>
      </w:r>
      <w:r w:rsidR="004951F3">
        <w:t xml:space="preserve"> ale</w:t>
      </w:r>
      <w:r>
        <w:t xml:space="preserve"> vzrostl o 161,3 mld.</w:t>
      </w:r>
      <w:r w:rsidR="008C27B1">
        <w:t xml:space="preserve"> korun.</w:t>
      </w:r>
      <w:r>
        <w:t xml:space="preserve"> </w:t>
      </w:r>
      <w:r w:rsidR="004951F3">
        <w:t>Šlo zejména o dopad zvýšení cen surovin, které domácí ekonomika musí dovážet. Bilance zahraničního obchodu se tak meziročně zhoršila o 79,8 mld. korun, ale udržela se v přebytku 34,3 mld.</w:t>
      </w:r>
      <w:r w:rsidR="001521A2">
        <w:t xml:space="preserve"> To bylo v rámci 1. kvartálu nejslabší kladné saldo od roku 2008.</w:t>
      </w:r>
    </w:p>
    <w:p w14:paraId="39F72BF1" w14:textId="01A77656" w:rsidR="003609A7" w:rsidRDefault="002A54F5" w:rsidP="00060DD8">
      <w:pPr>
        <w:spacing w:after="120"/>
      </w:pPr>
      <w:r>
        <w:t>Nerezidentům</w:t>
      </w:r>
      <w:r w:rsidRPr="002A54F5">
        <w:rPr>
          <w:rStyle w:val="Znakapoznpodarou"/>
        </w:rPr>
        <w:footnoteReference w:id="18"/>
      </w:r>
      <w:r>
        <w:t xml:space="preserve"> náleželo 109,5 mld. korun ve formě důchodů z vlastnictví, meziročně o 9,7 mld. méně. Za poklesem stálo snížení rozdělovaných důchodů společností o 25,9 mld. korun. Jejich objem (16,5 mld. korun) byl v rámci 1. čtvrtletí nejnižší od roku 2017. Naopak reinvestované zisky z přímých zahraničních investic byly vyšší o 11,0 mld. a úroky o 5,2 mld. Důchody z vlastnictví, které náležely domácím investorům v zahraničí, meziročně klesly o 8,4 mld. korun</w:t>
      </w:r>
      <w:r w:rsidR="003609A7">
        <w:t xml:space="preserve"> na 34,7 mld.</w:t>
      </w:r>
      <w:r w:rsidR="00B20DE0">
        <w:t xml:space="preserve"> O 6,7 mld. až na 0,7 mld. se propadly rozdělované důchody společností</w:t>
      </w:r>
      <w:r>
        <w:t xml:space="preserve"> </w:t>
      </w:r>
      <w:r w:rsidR="00B20DE0">
        <w:t>a o 3,5 mld. nižší byly i</w:t>
      </w:r>
      <w:r w:rsidR="003A580D">
        <w:t> </w:t>
      </w:r>
      <w:r w:rsidR="00B20DE0">
        <w:t>reinvestované zisky. Naopak úroky vzrostly meziročně o 2,1 mld. korun.</w:t>
      </w:r>
      <w:r>
        <w:t xml:space="preserve"> </w:t>
      </w:r>
      <w:r w:rsidR="002A2E87" w:rsidRPr="002A54F5">
        <w:t xml:space="preserve">Čistý odliv </w:t>
      </w:r>
      <w:r w:rsidR="007640A3" w:rsidRPr="002A54F5">
        <w:t>důchodů z vlastnictví do zahraničí v</w:t>
      </w:r>
      <w:r w:rsidR="00131E21" w:rsidRPr="002A54F5">
        <w:t xml:space="preserve"> </w:t>
      </w:r>
      <w:r w:rsidR="003609A7">
        <w:t>1</w:t>
      </w:r>
      <w:r w:rsidR="007640A3" w:rsidRPr="002A54F5">
        <w:t>.</w:t>
      </w:r>
      <w:r w:rsidR="00B13907" w:rsidRPr="002A54F5">
        <w:t> čtvrtlet</w:t>
      </w:r>
      <w:r w:rsidR="007640A3" w:rsidRPr="002A54F5">
        <w:t>í 202</w:t>
      </w:r>
      <w:r w:rsidR="003609A7">
        <w:t>2</w:t>
      </w:r>
      <w:r w:rsidR="007640A3" w:rsidRPr="002A54F5">
        <w:t xml:space="preserve"> </w:t>
      </w:r>
      <w:r w:rsidR="00B06174" w:rsidRPr="002A54F5">
        <w:t>meziročně</w:t>
      </w:r>
      <w:r w:rsidR="003609A7">
        <w:t xml:space="preserve"> mírně klesl o 1,4 mld. korun na 74,8 mld.</w:t>
      </w:r>
    </w:p>
    <w:p w14:paraId="0E629EF6" w14:textId="7098E099" w:rsidR="00C7585A" w:rsidRDefault="00717614" w:rsidP="007909AA">
      <w:pPr>
        <w:spacing w:after="120"/>
      </w:pPr>
      <w:r>
        <w:t>Objem náhrad zaměstnancům, které si domácí ekonomika v 1. čtvrtletí 2022 připsala, dosáhl 19,9</w:t>
      </w:r>
      <w:r w:rsidR="003F2A47">
        <w:t> </w:t>
      </w:r>
      <w:r>
        <w:t>mld. korun a meziročně se zvýšil o 2,5 mld.</w:t>
      </w:r>
      <w:r w:rsidR="003F2A47">
        <w:t xml:space="preserve"> Opačným směrem mířilo 13,5 mld. korun, což bylo téměř stejně jako v předchozím roce (+0,2 mld.). Výsledné saldo se tak meziročně zvýšilo o</w:t>
      </w:r>
      <w:r w:rsidR="003A580D">
        <w:t> </w:t>
      </w:r>
      <w:r w:rsidR="003F2A47">
        <w:t xml:space="preserve">2,4 mld. korun na 6,3 mld. Daně z výroby a dovozu zaplacené do zahraničí meziročně </w:t>
      </w:r>
      <w:r w:rsidR="008C27B1">
        <w:t>vzrostly</w:t>
      </w:r>
      <w:r w:rsidR="003F2A47">
        <w:t xml:space="preserve"> o 0,6 mld. korun na 2,9 mld. Drobný pokles o 0,3 mld. korun na 14,0 mld. zaznamenaly dotace, které česká ekonomika ze zahraničí obdržela.</w:t>
      </w:r>
      <w:r w:rsidR="00515E8A">
        <w:t xml:space="preserve"> </w:t>
      </w:r>
      <w:r w:rsidR="00D87206" w:rsidRPr="00F414CB">
        <w:t>S</w:t>
      </w:r>
      <w:r w:rsidR="00F77F8B" w:rsidRPr="00F414CB">
        <w:t>ald</w:t>
      </w:r>
      <w:r w:rsidR="00D87206" w:rsidRPr="00F414CB">
        <w:t>o</w:t>
      </w:r>
      <w:r w:rsidR="00F77F8B" w:rsidRPr="00F414CB">
        <w:t xml:space="preserve"> prvotních důchodů</w:t>
      </w:r>
      <w:r w:rsidR="00C17B2C" w:rsidRPr="00F414CB">
        <w:t xml:space="preserve"> </w:t>
      </w:r>
      <w:r w:rsidR="00D87206" w:rsidRPr="00F414CB">
        <w:t xml:space="preserve">dosáhlo deficitu </w:t>
      </w:r>
      <w:r w:rsidR="00E63E1E">
        <w:t>57,3</w:t>
      </w:r>
      <w:r w:rsidR="0032347E" w:rsidRPr="00F414CB">
        <w:t> mld</w:t>
      </w:r>
      <w:r w:rsidR="00D87206" w:rsidRPr="00F414CB">
        <w:t>. korun</w:t>
      </w:r>
      <w:r w:rsidR="00B468DA" w:rsidRPr="00F414CB">
        <w:t>,</w:t>
      </w:r>
      <w:r w:rsidR="00D87206" w:rsidRPr="00F414CB">
        <w:t xml:space="preserve"> </w:t>
      </w:r>
      <w:r w:rsidR="001C4AB9" w:rsidRPr="00F414CB">
        <w:t>a </w:t>
      </w:r>
      <w:r w:rsidR="00D87206" w:rsidRPr="00F414CB">
        <w:t xml:space="preserve">meziročně se tak </w:t>
      </w:r>
      <w:r w:rsidR="008C27B1">
        <w:t>schodek</w:t>
      </w:r>
      <w:r w:rsidR="00D87206" w:rsidRPr="00F414CB">
        <w:t xml:space="preserve"> </w:t>
      </w:r>
      <w:r w:rsidR="00E63E1E">
        <w:t xml:space="preserve">zmírnil </w:t>
      </w:r>
      <w:r w:rsidR="001C4AB9" w:rsidRPr="00F414CB">
        <w:t>o </w:t>
      </w:r>
      <w:r w:rsidR="00E63E1E">
        <w:t>2,8</w:t>
      </w:r>
      <w:r w:rsidR="0032347E" w:rsidRPr="00F414CB">
        <w:t> mld</w:t>
      </w:r>
      <w:r w:rsidR="00D87206" w:rsidRPr="00F414CB">
        <w:t>.</w:t>
      </w:r>
    </w:p>
    <w:p w14:paraId="253FD1A8" w14:textId="72D205FE" w:rsidR="00920317" w:rsidRDefault="00C7585A" w:rsidP="007909AA">
      <w:pPr>
        <w:spacing w:after="120"/>
      </w:pPr>
      <w:r>
        <w:t>Deficit salda druhotných důchodů se meziročně zmírnil o 1,6 mld. korun na 21,4 mld.</w:t>
      </w:r>
      <w:r w:rsidR="00920317">
        <w:t xml:space="preserve"> Saldo běžných transakcí domácí ekonomiky se zahraničím skončilo v deficitu 44,4 mld. korun. To představuje meziroční zhoršení o 75,3 mld. korun. V rámci 1. kvartálu je deficit běžných transakcí poměrně neobvyklý – naposledy k </w:t>
      </w:r>
      <w:r w:rsidR="008C27B1">
        <w:t>němu</w:t>
      </w:r>
      <w:r w:rsidR="00920317">
        <w:t xml:space="preserve"> došlo v roce 2013. V letošním 1. čtvrtletí bylo jeho důvodem hlavně prudké zhoršení bilance zahraničního obchodu.</w:t>
      </w:r>
    </w:p>
    <w:p w14:paraId="238ABB20" w14:textId="795097EF" w:rsidR="002461C3" w:rsidRDefault="00920317" w:rsidP="00BD57B8">
      <w:r>
        <w:t>Domácí ekonomika si připsala 9,3 mld. korun ve formě kapitálových transferů. Meziročně se kapitálové transfery snížily o 2,0 mld. korun. Investiční dotace z toho tvořily 8,3 mld. korun a klesly o 2,5 mld.</w:t>
      </w:r>
      <w:r w:rsidR="00AF2358">
        <w:t xml:space="preserve"> Kapitálové transfery vyplacené do zahraničí dosáhly 5,2 mld. korun a byly meziročně vyšší o 4,9 mld.</w:t>
      </w:r>
      <w:r w:rsidR="00484F22">
        <w:t xml:space="preserve"> </w:t>
      </w:r>
      <w:r w:rsidR="00FD6D15" w:rsidRPr="00920317">
        <w:t xml:space="preserve">Celkové </w:t>
      </w:r>
      <w:r w:rsidR="00484F22">
        <w:t xml:space="preserve">kladné </w:t>
      </w:r>
      <w:r w:rsidR="00FD6D15" w:rsidRPr="00920317">
        <w:t xml:space="preserve">saldo kapitálových transferů mezi domácí ekonomikou </w:t>
      </w:r>
      <w:r w:rsidR="008C00A5" w:rsidRPr="00920317">
        <w:t>a </w:t>
      </w:r>
      <w:r w:rsidR="00FD6D15" w:rsidRPr="00920317">
        <w:t xml:space="preserve">zahraničím </w:t>
      </w:r>
      <w:r w:rsidR="00484F22">
        <w:t xml:space="preserve">se tak meziročně zhoršilo o 6,9 mld. korun na 4,1 mld. </w:t>
      </w:r>
      <w:r w:rsidR="00FD6D15" w:rsidRPr="00920317">
        <w:t xml:space="preserve">Domácí ekonomika </w:t>
      </w:r>
      <w:r w:rsidR="008C27B1">
        <w:t xml:space="preserve">byla </w:t>
      </w:r>
      <w:r w:rsidR="00CD0981" w:rsidRPr="00920317">
        <w:t>v</w:t>
      </w:r>
      <w:r w:rsidR="003A580D">
        <w:t> </w:t>
      </w:r>
      <w:r w:rsidR="00484F22">
        <w:t>1</w:t>
      </w:r>
      <w:r w:rsidR="00CD0981" w:rsidRPr="00920317">
        <w:t>. čtvrtletí</w:t>
      </w:r>
      <w:r w:rsidR="00484F22">
        <w:t xml:space="preserve"> v</w:t>
      </w:r>
      <w:r w:rsidR="00CD0981" w:rsidRPr="00920317">
        <w:t xml:space="preserve">ůči zahraničí </w:t>
      </w:r>
      <w:r w:rsidR="00484F22">
        <w:t xml:space="preserve">v </w:t>
      </w:r>
      <w:r w:rsidR="00613EF0" w:rsidRPr="00920317">
        <w:t>č</w:t>
      </w:r>
      <w:r w:rsidR="00FD6D15" w:rsidRPr="00920317">
        <w:t xml:space="preserve">isté </w:t>
      </w:r>
      <w:r w:rsidR="00613EF0" w:rsidRPr="00920317">
        <w:t xml:space="preserve">záporné </w:t>
      </w:r>
      <w:r w:rsidR="00FD6D15" w:rsidRPr="00920317">
        <w:t>pozic</w:t>
      </w:r>
      <w:r w:rsidR="00484F22">
        <w:t>i</w:t>
      </w:r>
      <w:r w:rsidR="00FD6D15" w:rsidRPr="00920317">
        <w:t xml:space="preserve"> </w:t>
      </w:r>
      <w:r w:rsidR="008C00A5" w:rsidRPr="00920317">
        <w:t>a </w:t>
      </w:r>
      <w:r w:rsidR="00FD6D15" w:rsidRPr="00920317">
        <w:t>č</w:t>
      </w:r>
      <w:r w:rsidR="00B70ECD" w:rsidRPr="00920317">
        <w:t xml:space="preserve">isté </w:t>
      </w:r>
      <w:r w:rsidR="00613EF0" w:rsidRPr="00920317">
        <w:t>vý</w:t>
      </w:r>
      <w:r w:rsidR="00B70ECD" w:rsidRPr="00920317">
        <w:t xml:space="preserve">půjčky </w:t>
      </w:r>
      <w:r w:rsidR="00FD6D15" w:rsidRPr="00920317">
        <w:t xml:space="preserve">činily </w:t>
      </w:r>
      <w:r w:rsidR="00484F22">
        <w:t>47,3</w:t>
      </w:r>
      <w:r w:rsidR="008C00A5" w:rsidRPr="00920317">
        <w:t> mld.</w:t>
      </w:r>
      <w:r w:rsidR="00FD6D15" w:rsidRPr="00920317">
        <w:t xml:space="preserve"> korun (meziročně </w:t>
      </w:r>
      <w:r w:rsidR="008C00A5" w:rsidRPr="00920317">
        <w:t>o </w:t>
      </w:r>
      <w:r w:rsidR="00484F22">
        <w:t>81,1</w:t>
      </w:r>
      <w:r w:rsidR="00CD547F" w:rsidRPr="00920317">
        <w:t> </w:t>
      </w:r>
      <w:r w:rsidR="00FD6D15" w:rsidRPr="00920317">
        <w:t xml:space="preserve">mld. </w:t>
      </w:r>
      <w:r w:rsidR="00613EF0" w:rsidRPr="00920317">
        <w:t>horší</w:t>
      </w:r>
      <w:r w:rsidR="00FD6D15" w:rsidRPr="00920317">
        <w:t xml:space="preserve"> výsledek).</w:t>
      </w:r>
      <w:r w:rsidR="00C57B79" w:rsidRPr="00920317">
        <w:t xml:space="preserve"> </w:t>
      </w:r>
    </w:p>
    <w:p w14:paraId="67AE141F" w14:textId="77777777" w:rsidR="006E0314" w:rsidRDefault="006E0314">
      <w:pPr>
        <w:spacing w:line="240" w:lineRule="auto"/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br w:type="page"/>
      </w:r>
    </w:p>
    <w:p w14:paraId="60090D41" w14:textId="09F71A06" w:rsidR="00BD57B8" w:rsidRPr="00BD57B8" w:rsidRDefault="00BD57B8" w:rsidP="00BD57B8">
      <w:pPr>
        <w:spacing w:after="240" w:line="24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lastRenderedPageBreak/>
        <w:t xml:space="preserve">Tabulka 1: </w:t>
      </w:r>
      <w:r w:rsidRPr="00BD57B8">
        <w:rPr>
          <w:rFonts w:eastAsia="Times New Roman" w:cs="Arial"/>
          <w:b/>
          <w:bCs/>
          <w:color w:val="000000"/>
          <w:szCs w:val="20"/>
          <w:lang w:eastAsia="cs-CZ"/>
        </w:rPr>
        <w:t>Vybrané hl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>avní ukazatele vývoje ekonomiky</w:t>
      </w:r>
    </w:p>
    <w:p w14:paraId="7D70AF55" w14:textId="33C9D113" w:rsidR="00870CF3" w:rsidRDefault="00D959E2" w:rsidP="00813226">
      <w:pPr>
        <w:jc w:val="center"/>
        <w:rPr>
          <w:b/>
        </w:rPr>
      </w:pPr>
      <w:r w:rsidRPr="00D959E2">
        <w:drawing>
          <wp:inline distT="0" distB="0" distL="0" distR="0" wp14:anchorId="6B862FC2" wp14:editId="4CBE85B1">
            <wp:extent cx="4993640" cy="507301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9E2">
        <w:t xml:space="preserve"> </w:t>
      </w:r>
      <w:bookmarkStart w:id="0" w:name="_GoBack"/>
      <w:bookmarkEnd w:id="0"/>
    </w:p>
    <w:p w14:paraId="1DCB679E" w14:textId="77777777" w:rsidR="00813226" w:rsidRDefault="00813226" w:rsidP="00E42E00">
      <w:pPr>
        <w:rPr>
          <w:b/>
        </w:rPr>
      </w:pPr>
    </w:p>
    <w:p w14:paraId="40794951" w14:textId="6EF3E5FF"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14:paraId="07FE70A9" w14:textId="77777777" w:rsidR="007B1333" w:rsidRPr="00BD40CD" w:rsidRDefault="00656A12" w:rsidP="00E42E00">
      <w:r w:rsidRPr="00BD40CD">
        <w:t>Karolína Zábojníková</w:t>
      </w:r>
    </w:p>
    <w:p w14:paraId="4734BAC4" w14:textId="77777777" w:rsidR="007B1333" w:rsidRPr="00BD40CD" w:rsidRDefault="00656A12" w:rsidP="00E42E00">
      <w:r w:rsidRPr="00BD40CD">
        <w:t>Odbor Kancelář předsedy</w:t>
      </w:r>
    </w:p>
    <w:p w14:paraId="4CEDD3F5" w14:textId="3D4E0FEB"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14:paraId="5AE94747" w14:textId="77777777"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3"/>
      <w:footerReference w:type="default" r:id="rId14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86FF" w14:textId="77777777" w:rsidR="00753FD1" w:rsidRDefault="00753FD1" w:rsidP="00BA6370">
      <w:r>
        <w:separator/>
      </w:r>
    </w:p>
  </w:endnote>
  <w:endnote w:type="continuationSeparator" w:id="0">
    <w:p w14:paraId="05C61E22" w14:textId="77777777" w:rsidR="00753FD1" w:rsidRDefault="00753F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76CA471B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4D">
          <w:rPr>
            <w:noProof/>
          </w:rPr>
          <w:t>9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C8A7" w14:textId="77777777" w:rsidR="00753FD1" w:rsidRDefault="00753FD1" w:rsidP="00BA6370">
      <w:r>
        <w:separator/>
      </w:r>
    </w:p>
  </w:footnote>
  <w:footnote w:type="continuationSeparator" w:id="0">
    <w:p w14:paraId="544FC7B5" w14:textId="77777777" w:rsidR="00753FD1" w:rsidRDefault="00753FD1" w:rsidP="00BA6370">
      <w:r>
        <w:continuationSeparator/>
      </w:r>
    </w:p>
  </w:footnote>
  <w:footnote w:id="1">
    <w:p w14:paraId="3338342C" w14:textId="77777777" w:rsidR="002371F1" w:rsidRPr="00F5750C" w:rsidRDefault="002371F1" w:rsidP="002371F1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14:paraId="75A85FE7" w14:textId="6A2BBB69" w:rsidR="00EE5BCA" w:rsidRPr="0006237B" w:rsidRDefault="00EE5BCA" w:rsidP="00EE5BCA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 </w:t>
      </w:r>
      <w:r w:rsidR="00AB208F">
        <w:rPr>
          <w:sz w:val="16"/>
          <w:szCs w:val="16"/>
        </w:rPr>
        <w:t>1</w:t>
      </w:r>
      <w:r>
        <w:rPr>
          <w:sz w:val="16"/>
          <w:szCs w:val="16"/>
        </w:rPr>
        <w:t>. čtvrtletí 202</w:t>
      </w:r>
      <w:r w:rsidR="00AB208F">
        <w:rPr>
          <w:sz w:val="16"/>
          <w:szCs w:val="16"/>
        </w:rPr>
        <w:t>2</w:t>
      </w:r>
      <w:r>
        <w:rPr>
          <w:sz w:val="16"/>
          <w:szCs w:val="16"/>
        </w:rPr>
        <w:t xml:space="preserve"> dosahoval meziroční deflátor HPH </w:t>
      </w:r>
      <w:r w:rsidR="00AB208F">
        <w:rPr>
          <w:sz w:val="16"/>
          <w:szCs w:val="16"/>
        </w:rPr>
        <w:t>5,4</w:t>
      </w:r>
      <w:r>
        <w:rPr>
          <w:sz w:val="16"/>
          <w:szCs w:val="16"/>
        </w:rPr>
        <w:t xml:space="preserve"> %, </w:t>
      </w:r>
      <w:r w:rsidR="00AB208F">
        <w:rPr>
          <w:sz w:val="16"/>
          <w:szCs w:val="16"/>
        </w:rPr>
        <w:t>mezičtvrtletně se cenová hladina zvýšila o 4,7</w:t>
      </w:r>
      <w:r>
        <w:rPr>
          <w:sz w:val="16"/>
          <w:szCs w:val="16"/>
        </w:rPr>
        <w:t> %.</w:t>
      </w:r>
    </w:p>
  </w:footnote>
  <w:footnote w:id="3">
    <w:p w14:paraId="28D9DF2D" w14:textId="77777777" w:rsidR="00E94B66" w:rsidRPr="000F11C8" w:rsidRDefault="00E94B66" w:rsidP="00E94B66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5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6">
    <w:p w14:paraId="59135C73" w14:textId="64D885C8" w:rsidR="00446302" w:rsidRPr="00446302" w:rsidRDefault="00446302">
      <w:pPr>
        <w:pStyle w:val="Textpoznpodarou"/>
        <w:rPr>
          <w:sz w:val="16"/>
          <w:szCs w:val="16"/>
        </w:rPr>
      </w:pPr>
      <w:r w:rsidRPr="00446302">
        <w:rPr>
          <w:rStyle w:val="Znakapoznpodarou"/>
          <w:sz w:val="16"/>
          <w:szCs w:val="16"/>
        </w:rPr>
        <w:footnoteRef/>
      </w:r>
      <w:r w:rsidRPr="00446302">
        <w:rPr>
          <w:sz w:val="16"/>
          <w:szCs w:val="16"/>
        </w:rPr>
        <w:t xml:space="preserve"> Podle deflátoru </w:t>
      </w:r>
      <w:r>
        <w:rPr>
          <w:sz w:val="16"/>
          <w:szCs w:val="16"/>
        </w:rPr>
        <w:t xml:space="preserve">HDP </w:t>
      </w:r>
      <w:r w:rsidRPr="00446302">
        <w:rPr>
          <w:sz w:val="16"/>
          <w:szCs w:val="16"/>
        </w:rPr>
        <w:t>se ceny hrubého fixního kapitálu zvýšily meziročně o 8,7 % a mezičtvrtletně o 5,0 %.</w:t>
      </w:r>
    </w:p>
  </w:footnote>
  <w:footnote w:id="7">
    <w:p w14:paraId="0C9FE028" w14:textId="77777777" w:rsidR="00820139" w:rsidRPr="00AB3D8D" w:rsidRDefault="00820139" w:rsidP="00820139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0DD2C690" w14:textId="77777777" w:rsidR="002735F1" w:rsidRPr="00337C71" w:rsidRDefault="002735F1" w:rsidP="002735F1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</w:t>
      </w:r>
      <w:proofErr w:type="gramStart"/>
      <w:r w:rsidRPr="00EB3C89">
        <w:rPr>
          <w:sz w:val="16"/>
          <w:szCs w:val="16"/>
        </w:rPr>
        <w:t>polek.1290</w:t>
      </w:r>
      <w:proofErr w:type="gramEnd"/>
      <w:r>
        <w:rPr>
          <w:sz w:val="16"/>
          <w:szCs w:val="16"/>
        </w:rPr>
        <w:t>.</w:t>
      </w:r>
    </w:p>
  </w:footnote>
  <w:footnote w:id="9">
    <w:p w14:paraId="7EECC7AA" w14:textId="2E0C5434" w:rsidR="000E0DCE" w:rsidRPr="009E0C2A" w:rsidRDefault="000E0DCE" w:rsidP="000E0DCE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 1. čtvrtletí 2022 činil meziroční cenový nárůst 12,3 % a mezičtvrtletní 9,2 %.</w:t>
      </w:r>
    </w:p>
  </w:footnote>
  <w:footnote w:id="10">
    <w:p w14:paraId="2689D6EF" w14:textId="77777777" w:rsidR="003D22F2" w:rsidRPr="00EB5544" w:rsidRDefault="003D22F2" w:rsidP="003D22F2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1">
    <w:p w14:paraId="30342BFD" w14:textId="77777777" w:rsidR="00F12768" w:rsidRPr="00EB5544" w:rsidRDefault="00F12768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2">
    <w:p w14:paraId="5D68ACA7" w14:textId="142A4530" w:rsidR="005D2C9A" w:rsidRPr="00707951" w:rsidRDefault="005D2C9A" w:rsidP="005D2C9A">
      <w:pPr>
        <w:pStyle w:val="Textpoznpodarou"/>
        <w:rPr>
          <w:sz w:val="16"/>
          <w:szCs w:val="16"/>
        </w:rPr>
      </w:pPr>
      <w:r w:rsidRPr="00707951">
        <w:rPr>
          <w:rStyle w:val="Znakapoznpodarou"/>
          <w:sz w:val="16"/>
          <w:szCs w:val="16"/>
        </w:rPr>
        <w:footnoteRef/>
      </w:r>
      <w:r w:rsidRPr="00707951">
        <w:rPr>
          <w:sz w:val="16"/>
          <w:szCs w:val="16"/>
        </w:rPr>
        <w:t xml:space="preserve"> V </w:t>
      </w:r>
      <w:r>
        <w:rPr>
          <w:sz w:val="16"/>
          <w:szCs w:val="16"/>
        </w:rPr>
        <w:t>roce 2019 to bylo 92,2 mld. korun, rok předtím 87,0 mld.</w:t>
      </w:r>
    </w:p>
  </w:footnote>
  <w:footnote w:id="13">
    <w:p w14:paraId="482452AD" w14:textId="7EE639C9" w:rsidR="00DA7747" w:rsidRPr="005E519B" w:rsidRDefault="00DA7747" w:rsidP="00DA7747">
      <w:pPr>
        <w:pStyle w:val="Textpoznpodarou"/>
        <w:rPr>
          <w:sz w:val="16"/>
          <w:szCs w:val="16"/>
        </w:rPr>
      </w:pPr>
      <w:r w:rsidRPr="005E519B">
        <w:rPr>
          <w:rStyle w:val="Znakapoznpodarou"/>
          <w:sz w:val="16"/>
          <w:szCs w:val="16"/>
        </w:rPr>
        <w:footnoteRef/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Maloobchod</w:t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byl omezen</w:t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až do 10. května</w:t>
      </w:r>
      <w:r w:rsidRPr="005E519B">
        <w:rPr>
          <w:sz w:val="16"/>
          <w:szCs w:val="16"/>
        </w:rPr>
        <w:t xml:space="preserve"> 2021.</w:t>
      </w:r>
    </w:p>
  </w:footnote>
  <w:footnote w:id="14">
    <w:p w14:paraId="1C8057A4" w14:textId="77777777" w:rsidR="00E26E5D" w:rsidRPr="005878E1" w:rsidRDefault="00E26E5D" w:rsidP="00E26E5D">
      <w:pPr>
        <w:pStyle w:val="Textpoznpodarou"/>
        <w:rPr>
          <w:sz w:val="16"/>
          <w:szCs w:val="16"/>
        </w:rPr>
      </w:pPr>
      <w:r w:rsidRPr="005878E1">
        <w:rPr>
          <w:rStyle w:val="Znakapoznpodarou"/>
          <w:sz w:val="16"/>
          <w:szCs w:val="16"/>
        </w:rPr>
        <w:footnoteRef/>
      </w:r>
      <w:r w:rsidRPr="005878E1">
        <w:rPr>
          <w:sz w:val="16"/>
          <w:szCs w:val="16"/>
        </w:rPr>
        <w:t xml:space="preserve"> Rozdíl mezi hrubým disponibilním důchodem upraveným o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čistý podíl domácností na rezervách penzijních fondů a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výdaji na konečnou spotřebu (B.6g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+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D.8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–</w:t>
      </w:r>
      <w:r>
        <w:rPr>
          <w:sz w:val="16"/>
          <w:szCs w:val="16"/>
        </w:rPr>
        <w:t> </w:t>
      </w:r>
      <w:proofErr w:type="gramStart"/>
      <w:r w:rsidRPr="005878E1">
        <w:rPr>
          <w:sz w:val="16"/>
          <w:szCs w:val="16"/>
        </w:rPr>
        <w:t>P.3).</w:t>
      </w:r>
      <w:proofErr w:type="gramEnd"/>
    </w:p>
  </w:footnote>
  <w:footnote w:id="15">
    <w:p w14:paraId="089D06FE" w14:textId="4F6F0DF7" w:rsidR="00E26E5D" w:rsidRPr="00E26E5D" w:rsidRDefault="00E26E5D">
      <w:pPr>
        <w:pStyle w:val="Textpoznpodarou"/>
        <w:rPr>
          <w:sz w:val="16"/>
          <w:szCs w:val="16"/>
        </w:rPr>
      </w:pPr>
      <w:r w:rsidRPr="00E26E5D">
        <w:rPr>
          <w:rStyle w:val="Znakapoznpodarou"/>
          <w:sz w:val="16"/>
          <w:szCs w:val="16"/>
        </w:rPr>
        <w:footnoteRef/>
      </w:r>
      <w:r w:rsidRPr="00E26E5D">
        <w:rPr>
          <w:sz w:val="16"/>
          <w:szCs w:val="16"/>
        </w:rPr>
        <w:t xml:space="preserve"> V 1. čtvrtletí 2019 hrubé úspory dosáhly 98,8 mld. korun, v roce 2018 to bylo 81,1 mld. </w:t>
      </w:r>
    </w:p>
  </w:footnote>
  <w:footnote w:id="16">
    <w:p w14:paraId="21D00688" w14:textId="77777777" w:rsidR="00E26E5D" w:rsidRPr="00E9501D" w:rsidRDefault="00E26E5D" w:rsidP="00E26E5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</w:t>
      </w:r>
      <w:r w:rsidRPr="005F1821">
        <w:rPr>
          <w:rFonts w:cs="Arial"/>
          <w:iCs/>
          <w:sz w:val="16"/>
          <w:szCs w:val="16"/>
        </w:rPr>
        <w:t>, která nebyla spotřebována ve formě</w:t>
      </w:r>
      <w:r w:rsidRPr="00E9501D">
        <w:rPr>
          <w:rFonts w:cs="Arial"/>
          <w:iCs/>
          <w:sz w:val="16"/>
          <w:szCs w:val="16"/>
        </w:rPr>
        <w:t xml:space="preserve"> výdajů na konečnou spotřebu.</w:t>
      </w:r>
    </w:p>
  </w:footnote>
  <w:footnote w:id="17">
    <w:p w14:paraId="612E333E" w14:textId="77777777" w:rsidR="00B26C4E" w:rsidRPr="00D20875" w:rsidRDefault="00B26C4E" w:rsidP="00B26C4E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8">
    <w:p w14:paraId="0F49BBA3" w14:textId="77777777" w:rsidR="002A54F5" w:rsidRPr="00B342F4" w:rsidRDefault="002A54F5" w:rsidP="002A54F5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857"/>
    <w:rsid w:val="00002DDA"/>
    <w:rsid w:val="0000403F"/>
    <w:rsid w:val="00006A93"/>
    <w:rsid w:val="000070E8"/>
    <w:rsid w:val="00012BC2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9A"/>
    <w:rsid w:val="0002212C"/>
    <w:rsid w:val="00026950"/>
    <w:rsid w:val="00026DC4"/>
    <w:rsid w:val="000302A6"/>
    <w:rsid w:val="00031A2E"/>
    <w:rsid w:val="00035A2B"/>
    <w:rsid w:val="00036709"/>
    <w:rsid w:val="000370D3"/>
    <w:rsid w:val="000408A4"/>
    <w:rsid w:val="00040CEA"/>
    <w:rsid w:val="00041D8C"/>
    <w:rsid w:val="00042640"/>
    <w:rsid w:val="00043BF4"/>
    <w:rsid w:val="00043E0C"/>
    <w:rsid w:val="00045A7A"/>
    <w:rsid w:val="00047A6C"/>
    <w:rsid w:val="000507CF"/>
    <w:rsid w:val="00055EBE"/>
    <w:rsid w:val="0006007D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3B8E"/>
    <w:rsid w:val="00074BF6"/>
    <w:rsid w:val="0007692E"/>
    <w:rsid w:val="000771E3"/>
    <w:rsid w:val="00082045"/>
    <w:rsid w:val="00082547"/>
    <w:rsid w:val="00082749"/>
    <w:rsid w:val="00082B42"/>
    <w:rsid w:val="000843A5"/>
    <w:rsid w:val="0008507E"/>
    <w:rsid w:val="0008521C"/>
    <w:rsid w:val="00087487"/>
    <w:rsid w:val="00087A80"/>
    <w:rsid w:val="00090B9E"/>
    <w:rsid w:val="00092C15"/>
    <w:rsid w:val="00092CCF"/>
    <w:rsid w:val="0009303F"/>
    <w:rsid w:val="00093BCB"/>
    <w:rsid w:val="000A0B3A"/>
    <w:rsid w:val="000A3200"/>
    <w:rsid w:val="000A5AAC"/>
    <w:rsid w:val="000B090E"/>
    <w:rsid w:val="000B3CB8"/>
    <w:rsid w:val="000B470E"/>
    <w:rsid w:val="000B5125"/>
    <w:rsid w:val="000B544B"/>
    <w:rsid w:val="000B5EAC"/>
    <w:rsid w:val="000B6F63"/>
    <w:rsid w:val="000B7488"/>
    <w:rsid w:val="000B7652"/>
    <w:rsid w:val="000C07E9"/>
    <w:rsid w:val="000C1D29"/>
    <w:rsid w:val="000C2CA9"/>
    <w:rsid w:val="000C6700"/>
    <w:rsid w:val="000C7427"/>
    <w:rsid w:val="000D19F9"/>
    <w:rsid w:val="000D267F"/>
    <w:rsid w:val="000D3E4F"/>
    <w:rsid w:val="000E0DCE"/>
    <w:rsid w:val="000E1C19"/>
    <w:rsid w:val="000F11C8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EAC"/>
    <w:rsid w:val="00104388"/>
    <w:rsid w:val="00106C6F"/>
    <w:rsid w:val="00107529"/>
    <w:rsid w:val="0010766F"/>
    <w:rsid w:val="001078B8"/>
    <w:rsid w:val="0010796E"/>
    <w:rsid w:val="001171CC"/>
    <w:rsid w:val="00117984"/>
    <w:rsid w:val="00120DF6"/>
    <w:rsid w:val="00121123"/>
    <w:rsid w:val="00121D14"/>
    <w:rsid w:val="0012377A"/>
    <w:rsid w:val="00123848"/>
    <w:rsid w:val="0012384F"/>
    <w:rsid w:val="00123E91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21A2"/>
    <w:rsid w:val="001578BA"/>
    <w:rsid w:val="00161FAB"/>
    <w:rsid w:val="00165362"/>
    <w:rsid w:val="001658A9"/>
    <w:rsid w:val="0016606A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59"/>
    <w:rsid w:val="00185D0B"/>
    <w:rsid w:val="00186D8E"/>
    <w:rsid w:val="001876AB"/>
    <w:rsid w:val="001903B8"/>
    <w:rsid w:val="00191EB3"/>
    <w:rsid w:val="00197A07"/>
    <w:rsid w:val="001A1D88"/>
    <w:rsid w:val="001A3851"/>
    <w:rsid w:val="001A5270"/>
    <w:rsid w:val="001A532E"/>
    <w:rsid w:val="001A5571"/>
    <w:rsid w:val="001A5758"/>
    <w:rsid w:val="001A59BF"/>
    <w:rsid w:val="001A6821"/>
    <w:rsid w:val="001B1CC6"/>
    <w:rsid w:val="001B33C3"/>
    <w:rsid w:val="001B5506"/>
    <w:rsid w:val="001B579F"/>
    <w:rsid w:val="001B5D69"/>
    <w:rsid w:val="001B607F"/>
    <w:rsid w:val="001B6452"/>
    <w:rsid w:val="001C0063"/>
    <w:rsid w:val="001C1F2F"/>
    <w:rsid w:val="001C21F4"/>
    <w:rsid w:val="001C3B2C"/>
    <w:rsid w:val="001C4AB9"/>
    <w:rsid w:val="001C5644"/>
    <w:rsid w:val="001C6AAC"/>
    <w:rsid w:val="001C7758"/>
    <w:rsid w:val="001C7FEF"/>
    <w:rsid w:val="001D02CC"/>
    <w:rsid w:val="001D11FD"/>
    <w:rsid w:val="001D1530"/>
    <w:rsid w:val="001D2496"/>
    <w:rsid w:val="001D369A"/>
    <w:rsid w:val="001D5F9E"/>
    <w:rsid w:val="001D5FDB"/>
    <w:rsid w:val="001D7172"/>
    <w:rsid w:val="001D7686"/>
    <w:rsid w:val="001E11DD"/>
    <w:rsid w:val="001E249C"/>
    <w:rsid w:val="001E4EFB"/>
    <w:rsid w:val="001F1D88"/>
    <w:rsid w:val="001F691A"/>
    <w:rsid w:val="001F6C45"/>
    <w:rsid w:val="002002A3"/>
    <w:rsid w:val="00203B05"/>
    <w:rsid w:val="00203B48"/>
    <w:rsid w:val="00203B5E"/>
    <w:rsid w:val="002070FB"/>
    <w:rsid w:val="00210B17"/>
    <w:rsid w:val="00210E73"/>
    <w:rsid w:val="0021146C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5A5C"/>
    <w:rsid w:val="0022766F"/>
    <w:rsid w:val="00227AD7"/>
    <w:rsid w:val="0023054D"/>
    <w:rsid w:val="00233086"/>
    <w:rsid w:val="0023363B"/>
    <w:rsid w:val="002338CE"/>
    <w:rsid w:val="00234585"/>
    <w:rsid w:val="00236EE0"/>
    <w:rsid w:val="002371F1"/>
    <w:rsid w:val="002406FA"/>
    <w:rsid w:val="002442F7"/>
    <w:rsid w:val="002461C3"/>
    <w:rsid w:val="002464F8"/>
    <w:rsid w:val="00246793"/>
    <w:rsid w:val="00246917"/>
    <w:rsid w:val="002472F5"/>
    <w:rsid w:val="00247354"/>
    <w:rsid w:val="00247E8D"/>
    <w:rsid w:val="00251388"/>
    <w:rsid w:val="00254D66"/>
    <w:rsid w:val="0026186F"/>
    <w:rsid w:val="002630D4"/>
    <w:rsid w:val="00263486"/>
    <w:rsid w:val="002636CE"/>
    <w:rsid w:val="00265A44"/>
    <w:rsid w:val="00270064"/>
    <w:rsid w:val="00270CE3"/>
    <w:rsid w:val="002726C7"/>
    <w:rsid w:val="002733A3"/>
    <w:rsid w:val="002735F1"/>
    <w:rsid w:val="00273EA6"/>
    <w:rsid w:val="00274A90"/>
    <w:rsid w:val="002777B6"/>
    <w:rsid w:val="002805A9"/>
    <w:rsid w:val="0028179A"/>
    <w:rsid w:val="00285689"/>
    <w:rsid w:val="0028701D"/>
    <w:rsid w:val="0029071A"/>
    <w:rsid w:val="0029200A"/>
    <w:rsid w:val="00293514"/>
    <w:rsid w:val="002956A8"/>
    <w:rsid w:val="0029746B"/>
    <w:rsid w:val="002A27D9"/>
    <w:rsid w:val="002A2E87"/>
    <w:rsid w:val="002A3A03"/>
    <w:rsid w:val="002A54F5"/>
    <w:rsid w:val="002A6710"/>
    <w:rsid w:val="002A6BB7"/>
    <w:rsid w:val="002B2E47"/>
    <w:rsid w:val="002B56A8"/>
    <w:rsid w:val="002B5926"/>
    <w:rsid w:val="002B5CC3"/>
    <w:rsid w:val="002B6288"/>
    <w:rsid w:val="002B67E8"/>
    <w:rsid w:val="002C2BAC"/>
    <w:rsid w:val="002C3203"/>
    <w:rsid w:val="002C363D"/>
    <w:rsid w:val="002C4EAA"/>
    <w:rsid w:val="002C666C"/>
    <w:rsid w:val="002C757B"/>
    <w:rsid w:val="002D3536"/>
    <w:rsid w:val="002D4DB4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510A"/>
    <w:rsid w:val="003047BF"/>
    <w:rsid w:val="003054E7"/>
    <w:rsid w:val="003057B2"/>
    <w:rsid w:val="00306DD9"/>
    <w:rsid w:val="003071C4"/>
    <w:rsid w:val="00311A7C"/>
    <w:rsid w:val="00312162"/>
    <w:rsid w:val="00312165"/>
    <w:rsid w:val="00317048"/>
    <w:rsid w:val="003175B7"/>
    <w:rsid w:val="0032007F"/>
    <w:rsid w:val="00321E61"/>
    <w:rsid w:val="0032347E"/>
    <w:rsid w:val="003248C3"/>
    <w:rsid w:val="0032577C"/>
    <w:rsid w:val="0032589E"/>
    <w:rsid w:val="00327644"/>
    <w:rsid w:val="003276BE"/>
    <w:rsid w:val="003301A3"/>
    <w:rsid w:val="00333784"/>
    <w:rsid w:val="00335604"/>
    <w:rsid w:val="00336825"/>
    <w:rsid w:val="00337C71"/>
    <w:rsid w:val="00340993"/>
    <w:rsid w:val="00340A26"/>
    <w:rsid w:val="00341577"/>
    <w:rsid w:val="00342F7F"/>
    <w:rsid w:val="003460CB"/>
    <w:rsid w:val="00346D76"/>
    <w:rsid w:val="00354A44"/>
    <w:rsid w:val="00355C29"/>
    <w:rsid w:val="00357702"/>
    <w:rsid w:val="003609A7"/>
    <w:rsid w:val="00361733"/>
    <w:rsid w:val="0036199B"/>
    <w:rsid w:val="00361B5E"/>
    <w:rsid w:val="003634AF"/>
    <w:rsid w:val="0036370A"/>
    <w:rsid w:val="00366A08"/>
    <w:rsid w:val="0036777B"/>
    <w:rsid w:val="00371845"/>
    <w:rsid w:val="0037363B"/>
    <w:rsid w:val="0037459C"/>
    <w:rsid w:val="00374EF6"/>
    <w:rsid w:val="003757F0"/>
    <w:rsid w:val="00376CF4"/>
    <w:rsid w:val="00377ED2"/>
    <w:rsid w:val="0038007D"/>
    <w:rsid w:val="00380823"/>
    <w:rsid w:val="00380AAD"/>
    <w:rsid w:val="0038282A"/>
    <w:rsid w:val="00385470"/>
    <w:rsid w:val="00391917"/>
    <w:rsid w:val="00391D8D"/>
    <w:rsid w:val="00391E86"/>
    <w:rsid w:val="00393900"/>
    <w:rsid w:val="00393979"/>
    <w:rsid w:val="003955AF"/>
    <w:rsid w:val="00395DCC"/>
    <w:rsid w:val="00397580"/>
    <w:rsid w:val="003A1794"/>
    <w:rsid w:val="003A34B3"/>
    <w:rsid w:val="003A44AD"/>
    <w:rsid w:val="003A45C8"/>
    <w:rsid w:val="003A55A7"/>
    <w:rsid w:val="003A5771"/>
    <w:rsid w:val="003A580D"/>
    <w:rsid w:val="003A5965"/>
    <w:rsid w:val="003A5DC7"/>
    <w:rsid w:val="003B05D1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7FE7"/>
    <w:rsid w:val="003D0499"/>
    <w:rsid w:val="003D21DB"/>
    <w:rsid w:val="003D22F2"/>
    <w:rsid w:val="003D388F"/>
    <w:rsid w:val="003D5B03"/>
    <w:rsid w:val="003D6494"/>
    <w:rsid w:val="003D7C0D"/>
    <w:rsid w:val="003E183B"/>
    <w:rsid w:val="003E2AD7"/>
    <w:rsid w:val="003E3B40"/>
    <w:rsid w:val="003E47F3"/>
    <w:rsid w:val="003E7D31"/>
    <w:rsid w:val="003F06AA"/>
    <w:rsid w:val="003F2A47"/>
    <w:rsid w:val="003F2E32"/>
    <w:rsid w:val="003F432E"/>
    <w:rsid w:val="003F43E5"/>
    <w:rsid w:val="003F526A"/>
    <w:rsid w:val="003F5C51"/>
    <w:rsid w:val="003F5CC1"/>
    <w:rsid w:val="003F5D15"/>
    <w:rsid w:val="00401D42"/>
    <w:rsid w:val="00402910"/>
    <w:rsid w:val="00403019"/>
    <w:rsid w:val="00403938"/>
    <w:rsid w:val="00405244"/>
    <w:rsid w:val="004065C6"/>
    <w:rsid w:val="004124F0"/>
    <w:rsid w:val="0041257F"/>
    <w:rsid w:val="00412FFB"/>
    <w:rsid w:val="00413AF7"/>
    <w:rsid w:val="004153B8"/>
    <w:rsid w:val="00415ADE"/>
    <w:rsid w:val="004161E2"/>
    <w:rsid w:val="00416817"/>
    <w:rsid w:val="00417433"/>
    <w:rsid w:val="00417D45"/>
    <w:rsid w:val="004222A3"/>
    <w:rsid w:val="0042259B"/>
    <w:rsid w:val="00426019"/>
    <w:rsid w:val="00426645"/>
    <w:rsid w:val="0042770B"/>
    <w:rsid w:val="004323BD"/>
    <w:rsid w:val="00433C60"/>
    <w:rsid w:val="00434936"/>
    <w:rsid w:val="0043790B"/>
    <w:rsid w:val="00437B90"/>
    <w:rsid w:val="004403B3"/>
    <w:rsid w:val="004409C1"/>
    <w:rsid w:val="00441887"/>
    <w:rsid w:val="00441FA9"/>
    <w:rsid w:val="004436EE"/>
    <w:rsid w:val="00446302"/>
    <w:rsid w:val="0045547F"/>
    <w:rsid w:val="00455E2F"/>
    <w:rsid w:val="00456CCF"/>
    <w:rsid w:val="00457776"/>
    <w:rsid w:val="0045777C"/>
    <w:rsid w:val="00461AA0"/>
    <w:rsid w:val="00462BD9"/>
    <w:rsid w:val="00463075"/>
    <w:rsid w:val="00471810"/>
    <w:rsid w:val="00474248"/>
    <w:rsid w:val="004847D1"/>
    <w:rsid w:val="00484F22"/>
    <w:rsid w:val="00485A84"/>
    <w:rsid w:val="00486ABD"/>
    <w:rsid w:val="00487978"/>
    <w:rsid w:val="00487F69"/>
    <w:rsid w:val="00491236"/>
    <w:rsid w:val="0049203F"/>
    <w:rsid w:val="004920AD"/>
    <w:rsid w:val="004942F4"/>
    <w:rsid w:val="004943E1"/>
    <w:rsid w:val="00495108"/>
    <w:rsid w:val="004951F3"/>
    <w:rsid w:val="00495989"/>
    <w:rsid w:val="00497031"/>
    <w:rsid w:val="004A1FAE"/>
    <w:rsid w:val="004A2C67"/>
    <w:rsid w:val="004A492E"/>
    <w:rsid w:val="004B0F65"/>
    <w:rsid w:val="004B13D2"/>
    <w:rsid w:val="004B4671"/>
    <w:rsid w:val="004B6B61"/>
    <w:rsid w:val="004C0099"/>
    <w:rsid w:val="004C26A0"/>
    <w:rsid w:val="004C3F2E"/>
    <w:rsid w:val="004C52C6"/>
    <w:rsid w:val="004C63CF"/>
    <w:rsid w:val="004D05B3"/>
    <w:rsid w:val="004D21CF"/>
    <w:rsid w:val="004D5280"/>
    <w:rsid w:val="004D5B03"/>
    <w:rsid w:val="004D6743"/>
    <w:rsid w:val="004E479E"/>
    <w:rsid w:val="004E759A"/>
    <w:rsid w:val="004E75C9"/>
    <w:rsid w:val="004E7E1E"/>
    <w:rsid w:val="004F3483"/>
    <w:rsid w:val="004F78E6"/>
    <w:rsid w:val="00500130"/>
    <w:rsid w:val="00501608"/>
    <w:rsid w:val="005019A7"/>
    <w:rsid w:val="00501B16"/>
    <w:rsid w:val="005024A7"/>
    <w:rsid w:val="0050484A"/>
    <w:rsid w:val="0050641C"/>
    <w:rsid w:val="0050756B"/>
    <w:rsid w:val="00511C14"/>
    <w:rsid w:val="00512D99"/>
    <w:rsid w:val="0051469C"/>
    <w:rsid w:val="00514883"/>
    <w:rsid w:val="00514960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545A"/>
    <w:rsid w:val="005357DB"/>
    <w:rsid w:val="005374DA"/>
    <w:rsid w:val="00541343"/>
    <w:rsid w:val="005416EE"/>
    <w:rsid w:val="00542C59"/>
    <w:rsid w:val="00543277"/>
    <w:rsid w:val="00544B6D"/>
    <w:rsid w:val="005455AF"/>
    <w:rsid w:val="00545C39"/>
    <w:rsid w:val="00550D6E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46B3"/>
    <w:rsid w:val="005655D7"/>
    <w:rsid w:val="005670BE"/>
    <w:rsid w:val="00570ABA"/>
    <w:rsid w:val="0057104A"/>
    <w:rsid w:val="00572A70"/>
    <w:rsid w:val="00573D5F"/>
    <w:rsid w:val="0057433C"/>
    <w:rsid w:val="00574630"/>
    <w:rsid w:val="00574740"/>
    <w:rsid w:val="00575E4D"/>
    <w:rsid w:val="00576430"/>
    <w:rsid w:val="00576E3A"/>
    <w:rsid w:val="005859A8"/>
    <w:rsid w:val="00586CF2"/>
    <w:rsid w:val="005878E1"/>
    <w:rsid w:val="005900E3"/>
    <w:rsid w:val="00590723"/>
    <w:rsid w:val="00593318"/>
    <w:rsid w:val="00596EEF"/>
    <w:rsid w:val="005A0668"/>
    <w:rsid w:val="005A0817"/>
    <w:rsid w:val="005A26D1"/>
    <w:rsid w:val="005A37E0"/>
    <w:rsid w:val="005A65C5"/>
    <w:rsid w:val="005A7879"/>
    <w:rsid w:val="005A7AC3"/>
    <w:rsid w:val="005B0A5A"/>
    <w:rsid w:val="005B4F27"/>
    <w:rsid w:val="005B59A3"/>
    <w:rsid w:val="005B6F95"/>
    <w:rsid w:val="005B72C7"/>
    <w:rsid w:val="005C1BB9"/>
    <w:rsid w:val="005C2AA4"/>
    <w:rsid w:val="005C4003"/>
    <w:rsid w:val="005C51E8"/>
    <w:rsid w:val="005C5354"/>
    <w:rsid w:val="005C676E"/>
    <w:rsid w:val="005C69D6"/>
    <w:rsid w:val="005D0714"/>
    <w:rsid w:val="005D0716"/>
    <w:rsid w:val="005D0B33"/>
    <w:rsid w:val="005D2C9A"/>
    <w:rsid w:val="005D35F2"/>
    <w:rsid w:val="005D36C7"/>
    <w:rsid w:val="005D7869"/>
    <w:rsid w:val="005E09C8"/>
    <w:rsid w:val="005E3EC9"/>
    <w:rsid w:val="005E519B"/>
    <w:rsid w:val="005F1821"/>
    <w:rsid w:val="005F1E2F"/>
    <w:rsid w:val="005F2451"/>
    <w:rsid w:val="005F3DE2"/>
    <w:rsid w:val="005F4667"/>
    <w:rsid w:val="005F603D"/>
    <w:rsid w:val="005F6782"/>
    <w:rsid w:val="005F699D"/>
    <w:rsid w:val="005F7379"/>
    <w:rsid w:val="005F79FB"/>
    <w:rsid w:val="00600E0E"/>
    <w:rsid w:val="006012B3"/>
    <w:rsid w:val="00604406"/>
    <w:rsid w:val="006047C1"/>
    <w:rsid w:val="006052D8"/>
    <w:rsid w:val="00605F4A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A9F"/>
    <w:rsid w:val="00615EB2"/>
    <w:rsid w:val="006171E2"/>
    <w:rsid w:val="006177EB"/>
    <w:rsid w:val="006207D9"/>
    <w:rsid w:val="006220ED"/>
    <w:rsid w:val="00622B80"/>
    <w:rsid w:val="00624989"/>
    <w:rsid w:val="006257C0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01B"/>
    <w:rsid w:val="006616AC"/>
    <w:rsid w:val="00661C54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814AC"/>
    <w:rsid w:val="00682B34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350"/>
    <w:rsid w:val="006929F3"/>
    <w:rsid w:val="00696C16"/>
    <w:rsid w:val="006A3430"/>
    <w:rsid w:val="006A50B6"/>
    <w:rsid w:val="006A79D4"/>
    <w:rsid w:val="006B1345"/>
    <w:rsid w:val="006B1FB1"/>
    <w:rsid w:val="006B3399"/>
    <w:rsid w:val="006B5A01"/>
    <w:rsid w:val="006B610C"/>
    <w:rsid w:val="006B6B22"/>
    <w:rsid w:val="006C09DD"/>
    <w:rsid w:val="006C2E9D"/>
    <w:rsid w:val="006C75E5"/>
    <w:rsid w:val="006C7A42"/>
    <w:rsid w:val="006D08B9"/>
    <w:rsid w:val="006D6521"/>
    <w:rsid w:val="006D7932"/>
    <w:rsid w:val="006E024F"/>
    <w:rsid w:val="006E0314"/>
    <w:rsid w:val="006E0595"/>
    <w:rsid w:val="006E381E"/>
    <w:rsid w:val="006E4E81"/>
    <w:rsid w:val="006E5112"/>
    <w:rsid w:val="006F05E3"/>
    <w:rsid w:val="006F1B5E"/>
    <w:rsid w:val="006F419E"/>
    <w:rsid w:val="006F43C5"/>
    <w:rsid w:val="006F7CA8"/>
    <w:rsid w:val="00701DA6"/>
    <w:rsid w:val="00702D2D"/>
    <w:rsid w:val="0070619B"/>
    <w:rsid w:val="00707951"/>
    <w:rsid w:val="00707F7D"/>
    <w:rsid w:val="00710434"/>
    <w:rsid w:val="007146C8"/>
    <w:rsid w:val="0071669A"/>
    <w:rsid w:val="00717614"/>
    <w:rsid w:val="00717EC5"/>
    <w:rsid w:val="00722FE7"/>
    <w:rsid w:val="0072356C"/>
    <w:rsid w:val="007243C8"/>
    <w:rsid w:val="00726E4F"/>
    <w:rsid w:val="00731693"/>
    <w:rsid w:val="007318A9"/>
    <w:rsid w:val="007326B5"/>
    <w:rsid w:val="00732745"/>
    <w:rsid w:val="007338EE"/>
    <w:rsid w:val="00733AC3"/>
    <w:rsid w:val="0073435F"/>
    <w:rsid w:val="00735B9D"/>
    <w:rsid w:val="00737B80"/>
    <w:rsid w:val="00741D13"/>
    <w:rsid w:val="00742725"/>
    <w:rsid w:val="00743982"/>
    <w:rsid w:val="007460F1"/>
    <w:rsid w:val="00746BD9"/>
    <w:rsid w:val="00750C6C"/>
    <w:rsid w:val="00753FD1"/>
    <w:rsid w:val="0075439D"/>
    <w:rsid w:val="00754742"/>
    <w:rsid w:val="0075481D"/>
    <w:rsid w:val="00756FB7"/>
    <w:rsid w:val="0076005F"/>
    <w:rsid w:val="007608AF"/>
    <w:rsid w:val="00763254"/>
    <w:rsid w:val="007640A3"/>
    <w:rsid w:val="007651A6"/>
    <w:rsid w:val="00766670"/>
    <w:rsid w:val="00766AD8"/>
    <w:rsid w:val="0076719B"/>
    <w:rsid w:val="00776326"/>
    <w:rsid w:val="007764C0"/>
    <w:rsid w:val="00777139"/>
    <w:rsid w:val="00777576"/>
    <w:rsid w:val="0078195F"/>
    <w:rsid w:val="00783F7F"/>
    <w:rsid w:val="0078586F"/>
    <w:rsid w:val="007909AA"/>
    <w:rsid w:val="0079299A"/>
    <w:rsid w:val="00793148"/>
    <w:rsid w:val="00793D06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CFC"/>
    <w:rsid w:val="007C55AD"/>
    <w:rsid w:val="007D0ACE"/>
    <w:rsid w:val="007D3631"/>
    <w:rsid w:val="007D5951"/>
    <w:rsid w:val="007D6250"/>
    <w:rsid w:val="007D7EC1"/>
    <w:rsid w:val="007E0412"/>
    <w:rsid w:val="007E23A3"/>
    <w:rsid w:val="007E257D"/>
    <w:rsid w:val="007E2D9F"/>
    <w:rsid w:val="007E39B1"/>
    <w:rsid w:val="007E3E1C"/>
    <w:rsid w:val="007F1A39"/>
    <w:rsid w:val="007F1FEE"/>
    <w:rsid w:val="007F4A89"/>
    <w:rsid w:val="007F4AEB"/>
    <w:rsid w:val="007F6239"/>
    <w:rsid w:val="007F75B2"/>
    <w:rsid w:val="007F7F00"/>
    <w:rsid w:val="00801791"/>
    <w:rsid w:val="00803372"/>
    <w:rsid w:val="008043C4"/>
    <w:rsid w:val="00807E1E"/>
    <w:rsid w:val="00807EB8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42CC"/>
    <w:rsid w:val="00825070"/>
    <w:rsid w:val="00827A91"/>
    <w:rsid w:val="00830309"/>
    <w:rsid w:val="00831B1B"/>
    <w:rsid w:val="008354B4"/>
    <w:rsid w:val="008358E0"/>
    <w:rsid w:val="00840938"/>
    <w:rsid w:val="00840F99"/>
    <w:rsid w:val="00841D76"/>
    <w:rsid w:val="008434E7"/>
    <w:rsid w:val="00846BC4"/>
    <w:rsid w:val="00847A8C"/>
    <w:rsid w:val="00850AAD"/>
    <w:rsid w:val="008514B8"/>
    <w:rsid w:val="0085193E"/>
    <w:rsid w:val="00852098"/>
    <w:rsid w:val="0085235F"/>
    <w:rsid w:val="00852368"/>
    <w:rsid w:val="008538A7"/>
    <w:rsid w:val="00856098"/>
    <w:rsid w:val="00861D0E"/>
    <w:rsid w:val="00861F45"/>
    <w:rsid w:val="0086334D"/>
    <w:rsid w:val="00863D68"/>
    <w:rsid w:val="00866BA8"/>
    <w:rsid w:val="00867569"/>
    <w:rsid w:val="00867807"/>
    <w:rsid w:val="0087060D"/>
    <w:rsid w:val="00870CF3"/>
    <w:rsid w:val="00872214"/>
    <w:rsid w:val="008727FA"/>
    <w:rsid w:val="00872B8E"/>
    <w:rsid w:val="008804D0"/>
    <w:rsid w:val="0088129D"/>
    <w:rsid w:val="00884029"/>
    <w:rsid w:val="00887972"/>
    <w:rsid w:val="008914B7"/>
    <w:rsid w:val="00891D95"/>
    <w:rsid w:val="008945F2"/>
    <w:rsid w:val="008A0E8F"/>
    <w:rsid w:val="008A1027"/>
    <w:rsid w:val="008A18A9"/>
    <w:rsid w:val="008A6342"/>
    <w:rsid w:val="008A6A3B"/>
    <w:rsid w:val="008A750A"/>
    <w:rsid w:val="008B225C"/>
    <w:rsid w:val="008B4550"/>
    <w:rsid w:val="008B7891"/>
    <w:rsid w:val="008C00A5"/>
    <w:rsid w:val="008C0108"/>
    <w:rsid w:val="008C27B1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E29EF"/>
    <w:rsid w:val="008E68EB"/>
    <w:rsid w:val="008E7E4F"/>
    <w:rsid w:val="008F0222"/>
    <w:rsid w:val="008F35E4"/>
    <w:rsid w:val="008F73B4"/>
    <w:rsid w:val="008F7E5F"/>
    <w:rsid w:val="00900EDB"/>
    <w:rsid w:val="009015C7"/>
    <w:rsid w:val="00906ECF"/>
    <w:rsid w:val="0090741A"/>
    <w:rsid w:val="00907ADB"/>
    <w:rsid w:val="00911AC8"/>
    <w:rsid w:val="00916073"/>
    <w:rsid w:val="009168C2"/>
    <w:rsid w:val="00917CA6"/>
    <w:rsid w:val="00920317"/>
    <w:rsid w:val="0092081A"/>
    <w:rsid w:val="00920D32"/>
    <w:rsid w:val="00922570"/>
    <w:rsid w:val="0092310A"/>
    <w:rsid w:val="00927ADE"/>
    <w:rsid w:val="00927DD9"/>
    <w:rsid w:val="00930B3C"/>
    <w:rsid w:val="00931A52"/>
    <w:rsid w:val="00931B1D"/>
    <w:rsid w:val="00933883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5227E"/>
    <w:rsid w:val="009544CC"/>
    <w:rsid w:val="00956495"/>
    <w:rsid w:val="00960BF2"/>
    <w:rsid w:val="00961ECD"/>
    <w:rsid w:val="0096328A"/>
    <w:rsid w:val="00963E6F"/>
    <w:rsid w:val="009678FC"/>
    <w:rsid w:val="009701AB"/>
    <w:rsid w:val="00971D38"/>
    <w:rsid w:val="00973287"/>
    <w:rsid w:val="00973301"/>
    <w:rsid w:val="009740BF"/>
    <w:rsid w:val="00976B5B"/>
    <w:rsid w:val="00976D97"/>
    <w:rsid w:val="0098149A"/>
    <w:rsid w:val="00982C53"/>
    <w:rsid w:val="00984434"/>
    <w:rsid w:val="00984499"/>
    <w:rsid w:val="00985EE5"/>
    <w:rsid w:val="009873F0"/>
    <w:rsid w:val="00987FFE"/>
    <w:rsid w:val="0099050D"/>
    <w:rsid w:val="00991E8D"/>
    <w:rsid w:val="00992601"/>
    <w:rsid w:val="009950AF"/>
    <w:rsid w:val="009958A1"/>
    <w:rsid w:val="00995DA7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55B1"/>
    <w:rsid w:val="009B68A7"/>
    <w:rsid w:val="009C15DC"/>
    <w:rsid w:val="009C4150"/>
    <w:rsid w:val="009C6103"/>
    <w:rsid w:val="009C7AA7"/>
    <w:rsid w:val="009C7BF5"/>
    <w:rsid w:val="009D055A"/>
    <w:rsid w:val="009D0BD5"/>
    <w:rsid w:val="009D4881"/>
    <w:rsid w:val="009E0621"/>
    <w:rsid w:val="009E1BCE"/>
    <w:rsid w:val="009E31D4"/>
    <w:rsid w:val="009E52CF"/>
    <w:rsid w:val="009E617C"/>
    <w:rsid w:val="009F0332"/>
    <w:rsid w:val="009F116F"/>
    <w:rsid w:val="009F276D"/>
    <w:rsid w:val="009F2D91"/>
    <w:rsid w:val="009F491A"/>
    <w:rsid w:val="009F5F23"/>
    <w:rsid w:val="009F7FD8"/>
    <w:rsid w:val="00A001F0"/>
    <w:rsid w:val="00A01EEF"/>
    <w:rsid w:val="00A0276F"/>
    <w:rsid w:val="00A02E15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2003A"/>
    <w:rsid w:val="00A20BED"/>
    <w:rsid w:val="00A2262B"/>
    <w:rsid w:val="00A23096"/>
    <w:rsid w:val="00A233AA"/>
    <w:rsid w:val="00A32891"/>
    <w:rsid w:val="00A33E60"/>
    <w:rsid w:val="00A35F83"/>
    <w:rsid w:val="00A37A32"/>
    <w:rsid w:val="00A40856"/>
    <w:rsid w:val="00A4248F"/>
    <w:rsid w:val="00A431FA"/>
    <w:rsid w:val="00A4343D"/>
    <w:rsid w:val="00A438DA"/>
    <w:rsid w:val="00A448C7"/>
    <w:rsid w:val="00A45C7B"/>
    <w:rsid w:val="00A46E13"/>
    <w:rsid w:val="00A502F1"/>
    <w:rsid w:val="00A525AF"/>
    <w:rsid w:val="00A53140"/>
    <w:rsid w:val="00A55C4E"/>
    <w:rsid w:val="00A56C80"/>
    <w:rsid w:val="00A63DD4"/>
    <w:rsid w:val="00A65A70"/>
    <w:rsid w:val="00A662D0"/>
    <w:rsid w:val="00A70A83"/>
    <w:rsid w:val="00A73918"/>
    <w:rsid w:val="00A74120"/>
    <w:rsid w:val="00A75F37"/>
    <w:rsid w:val="00A761CF"/>
    <w:rsid w:val="00A7683E"/>
    <w:rsid w:val="00A774B2"/>
    <w:rsid w:val="00A7774A"/>
    <w:rsid w:val="00A81EB3"/>
    <w:rsid w:val="00A826E6"/>
    <w:rsid w:val="00A8291E"/>
    <w:rsid w:val="00A860F4"/>
    <w:rsid w:val="00A86219"/>
    <w:rsid w:val="00A873BA"/>
    <w:rsid w:val="00A904D9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3711"/>
    <w:rsid w:val="00AA439D"/>
    <w:rsid w:val="00AA4ECF"/>
    <w:rsid w:val="00AA6E75"/>
    <w:rsid w:val="00AB208F"/>
    <w:rsid w:val="00AB22E1"/>
    <w:rsid w:val="00AB2399"/>
    <w:rsid w:val="00AB410C"/>
    <w:rsid w:val="00AB594C"/>
    <w:rsid w:val="00AB5CFD"/>
    <w:rsid w:val="00AB73C1"/>
    <w:rsid w:val="00AB7ADF"/>
    <w:rsid w:val="00AC4564"/>
    <w:rsid w:val="00AC60CC"/>
    <w:rsid w:val="00AC6A14"/>
    <w:rsid w:val="00AC72CC"/>
    <w:rsid w:val="00AD09C9"/>
    <w:rsid w:val="00AD5C35"/>
    <w:rsid w:val="00AD6519"/>
    <w:rsid w:val="00AD6CA9"/>
    <w:rsid w:val="00AD6D62"/>
    <w:rsid w:val="00AE3964"/>
    <w:rsid w:val="00AE59AB"/>
    <w:rsid w:val="00AE5C88"/>
    <w:rsid w:val="00AE63EF"/>
    <w:rsid w:val="00AF2358"/>
    <w:rsid w:val="00AF40A6"/>
    <w:rsid w:val="00AF63B0"/>
    <w:rsid w:val="00AF66FA"/>
    <w:rsid w:val="00AF78C1"/>
    <w:rsid w:val="00B00C1D"/>
    <w:rsid w:val="00B01408"/>
    <w:rsid w:val="00B043D9"/>
    <w:rsid w:val="00B06174"/>
    <w:rsid w:val="00B07CA2"/>
    <w:rsid w:val="00B10B53"/>
    <w:rsid w:val="00B1299C"/>
    <w:rsid w:val="00B13907"/>
    <w:rsid w:val="00B15E58"/>
    <w:rsid w:val="00B16369"/>
    <w:rsid w:val="00B1677F"/>
    <w:rsid w:val="00B16FC6"/>
    <w:rsid w:val="00B179C6"/>
    <w:rsid w:val="00B20108"/>
    <w:rsid w:val="00B20DE0"/>
    <w:rsid w:val="00B20F58"/>
    <w:rsid w:val="00B2435B"/>
    <w:rsid w:val="00B24C95"/>
    <w:rsid w:val="00B26AFC"/>
    <w:rsid w:val="00B26BED"/>
    <w:rsid w:val="00B26C4E"/>
    <w:rsid w:val="00B31464"/>
    <w:rsid w:val="00B328D3"/>
    <w:rsid w:val="00B33194"/>
    <w:rsid w:val="00B33880"/>
    <w:rsid w:val="00B33F33"/>
    <w:rsid w:val="00B342F4"/>
    <w:rsid w:val="00B351F5"/>
    <w:rsid w:val="00B365F7"/>
    <w:rsid w:val="00B403FC"/>
    <w:rsid w:val="00B42F9B"/>
    <w:rsid w:val="00B435ED"/>
    <w:rsid w:val="00B44ECB"/>
    <w:rsid w:val="00B468DA"/>
    <w:rsid w:val="00B4790F"/>
    <w:rsid w:val="00B52F87"/>
    <w:rsid w:val="00B54330"/>
    <w:rsid w:val="00B54C52"/>
    <w:rsid w:val="00B57649"/>
    <w:rsid w:val="00B60120"/>
    <w:rsid w:val="00B60BBA"/>
    <w:rsid w:val="00B61E39"/>
    <w:rsid w:val="00B66166"/>
    <w:rsid w:val="00B70ECD"/>
    <w:rsid w:val="00B70FF6"/>
    <w:rsid w:val="00B7235B"/>
    <w:rsid w:val="00B72D2F"/>
    <w:rsid w:val="00B75E48"/>
    <w:rsid w:val="00B8043F"/>
    <w:rsid w:val="00B80695"/>
    <w:rsid w:val="00B817AE"/>
    <w:rsid w:val="00B83EC6"/>
    <w:rsid w:val="00B868B8"/>
    <w:rsid w:val="00B920DD"/>
    <w:rsid w:val="00B92E7A"/>
    <w:rsid w:val="00BA0F08"/>
    <w:rsid w:val="00BA439F"/>
    <w:rsid w:val="00BA5834"/>
    <w:rsid w:val="00BA6370"/>
    <w:rsid w:val="00BA6BD0"/>
    <w:rsid w:val="00BB06CA"/>
    <w:rsid w:val="00BB6268"/>
    <w:rsid w:val="00BC1564"/>
    <w:rsid w:val="00BC6747"/>
    <w:rsid w:val="00BC6921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3302"/>
    <w:rsid w:val="00BE3335"/>
    <w:rsid w:val="00BE550F"/>
    <w:rsid w:val="00BE560B"/>
    <w:rsid w:val="00BE5C4A"/>
    <w:rsid w:val="00BE6D51"/>
    <w:rsid w:val="00BE7C44"/>
    <w:rsid w:val="00BF029D"/>
    <w:rsid w:val="00BF1519"/>
    <w:rsid w:val="00BF34CC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7B2C"/>
    <w:rsid w:val="00C2080D"/>
    <w:rsid w:val="00C22415"/>
    <w:rsid w:val="00C2278C"/>
    <w:rsid w:val="00C232B3"/>
    <w:rsid w:val="00C2354F"/>
    <w:rsid w:val="00C24B18"/>
    <w:rsid w:val="00C26525"/>
    <w:rsid w:val="00C269D4"/>
    <w:rsid w:val="00C26D85"/>
    <w:rsid w:val="00C30A81"/>
    <w:rsid w:val="00C3197B"/>
    <w:rsid w:val="00C35652"/>
    <w:rsid w:val="00C36AD6"/>
    <w:rsid w:val="00C4160D"/>
    <w:rsid w:val="00C42CB8"/>
    <w:rsid w:val="00C4301F"/>
    <w:rsid w:val="00C439CF"/>
    <w:rsid w:val="00C45B06"/>
    <w:rsid w:val="00C50BEB"/>
    <w:rsid w:val="00C510FD"/>
    <w:rsid w:val="00C5191D"/>
    <w:rsid w:val="00C51B65"/>
    <w:rsid w:val="00C52C3F"/>
    <w:rsid w:val="00C54720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43A0"/>
    <w:rsid w:val="00C74A84"/>
    <w:rsid w:val="00C7537C"/>
    <w:rsid w:val="00C7577F"/>
    <w:rsid w:val="00C7585A"/>
    <w:rsid w:val="00C8406E"/>
    <w:rsid w:val="00C864A9"/>
    <w:rsid w:val="00C86BDB"/>
    <w:rsid w:val="00C874BC"/>
    <w:rsid w:val="00C91009"/>
    <w:rsid w:val="00C91BB8"/>
    <w:rsid w:val="00C947EC"/>
    <w:rsid w:val="00C950A2"/>
    <w:rsid w:val="00C95A4D"/>
    <w:rsid w:val="00C96221"/>
    <w:rsid w:val="00C969E1"/>
    <w:rsid w:val="00C97062"/>
    <w:rsid w:val="00CA1B47"/>
    <w:rsid w:val="00CA2A0A"/>
    <w:rsid w:val="00CA2CFD"/>
    <w:rsid w:val="00CA4B6F"/>
    <w:rsid w:val="00CB088B"/>
    <w:rsid w:val="00CB19EA"/>
    <w:rsid w:val="00CB1D8D"/>
    <w:rsid w:val="00CB2709"/>
    <w:rsid w:val="00CB5EA3"/>
    <w:rsid w:val="00CB6F89"/>
    <w:rsid w:val="00CC098E"/>
    <w:rsid w:val="00CC2897"/>
    <w:rsid w:val="00CC410E"/>
    <w:rsid w:val="00CD07B7"/>
    <w:rsid w:val="00CD0981"/>
    <w:rsid w:val="00CD547F"/>
    <w:rsid w:val="00CD64C4"/>
    <w:rsid w:val="00CD7418"/>
    <w:rsid w:val="00CE0364"/>
    <w:rsid w:val="00CE07E7"/>
    <w:rsid w:val="00CE1C49"/>
    <w:rsid w:val="00CE1CC5"/>
    <w:rsid w:val="00CE1E87"/>
    <w:rsid w:val="00CE228C"/>
    <w:rsid w:val="00CE3027"/>
    <w:rsid w:val="00CE3410"/>
    <w:rsid w:val="00CE3CED"/>
    <w:rsid w:val="00CE615B"/>
    <w:rsid w:val="00CE6C12"/>
    <w:rsid w:val="00CE75DD"/>
    <w:rsid w:val="00CF1CFF"/>
    <w:rsid w:val="00CF1E81"/>
    <w:rsid w:val="00CF27B5"/>
    <w:rsid w:val="00CF344C"/>
    <w:rsid w:val="00CF37D7"/>
    <w:rsid w:val="00CF3C2E"/>
    <w:rsid w:val="00CF4669"/>
    <w:rsid w:val="00CF545B"/>
    <w:rsid w:val="00CF5795"/>
    <w:rsid w:val="00CF707A"/>
    <w:rsid w:val="00D03A5E"/>
    <w:rsid w:val="00D03F01"/>
    <w:rsid w:val="00D0656D"/>
    <w:rsid w:val="00D11FF5"/>
    <w:rsid w:val="00D13375"/>
    <w:rsid w:val="00D16B34"/>
    <w:rsid w:val="00D175AA"/>
    <w:rsid w:val="00D20BA5"/>
    <w:rsid w:val="00D20BD0"/>
    <w:rsid w:val="00D21345"/>
    <w:rsid w:val="00D25B5F"/>
    <w:rsid w:val="00D26769"/>
    <w:rsid w:val="00D27B3D"/>
    <w:rsid w:val="00D27D69"/>
    <w:rsid w:val="00D33100"/>
    <w:rsid w:val="00D33DFC"/>
    <w:rsid w:val="00D432E3"/>
    <w:rsid w:val="00D43488"/>
    <w:rsid w:val="00D44452"/>
    <w:rsid w:val="00D4470F"/>
    <w:rsid w:val="00D448C2"/>
    <w:rsid w:val="00D502CF"/>
    <w:rsid w:val="00D573FE"/>
    <w:rsid w:val="00D60BAF"/>
    <w:rsid w:val="00D62931"/>
    <w:rsid w:val="00D657AC"/>
    <w:rsid w:val="00D666C3"/>
    <w:rsid w:val="00D718B9"/>
    <w:rsid w:val="00D71C1C"/>
    <w:rsid w:val="00D74DBA"/>
    <w:rsid w:val="00D806A3"/>
    <w:rsid w:val="00D80EFF"/>
    <w:rsid w:val="00D80F3C"/>
    <w:rsid w:val="00D819D0"/>
    <w:rsid w:val="00D83BC6"/>
    <w:rsid w:val="00D83EE9"/>
    <w:rsid w:val="00D85B40"/>
    <w:rsid w:val="00D86734"/>
    <w:rsid w:val="00D87206"/>
    <w:rsid w:val="00D875B2"/>
    <w:rsid w:val="00D9542B"/>
    <w:rsid w:val="00D959E2"/>
    <w:rsid w:val="00D95EA7"/>
    <w:rsid w:val="00D97040"/>
    <w:rsid w:val="00DA0096"/>
    <w:rsid w:val="00DA05BA"/>
    <w:rsid w:val="00DA10C1"/>
    <w:rsid w:val="00DA1298"/>
    <w:rsid w:val="00DA3AE5"/>
    <w:rsid w:val="00DA3ED4"/>
    <w:rsid w:val="00DA56DA"/>
    <w:rsid w:val="00DA6EE0"/>
    <w:rsid w:val="00DA7747"/>
    <w:rsid w:val="00DA7A94"/>
    <w:rsid w:val="00DB0771"/>
    <w:rsid w:val="00DB0CC6"/>
    <w:rsid w:val="00DB2214"/>
    <w:rsid w:val="00DB3CBA"/>
    <w:rsid w:val="00DB4709"/>
    <w:rsid w:val="00DB4E76"/>
    <w:rsid w:val="00DB60A2"/>
    <w:rsid w:val="00DB7976"/>
    <w:rsid w:val="00DB7C60"/>
    <w:rsid w:val="00DC4BEF"/>
    <w:rsid w:val="00DC4DBF"/>
    <w:rsid w:val="00DC5E7F"/>
    <w:rsid w:val="00DC6E28"/>
    <w:rsid w:val="00DD0AD6"/>
    <w:rsid w:val="00DD1DC3"/>
    <w:rsid w:val="00DD1EAE"/>
    <w:rsid w:val="00DD1F40"/>
    <w:rsid w:val="00DD2662"/>
    <w:rsid w:val="00DD4CB4"/>
    <w:rsid w:val="00DD6C3A"/>
    <w:rsid w:val="00DE0702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DF6A83"/>
    <w:rsid w:val="00E00CD4"/>
    <w:rsid w:val="00E014D6"/>
    <w:rsid w:val="00E017FD"/>
    <w:rsid w:val="00E0186F"/>
    <w:rsid w:val="00E1074D"/>
    <w:rsid w:val="00E1126E"/>
    <w:rsid w:val="00E11D10"/>
    <w:rsid w:val="00E12C71"/>
    <w:rsid w:val="00E13EE8"/>
    <w:rsid w:val="00E1614A"/>
    <w:rsid w:val="00E165D2"/>
    <w:rsid w:val="00E16ACA"/>
    <w:rsid w:val="00E20705"/>
    <w:rsid w:val="00E21F33"/>
    <w:rsid w:val="00E2204B"/>
    <w:rsid w:val="00E23803"/>
    <w:rsid w:val="00E2448E"/>
    <w:rsid w:val="00E26081"/>
    <w:rsid w:val="00E260AC"/>
    <w:rsid w:val="00E26704"/>
    <w:rsid w:val="00E26A5C"/>
    <w:rsid w:val="00E26E5D"/>
    <w:rsid w:val="00E26E70"/>
    <w:rsid w:val="00E2757D"/>
    <w:rsid w:val="00E309BB"/>
    <w:rsid w:val="00E316C8"/>
    <w:rsid w:val="00E3189B"/>
    <w:rsid w:val="00E31980"/>
    <w:rsid w:val="00E330F7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2E01"/>
    <w:rsid w:val="00E564C0"/>
    <w:rsid w:val="00E571BD"/>
    <w:rsid w:val="00E57C4B"/>
    <w:rsid w:val="00E620E4"/>
    <w:rsid w:val="00E63873"/>
    <w:rsid w:val="00E63E1E"/>
    <w:rsid w:val="00E6423C"/>
    <w:rsid w:val="00E64284"/>
    <w:rsid w:val="00E64DE8"/>
    <w:rsid w:val="00E700E6"/>
    <w:rsid w:val="00E70818"/>
    <w:rsid w:val="00E754BF"/>
    <w:rsid w:val="00E77C6D"/>
    <w:rsid w:val="00E83BCC"/>
    <w:rsid w:val="00E8434E"/>
    <w:rsid w:val="00E843B7"/>
    <w:rsid w:val="00E910B6"/>
    <w:rsid w:val="00E9181E"/>
    <w:rsid w:val="00E92F26"/>
    <w:rsid w:val="00E9349A"/>
    <w:rsid w:val="00E93830"/>
    <w:rsid w:val="00E93E0E"/>
    <w:rsid w:val="00E94B66"/>
    <w:rsid w:val="00EA0A2C"/>
    <w:rsid w:val="00EA1DBD"/>
    <w:rsid w:val="00EA3AFD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30F"/>
    <w:rsid w:val="00EB6F45"/>
    <w:rsid w:val="00EC12DA"/>
    <w:rsid w:val="00EC2D51"/>
    <w:rsid w:val="00EC659E"/>
    <w:rsid w:val="00EC6D60"/>
    <w:rsid w:val="00EC7AEF"/>
    <w:rsid w:val="00ED01DB"/>
    <w:rsid w:val="00ED055F"/>
    <w:rsid w:val="00ED3B49"/>
    <w:rsid w:val="00ED6FE8"/>
    <w:rsid w:val="00ED7B69"/>
    <w:rsid w:val="00EE227D"/>
    <w:rsid w:val="00EE3D9D"/>
    <w:rsid w:val="00EE4713"/>
    <w:rsid w:val="00EE484C"/>
    <w:rsid w:val="00EE4F33"/>
    <w:rsid w:val="00EE5BCA"/>
    <w:rsid w:val="00EF0152"/>
    <w:rsid w:val="00EF05BD"/>
    <w:rsid w:val="00EF38F4"/>
    <w:rsid w:val="00EF3A5B"/>
    <w:rsid w:val="00EF3B9E"/>
    <w:rsid w:val="00EF625A"/>
    <w:rsid w:val="00EF788F"/>
    <w:rsid w:val="00F0005E"/>
    <w:rsid w:val="00F00922"/>
    <w:rsid w:val="00F00AEE"/>
    <w:rsid w:val="00F03815"/>
    <w:rsid w:val="00F0500E"/>
    <w:rsid w:val="00F068AE"/>
    <w:rsid w:val="00F1049C"/>
    <w:rsid w:val="00F12768"/>
    <w:rsid w:val="00F12A9A"/>
    <w:rsid w:val="00F13564"/>
    <w:rsid w:val="00F13F05"/>
    <w:rsid w:val="00F169B0"/>
    <w:rsid w:val="00F174C2"/>
    <w:rsid w:val="00F21DB3"/>
    <w:rsid w:val="00F220C4"/>
    <w:rsid w:val="00F23E34"/>
    <w:rsid w:val="00F26395"/>
    <w:rsid w:val="00F271A0"/>
    <w:rsid w:val="00F2781C"/>
    <w:rsid w:val="00F30003"/>
    <w:rsid w:val="00F32DA4"/>
    <w:rsid w:val="00F35441"/>
    <w:rsid w:val="00F3675B"/>
    <w:rsid w:val="00F40602"/>
    <w:rsid w:val="00F40D9B"/>
    <w:rsid w:val="00F414CB"/>
    <w:rsid w:val="00F41E59"/>
    <w:rsid w:val="00F42BCA"/>
    <w:rsid w:val="00F4347E"/>
    <w:rsid w:val="00F45237"/>
    <w:rsid w:val="00F46655"/>
    <w:rsid w:val="00F50BF2"/>
    <w:rsid w:val="00F50CEF"/>
    <w:rsid w:val="00F515A6"/>
    <w:rsid w:val="00F51BBA"/>
    <w:rsid w:val="00F5305C"/>
    <w:rsid w:val="00F5445D"/>
    <w:rsid w:val="00F55946"/>
    <w:rsid w:val="00F56F25"/>
    <w:rsid w:val="00F578B6"/>
    <w:rsid w:val="00F61A0A"/>
    <w:rsid w:val="00F61E35"/>
    <w:rsid w:val="00F62444"/>
    <w:rsid w:val="00F62E57"/>
    <w:rsid w:val="00F6357F"/>
    <w:rsid w:val="00F6479D"/>
    <w:rsid w:val="00F6760A"/>
    <w:rsid w:val="00F70CF6"/>
    <w:rsid w:val="00F72354"/>
    <w:rsid w:val="00F7297B"/>
    <w:rsid w:val="00F73A45"/>
    <w:rsid w:val="00F74BE5"/>
    <w:rsid w:val="00F74C26"/>
    <w:rsid w:val="00F77F8B"/>
    <w:rsid w:val="00F81280"/>
    <w:rsid w:val="00F81F79"/>
    <w:rsid w:val="00F82B3B"/>
    <w:rsid w:val="00F84060"/>
    <w:rsid w:val="00F907FA"/>
    <w:rsid w:val="00F90C0B"/>
    <w:rsid w:val="00F91278"/>
    <w:rsid w:val="00F91A68"/>
    <w:rsid w:val="00F91C80"/>
    <w:rsid w:val="00F92017"/>
    <w:rsid w:val="00F92950"/>
    <w:rsid w:val="00F92F9A"/>
    <w:rsid w:val="00F93F26"/>
    <w:rsid w:val="00F95B02"/>
    <w:rsid w:val="00F96F6C"/>
    <w:rsid w:val="00F97CCA"/>
    <w:rsid w:val="00FA2E2F"/>
    <w:rsid w:val="00FA3ABC"/>
    <w:rsid w:val="00FA3D9D"/>
    <w:rsid w:val="00FB0388"/>
    <w:rsid w:val="00FB109A"/>
    <w:rsid w:val="00FB11E5"/>
    <w:rsid w:val="00FB1415"/>
    <w:rsid w:val="00FB3E4B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E47"/>
    <w:rsid w:val="00FD63F3"/>
    <w:rsid w:val="00FD6B25"/>
    <w:rsid w:val="00FD6D15"/>
    <w:rsid w:val="00FD6DEA"/>
    <w:rsid w:val="00FE0B91"/>
    <w:rsid w:val="00FE0C2F"/>
    <w:rsid w:val="00FE14B7"/>
    <w:rsid w:val="00FE1513"/>
    <w:rsid w:val="00FE4662"/>
    <w:rsid w:val="00FF04D9"/>
    <w:rsid w:val="00FF2D6A"/>
    <w:rsid w:val="00FF301C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1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1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1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1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1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NP!$A$16:$B$40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NP!$C$16:$C$40</c:f>
              <c:numCache>
                <c:formatCode>0.0</c:formatCode>
                <c:ptCount val="25"/>
                <c:pt idx="0">
                  <c:v>35.908999999999999</c:v>
                </c:pt>
                <c:pt idx="1">
                  <c:v>38.994999999999997</c:v>
                </c:pt>
                <c:pt idx="2">
                  <c:v>17.914999999999999</c:v>
                </c:pt>
                <c:pt idx="3">
                  <c:v>15.045999999999999</c:v>
                </c:pt>
                <c:pt idx="4">
                  <c:v>30.613</c:v>
                </c:pt>
                <c:pt idx="5">
                  <c:v>40.911000000000001</c:v>
                </c:pt>
                <c:pt idx="6">
                  <c:v>61.198999999999998</c:v>
                </c:pt>
                <c:pt idx="7">
                  <c:v>49.415999999999997</c:v>
                </c:pt>
                <c:pt idx="8">
                  <c:v>37.255000000000003</c:v>
                </c:pt>
                <c:pt idx="9">
                  <c:v>30.933</c:v>
                </c:pt>
                <c:pt idx="10">
                  <c:v>28.498999999999999</c:v>
                </c:pt>
                <c:pt idx="11">
                  <c:v>36.008000000000003</c:v>
                </c:pt>
                <c:pt idx="12">
                  <c:v>45.710999999999999</c:v>
                </c:pt>
                <c:pt idx="13">
                  <c:v>56.304000000000002</c:v>
                </c:pt>
                <c:pt idx="14">
                  <c:v>69.814999999999998</c:v>
                </c:pt>
                <c:pt idx="15">
                  <c:v>64.856999999999999</c:v>
                </c:pt>
                <c:pt idx="16">
                  <c:v>26.132000000000001</c:v>
                </c:pt>
                <c:pt idx="17">
                  <c:v>-79.585999999999999</c:v>
                </c:pt>
                <c:pt idx="18">
                  <c:v>-22.152999999999999</c:v>
                </c:pt>
                <c:pt idx="19">
                  <c:v>-10.071</c:v>
                </c:pt>
                <c:pt idx="20" formatCode="General">
                  <c:v>12.215999999999999</c:v>
                </c:pt>
                <c:pt idx="21" formatCode="General">
                  <c:v>126.51600000000001</c:v>
                </c:pt>
                <c:pt idx="22" formatCode="General">
                  <c:v>70.186999999999998</c:v>
                </c:pt>
                <c:pt idx="23" formatCode="General">
                  <c:v>48.74</c:v>
                </c:pt>
                <c:pt idx="24" formatCode="General">
                  <c:v>76.478999999999999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3-478E-BAA8-5AFD377522F8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NP!$A$16:$B$40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NP!$D$16:$D$40</c:f>
              <c:numCache>
                <c:formatCode>0.0</c:formatCode>
                <c:ptCount val="25"/>
                <c:pt idx="0">
                  <c:v>21.411999999999999</c:v>
                </c:pt>
                <c:pt idx="1">
                  <c:v>19.292000000000002</c:v>
                </c:pt>
                <c:pt idx="2">
                  <c:v>22.242999999999999</c:v>
                </c:pt>
                <c:pt idx="3">
                  <c:v>19.733000000000001</c:v>
                </c:pt>
                <c:pt idx="4">
                  <c:v>27.047000000000001</c:v>
                </c:pt>
                <c:pt idx="5">
                  <c:v>37.268999999999998</c:v>
                </c:pt>
                <c:pt idx="6">
                  <c:v>35.341999999999999</c:v>
                </c:pt>
                <c:pt idx="7">
                  <c:v>32.363999999999997</c:v>
                </c:pt>
                <c:pt idx="8">
                  <c:v>35.039000000000001</c:v>
                </c:pt>
                <c:pt idx="9">
                  <c:v>36.268000000000001</c:v>
                </c:pt>
                <c:pt idx="10">
                  <c:v>33.268999999999998</c:v>
                </c:pt>
                <c:pt idx="11">
                  <c:v>40.823</c:v>
                </c:pt>
                <c:pt idx="12">
                  <c:v>32.991</c:v>
                </c:pt>
                <c:pt idx="13">
                  <c:v>32.084000000000003</c:v>
                </c:pt>
                <c:pt idx="14">
                  <c:v>27.997</c:v>
                </c:pt>
                <c:pt idx="15">
                  <c:v>27.196000000000002</c:v>
                </c:pt>
                <c:pt idx="16">
                  <c:v>20.518999999999998</c:v>
                </c:pt>
                <c:pt idx="17">
                  <c:v>-29.218</c:v>
                </c:pt>
                <c:pt idx="18">
                  <c:v>-6.2619999999999996</c:v>
                </c:pt>
                <c:pt idx="19">
                  <c:v>1.2110000000000001</c:v>
                </c:pt>
                <c:pt idx="20" formatCode="General">
                  <c:v>-14.981</c:v>
                </c:pt>
                <c:pt idx="21" formatCode="General">
                  <c:v>47.301000000000002</c:v>
                </c:pt>
                <c:pt idx="22" formatCode="General">
                  <c:v>42.436999999999998</c:v>
                </c:pt>
                <c:pt idx="23" formatCode="General">
                  <c:v>37.991999999999997</c:v>
                </c:pt>
                <c:pt idx="24" formatCode="General">
                  <c:v>52.823999999999998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73-478E-BAA8-5AFD37752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NP!$A$16:$B$40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NP!$E$16:$E$40</c:f>
              <c:numCache>
                <c:formatCode>0.0</c:formatCode>
                <c:ptCount val="25"/>
                <c:pt idx="0">
                  <c:v>49.45189137119781</c:v>
                </c:pt>
                <c:pt idx="1">
                  <c:v>49.222412858410927</c:v>
                </c:pt>
                <c:pt idx="2">
                  <c:v>48.045899046386289</c:v>
                </c:pt>
                <c:pt idx="3">
                  <c:v>47.975095617646204</c:v>
                </c:pt>
                <c:pt idx="4">
                  <c:v>47.250012543274295</c:v>
                </c:pt>
                <c:pt idx="5">
                  <c:v>47.594752587411051</c:v>
                </c:pt>
                <c:pt idx="6">
                  <c:v>47.472412066642519</c:v>
                </c:pt>
                <c:pt idx="7">
                  <c:v>47.111186648084569</c:v>
                </c:pt>
                <c:pt idx="8">
                  <c:v>45.625417511770976</c:v>
                </c:pt>
                <c:pt idx="9">
                  <c:v>45.05174238330715</c:v>
                </c:pt>
                <c:pt idx="10">
                  <c:v>45.159928576859848</c:v>
                </c:pt>
                <c:pt idx="11">
                  <c:v>44.316914631630354</c:v>
                </c:pt>
                <c:pt idx="12">
                  <c:v>44.526329894144446</c:v>
                </c:pt>
                <c:pt idx="13">
                  <c:v>45.103847855467542</c:v>
                </c:pt>
                <c:pt idx="14">
                  <c:v>45.242490268563174</c:v>
                </c:pt>
                <c:pt idx="15">
                  <c:v>45.364083084622109</c:v>
                </c:pt>
                <c:pt idx="16">
                  <c:v>43.638367512169111</c:v>
                </c:pt>
                <c:pt idx="17" formatCode="General">
                  <c:v>44.358922044376527</c:v>
                </c:pt>
                <c:pt idx="18" formatCode="General">
                  <c:v>45.649929174827143</c:v>
                </c:pt>
                <c:pt idx="19" formatCode="General">
                  <c:v>46.704011679573441</c:v>
                </c:pt>
                <c:pt idx="20" formatCode="General">
                  <c:v>48.505125474474397</c:v>
                </c:pt>
                <c:pt idx="21" formatCode="General">
                  <c:v>46.923471083536448</c:v>
                </c:pt>
                <c:pt idx="22" formatCode="General">
                  <c:v>45.585440582192767</c:v>
                </c:pt>
                <c:pt idx="23" formatCode="General">
                  <c:v>44.3749215275434</c:v>
                </c:pt>
                <c:pt idx="24" formatCode="General">
                  <c:v>44.790920084763627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373-478E-BAA8-5AFD37752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'NP2'!$C$15:$C$39</c:f>
              <c:numCache>
                <c:formatCode>General</c:formatCode>
                <c:ptCount val="25"/>
                <c:pt idx="0">
                  <c:v>3.5840000000000001</c:v>
                </c:pt>
                <c:pt idx="1">
                  <c:v>4.2910000000000004</c:v>
                </c:pt>
                <c:pt idx="2">
                  <c:v>5.6639999999999997</c:v>
                </c:pt>
                <c:pt idx="3">
                  <c:v>13.547000000000001</c:v>
                </c:pt>
                <c:pt idx="4">
                  <c:v>8.5790000000000006</c:v>
                </c:pt>
                <c:pt idx="5">
                  <c:v>16.106000000000002</c:v>
                </c:pt>
                <c:pt idx="6">
                  <c:v>18.687000000000001</c:v>
                </c:pt>
                <c:pt idx="7">
                  <c:v>26.071999999999999</c:v>
                </c:pt>
                <c:pt idx="8">
                  <c:v>6.3949999999999996</c:v>
                </c:pt>
                <c:pt idx="9">
                  <c:v>8.6140000000000008</c:v>
                </c:pt>
                <c:pt idx="10">
                  <c:v>7.9569999999999999</c:v>
                </c:pt>
                <c:pt idx="11">
                  <c:v>16.013000000000002</c:v>
                </c:pt>
                <c:pt idx="12">
                  <c:v>17.695</c:v>
                </c:pt>
                <c:pt idx="13">
                  <c:v>13.617000000000001</c:v>
                </c:pt>
                <c:pt idx="14">
                  <c:v>25.163</c:v>
                </c:pt>
                <c:pt idx="15">
                  <c:v>32.338999999999999</c:v>
                </c:pt>
                <c:pt idx="16">
                  <c:v>-3.714</c:v>
                </c:pt>
                <c:pt idx="17">
                  <c:v>-7.29</c:v>
                </c:pt>
                <c:pt idx="18">
                  <c:v>-20.146000000000001</c:v>
                </c:pt>
                <c:pt idx="19">
                  <c:v>-40.325000000000003</c:v>
                </c:pt>
                <c:pt idx="20">
                  <c:v>1.141</c:v>
                </c:pt>
                <c:pt idx="21">
                  <c:v>16.114000000000001</c:v>
                </c:pt>
                <c:pt idx="22">
                  <c:v>12.16</c:v>
                </c:pt>
                <c:pt idx="23">
                  <c:v>23.379000000000001</c:v>
                </c:pt>
                <c:pt idx="24">
                  <c:v>34.493000000000002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7-4099-A659-8BD0E67E7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'NP2'!$D$15:$D$39</c:f>
              <c:numCache>
                <c:formatCode>General</c:formatCode>
                <c:ptCount val="25"/>
                <c:pt idx="0">
                  <c:v>28.357801985450699</c:v>
                </c:pt>
                <c:pt idx="1">
                  <c:v>28.634843553324448</c:v>
                </c:pt>
                <c:pt idx="2">
                  <c:v>28.75136246238419</c:v>
                </c:pt>
                <c:pt idx="3">
                  <c:v>28.023442517662172</c:v>
                </c:pt>
                <c:pt idx="4">
                  <c:v>28.971379831848449</c:v>
                </c:pt>
                <c:pt idx="5">
                  <c:v>28.735798110447529</c:v>
                </c:pt>
                <c:pt idx="6">
                  <c:v>28.867839789852745</c:v>
                </c:pt>
                <c:pt idx="7">
                  <c:v>29.271967096094357</c:v>
                </c:pt>
                <c:pt idx="8">
                  <c:v>28.250341738004899</c:v>
                </c:pt>
                <c:pt idx="9">
                  <c:v>28.810988700303731</c:v>
                </c:pt>
                <c:pt idx="10">
                  <c:v>28.927289460367238</c:v>
                </c:pt>
                <c:pt idx="11">
                  <c:v>29.932335205801781</c:v>
                </c:pt>
                <c:pt idx="12">
                  <c:v>29.18966271341132</c:v>
                </c:pt>
                <c:pt idx="13">
                  <c:v>28.176192871558353</c:v>
                </c:pt>
                <c:pt idx="14">
                  <c:v>30.069772565916715</c:v>
                </c:pt>
                <c:pt idx="15">
                  <c:v>31.103554309487201</c:v>
                </c:pt>
                <c:pt idx="16">
                  <c:v>27.888992012322156</c:v>
                </c:pt>
                <c:pt idx="17">
                  <c:v>29.815535650705893</c:v>
                </c:pt>
                <c:pt idx="18">
                  <c:v>28.209622437214016</c:v>
                </c:pt>
                <c:pt idx="19">
                  <c:v>26.987285280417183</c:v>
                </c:pt>
                <c:pt idx="20">
                  <c:v>27.5023716147698</c:v>
                </c:pt>
                <c:pt idx="21">
                  <c:v>27.685644249944602</c:v>
                </c:pt>
                <c:pt idx="22">
                  <c:v>27.340066565878949</c:v>
                </c:pt>
                <c:pt idx="23">
                  <c:v>28.056451789402388</c:v>
                </c:pt>
                <c:pt idx="24">
                  <c:v>29.447594110924967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47-4099-A659-8BD0E67E7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4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  <c:majorUnit val="10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VI!$F$15:$F$39</c:f>
              <c:numCache>
                <c:formatCode>General</c:formatCode>
                <c:ptCount val="25"/>
                <c:pt idx="0">
                  <c:v>1.337</c:v>
                </c:pt>
                <c:pt idx="1">
                  <c:v>1.087</c:v>
                </c:pt>
                <c:pt idx="2">
                  <c:v>3.8919999999999999</c:v>
                </c:pt>
                <c:pt idx="3">
                  <c:v>-1.43</c:v>
                </c:pt>
                <c:pt idx="4">
                  <c:v>0.34899999999999998</c:v>
                </c:pt>
                <c:pt idx="5">
                  <c:v>4.6449999999999996</c:v>
                </c:pt>
                <c:pt idx="6">
                  <c:v>6.37</c:v>
                </c:pt>
                <c:pt idx="7">
                  <c:v>-3.1819999999999999</c:v>
                </c:pt>
                <c:pt idx="8">
                  <c:v>3.45</c:v>
                </c:pt>
                <c:pt idx="9">
                  <c:v>4.9660000000000002</c:v>
                </c:pt>
                <c:pt idx="10">
                  <c:v>6.6139999999999999</c:v>
                </c:pt>
                <c:pt idx="11">
                  <c:v>1.6160000000000001</c:v>
                </c:pt>
                <c:pt idx="12">
                  <c:v>3.3359999999999999</c:v>
                </c:pt>
                <c:pt idx="13">
                  <c:v>4.9089999999999998</c:v>
                </c:pt>
                <c:pt idx="14">
                  <c:v>5.3339999999999996</c:v>
                </c:pt>
                <c:pt idx="15">
                  <c:v>-2.1880000000000002</c:v>
                </c:pt>
                <c:pt idx="16">
                  <c:v>-4.07</c:v>
                </c:pt>
                <c:pt idx="17">
                  <c:v>-1.4410000000000001</c:v>
                </c:pt>
                <c:pt idx="18">
                  <c:v>4.4909999999999997</c:v>
                </c:pt>
                <c:pt idx="19">
                  <c:v>-10.641</c:v>
                </c:pt>
                <c:pt idx="20">
                  <c:v>4.1230000000000002</c:v>
                </c:pt>
                <c:pt idx="21">
                  <c:v>9.0670000000000002</c:v>
                </c:pt>
                <c:pt idx="22">
                  <c:v>-12.22</c:v>
                </c:pt>
                <c:pt idx="23">
                  <c:v>-9.9600000000000009</c:v>
                </c:pt>
                <c:pt idx="24">
                  <c:v>3.3639999999999999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9-497C-A6D3-9FD26D9C5853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VI!$E$15:$E$39</c:f>
              <c:numCache>
                <c:formatCode>General</c:formatCode>
                <c:ptCount val="25"/>
                <c:pt idx="0">
                  <c:v>17.620999999999999</c:v>
                </c:pt>
                <c:pt idx="1">
                  <c:v>26.577999999999999</c:v>
                </c:pt>
                <c:pt idx="2">
                  <c:v>9.0079999999999991</c:v>
                </c:pt>
                <c:pt idx="3">
                  <c:v>-3.5289999999999999</c:v>
                </c:pt>
                <c:pt idx="4">
                  <c:v>16.695</c:v>
                </c:pt>
                <c:pt idx="5">
                  <c:v>26.521000000000001</c:v>
                </c:pt>
                <c:pt idx="6">
                  <c:v>5.6349999999999998</c:v>
                </c:pt>
                <c:pt idx="7">
                  <c:v>-6.9260000000000002</c:v>
                </c:pt>
                <c:pt idx="8">
                  <c:v>15.24</c:v>
                </c:pt>
                <c:pt idx="9">
                  <c:v>24.675000000000001</c:v>
                </c:pt>
                <c:pt idx="10">
                  <c:v>-5.1619999999999999</c:v>
                </c:pt>
                <c:pt idx="11">
                  <c:v>-11.194000000000001</c:v>
                </c:pt>
                <c:pt idx="12">
                  <c:v>20.981000000000002</c:v>
                </c:pt>
                <c:pt idx="13">
                  <c:v>28.152000000000001</c:v>
                </c:pt>
                <c:pt idx="14">
                  <c:v>-1.296</c:v>
                </c:pt>
                <c:pt idx="15">
                  <c:v>-10.241</c:v>
                </c:pt>
                <c:pt idx="16">
                  <c:v>14.45</c:v>
                </c:pt>
                <c:pt idx="17">
                  <c:v>14.35</c:v>
                </c:pt>
                <c:pt idx="18">
                  <c:v>14.858000000000001</c:v>
                </c:pt>
                <c:pt idx="19">
                  <c:v>-17.312000000000001</c:v>
                </c:pt>
                <c:pt idx="20">
                  <c:v>9.9459999999999997</c:v>
                </c:pt>
                <c:pt idx="21">
                  <c:v>33.209000000000003</c:v>
                </c:pt>
                <c:pt idx="22">
                  <c:v>9.6969999999999992</c:v>
                </c:pt>
                <c:pt idx="23">
                  <c:v>-18.257999999999999</c:v>
                </c:pt>
                <c:pt idx="24">
                  <c:v>4.7510000000000003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C9-497C-A6D3-9FD26D9C5853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VI!$D$15:$D$39</c:f>
              <c:numCache>
                <c:formatCode>General</c:formatCode>
                <c:ptCount val="25"/>
                <c:pt idx="0">
                  <c:v>-21.896999999999998</c:v>
                </c:pt>
                <c:pt idx="1">
                  <c:v>2.395</c:v>
                </c:pt>
                <c:pt idx="2">
                  <c:v>13.132</c:v>
                </c:pt>
                <c:pt idx="3">
                  <c:v>-14.051</c:v>
                </c:pt>
                <c:pt idx="4">
                  <c:v>-15.212999999999999</c:v>
                </c:pt>
                <c:pt idx="5">
                  <c:v>10.332000000000001</c:v>
                </c:pt>
                <c:pt idx="6">
                  <c:v>20.634</c:v>
                </c:pt>
                <c:pt idx="7">
                  <c:v>10.872999999999999</c:v>
                </c:pt>
                <c:pt idx="8">
                  <c:v>-16.704000000000001</c:v>
                </c:pt>
                <c:pt idx="9">
                  <c:v>11.66</c:v>
                </c:pt>
                <c:pt idx="10">
                  <c:v>14.561999999999999</c:v>
                </c:pt>
                <c:pt idx="11">
                  <c:v>-1.431</c:v>
                </c:pt>
                <c:pt idx="12">
                  <c:v>-26.315000000000001</c:v>
                </c:pt>
                <c:pt idx="13">
                  <c:v>-6.0869999999999997</c:v>
                </c:pt>
                <c:pt idx="14">
                  <c:v>12.068</c:v>
                </c:pt>
                <c:pt idx="15">
                  <c:v>-11.944000000000001</c:v>
                </c:pt>
                <c:pt idx="16">
                  <c:v>-60.658000000000001</c:v>
                </c:pt>
                <c:pt idx="17">
                  <c:v>-111.324</c:v>
                </c:pt>
                <c:pt idx="18">
                  <c:v>-62.37</c:v>
                </c:pt>
                <c:pt idx="19">
                  <c:v>-109.54900000000001</c:v>
                </c:pt>
                <c:pt idx="20">
                  <c:v>-155.851</c:v>
                </c:pt>
                <c:pt idx="21">
                  <c:v>-99.76</c:v>
                </c:pt>
                <c:pt idx="22">
                  <c:v>-52.381</c:v>
                </c:pt>
                <c:pt idx="23">
                  <c:v>-77.010000000000005</c:v>
                </c:pt>
                <c:pt idx="24">
                  <c:v>-83.411000000000001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C9-497C-A6D3-9FD26D9C5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VI!$A$15:$B$39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VI!$C$15:$C$39</c:f>
              <c:numCache>
                <c:formatCode>General</c:formatCode>
                <c:ptCount val="25"/>
                <c:pt idx="0">
                  <c:v>-2.9390000000000001</c:v>
                </c:pt>
                <c:pt idx="1">
                  <c:v>30.06</c:v>
                </c:pt>
                <c:pt idx="2">
                  <c:v>26.032</c:v>
                </c:pt>
                <c:pt idx="3">
                  <c:v>-19.010000000000002</c:v>
                </c:pt>
                <c:pt idx="4">
                  <c:v>1.831</c:v>
                </c:pt>
                <c:pt idx="5">
                  <c:v>41.497999999999998</c:v>
                </c:pt>
                <c:pt idx="6">
                  <c:v>32.639000000000003</c:v>
                </c:pt>
                <c:pt idx="7">
                  <c:v>0.76500000000000001</c:v>
                </c:pt>
                <c:pt idx="8">
                  <c:v>1.986</c:v>
                </c:pt>
                <c:pt idx="9">
                  <c:v>41.301000000000002</c:v>
                </c:pt>
                <c:pt idx="10">
                  <c:v>16.013999999999999</c:v>
                </c:pt>
                <c:pt idx="11">
                  <c:v>-11.009</c:v>
                </c:pt>
                <c:pt idx="12">
                  <c:v>-1.998</c:v>
                </c:pt>
                <c:pt idx="13">
                  <c:v>26.974</c:v>
                </c:pt>
                <c:pt idx="14">
                  <c:v>16.106000000000002</c:v>
                </c:pt>
                <c:pt idx="15">
                  <c:v>-24.373000000000001</c:v>
                </c:pt>
                <c:pt idx="16">
                  <c:v>-50.277999999999999</c:v>
                </c:pt>
                <c:pt idx="17">
                  <c:v>-98.415000000000006</c:v>
                </c:pt>
                <c:pt idx="18">
                  <c:v>-43.021000000000001</c:v>
                </c:pt>
                <c:pt idx="19">
                  <c:v>-137.50200000000001</c:v>
                </c:pt>
                <c:pt idx="20">
                  <c:v>-141.78200000000001</c:v>
                </c:pt>
                <c:pt idx="21">
                  <c:v>-57.484000000000002</c:v>
                </c:pt>
                <c:pt idx="22">
                  <c:v>-54.904000000000003</c:v>
                </c:pt>
                <c:pt idx="23">
                  <c:v>-105.22799999999999</c:v>
                </c:pt>
                <c:pt idx="24">
                  <c:v>-75.296000000000006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C9-497C-A6D3-9FD26D9C5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'VI2'!$C$14:$C$38</c:f>
              <c:numCache>
                <c:formatCode>General</c:formatCode>
                <c:ptCount val="25"/>
                <c:pt idx="0">
                  <c:v>37.271000000000001</c:v>
                </c:pt>
                <c:pt idx="1">
                  <c:v>69.44</c:v>
                </c:pt>
                <c:pt idx="2">
                  <c:v>83.290999999999997</c:v>
                </c:pt>
                <c:pt idx="3">
                  <c:v>24.291</c:v>
                </c:pt>
                <c:pt idx="4">
                  <c:v>101.614</c:v>
                </c:pt>
                <c:pt idx="5">
                  <c:v>9.9260000000000002</c:v>
                </c:pt>
                <c:pt idx="6">
                  <c:v>-29.707000000000001</c:v>
                </c:pt>
                <c:pt idx="7">
                  <c:v>-30.15</c:v>
                </c:pt>
                <c:pt idx="8">
                  <c:v>-187.25800000000001</c:v>
                </c:pt>
                <c:pt idx="9">
                  <c:v>-61.563000000000002</c:v>
                </c:pt>
                <c:pt idx="10">
                  <c:v>-37.698</c:v>
                </c:pt>
                <c:pt idx="11">
                  <c:v>-8.4459999999999997</c:v>
                </c:pt>
                <c:pt idx="12">
                  <c:v>159.285</c:v>
                </c:pt>
                <c:pt idx="13">
                  <c:v>100.34699999999999</c:v>
                </c:pt>
                <c:pt idx="14">
                  <c:v>88.245999999999995</c:v>
                </c:pt>
                <c:pt idx="15">
                  <c:v>41.860999999999997</c:v>
                </c:pt>
                <c:pt idx="16">
                  <c:v>-24.57</c:v>
                </c:pt>
                <c:pt idx="17">
                  <c:v>303.31900000000002</c:v>
                </c:pt>
                <c:pt idx="18">
                  <c:v>288.69200000000001</c:v>
                </c:pt>
                <c:pt idx="19">
                  <c:v>396.11</c:v>
                </c:pt>
                <c:pt idx="20">
                  <c:v>539.68100000000004</c:v>
                </c:pt>
                <c:pt idx="21">
                  <c:v>310.03300000000002</c:v>
                </c:pt>
                <c:pt idx="22">
                  <c:v>298.214</c:v>
                </c:pt>
                <c:pt idx="23">
                  <c:v>336.67399999999998</c:v>
                </c:pt>
                <c:pt idx="24">
                  <c:v>267.26799999999997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7-400F-9A43-A96D88C2A027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'VI2'!$D$14:$D$38</c:f>
              <c:numCache>
                <c:formatCode>General</c:formatCode>
                <c:ptCount val="25"/>
                <c:pt idx="0">
                  <c:v>-2.016</c:v>
                </c:pt>
                <c:pt idx="1">
                  <c:v>-30.206</c:v>
                </c:pt>
                <c:pt idx="2">
                  <c:v>-86.369</c:v>
                </c:pt>
                <c:pt idx="3">
                  <c:v>-79.730999999999995</c:v>
                </c:pt>
                <c:pt idx="4">
                  <c:v>-8.9580000000000002</c:v>
                </c:pt>
                <c:pt idx="5">
                  <c:v>89.825000000000003</c:v>
                </c:pt>
                <c:pt idx="6">
                  <c:v>-17.864999999999998</c:v>
                </c:pt>
                <c:pt idx="7">
                  <c:v>39.607999999999997</c:v>
                </c:pt>
                <c:pt idx="8">
                  <c:v>110.06399999999999</c:v>
                </c:pt>
                <c:pt idx="9">
                  <c:v>-73.570999999999998</c:v>
                </c:pt>
                <c:pt idx="10">
                  <c:v>42.71</c:v>
                </c:pt>
                <c:pt idx="11">
                  <c:v>-40.204999999999998</c:v>
                </c:pt>
                <c:pt idx="12">
                  <c:v>-178.68899999999999</c:v>
                </c:pt>
                <c:pt idx="13">
                  <c:v>-72.613</c:v>
                </c:pt>
                <c:pt idx="14">
                  <c:v>-42.478000000000002</c:v>
                </c:pt>
                <c:pt idx="15">
                  <c:v>0.13200000000000001</c:v>
                </c:pt>
                <c:pt idx="16">
                  <c:v>65.55</c:v>
                </c:pt>
                <c:pt idx="17">
                  <c:v>130.24100000000001</c:v>
                </c:pt>
                <c:pt idx="18">
                  <c:v>100.735</c:v>
                </c:pt>
                <c:pt idx="19">
                  <c:v>19.956</c:v>
                </c:pt>
                <c:pt idx="20">
                  <c:v>-42.252000000000002</c:v>
                </c:pt>
                <c:pt idx="21">
                  <c:v>-110.548</c:v>
                </c:pt>
                <c:pt idx="22">
                  <c:v>-85.460999999999999</c:v>
                </c:pt>
                <c:pt idx="23">
                  <c:v>9.3879999999999999</c:v>
                </c:pt>
                <c:pt idx="24">
                  <c:v>12.73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7-400F-9A43-A96D88C2A027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'VI2'!$E$14:$E$38</c:f>
              <c:numCache>
                <c:formatCode>General</c:formatCode>
                <c:ptCount val="25"/>
                <c:pt idx="0">
                  <c:v>-6.1390000000000002</c:v>
                </c:pt>
                <c:pt idx="1">
                  <c:v>-4.306</c:v>
                </c:pt>
                <c:pt idx="2">
                  <c:v>-5.09</c:v>
                </c:pt>
                <c:pt idx="3">
                  <c:v>-22.616</c:v>
                </c:pt>
                <c:pt idx="4">
                  <c:v>-22.443000000000001</c:v>
                </c:pt>
                <c:pt idx="5">
                  <c:v>-21.582999999999998</c:v>
                </c:pt>
                <c:pt idx="6">
                  <c:v>-23.733000000000001</c:v>
                </c:pt>
                <c:pt idx="7">
                  <c:v>-12.262</c:v>
                </c:pt>
                <c:pt idx="8">
                  <c:v>-12.497999999999999</c:v>
                </c:pt>
                <c:pt idx="9">
                  <c:v>-10.695</c:v>
                </c:pt>
                <c:pt idx="10">
                  <c:v>-8.8230000000000004</c:v>
                </c:pt>
                <c:pt idx="11">
                  <c:v>-11.949</c:v>
                </c:pt>
                <c:pt idx="12">
                  <c:v>-9.83</c:v>
                </c:pt>
                <c:pt idx="13">
                  <c:v>-9.6769999999999996</c:v>
                </c:pt>
                <c:pt idx="14">
                  <c:v>-6.806</c:v>
                </c:pt>
                <c:pt idx="15">
                  <c:v>-2.5350000000000001</c:v>
                </c:pt>
                <c:pt idx="16">
                  <c:v>1.1910000000000001</c:v>
                </c:pt>
                <c:pt idx="17">
                  <c:v>2.137</c:v>
                </c:pt>
                <c:pt idx="18">
                  <c:v>8.7710000000000008</c:v>
                </c:pt>
                <c:pt idx="19">
                  <c:v>1.512</c:v>
                </c:pt>
                <c:pt idx="20">
                  <c:v>50.615000000000002</c:v>
                </c:pt>
                <c:pt idx="21">
                  <c:v>47.738999999999997</c:v>
                </c:pt>
                <c:pt idx="22">
                  <c:v>46.26</c:v>
                </c:pt>
                <c:pt idx="23">
                  <c:v>50.176000000000002</c:v>
                </c:pt>
                <c:pt idx="24">
                  <c:v>-5.343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7-400F-9A43-A96D88C2A027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'VI2'!$F$14:$F$38</c:f>
              <c:numCache>
                <c:formatCode>General</c:formatCode>
                <c:ptCount val="25"/>
                <c:pt idx="0">
                  <c:v>-3.3530000000000002</c:v>
                </c:pt>
                <c:pt idx="1">
                  <c:v>-12.811</c:v>
                </c:pt>
                <c:pt idx="2">
                  <c:v>-10.784000000000001</c:v>
                </c:pt>
                <c:pt idx="3">
                  <c:v>-5.4210000000000003</c:v>
                </c:pt>
                <c:pt idx="4">
                  <c:v>-2.968</c:v>
                </c:pt>
                <c:pt idx="5">
                  <c:v>-1.4670000000000001</c:v>
                </c:pt>
                <c:pt idx="6">
                  <c:v>0.63</c:v>
                </c:pt>
                <c:pt idx="7">
                  <c:v>1.002</c:v>
                </c:pt>
                <c:pt idx="8">
                  <c:v>1.8140000000000001</c:v>
                </c:pt>
                <c:pt idx="9">
                  <c:v>53.356999999999999</c:v>
                </c:pt>
                <c:pt idx="10">
                  <c:v>50.372</c:v>
                </c:pt>
                <c:pt idx="11">
                  <c:v>42.76</c:v>
                </c:pt>
                <c:pt idx="12">
                  <c:v>34.055</c:v>
                </c:pt>
                <c:pt idx="13">
                  <c:v>-27.446000000000002</c:v>
                </c:pt>
                <c:pt idx="14">
                  <c:v>-33.340000000000003</c:v>
                </c:pt>
                <c:pt idx="15">
                  <c:v>-30.263000000000002</c:v>
                </c:pt>
                <c:pt idx="16">
                  <c:v>5.1239999999999997</c:v>
                </c:pt>
                <c:pt idx="17">
                  <c:v>7.8109999999999999</c:v>
                </c:pt>
                <c:pt idx="18">
                  <c:v>-13.019</c:v>
                </c:pt>
                <c:pt idx="19">
                  <c:v>-14.334</c:v>
                </c:pt>
                <c:pt idx="20">
                  <c:v>76.912000000000006</c:v>
                </c:pt>
                <c:pt idx="21">
                  <c:v>0.82799999999999996</c:v>
                </c:pt>
                <c:pt idx="22">
                  <c:v>-4.3040000000000003</c:v>
                </c:pt>
                <c:pt idx="23">
                  <c:v>15.855</c:v>
                </c:pt>
                <c:pt idx="24">
                  <c:v>-102.846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47-400F-9A43-A96D88C2A027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'VI2'!$G$14:$G$38</c:f>
              <c:numCache>
                <c:formatCode>General</c:formatCode>
                <c:ptCount val="25"/>
                <c:pt idx="0">
                  <c:v>-2.9249999999999998</c:v>
                </c:pt>
                <c:pt idx="1">
                  <c:v>0.24399999999999999</c:v>
                </c:pt>
                <c:pt idx="2">
                  <c:v>3.173</c:v>
                </c:pt>
                <c:pt idx="3">
                  <c:v>2.1669999999999998</c:v>
                </c:pt>
                <c:pt idx="4">
                  <c:v>-0.40899999999999997</c:v>
                </c:pt>
                <c:pt idx="5">
                  <c:v>-3.468</c:v>
                </c:pt>
                <c:pt idx="6">
                  <c:v>-1.865</c:v>
                </c:pt>
                <c:pt idx="7">
                  <c:v>-3.258</c:v>
                </c:pt>
                <c:pt idx="8">
                  <c:v>-2.6560000000000001</c:v>
                </c:pt>
                <c:pt idx="9">
                  <c:v>-1.3320000000000001</c:v>
                </c:pt>
                <c:pt idx="10">
                  <c:v>-7.0730000000000004</c:v>
                </c:pt>
                <c:pt idx="11">
                  <c:v>2.7650000000000001</c:v>
                </c:pt>
                <c:pt idx="12">
                  <c:v>-2.7530000000000001</c:v>
                </c:pt>
                <c:pt idx="13">
                  <c:v>-3.827</c:v>
                </c:pt>
                <c:pt idx="14">
                  <c:v>0.35099999999999998</c:v>
                </c:pt>
                <c:pt idx="15">
                  <c:v>-3.5339999999999998</c:v>
                </c:pt>
                <c:pt idx="16">
                  <c:v>6.2709999999999999</c:v>
                </c:pt>
                <c:pt idx="17">
                  <c:v>4.931</c:v>
                </c:pt>
                <c:pt idx="18">
                  <c:v>3.0760000000000001</c:v>
                </c:pt>
                <c:pt idx="19">
                  <c:v>5.7610000000000001</c:v>
                </c:pt>
                <c:pt idx="20">
                  <c:v>-1.653</c:v>
                </c:pt>
                <c:pt idx="21">
                  <c:v>3.8149999999999999</c:v>
                </c:pt>
                <c:pt idx="22">
                  <c:v>5.4320000000000004</c:v>
                </c:pt>
                <c:pt idx="23">
                  <c:v>5.226</c:v>
                </c:pt>
                <c:pt idx="24">
                  <c:v>-0.83899999999999997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47-400F-9A43-A96D88C2A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'VI2'!$A$14:$B$38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'VI2'!$H$14:$H$38</c:f>
              <c:numCache>
                <c:formatCode>General</c:formatCode>
                <c:ptCount val="25"/>
                <c:pt idx="0">
                  <c:v>22.838000000000001</c:v>
                </c:pt>
                <c:pt idx="1">
                  <c:v>22.361000000000001</c:v>
                </c:pt>
                <c:pt idx="2">
                  <c:v>-15.779</c:v>
                </c:pt>
                <c:pt idx="3">
                  <c:v>-81.31</c:v>
                </c:pt>
                <c:pt idx="4">
                  <c:v>66.835999999999999</c:v>
                </c:pt>
                <c:pt idx="5">
                  <c:v>73.233000000000004</c:v>
                </c:pt>
                <c:pt idx="6">
                  <c:v>-72.540000000000006</c:v>
                </c:pt>
                <c:pt idx="7">
                  <c:v>-5.0599999999999996</c:v>
                </c:pt>
                <c:pt idx="8">
                  <c:v>-90.534000000000006</c:v>
                </c:pt>
                <c:pt idx="9">
                  <c:v>-93.804000000000002</c:v>
                </c:pt>
                <c:pt idx="10">
                  <c:v>39.488</c:v>
                </c:pt>
                <c:pt idx="11">
                  <c:v>-15.074999999999999</c:v>
                </c:pt>
                <c:pt idx="12">
                  <c:v>2.0680000000000001</c:v>
                </c:pt>
                <c:pt idx="13">
                  <c:v>-13.215999999999999</c:v>
                </c:pt>
                <c:pt idx="14">
                  <c:v>5.9729999999999999</c:v>
                </c:pt>
                <c:pt idx="15">
                  <c:v>5.6609999999999996</c:v>
                </c:pt>
                <c:pt idx="16">
                  <c:v>53.566000000000003</c:v>
                </c:pt>
                <c:pt idx="17">
                  <c:v>448.43900000000002</c:v>
                </c:pt>
                <c:pt idx="18">
                  <c:v>388.255</c:v>
                </c:pt>
                <c:pt idx="19">
                  <c:v>409.005</c:v>
                </c:pt>
                <c:pt idx="20">
                  <c:v>623.303</c:v>
                </c:pt>
                <c:pt idx="21">
                  <c:v>251.86699999999999</c:v>
                </c:pt>
                <c:pt idx="22">
                  <c:v>260.14100000000002</c:v>
                </c:pt>
                <c:pt idx="23">
                  <c:v>417.31900000000002</c:v>
                </c:pt>
                <c:pt idx="24">
                  <c:v>170.97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A47-400F-9A43-A96D88C2A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Dom!$A$13:$B$37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Dom!$C$13:$C$37</c:f>
              <c:numCache>
                <c:formatCode>General</c:formatCode>
                <c:ptCount val="25"/>
                <c:pt idx="0">
                  <c:v>0.42799999999999999</c:v>
                </c:pt>
                <c:pt idx="1">
                  <c:v>4.4530000000000003</c:v>
                </c:pt>
                <c:pt idx="2">
                  <c:v>2.6150000000000002</c:v>
                </c:pt>
                <c:pt idx="3">
                  <c:v>10.651999999999999</c:v>
                </c:pt>
                <c:pt idx="4">
                  <c:v>-3.9460000000000002</c:v>
                </c:pt>
                <c:pt idx="5">
                  <c:v>-5.0069999999999997</c:v>
                </c:pt>
                <c:pt idx="6">
                  <c:v>-2.9910000000000001</c:v>
                </c:pt>
                <c:pt idx="7">
                  <c:v>-9.234</c:v>
                </c:pt>
                <c:pt idx="8">
                  <c:v>9.016</c:v>
                </c:pt>
                <c:pt idx="9">
                  <c:v>10.769</c:v>
                </c:pt>
                <c:pt idx="10">
                  <c:v>14.337999999999999</c:v>
                </c:pt>
                <c:pt idx="11">
                  <c:v>14.686</c:v>
                </c:pt>
                <c:pt idx="12">
                  <c:v>7.1550000000000002</c:v>
                </c:pt>
                <c:pt idx="13">
                  <c:v>7.4320000000000004</c:v>
                </c:pt>
                <c:pt idx="14">
                  <c:v>8.4429999999999996</c:v>
                </c:pt>
                <c:pt idx="15">
                  <c:v>8.8279999999999994</c:v>
                </c:pt>
                <c:pt idx="16">
                  <c:v>1.732</c:v>
                </c:pt>
                <c:pt idx="17">
                  <c:v>1.119</c:v>
                </c:pt>
                <c:pt idx="18">
                  <c:v>-4.2069999999999999</c:v>
                </c:pt>
                <c:pt idx="19">
                  <c:v>5.1470000000000002</c:v>
                </c:pt>
                <c:pt idx="20">
                  <c:v>-2.5150000000000001</c:v>
                </c:pt>
                <c:pt idx="21">
                  <c:v>7.3659999999999997</c:v>
                </c:pt>
                <c:pt idx="22">
                  <c:v>8.3930000000000007</c:v>
                </c:pt>
                <c:pt idx="23">
                  <c:v>5.3719999999999999</c:v>
                </c:pt>
                <c:pt idx="24">
                  <c:v>17.344000000000001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3-4FE7-95A7-61A1D52E3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Dom!$A$13:$B$37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Dom!$D$13:$D$37</c:f>
              <c:numCache>
                <c:formatCode>0.0</c:formatCode>
                <c:ptCount val="25"/>
                <c:pt idx="0">
                  <c:v>11.504063931265541</c:v>
                </c:pt>
                <c:pt idx="1">
                  <c:v>11.721321642225382</c:v>
                </c:pt>
                <c:pt idx="2">
                  <c:v>11.617441330420156</c:v>
                </c:pt>
                <c:pt idx="3">
                  <c:v>10.589046601124958</c:v>
                </c:pt>
                <c:pt idx="4">
                  <c:v>11.494734922733283</c:v>
                </c:pt>
                <c:pt idx="5">
                  <c:v>11.785843741469506</c:v>
                </c:pt>
                <c:pt idx="6">
                  <c:v>11.401190225234721</c:v>
                </c:pt>
                <c:pt idx="7">
                  <c:v>11.729996240710216</c:v>
                </c:pt>
                <c:pt idx="8">
                  <c:v>11.342901288829619</c:v>
                </c:pt>
                <c:pt idx="9">
                  <c:v>12.411938880974329</c:v>
                </c:pt>
                <c:pt idx="10">
                  <c:v>11.483363787847885</c:v>
                </c:pt>
                <c:pt idx="11">
                  <c:v>13.215501557227254</c:v>
                </c:pt>
                <c:pt idx="12">
                  <c:v>12.552819087366274</c:v>
                </c:pt>
                <c:pt idx="13">
                  <c:v>13.39390555117761</c:v>
                </c:pt>
                <c:pt idx="14">
                  <c:v>12.968746355382891</c:v>
                </c:pt>
                <c:pt idx="15">
                  <c:v>13.61607343338812</c:v>
                </c:pt>
                <c:pt idx="16">
                  <c:v>16.482952893698215</c:v>
                </c:pt>
                <c:pt idx="17">
                  <c:v>19.514642368060674</c:v>
                </c:pt>
                <c:pt idx="18" formatCode="General">
                  <c:v>17.169956726856981</c:v>
                </c:pt>
                <c:pt idx="19" formatCode="General">
                  <c:v>23.938681435421984</c:v>
                </c:pt>
                <c:pt idx="20" formatCode="General">
                  <c:v>22.595642487914759</c:v>
                </c:pt>
                <c:pt idx="21" formatCode="General">
                  <c:v>19.5494377418513</c:v>
                </c:pt>
                <c:pt idx="22" formatCode="General">
                  <c:v>16.245010097215047</c:v>
                </c:pt>
                <c:pt idx="23" formatCode="General">
                  <c:v>20.064383599415446</c:v>
                </c:pt>
                <c:pt idx="24" formatCode="General">
                  <c:v>16.085612355602333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E3-4FE7-95A7-61A1D52E37BD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Dom!$A$13:$B$37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Dom!$E$13:$E$37</c:f>
              <c:numCache>
                <c:formatCode>0.0</c:formatCode>
                <c:ptCount val="25"/>
                <c:pt idx="0">
                  <c:v>9.1112969744059811</c:v>
                </c:pt>
                <c:pt idx="1">
                  <c:v>9.2533402029723906</c:v>
                </c:pt>
                <c:pt idx="2">
                  <c:v>9.105455917257423</c:v>
                </c:pt>
                <c:pt idx="3">
                  <c:v>9.0958277755277255</c:v>
                </c:pt>
                <c:pt idx="4">
                  <c:v>7.9878743675069517</c:v>
                </c:pt>
                <c:pt idx="5">
                  <c:v>7.6645052350202647</c:v>
                </c:pt>
                <c:pt idx="6">
                  <c:v>7.6941560442184738</c:v>
                </c:pt>
                <c:pt idx="7">
                  <c:v>7.7669818686561989</c:v>
                </c:pt>
                <c:pt idx="8">
                  <c:v>8.5534148910776739</c:v>
                </c:pt>
                <c:pt idx="9">
                  <c:v>8.8853040587725918</c:v>
                </c:pt>
                <c:pt idx="10">
                  <c:v>9.2146065124100414</c:v>
                </c:pt>
                <c:pt idx="11">
                  <c:v>9.3201981654657242</c:v>
                </c:pt>
                <c:pt idx="12">
                  <c:v>9.4185861773866879</c:v>
                </c:pt>
                <c:pt idx="13">
                  <c:v>9.4327486600875705</c:v>
                </c:pt>
                <c:pt idx="14">
                  <c:v>9.5820061527616165</c:v>
                </c:pt>
                <c:pt idx="15">
                  <c:v>9.4615800136776613</c:v>
                </c:pt>
                <c:pt idx="16">
                  <c:v>9.4142782606708657</c:v>
                </c:pt>
                <c:pt idx="17">
                  <c:v>9.5799536500579379</c:v>
                </c:pt>
                <c:pt idx="18" formatCode="General">
                  <c:v>9.2203229134714597</c:v>
                </c:pt>
                <c:pt idx="19" formatCode="General">
                  <c:v>9.2447108961667848</c:v>
                </c:pt>
                <c:pt idx="20" formatCode="General">
                  <c:v>9.0864862516832456</c:v>
                </c:pt>
                <c:pt idx="21" formatCode="General">
                  <c:v>9.0911881991325529</c:v>
                </c:pt>
                <c:pt idx="22" formatCode="General">
                  <c:v>9.3710374301413619</c:v>
                </c:pt>
                <c:pt idx="23" formatCode="General">
                  <c:v>9.5265668514076154</c:v>
                </c:pt>
                <c:pt idx="24" formatCode="General">
                  <c:v>9.9865811705107532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E3-4FE7-95A7-61A1D52E3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0976-90CA-4601-A947-C5A87BA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3024</TotalTime>
  <Pages>9</Pages>
  <Words>2594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Zábojníková Karolína</cp:lastModifiedBy>
  <cp:revision>76</cp:revision>
  <dcterms:created xsi:type="dcterms:W3CDTF">2022-04-14T11:48:00Z</dcterms:created>
  <dcterms:modified xsi:type="dcterms:W3CDTF">2022-07-22T08:19:00Z</dcterms:modified>
</cp:coreProperties>
</file>