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drawings/drawing1.xml" ContentType="application/vnd.openxmlformats-officedocument.drawingml.chartshapes+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2356B" w14:textId="77777777" w:rsidR="00C96297" w:rsidRDefault="00C96297" w:rsidP="0033205F">
      <w:pPr>
        <w:pStyle w:val="Nadpis2"/>
        <w:spacing w:before="240" w:after="120"/>
        <w:jc w:val="both"/>
      </w:pPr>
      <w:r>
        <w:t>3.2</w:t>
      </w:r>
      <w:r w:rsidR="00FB4548">
        <w:t xml:space="preserve"> Podniky s inovačními činnostmi</w:t>
      </w:r>
      <w:r w:rsidR="009C7949">
        <w:t xml:space="preserve"> </w:t>
      </w:r>
    </w:p>
    <w:p w14:paraId="39C826DC" w14:textId="77777777" w:rsidR="00C96297" w:rsidRPr="0033205F" w:rsidRDefault="005662B0" w:rsidP="00CD64B0">
      <w:pPr>
        <w:pStyle w:val="Nadpis3"/>
        <w:spacing w:before="60" w:after="60"/>
        <w:rPr>
          <w:rStyle w:val="st"/>
        </w:rPr>
      </w:pPr>
      <w:r>
        <w:rPr>
          <w:rStyle w:val="st"/>
        </w:rPr>
        <w:t>3.2</w:t>
      </w:r>
      <w:r w:rsidR="00C96297" w:rsidRPr="0033205F">
        <w:rPr>
          <w:rStyle w:val="st"/>
        </w:rPr>
        <w:t>.</w:t>
      </w:r>
      <w:r>
        <w:rPr>
          <w:rStyle w:val="st"/>
        </w:rPr>
        <w:t>1</w:t>
      </w:r>
      <w:r w:rsidR="00C96297" w:rsidRPr="0033205F">
        <w:rPr>
          <w:rStyle w:val="st"/>
        </w:rPr>
        <w:t xml:space="preserve"> Podniky s ino</w:t>
      </w:r>
      <w:r w:rsidR="002146CD">
        <w:rPr>
          <w:rStyle w:val="st"/>
        </w:rPr>
        <w:t>vační</w:t>
      </w:r>
      <w:r w:rsidR="00291229">
        <w:rPr>
          <w:rStyle w:val="st"/>
        </w:rPr>
        <w:t>mi činnostmi</w:t>
      </w:r>
      <w:r w:rsidR="00D345A8">
        <w:rPr>
          <w:rStyle w:val="st"/>
        </w:rPr>
        <w:t xml:space="preserve"> </w:t>
      </w:r>
      <w:r w:rsidR="00C81910" w:rsidRPr="00C81910">
        <w:rPr>
          <w:rStyle w:val="st"/>
        </w:rPr>
        <w:t>– základní údaje</w:t>
      </w:r>
    </w:p>
    <w:p w14:paraId="4E87895B" w14:textId="01E1DEBA" w:rsidR="00F85821" w:rsidRDefault="00F85821" w:rsidP="00F85821">
      <w:pPr>
        <w:spacing w:before="120"/>
        <w:jc w:val="both"/>
      </w:pPr>
      <w:r>
        <w:t xml:space="preserve">V letech 2018 až 2020 </w:t>
      </w:r>
      <w:r w:rsidRPr="00651FE8">
        <w:rPr>
          <w:b/>
        </w:rPr>
        <w:t>inovoval</w:t>
      </w:r>
      <w:r>
        <w:rPr>
          <w:b/>
        </w:rPr>
        <w:t>a</w:t>
      </w:r>
      <w:r>
        <w:t xml:space="preserve"> v České republice více než polovina (56,9 %) </w:t>
      </w:r>
      <w:r w:rsidRPr="003F2841">
        <w:t>firem</w:t>
      </w:r>
      <w:r>
        <w:t xml:space="preserve"> s 10 a více zaměstnanými osobami</w:t>
      </w:r>
      <w:r w:rsidRPr="003F2841">
        <w:t xml:space="preserve"> v</w:t>
      </w:r>
      <w:r>
        <w:t>e</w:t>
      </w:r>
      <w:r w:rsidRPr="003F2841">
        <w:t> sledovaných odvětvích</w:t>
      </w:r>
      <w:r>
        <w:t xml:space="preserve"> (viz metodika). Jde o téměř totožný podíl jako v letech 2006–2008, kdy 56 % podniků uvedlo, že v tomto období zavedlo inovaci produktu nebo podnikového procesu. V následujících obdobích tento podíl klesal, a to až na hodnotu 42 % pro období 2012–2014. Mezi obdobími 2012–2014 a 2014–2016 pak došlo k nárůstu podílu inovujících firem, který pak pokračoval i </w:t>
      </w:r>
      <w:r w:rsidR="00830124">
        <w:t>nadále</w:t>
      </w:r>
      <w:r>
        <w:t xml:space="preserve">. </w:t>
      </w:r>
    </w:p>
    <w:p w14:paraId="40AD542E" w14:textId="77777777" w:rsidR="00F85821" w:rsidRPr="003C2A63" w:rsidRDefault="00F85821" w:rsidP="00F85821">
      <w:pPr>
        <w:spacing w:before="120" w:after="60"/>
        <w:ind w:left="1134" w:hanging="1134"/>
        <w:rPr>
          <w:b/>
          <w:sz w:val="18"/>
        </w:rPr>
      </w:pPr>
      <w:r w:rsidRPr="003C2A63">
        <w:rPr>
          <w:b/>
          <w:sz w:val="18"/>
        </w:rPr>
        <w:t>G</w:t>
      </w:r>
      <w:r>
        <w:rPr>
          <w:b/>
          <w:sz w:val="18"/>
        </w:rPr>
        <w:t>RAF 7</w:t>
      </w:r>
      <w:r w:rsidRPr="003C2A63">
        <w:rPr>
          <w:b/>
          <w:sz w:val="18"/>
        </w:rPr>
        <w:t xml:space="preserve"> Podíl inovujících podniků na celkovém počtu podniků v dané skupině; </w:t>
      </w:r>
      <w:r>
        <w:rPr>
          <w:b/>
          <w:sz w:val="18"/>
        </w:rPr>
        <w:t>2016–2018 a 2018–2020</w:t>
      </w:r>
    </w:p>
    <w:p w14:paraId="548346AC" w14:textId="77777777" w:rsidR="00F85821" w:rsidRDefault="00F85821" w:rsidP="00F85821">
      <w:r>
        <w:rPr>
          <w:noProof/>
        </w:rPr>
        <w:drawing>
          <wp:inline distT="0" distB="0" distL="0" distR="0" wp14:anchorId="70FCDEAB" wp14:editId="2FF73CA9">
            <wp:extent cx="6120000" cy="2166620"/>
            <wp:effectExtent l="0" t="0" r="14605" b="5080"/>
            <wp:docPr id="8" name="Graf 8">
              <a:extLst xmlns:a="http://schemas.openxmlformats.org/drawingml/2006/main">
                <a:ext uri="{FF2B5EF4-FFF2-40B4-BE49-F238E27FC236}">
                  <a16:creationId xmlns:a16="http://schemas.microsoft.com/office/drawing/2014/main" id="{57F64F2C-A03E-4532-B7CB-63291B0F56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3B05C8" w14:textId="77777777" w:rsidR="00B2746E" w:rsidRPr="00B2746E" w:rsidRDefault="00B2746E" w:rsidP="00B2746E">
      <w:pPr>
        <w:spacing w:before="60" w:after="60"/>
        <w:jc w:val="right"/>
        <w:rPr>
          <w:i/>
          <w:sz w:val="18"/>
        </w:rPr>
      </w:pPr>
      <w:r w:rsidRPr="00B2746E">
        <w:rPr>
          <w:i/>
          <w:sz w:val="18"/>
        </w:rPr>
        <w:t>Zdroj: ČSÚ, Šetření o inovačních aktivitách podniků</w:t>
      </w:r>
    </w:p>
    <w:p w14:paraId="3259A692" w14:textId="77777777" w:rsidR="00F14398" w:rsidRDefault="00F14398" w:rsidP="00B8081C">
      <w:pPr>
        <w:spacing w:before="120" w:after="60"/>
        <w:jc w:val="both"/>
      </w:pPr>
      <w:r w:rsidRPr="002E7632">
        <w:t xml:space="preserve">Vlastnictví a velikost podniku ovlivňují intenzitu inovačních aktivit. Nejintenzivněji inovují </w:t>
      </w:r>
      <w:r w:rsidRPr="002E7632">
        <w:rPr>
          <w:b/>
        </w:rPr>
        <w:t>velké podniky</w:t>
      </w:r>
      <w:r w:rsidRPr="002E7632">
        <w:t xml:space="preserve"> s více než 25</w:t>
      </w:r>
      <w:r>
        <w:t>0 zaměstnanými osobami</w:t>
      </w:r>
      <w:r w:rsidRPr="002E7632">
        <w:t>. V letech 2018–2020 inovovaly více než čtyři pětiny (83,3 %) podniků v této velikostní skupině. Podíl inovujících podniků mezi</w:t>
      </w:r>
      <w:r>
        <w:t xml:space="preserve"> podniky s 50 až 240 zaměstnanými osobami</w:t>
      </w:r>
      <w:r w:rsidRPr="002E7632">
        <w:t xml:space="preserve"> byl o 17 procentních bodu nižší než u velkých podniků. To, že ve sledovaném období let 2018 až 2020 uvedlo na trh nový nebo inovovaný produkt či zavedlo některou procesní inovaci, uvedlo 66,6 % středně velkých firem. V případě malých podniků s 10 </w:t>
      </w:r>
      <w:r>
        <w:t>až 49 zaměstnanými osobami</w:t>
      </w:r>
      <w:r w:rsidRPr="002E7632">
        <w:t xml:space="preserve"> tak učinilo 52,4 % z nich.</w:t>
      </w:r>
    </w:p>
    <w:p w14:paraId="3457EB82" w14:textId="31F39106" w:rsidR="007B7003" w:rsidRDefault="006B2178" w:rsidP="00B83B65">
      <w:pPr>
        <w:spacing w:before="120" w:after="60"/>
        <w:jc w:val="both"/>
      </w:pPr>
      <w:r>
        <w:t>V</w:t>
      </w:r>
      <w:r w:rsidR="00B83B65">
        <w:t>e</w:t>
      </w:r>
      <w:r>
        <w:t xml:space="preserve"> srovnání s obdobím</w:t>
      </w:r>
      <w:r w:rsidR="00B83B65">
        <w:t xml:space="preserve"> 2016–2018 </w:t>
      </w:r>
      <w:r w:rsidR="00D40FD0">
        <w:t xml:space="preserve">inovovaly </w:t>
      </w:r>
      <w:r w:rsidR="00B83B65">
        <w:t>podniky více</w:t>
      </w:r>
      <w:r w:rsidR="00B8081C">
        <w:t>.</w:t>
      </w:r>
      <w:r w:rsidR="00B83B65">
        <w:t xml:space="preserve"> Ve všech velikostních skupinách došlo k nárůstu podílu inovujících podniků, nejvíce pak ve skupině malých podniků, kde narostl podíl o 10 procentních bodů. Téměř obdobný nárůst zaznamenaly i velké podniky. Ve skupině středních podniků se podíl inovujících podniků zvýšil z 59,8 % na 66,6 %.</w:t>
      </w:r>
    </w:p>
    <w:p w14:paraId="2BF2A41B" w14:textId="77777777" w:rsidR="00F85821" w:rsidRPr="00C26612" w:rsidRDefault="00F85821" w:rsidP="00F85821">
      <w:pPr>
        <w:spacing w:before="120"/>
        <w:jc w:val="both"/>
        <w:rPr>
          <w:b/>
          <w:sz w:val="18"/>
        </w:rPr>
      </w:pPr>
      <w:r w:rsidRPr="00C26612">
        <w:rPr>
          <w:b/>
          <w:sz w:val="18"/>
        </w:rPr>
        <w:t xml:space="preserve">TAB 1: Inovační aktivity podniků ve sledovaných obdobích – základní údaje </w:t>
      </w:r>
    </w:p>
    <w:tbl>
      <w:tblPr>
        <w:tblW w:w="9640" w:type="dxa"/>
        <w:tblCellMar>
          <w:left w:w="70" w:type="dxa"/>
          <w:right w:w="70" w:type="dxa"/>
        </w:tblCellMar>
        <w:tblLook w:val="04A0" w:firstRow="1" w:lastRow="0" w:firstColumn="1" w:lastColumn="0" w:noHBand="0" w:noVBand="1"/>
      </w:tblPr>
      <w:tblGrid>
        <w:gridCol w:w="185"/>
        <w:gridCol w:w="2600"/>
        <w:gridCol w:w="980"/>
        <w:gridCol w:w="980"/>
        <w:gridCol w:w="980"/>
        <w:gridCol w:w="980"/>
        <w:gridCol w:w="980"/>
        <w:gridCol w:w="980"/>
        <w:gridCol w:w="980"/>
      </w:tblGrid>
      <w:tr w:rsidR="00F85821" w:rsidRPr="00535D03" w14:paraId="328EFAA8" w14:textId="77777777" w:rsidTr="00DD6460">
        <w:trPr>
          <w:trHeight w:val="259"/>
        </w:trPr>
        <w:tc>
          <w:tcPr>
            <w:tcW w:w="180" w:type="dxa"/>
            <w:tcBorders>
              <w:top w:val="nil"/>
              <w:left w:val="nil"/>
              <w:bottom w:val="nil"/>
              <w:right w:val="nil"/>
            </w:tcBorders>
            <w:shd w:val="clear" w:color="000000" w:fill="4BACC6"/>
            <w:noWrap/>
            <w:vAlign w:val="bottom"/>
            <w:hideMark/>
          </w:tcPr>
          <w:p w14:paraId="168E7D66" w14:textId="77777777" w:rsidR="00F85821" w:rsidRPr="00535D03" w:rsidRDefault="00F85821" w:rsidP="00DD6460">
            <w:pPr>
              <w:spacing w:line="240" w:lineRule="auto"/>
              <w:rPr>
                <w:rFonts w:cs="Arial"/>
                <w:color w:val="FFFFFF"/>
                <w:sz w:val="16"/>
                <w:szCs w:val="16"/>
              </w:rPr>
            </w:pPr>
            <w:r w:rsidRPr="00535D03">
              <w:rPr>
                <w:rFonts w:cs="Arial"/>
                <w:color w:val="FFFFFF"/>
                <w:sz w:val="16"/>
                <w:szCs w:val="16"/>
              </w:rPr>
              <w:t> </w:t>
            </w:r>
          </w:p>
        </w:tc>
        <w:tc>
          <w:tcPr>
            <w:tcW w:w="2600" w:type="dxa"/>
            <w:tcBorders>
              <w:top w:val="nil"/>
              <w:left w:val="nil"/>
              <w:bottom w:val="nil"/>
              <w:right w:val="nil"/>
            </w:tcBorders>
            <w:shd w:val="clear" w:color="000000" w:fill="4BACC6"/>
            <w:noWrap/>
            <w:vAlign w:val="center"/>
            <w:hideMark/>
          </w:tcPr>
          <w:p w14:paraId="736D6082" w14:textId="77777777" w:rsidR="00F85821" w:rsidRPr="00535D03" w:rsidRDefault="00F85821" w:rsidP="00DD6460">
            <w:pPr>
              <w:spacing w:line="240" w:lineRule="auto"/>
              <w:jc w:val="center"/>
              <w:rPr>
                <w:rFonts w:cs="Arial"/>
                <w:b/>
                <w:bCs/>
                <w:color w:val="FFFFFF"/>
                <w:sz w:val="16"/>
                <w:szCs w:val="16"/>
              </w:rPr>
            </w:pPr>
            <w:r w:rsidRPr="00535D03">
              <w:rPr>
                <w:rFonts w:cs="Arial"/>
                <w:b/>
                <w:bCs/>
                <w:color w:val="FFFFFF"/>
                <w:sz w:val="16"/>
                <w:szCs w:val="16"/>
              </w:rPr>
              <w:t> </w:t>
            </w:r>
          </w:p>
        </w:tc>
        <w:tc>
          <w:tcPr>
            <w:tcW w:w="980" w:type="dxa"/>
            <w:tcBorders>
              <w:top w:val="nil"/>
              <w:left w:val="single" w:sz="12" w:space="0" w:color="FFFFFF"/>
              <w:bottom w:val="nil"/>
              <w:right w:val="nil"/>
            </w:tcBorders>
            <w:shd w:val="clear" w:color="000000" w:fill="4BACC6"/>
            <w:vAlign w:val="center"/>
            <w:hideMark/>
          </w:tcPr>
          <w:p w14:paraId="461C4CBE" w14:textId="77777777" w:rsidR="00F85821" w:rsidRPr="00535D03" w:rsidRDefault="00F85821" w:rsidP="00DD6460">
            <w:pPr>
              <w:spacing w:line="240" w:lineRule="auto"/>
              <w:jc w:val="center"/>
              <w:rPr>
                <w:rFonts w:cs="Arial"/>
                <w:b/>
                <w:bCs/>
                <w:color w:val="FFFFFF"/>
                <w:sz w:val="16"/>
                <w:szCs w:val="16"/>
              </w:rPr>
            </w:pPr>
            <w:r w:rsidRPr="00535D03">
              <w:rPr>
                <w:rFonts w:cs="Arial"/>
                <w:b/>
                <w:bCs/>
                <w:color w:val="FFFFFF"/>
                <w:sz w:val="16"/>
                <w:szCs w:val="16"/>
              </w:rPr>
              <w:t>2006–2008</w:t>
            </w:r>
          </w:p>
        </w:tc>
        <w:tc>
          <w:tcPr>
            <w:tcW w:w="980" w:type="dxa"/>
            <w:tcBorders>
              <w:top w:val="nil"/>
              <w:left w:val="nil"/>
              <w:bottom w:val="nil"/>
              <w:right w:val="nil"/>
            </w:tcBorders>
            <w:shd w:val="clear" w:color="000000" w:fill="4BACC6"/>
            <w:vAlign w:val="center"/>
            <w:hideMark/>
          </w:tcPr>
          <w:p w14:paraId="46B8F60E" w14:textId="77777777" w:rsidR="00F85821" w:rsidRPr="00535D03" w:rsidRDefault="00F85821" w:rsidP="00DD6460">
            <w:pPr>
              <w:spacing w:line="240" w:lineRule="auto"/>
              <w:jc w:val="center"/>
              <w:rPr>
                <w:rFonts w:cs="Arial"/>
                <w:b/>
                <w:bCs/>
                <w:color w:val="FFFFFF"/>
                <w:sz w:val="16"/>
                <w:szCs w:val="16"/>
              </w:rPr>
            </w:pPr>
            <w:r w:rsidRPr="00535D03">
              <w:rPr>
                <w:rFonts w:cs="Arial"/>
                <w:b/>
                <w:bCs/>
                <w:color w:val="FFFFFF"/>
                <w:sz w:val="16"/>
                <w:szCs w:val="16"/>
              </w:rPr>
              <w:t>2008–2010</w:t>
            </w:r>
          </w:p>
        </w:tc>
        <w:tc>
          <w:tcPr>
            <w:tcW w:w="980" w:type="dxa"/>
            <w:tcBorders>
              <w:top w:val="nil"/>
              <w:left w:val="nil"/>
              <w:bottom w:val="nil"/>
              <w:right w:val="nil"/>
            </w:tcBorders>
            <w:shd w:val="clear" w:color="000000" w:fill="4BACC6"/>
            <w:vAlign w:val="center"/>
            <w:hideMark/>
          </w:tcPr>
          <w:p w14:paraId="40C4598B" w14:textId="77777777" w:rsidR="00F85821" w:rsidRPr="00535D03" w:rsidRDefault="00F85821" w:rsidP="00DD6460">
            <w:pPr>
              <w:spacing w:line="240" w:lineRule="auto"/>
              <w:jc w:val="center"/>
              <w:rPr>
                <w:rFonts w:cs="Arial"/>
                <w:b/>
                <w:bCs/>
                <w:color w:val="FFFFFF"/>
                <w:sz w:val="16"/>
                <w:szCs w:val="16"/>
              </w:rPr>
            </w:pPr>
            <w:r w:rsidRPr="00535D03">
              <w:rPr>
                <w:rFonts w:cs="Arial"/>
                <w:b/>
                <w:bCs/>
                <w:color w:val="FFFFFF"/>
                <w:sz w:val="16"/>
                <w:szCs w:val="16"/>
              </w:rPr>
              <w:t>2010–2012</w:t>
            </w:r>
          </w:p>
        </w:tc>
        <w:tc>
          <w:tcPr>
            <w:tcW w:w="980" w:type="dxa"/>
            <w:tcBorders>
              <w:top w:val="nil"/>
              <w:left w:val="nil"/>
              <w:bottom w:val="nil"/>
              <w:right w:val="nil"/>
            </w:tcBorders>
            <w:shd w:val="clear" w:color="000000" w:fill="4BACC6"/>
            <w:vAlign w:val="center"/>
            <w:hideMark/>
          </w:tcPr>
          <w:p w14:paraId="47ABF6E6" w14:textId="77777777" w:rsidR="00F85821" w:rsidRPr="00535D03" w:rsidRDefault="00F85821" w:rsidP="00DD6460">
            <w:pPr>
              <w:spacing w:line="240" w:lineRule="auto"/>
              <w:jc w:val="center"/>
              <w:rPr>
                <w:rFonts w:cs="Arial"/>
                <w:b/>
                <w:bCs/>
                <w:color w:val="FFFFFF"/>
                <w:sz w:val="16"/>
                <w:szCs w:val="16"/>
              </w:rPr>
            </w:pPr>
            <w:r w:rsidRPr="00535D03">
              <w:rPr>
                <w:rFonts w:cs="Arial"/>
                <w:b/>
                <w:bCs/>
                <w:color w:val="FFFFFF"/>
                <w:sz w:val="16"/>
                <w:szCs w:val="16"/>
              </w:rPr>
              <w:t>2012–2014</w:t>
            </w:r>
          </w:p>
        </w:tc>
        <w:tc>
          <w:tcPr>
            <w:tcW w:w="980" w:type="dxa"/>
            <w:tcBorders>
              <w:top w:val="nil"/>
              <w:left w:val="nil"/>
              <w:bottom w:val="nil"/>
              <w:right w:val="nil"/>
            </w:tcBorders>
            <w:shd w:val="clear" w:color="000000" w:fill="4BACC6"/>
            <w:vAlign w:val="center"/>
            <w:hideMark/>
          </w:tcPr>
          <w:p w14:paraId="2B2BA162" w14:textId="77777777" w:rsidR="00F85821" w:rsidRPr="00535D03" w:rsidRDefault="00F85821" w:rsidP="00DD6460">
            <w:pPr>
              <w:spacing w:line="240" w:lineRule="auto"/>
              <w:jc w:val="center"/>
              <w:rPr>
                <w:rFonts w:cs="Arial"/>
                <w:b/>
                <w:bCs/>
                <w:color w:val="FFFFFF"/>
                <w:sz w:val="16"/>
                <w:szCs w:val="16"/>
              </w:rPr>
            </w:pPr>
            <w:r w:rsidRPr="00535D03">
              <w:rPr>
                <w:rFonts w:cs="Arial"/>
                <w:b/>
                <w:bCs/>
                <w:color w:val="FFFFFF"/>
                <w:sz w:val="16"/>
                <w:szCs w:val="16"/>
              </w:rPr>
              <w:t>2014–2016</w:t>
            </w:r>
          </w:p>
        </w:tc>
        <w:tc>
          <w:tcPr>
            <w:tcW w:w="980" w:type="dxa"/>
            <w:tcBorders>
              <w:top w:val="nil"/>
              <w:left w:val="nil"/>
              <w:bottom w:val="nil"/>
              <w:right w:val="nil"/>
            </w:tcBorders>
            <w:shd w:val="clear" w:color="000000" w:fill="4BACC6"/>
            <w:vAlign w:val="center"/>
            <w:hideMark/>
          </w:tcPr>
          <w:p w14:paraId="43DAFF8C" w14:textId="77777777" w:rsidR="00F85821" w:rsidRPr="00535D03" w:rsidRDefault="00F85821" w:rsidP="00DD6460">
            <w:pPr>
              <w:spacing w:line="240" w:lineRule="auto"/>
              <w:jc w:val="center"/>
              <w:rPr>
                <w:rFonts w:cs="Arial"/>
                <w:b/>
                <w:bCs/>
                <w:color w:val="FFFFFF"/>
                <w:sz w:val="16"/>
                <w:szCs w:val="16"/>
              </w:rPr>
            </w:pPr>
            <w:r w:rsidRPr="00535D03">
              <w:rPr>
                <w:rFonts w:cs="Arial"/>
                <w:b/>
                <w:bCs/>
                <w:color w:val="FFFFFF"/>
                <w:sz w:val="16"/>
                <w:szCs w:val="16"/>
              </w:rPr>
              <w:t>2016–2018</w:t>
            </w:r>
          </w:p>
        </w:tc>
        <w:tc>
          <w:tcPr>
            <w:tcW w:w="980" w:type="dxa"/>
            <w:tcBorders>
              <w:top w:val="nil"/>
              <w:left w:val="nil"/>
              <w:bottom w:val="nil"/>
              <w:right w:val="nil"/>
            </w:tcBorders>
            <w:shd w:val="clear" w:color="000000" w:fill="4BACC6"/>
            <w:vAlign w:val="center"/>
            <w:hideMark/>
          </w:tcPr>
          <w:p w14:paraId="438A7A9F" w14:textId="77777777" w:rsidR="00F85821" w:rsidRPr="00535D03" w:rsidRDefault="00F85821" w:rsidP="00DD6460">
            <w:pPr>
              <w:spacing w:line="240" w:lineRule="auto"/>
              <w:jc w:val="center"/>
              <w:rPr>
                <w:rFonts w:cs="Arial"/>
                <w:b/>
                <w:bCs/>
                <w:color w:val="FFFFFF"/>
                <w:sz w:val="16"/>
                <w:szCs w:val="16"/>
              </w:rPr>
            </w:pPr>
            <w:r w:rsidRPr="00535D03">
              <w:rPr>
                <w:rFonts w:cs="Arial"/>
                <w:b/>
                <w:bCs/>
                <w:color w:val="FFFFFF"/>
                <w:sz w:val="16"/>
                <w:szCs w:val="16"/>
              </w:rPr>
              <w:t>2018–2020</w:t>
            </w:r>
          </w:p>
        </w:tc>
      </w:tr>
      <w:tr w:rsidR="00F85821" w:rsidRPr="00535D03" w14:paraId="0027DB80" w14:textId="77777777" w:rsidTr="00DD6460">
        <w:trPr>
          <w:trHeight w:val="259"/>
        </w:trPr>
        <w:tc>
          <w:tcPr>
            <w:tcW w:w="2780" w:type="dxa"/>
            <w:gridSpan w:val="2"/>
            <w:tcBorders>
              <w:top w:val="single" w:sz="8" w:space="0" w:color="FFFFFF"/>
              <w:left w:val="nil"/>
              <w:bottom w:val="single" w:sz="8" w:space="0" w:color="FFFFFF"/>
              <w:right w:val="single" w:sz="12" w:space="0" w:color="FFFFFF"/>
            </w:tcBorders>
            <w:shd w:val="clear" w:color="000000" w:fill="92CDDC"/>
            <w:noWrap/>
            <w:vAlign w:val="center"/>
            <w:hideMark/>
          </w:tcPr>
          <w:p w14:paraId="3232D127"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Inovující podniky celkem</w:t>
            </w:r>
          </w:p>
        </w:tc>
        <w:tc>
          <w:tcPr>
            <w:tcW w:w="980" w:type="dxa"/>
            <w:tcBorders>
              <w:top w:val="single" w:sz="8" w:space="0" w:color="FFFFFF"/>
              <w:left w:val="nil"/>
              <w:bottom w:val="single" w:sz="8" w:space="0" w:color="FFFFFF"/>
              <w:right w:val="nil"/>
            </w:tcBorders>
            <w:shd w:val="clear" w:color="000000" w:fill="92CDDC"/>
            <w:noWrap/>
            <w:vAlign w:val="center"/>
            <w:hideMark/>
          </w:tcPr>
          <w:p w14:paraId="628EA201" w14:textId="77777777" w:rsidR="00F85821" w:rsidRPr="00535D03" w:rsidRDefault="00F85821" w:rsidP="00DD6460">
            <w:pPr>
              <w:spacing w:line="240" w:lineRule="auto"/>
              <w:jc w:val="right"/>
              <w:rPr>
                <w:rFonts w:cs="Arial"/>
                <w:b/>
                <w:bCs/>
                <w:color w:val="000000"/>
                <w:sz w:val="16"/>
                <w:szCs w:val="16"/>
              </w:rPr>
            </w:pPr>
            <w:r w:rsidRPr="00535D03">
              <w:rPr>
                <w:rFonts w:cs="Arial"/>
                <w:b/>
                <w:bCs/>
                <w:color w:val="000000"/>
                <w:sz w:val="16"/>
                <w:szCs w:val="16"/>
              </w:rPr>
              <w:t>56,0%</w:t>
            </w:r>
          </w:p>
        </w:tc>
        <w:tc>
          <w:tcPr>
            <w:tcW w:w="980" w:type="dxa"/>
            <w:tcBorders>
              <w:top w:val="single" w:sz="8" w:space="0" w:color="FFFFFF"/>
              <w:left w:val="nil"/>
              <w:bottom w:val="single" w:sz="8" w:space="0" w:color="FFFFFF"/>
              <w:right w:val="nil"/>
            </w:tcBorders>
            <w:shd w:val="clear" w:color="000000" w:fill="92CDDC"/>
            <w:noWrap/>
            <w:vAlign w:val="center"/>
            <w:hideMark/>
          </w:tcPr>
          <w:p w14:paraId="14E9DC3A" w14:textId="77777777" w:rsidR="00F85821" w:rsidRPr="00535D03" w:rsidRDefault="00F85821" w:rsidP="00DD6460">
            <w:pPr>
              <w:spacing w:line="240" w:lineRule="auto"/>
              <w:jc w:val="right"/>
              <w:rPr>
                <w:rFonts w:cs="Arial"/>
                <w:b/>
                <w:bCs/>
                <w:color w:val="000000"/>
                <w:sz w:val="16"/>
                <w:szCs w:val="16"/>
              </w:rPr>
            </w:pPr>
            <w:r w:rsidRPr="00535D03">
              <w:rPr>
                <w:rFonts w:cs="Arial"/>
                <w:b/>
                <w:bCs/>
                <w:color w:val="000000"/>
                <w:sz w:val="16"/>
                <w:szCs w:val="16"/>
              </w:rPr>
              <w:t>51,7%</w:t>
            </w:r>
          </w:p>
        </w:tc>
        <w:tc>
          <w:tcPr>
            <w:tcW w:w="980" w:type="dxa"/>
            <w:tcBorders>
              <w:top w:val="single" w:sz="8" w:space="0" w:color="FFFFFF"/>
              <w:left w:val="nil"/>
              <w:bottom w:val="single" w:sz="8" w:space="0" w:color="FFFFFF"/>
              <w:right w:val="nil"/>
            </w:tcBorders>
            <w:shd w:val="clear" w:color="000000" w:fill="92CDDC"/>
            <w:noWrap/>
            <w:vAlign w:val="center"/>
            <w:hideMark/>
          </w:tcPr>
          <w:p w14:paraId="6AB26B12" w14:textId="77777777" w:rsidR="00F85821" w:rsidRPr="00535D03" w:rsidRDefault="00F85821" w:rsidP="00DD6460">
            <w:pPr>
              <w:spacing w:line="240" w:lineRule="auto"/>
              <w:jc w:val="right"/>
              <w:rPr>
                <w:rFonts w:cs="Arial"/>
                <w:b/>
                <w:bCs/>
                <w:color w:val="000000"/>
                <w:sz w:val="16"/>
                <w:szCs w:val="16"/>
              </w:rPr>
            </w:pPr>
            <w:r w:rsidRPr="00535D03">
              <w:rPr>
                <w:rFonts w:cs="Arial"/>
                <w:b/>
                <w:bCs/>
                <w:color w:val="000000"/>
                <w:sz w:val="16"/>
                <w:szCs w:val="16"/>
              </w:rPr>
              <w:t>43,9%</w:t>
            </w:r>
          </w:p>
        </w:tc>
        <w:tc>
          <w:tcPr>
            <w:tcW w:w="980" w:type="dxa"/>
            <w:tcBorders>
              <w:top w:val="single" w:sz="8" w:space="0" w:color="FFFFFF"/>
              <w:left w:val="nil"/>
              <w:bottom w:val="single" w:sz="8" w:space="0" w:color="FFFFFF"/>
              <w:right w:val="nil"/>
            </w:tcBorders>
            <w:shd w:val="clear" w:color="000000" w:fill="92CDDC"/>
            <w:noWrap/>
            <w:vAlign w:val="center"/>
            <w:hideMark/>
          </w:tcPr>
          <w:p w14:paraId="59C26EC0" w14:textId="77777777" w:rsidR="00F85821" w:rsidRPr="00535D03" w:rsidRDefault="00F85821" w:rsidP="00DD6460">
            <w:pPr>
              <w:spacing w:line="240" w:lineRule="auto"/>
              <w:jc w:val="right"/>
              <w:rPr>
                <w:rFonts w:cs="Arial"/>
                <w:b/>
                <w:bCs/>
                <w:color w:val="000000"/>
                <w:sz w:val="16"/>
                <w:szCs w:val="16"/>
              </w:rPr>
            </w:pPr>
            <w:r w:rsidRPr="00535D03">
              <w:rPr>
                <w:rFonts w:cs="Arial"/>
                <w:b/>
                <w:bCs/>
                <w:color w:val="000000"/>
                <w:sz w:val="16"/>
                <w:szCs w:val="16"/>
              </w:rPr>
              <w:t>42,0%</w:t>
            </w:r>
          </w:p>
        </w:tc>
        <w:tc>
          <w:tcPr>
            <w:tcW w:w="980" w:type="dxa"/>
            <w:tcBorders>
              <w:top w:val="single" w:sz="8" w:space="0" w:color="FFFFFF"/>
              <w:left w:val="nil"/>
              <w:bottom w:val="single" w:sz="8" w:space="0" w:color="FFFFFF"/>
              <w:right w:val="nil"/>
            </w:tcBorders>
            <w:shd w:val="clear" w:color="000000" w:fill="92CDDC"/>
            <w:noWrap/>
            <w:vAlign w:val="center"/>
            <w:hideMark/>
          </w:tcPr>
          <w:p w14:paraId="131F9418" w14:textId="77777777" w:rsidR="00F85821" w:rsidRPr="00535D03" w:rsidRDefault="00F85821" w:rsidP="00DD6460">
            <w:pPr>
              <w:spacing w:line="240" w:lineRule="auto"/>
              <w:jc w:val="right"/>
              <w:rPr>
                <w:rFonts w:cs="Arial"/>
                <w:b/>
                <w:bCs/>
                <w:color w:val="000000"/>
                <w:sz w:val="16"/>
                <w:szCs w:val="16"/>
              </w:rPr>
            </w:pPr>
            <w:r w:rsidRPr="00535D03">
              <w:rPr>
                <w:rFonts w:cs="Arial"/>
                <w:b/>
                <w:bCs/>
                <w:color w:val="000000"/>
                <w:sz w:val="16"/>
                <w:szCs w:val="16"/>
              </w:rPr>
              <w:t>46,3%</w:t>
            </w:r>
          </w:p>
        </w:tc>
        <w:tc>
          <w:tcPr>
            <w:tcW w:w="980" w:type="dxa"/>
            <w:tcBorders>
              <w:top w:val="single" w:sz="8" w:space="0" w:color="FFFFFF"/>
              <w:left w:val="nil"/>
              <w:bottom w:val="single" w:sz="8" w:space="0" w:color="FFFFFF"/>
              <w:right w:val="nil"/>
            </w:tcBorders>
            <w:shd w:val="clear" w:color="000000" w:fill="92CDDC"/>
            <w:noWrap/>
            <w:vAlign w:val="center"/>
            <w:hideMark/>
          </w:tcPr>
          <w:p w14:paraId="3D81161D" w14:textId="77777777" w:rsidR="00F85821" w:rsidRPr="00535D03" w:rsidRDefault="00F85821" w:rsidP="00DD6460">
            <w:pPr>
              <w:spacing w:line="240" w:lineRule="auto"/>
              <w:jc w:val="right"/>
              <w:rPr>
                <w:rFonts w:cs="Arial"/>
                <w:b/>
                <w:bCs/>
                <w:color w:val="000000"/>
                <w:sz w:val="16"/>
                <w:szCs w:val="16"/>
              </w:rPr>
            </w:pPr>
            <w:r w:rsidRPr="00535D03">
              <w:rPr>
                <w:rFonts w:cs="Arial"/>
                <w:b/>
                <w:bCs/>
                <w:color w:val="000000"/>
                <w:sz w:val="16"/>
                <w:szCs w:val="16"/>
              </w:rPr>
              <w:t>46,8%</w:t>
            </w:r>
          </w:p>
        </w:tc>
        <w:tc>
          <w:tcPr>
            <w:tcW w:w="980" w:type="dxa"/>
            <w:tcBorders>
              <w:top w:val="single" w:sz="8" w:space="0" w:color="FFFFFF"/>
              <w:left w:val="nil"/>
              <w:bottom w:val="single" w:sz="8" w:space="0" w:color="FFFFFF"/>
              <w:right w:val="nil"/>
            </w:tcBorders>
            <w:shd w:val="clear" w:color="000000" w:fill="92CDDC"/>
            <w:noWrap/>
            <w:vAlign w:val="center"/>
            <w:hideMark/>
          </w:tcPr>
          <w:p w14:paraId="1C3A359F" w14:textId="77777777" w:rsidR="00F85821" w:rsidRPr="00535D03" w:rsidRDefault="00F85821" w:rsidP="00DD6460">
            <w:pPr>
              <w:spacing w:line="240" w:lineRule="auto"/>
              <w:jc w:val="right"/>
              <w:rPr>
                <w:rFonts w:cs="Arial"/>
                <w:b/>
                <w:bCs/>
                <w:color w:val="000000"/>
                <w:sz w:val="16"/>
                <w:szCs w:val="16"/>
              </w:rPr>
            </w:pPr>
            <w:r w:rsidRPr="00535D03">
              <w:rPr>
                <w:rFonts w:cs="Arial"/>
                <w:b/>
                <w:bCs/>
                <w:color w:val="000000"/>
                <w:sz w:val="16"/>
                <w:szCs w:val="16"/>
              </w:rPr>
              <w:t>56,9%</w:t>
            </w:r>
          </w:p>
        </w:tc>
      </w:tr>
      <w:tr w:rsidR="00F85821" w:rsidRPr="00535D03" w14:paraId="405B16FC" w14:textId="77777777" w:rsidTr="00DD6460">
        <w:trPr>
          <w:trHeight w:val="259"/>
        </w:trPr>
        <w:tc>
          <w:tcPr>
            <w:tcW w:w="2780" w:type="dxa"/>
            <w:gridSpan w:val="2"/>
            <w:tcBorders>
              <w:top w:val="single" w:sz="8" w:space="0" w:color="FFFFFF"/>
              <w:left w:val="nil"/>
              <w:bottom w:val="single" w:sz="8" w:space="0" w:color="FFFFFF"/>
              <w:right w:val="single" w:sz="12" w:space="0" w:color="FFFFFF"/>
            </w:tcBorders>
            <w:shd w:val="clear" w:color="000000" w:fill="B7DEE8"/>
            <w:noWrap/>
            <w:vAlign w:val="center"/>
            <w:hideMark/>
          </w:tcPr>
          <w:p w14:paraId="141C5C99"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Podle vlastnictví podniku</w:t>
            </w:r>
          </w:p>
        </w:tc>
        <w:tc>
          <w:tcPr>
            <w:tcW w:w="980" w:type="dxa"/>
            <w:tcBorders>
              <w:top w:val="nil"/>
              <w:left w:val="nil"/>
              <w:bottom w:val="single" w:sz="8" w:space="0" w:color="FFFFFF"/>
              <w:right w:val="nil"/>
            </w:tcBorders>
            <w:shd w:val="clear" w:color="000000" w:fill="B7DEE8"/>
            <w:vAlign w:val="center"/>
            <w:hideMark/>
          </w:tcPr>
          <w:p w14:paraId="1F191BAC"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vAlign w:val="center"/>
            <w:hideMark/>
          </w:tcPr>
          <w:p w14:paraId="21475F46"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vAlign w:val="center"/>
            <w:hideMark/>
          </w:tcPr>
          <w:p w14:paraId="4A1EB88D"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vAlign w:val="center"/>
            <w:hideMark/>
          </w:tcPr>
          <w:p w14:paraId="179AD4F0"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vAlign w:val="center"/>
            <w:hideMark/>
          </w:tcPr>
          <w:p w14:paraId="29E7BB41"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vAlign w:val="center"/>
            <w:hideMark/>
          </w:tcPr>
          <w:p w14:paraId="3A076BB4"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vAlign w:val="center"/>
            <w:hideMark/>
          </w:tcPr>
          <w:p w14:paraId="49BBAFFB"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r>
      <w:tr w:rsidR="00F85821" w:rsidRPr="00535D03" w14:paraId="58E59885" w14:textId="77777777" w:rsidTr="00DD6460">
        <w:trPr>
          <w:trHeight w:val="259"/>
        </w:trPr>
        <w:tc>
          <w:tcPr>
            <w:tcW w:w="180" w:type="dxa"/>
            <w:tcBorders>
              <w:top w:val="nil"/>
              <w:left w:val="nil"/>
              <w:bottom w:val="single" w:sz="8" w:space="0" w:color="FFFFFF"/>
              <w:right w:val="nil"/>
            </w:tcBorders>
            <w:shd w:val="clear" w:color="000000" w:fill="DAEEF3"/>
            <w:noWrap/>
            <w:vAlign w:val="center"/>
            <w:hideMark/>
          </w:tcPr>
          <w:p w14:paraId="018DA37B" w14:textId="77777777" w:rsidR="00F85821" w:rsidRPr="00535D03" w:rsidRDefault="00F85821" w:rsidP="00DD6460">
            <w:pPr>
              <w:spacing w:line="240" w:lineRule="auto"/>
              <w:rPr>
                <w:rFonts w:cs="Arial"/>
                <w:color w:val="FFFFFF"/>
                <w:sz w:val="16"/>
                <w:szCs w:val="16"/>
              </w:rPr>
            </w:pPr>
            <w:r w:rsidRPr="00535D03">
              <w:rPr>
                <w:rFonts w:cs="Arial"/>
                <w:color w:val="FFFFFF"/>
                <w:sz w:val="16"/>
                <w:szCs w:val="16"/>
              </w:rPr>
              <w:t> </w:t>
            </w:r>
          </w:p>
        </w:tc>
        <w:tc>
          <w:tcPr>
            <w:tcW w:w="2600" w:type="dxa"/>
            <w:tcBorders>
              <w:top w:val="nil"/>
              <w:left w:val="nil"/>
              <w:bottom w:val="single" w:sz="8" w:space="0" w:color="FFFFFF"/>
              <w:right w:val="nil"/>
            </w:tcBorders>
            <w:shd w:val="clear" w:color="000000" w:fill="DAEEF3"/>
            <w:noWrap/>
            <w:vAlign w:val="center"/>
            <w:hideMark/>
          </w:tcPr>
          <w:p w14:paraId="31C568AC" w14:textId="77777777" w:rsidR="00F85821" w:rsidRPr="00535D03" w:rsidRDefault="00F85821" w:rsidP="00DD6460">
            <w:pPr>
              <w:spacing w:line="240" w:lineRule="auto"/>
              <w:rPr>
                <w:rFonts w:cs="Arial"/>
                <w:color w:val="000000"/>
                <w:sz w:val="16"/>
                <w:szCs w:val="16"/>
              </w:rPr>
            </w:pPr>
            <w:r w:rsidRPr="00535D03">
              <w:rPr>
                <w:rFonts w:cs="Arial"/>
                <w:color w:val="000000"/>
                <w:sz w:val="16"/>
                <w:szCs w:val="16"/>
              </w:rPr>
              <w:t>Domácí podniky</w:t>
            </w:r>
          </w:p>
        </w:tc>
        <w:tc>
          <w:tcPr>
            <w:tcW w:w="980" w:type="dxa"/>
            <w:tcBorders>
              <w:top w:val="nil"/>
              <w:left w:val="single" w:sz="12" w:space="0" w:color="FFFFFF"/>
              <w:bottom w:val="single" w:sz="8" w:space="0" w:color="FFFFFF"/>
              <w:right w:val="nil"/>
            </w:tcBorders>
            <w:shd w:val="clear" w:color="auto" w:fill="auto"/>
            <w:noWrap/>
            <w:vAlign w:val="center"/>
            <w:hideMark/>
          </w:tcPr>
          <w:p w14:paraId="7D4D50CB"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53,1%</w:t>
            </w:r>
          </w:p>
        </w:tc>
        <w:tc>
          <w:tcPr>
            <w:tcW w:w="980" w:type="dxa"/>
            <w:tcBorders>
              <w:top w:val="nil"/>
              <w:left w:val="nil"/>
              <w:bottom w:val="single" w:sz="8" w:space="0" w:color="FFFFFF"/>
              <w:right w:val="nil"/>
            </w:tcBorders>
            <w:shd w:val="clear" w:color="auto" w:fill="auto"/>
            <w:noWrap/>
            <w:vAlign w:val="center"/>
            <w:hideMark/>
          </w:tcPr>
          <w:p w14:paraId="1A217DF0"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50,2%</w:t>
            </w:r>
          </w:p>
        </w:tc>
        <w:tc>
          <w:tcPr>
            <w:tcW w:w="980" w:type="dxa"/>
            <w:tcBorders>
              <w:top w:val="nil"/>
              <w:left w:val="nil"/>
              <w:bottom w:val="single" w:sz="8" w:space="0" w:color="FFFFFF"/>
              <w:right w:val="nil"/>
            </w:tcBorders>
            <w:shd w:val="clear" w:color="auto" w:fill="auto"/>
            <w:noWrap/>
            <w:vAlign w:val="center"/>
            <w:hideMark/>
          </w:tcPr>
          <w:p w14:paraId="11E91790"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41,0%</w:t>
            </w:r>
          </w:p>
        </w:tc>
        <w:tc>
          <w:tcPr>
            <w:tcW w:w="980" w:type="dxa"/>
            <w:tcBorders>
              <w:top w:val="nil"/>
              <w:left w:val="nil"/>
              <w:bottom w:val="single" w:sz="8" w:space="0" w:color="FFFFFF"/>
              <w:right w:val="nil"/>
            </w:tcBorders>
            <w:shd w:val="clear" w:color="auto" w:fill="auto"/>
            <w:noWrap/>
            <w:vAlign w:val="center"/>
            <w:hideMark/>
          </w:tcPr>
          <w:p w14:paraId="3639ABB5"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39,0%</w:t>
            </w:r>
          </w:p>
        </w:tc>
        <w:tc>
          <w:tcPr>
            <w:tcW w:w="980" w:type="dxa"/>
            <w:tcBorders>
              <w:top w:val="nil"/>
              <w:left w:val="nil"/>
              <w:bottom w:val="single" w:sz="8" w:space="0" w:color="FFFFFF"/>
              <w:right w:val="nil"/>
            </w:tcBorders>
            <w:shd w:val="clear" w:color="auto" w:fill="auto"/>
            <w:noWrap/>
            <w:vAlign w:val="center"/>
            <w:hideMark/>
          </w:tcPr>
          <w:p w14:paraId="5D7D01AA"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44,0%</w:t>
            </w:r>
          </w:p>
        </w:tc>
        <w:tc>
          <w:tcPr>
            <w:tcW w:w="980" w:type="dxa"/>
            <w:tcBorders>
              <w:top w:val="nil"/>
              <w:left w:val="nil"/>
              <w:bottom w:val="single" w:sz="8" w:space="0" w:color="FFFFFF"/>
              <w:right w:val="nil"/>
            </w:tcBorders>
            <w:shd w:val="clear" w:color="auto" w:fill="auto"/>
            <w:noWrap/>
            <w:vAlign w:val="center"/>
            <w:hideMark/>
          </w:tcPr>
          <w:p w14:paraId="1FB5B877"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43,6%</w:t>
            </w:r>
          </w:p>
        </w:tc>
        <w:tc>
          <w:tcPr>
            <w:tcW w:w="980" w:type="dxa"/>
            <w:tcBorders>
              <w:top w:val="nil"/>
              <w:left w:val="nil"/>
              <w:bottom w:val="single" w:sz="8" w:space="0" w:color="FFFFFF"/>
              <w:right w:val="nil"/>
            </w:tcBorders>
            <w:shd w:val="clear" w:color="auto" w:fill="auto"/>
            <w:noWrap/>
            <w:vAlign w:val="center"/>
            <w:hideMark/>
          </w:tcPr>
          <w:p w14:paraId="197281AD"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54,3%</w:t>
            </w:r>
          </w:p>
        </w:tc>
      </w:tr>
      <w:tr w:rsidR="00F85821" w:rsidRPr="00535D03" w14:paraId="7CD0B01B" w14:textId="77777777" w:rsidTr="00DD6460">
        <w:trPr>
          <w:trHeight w:val="259"/>
        </w:trPr>
        <w:tc>
          <w:tcPr>
            <w:tcW w:w="180" w:type="dxa"/>
            <w:tcBorders>
              <w:top w:val="nil"/>
              <w:left w:val="nil"/>
              <w:bottom w:val="single" w:sz="8" w:space="0" w:color="FFFFFF"/>
              <w:right w:val="nil"/>
            </w:tcBorders>
            <w:shd w:val="clear" w:color="000000" w:fill="DAEEF3"/>
            <w:noWrap/>
            <w:vAlign w:val="center"/>
            <w:hideMark/>
          </w:tcPr>
          <w:p w14:paraId="7B191BE0" w14:textId="77777777" w:rsidR="00F85821" w:rsidRPr="00535D03" w:rsidRDefault="00F85821" w:rsidP="00DD6460">
            <w:pPr>
              <w:spacing w:line="240" w:lineRule="auto"/>
              <w:rPr>
                <w:rFonts w:cs="Arial"/>
                <w:color w:val="FFFFFF"/>
                <w:sz w:val="16"/>
                <w:szCs w:val="16"/>
              </w:rPr>
            </w:pPr>
            <w:r w:rsidRPr="00535D03">
              <w:rPr>
                <w:rFonts w:cs="Arial"/>
                <w:color w:val="FFFFFF"/>
                <w:sz w:val="16"/>
                <w:szCs w:val="16"/>
              </w:rPr>
              <w:t> </w:t>
            </w:r>
          </w:p>
        </w:tc>
        <w:tc>
          <w:tcPr>
            <w:tcW w:w="2600" w:type="dxa"/>
            <w:tcBorders>
              <w:top w:val="nil"/>
              <w:left w:val="nil"/>
              <w:bottom w:val="single" w:sz="8" w:space="0" w:color="FFFFFF"/>
              <w:right w:val="nil"/>
            </w:tcBorders>
            <w:shd w:val="clear" w:color="000000" w:fill="DAEEF3"/>
            <w:noWrap/>
            <w:vAlign w:val="center"/>
            <w:hideMark/>
          </w:tcPr>
          <w:p w14:paraId="0D4F605B" w14:textId="77777777" w:rsidR="00F85821" w:rsidRPr="00535D03" w:rsidRDefault="00F85821" w:rsidP="00DD6460">
            <w:pPr>
              <w:spacing w:line="240" w:lineRule="auto"/>
              <w:rPr>
                <w:rFonts w:cs="Arial"/>
                <w:color w:val="000000"/>
                <w:sz w:val="16"/>
                <w:szCs w:val="16"/>
              </w:rPr>
            </w:pPr>
            <w:r w:rsidRPr="00535D03">
              <w:rPr>
                <w:rFonts w:cs="Arial"/>
                <w:color w:val="000000"/>
                <w:sz w:val="16"/>
                <w:szCs w:val="16"/>
              </w:rPr>
              <w:t>Podniky pod zahraniční kontrolou</w:t>
            </w:r>
          </w:p>
        </w:tc>
        <w:tc>
          <w:tcPr>
            <w:tcW w:w="980" w:type="dxa"/>
            <w:tcBorders>
              <w:top w:val="nil"/>
              <w:left w:val="single" w:sz="12" w:space="0" w:color="FFFFFF"/>
              <w:bottom w:val="single" w:sz="8" w:space="0" w:color="FFFFFF"/>
              <w:right w:val="nil"/>
            </w:tcBorders>
            <w:shd w:val="clear" w:color="000000" w:fill="DAEEF3"/>
            <w:noWrap/>
            <w:vAlign w:val="center"/>
            <w:hideMark/>
          </w:tcPr>
          <w:p w14:paraId="39303FD4"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66,5%</w:t>
            </w:r>
          </w:p>
        </w:tc>
        <w:tc>
          <w:tcPr>
            <w:tcW w:w="980" w:type="dxa"/>
            <w:tcBorders>
              <w:top w:val="nil"/>
              <w:left w:val="nil"/>
              <w:bottom w:val="single" w:sz="8" w:space="0" w:color="FFFFFF"/>
              <w:right w:val="nil"/>
            </w:tcBorders>
            <w:shd w:val="clear" w:color="000000" w:fill="DAEEF3"/>
            <w:noWrap/>
            <w:vAlign w:val="center"/>
            <w:hideMark/>
          </w:tcPr>
          <w:p w14:paraId="0B0D6769"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56,2%</w:t>
            </w:r>
          </w:p>
        </w:tc>
        <w:tc>
          <w:tcPr>
            <w:tcW w:w="980" w:type="dxa"/>
            <w:tcBorders>
              <w:top w:val="nil"/>
              <w:left w:val="nil"/>
              <w:bottom w:val="single" w:sz="8" w:space="0" w:color="FFFFFF"/>
              <w:right w:val="nil"/>
            </w:tcBorders>
            <w:shd w:val="clear" w:color="000000" w:fill="DAEEF3"/>
            <w:noWrap/>
            <w:vAlign w:val="center"/>
            <w:hideMark/>
          </w:tcPr>
          <w:p w14:paraId="1C44CDE3"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54,1%</w:t>
            </w:r>
          </w:p>
        </w:tc>
        <w:tc>
          <w:tcPr>
            <w:tcW w:w="980" w:type="dxa"/>
            <w:tcBorders>
              <w:top w:val="nil"/>
              <w:left w:val="nil"/>
              <w:bottom w:val="single" w:sz="8" w:space="0" w:color="FFFFFF"/>
              <w:right w:val="nil"/>
            </w:tcBorders>
            <w:shd w:val="clear" w:color="000000" w:fill="DAEEF3"/>
            <w:noWrap/>
            <w:vAlign w:val="center"/>
            <w:hideMark/>
          </w:tcPr>
          <w:p w14:paraId="169B2D6C"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53,7%</w:t>
            </w:r>
          </w:p>
        </w:tc>
        <w:tc>
          <w:tcPr>
            <w:tcW w:w="980" w:type="dxa"/>
            <w:tcBorders>
              <w:top w:val="nil"/>
              <w:left w:val="nil"/>
              <w:bottom w:val="single" w:sz="8" w:space="0" w:color="FFFFFF"/>
              <w:right w:val="nil"/>
            </w:tcBorders>
            <w:shd w:val="clear" w:color="000000" w:fill="DAEEF3"/>
            <w:noWrap/>
            <w:vAlign w:val="center"/>
            <w:hideMark/>
          </w:tcPr>
          <w:p w14:paraId="5A2A454D"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55,2%</w:t>
            </w:r>
          </w:p>
        </w:tc>
        <w:tc>
          <w:tcPr>
            <w:tcW w:w="980" w:type="dxa"/>
            <w:tcBorders>
              <w:top w:val="nil"/>
              <w:left w:val="nil"/>
              <w:bottom w:val="single" w:sz="8" w:space="0" w:color="FFFFFF"/>
              <w:right w:val="nil"/>
            </w:tcBorders>
            <w:shd w:val="clear" w:color="000000" w:fill="DAEEF3"/>
            <w:noWrap/>
            <w:vAlign w:val="center"/>
            <w:hideMark/>
          </w:tcPr>
          <w:p w14:paraId="22B1763D"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58,1%</w:t>
            </w:r>
          </w:p>
        </w:tc>
        <w:tc>
          <w:tcPr>
            <w:tcW w:w="980" w:type="dxa"/>
            <w:tcBorders>
              <w:top w:val="nil"/>
              <w:left w:val="nil"/>
              <w:bottom w:val="single" w:sz="8" w:space="0" w:color="FFFFFF"/>
              <w:right w:val="nil"/>
            </w:tcBorders>
            <w:shd w:val="clear" w:color="000000" w:fill="DAEEF3"/>
            <w:noWrap/>
            <w:vAlign w:val="center"/>
            <w:hideMark/>
          </w:tcPr>
          <w:p w14:paraId="0D11BEC8"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68,6%</w:t>
            </w:r>
          </w:p>
        </w:tc>
      </w:tr>
      <w:tr w:rsidR="00F85821" w:rsidRPr="00535D03" w14:paraId="5AB55B84" w14:textId="77777777" w:rsidTr="00DD6460">
        <w:trPr>
          <w:trHeight w:val="259"/>
        </w:trPr>
        <w:tc>
          <w:tcPr>
            <w:tcW w:w="2780" w:type="dxa"/>
            <w:gridSpan w:val="2"/>
            <w:tcBorders>
              <w:top w:val="single" w:sz="8" w:space="0" w:color="FFFFFF"/>
              <w:left w:val="nil"/>
              <w:bottom w:val="single" w:sz="8" w:space="0" w:color="FFFFFF"/>
              <w:right w:val="single" w:sz="12" w:space="0" w:color="FFFFFF"/>
            </w:tcBorders>
            <w:shd w:val="clear" w:color="000000" w:fill="B7DEE8"/>
            <w:noWrap/>
            <w:vAlign w:val="center"/>
            <w:hideMark/>
          </w:tcPr>
          <w:p w14:paraId="6D00F783"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Podle velikosti podniku</w:t>
            </w:r>
          </w:p>
        </w:tc>
        <w:tc>
          <w:tcPr>
            <w:tcW w:w="980" w:type="dxa"/>
            <w:tcBorders>
              <w:top w:val="nil"/>
              <w:left w:val="nil"/>
              <w:bottom w:val="single" w:sz="8" w:space="0" w:color="FFFFFF"/>
              <w:right w:val="nil"/>
            </w:tcBorders>
            <w:shd w:val="clear" w:color="000000" w:fill="B7DEE8"/>
            <w:noWrap/>
            <w:vAlign w:val="center"/>
            <w:hideMark/>
          </w:tcPr>
          <w:p w14:paraId="59245898"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noWrap/>
            <w:vAlign w:val="center"/>
            <w:hideMark/>
          </w:tcPr>
          <w:p w14:paraId="6267B0BC"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noWrap/>
            <w:vAlign w:val="center"/>
            <w:hideMark/>
          </w:tcPr>
          <w:p w14:paraId="3EF3FD41"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noWrap/>
            <w:vAlign w:val="center"/>
            <w:hideMark/>
          </w:tcPr>
          <w:p w14:paraId="3147821A"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noWrap/>
            <w:vAlign w:val="center"/>
            <w:hideMark/>
          </w:tcPr>
          <w:p w14:paraId="1F56F0F8"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noWrap/>
            <w:vAlign w:val="center"/>
            <w:hideMark/>
          </w:tcPr>
          <w:p w14:paraId="6567258B"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noWrap/>
            <w:vAlign w:val="center"/>
            <w:hideMark/>
          </w:tcPr>
          <w:p w14:paraId="41184254"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r>
      <w:tr w:rsidR="00F85821" w:rsidRPr="00535D03" w14:paraId="7166E0AE" w14:textId="77777777" w:rsidTr="00DD6460">
        <w:trPr>
          <w:trHeight w:val="259"/>
        </w:trPr>
        <w:tc>
          <w:tcPr>
            <w:tcW w:w="180" w:type="dxa"/>
            <w:tcBorders>
              <w:top w:val="nil"/>
              <w:left w:val="nil"/>
              <w:bottom w:val="single" w:sz="8" w:space="0" w:color="FFFFFF"/>
              <w:right w:val="nil"/>
            </w:tcBorders>
            <w:shd w:val="clear" w:color="000000" w:fill="DAEEF3"/>
            <w:noWrap/>
            <w:vAlign w:val="center"/>
            <w:hideMark/>
          </w:tcPr>
          <w:p w14:paraId="7A84D055"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2600" w:type="dxa"/>
            <w:tcBorders>
              <w:top w:val="nil"/>
              <w:left w:val="nil"/>
              <w:bottom w:val="single" w:sz="8" w:space="0" w:color="FFFFFF"/>
              <w:right w:val="nil"/>
            </w:tcBorders>
            <w:shd w:val="clear" w:color="000000" w:fill="DAEEF3"/>
            <w:vAlign w:val="center"/>
            <w:hideMark/>
          </w:tcPr>
          <w:p w14:paraId="543956F9" w14:textId="77777777" w:rsidR="00F85821" w:rsidRPr="00535D03" w:rsidRDefault="00F85821" w:rsidP="00DD6460">
            <w:pPr>
              <w:spacing w:line="240" w:lineRule="auto"/>
              <w:rPr>
                <w:rFonts w:cs="Arial"/>
                <w:color w:val="000000"/>
                <w:sz w:val="16"/>
                <w:szCs w:val="16"/>
              </w:rPr>
            </w:pPr>
            <w:r w:rsidRPr="00535D03">
              <w:rPr>
                <w:rFonts w:cs="Arial"/>
                <w:color w:val="000000"/>
                <w:sz w:val="16"/>
                <w:szCs w:val="16"/>
              </w:rPr>
              <w:t xml:space="preserve">Malé podniky (10-49 </w:t>
            </w:r>
            <w:proofErr w:type="spellStart"/>
            <w:r w:rsidRPr="00535D03">
              <w:rPr>
                <w:rFonts w:cs="Arial"/>
                <w:color w:val="000000"/>
                <w:sz w:val="16"/>
                <w:szCs w:val="16"/>
              </w:rPr>
              <w:t>zam</w:t>
            </w:r>
            <w:proofErr w:type="spellEnd"/>
            <w:r w:rsidRPr="00535D03">
              <w:rPr>
                <w:rFonts w:cs="Arial"/>
                <w:color w:val="000000"/>
                <w:sz w:val="16"/>
                <w:szCs w:val="16"/>
              </w:rPr>
              <w:t>.)</w:t>
            </w:r>
          </w:p>
        </w:tc>
        <w:tc>
          <w:tcPr>
            <w:tcW w:w="980" w:type="dxa"/>
            <w:tcBorders>
              <w:top w:val="nil"/>
              <w:left w:val="single" w:sz="12" w:space="0" w:color="FFFFFF"/>
              <w:bottom w:val="single" w:sz="8" w:space="0" w:color="FFFFFF"/>
              <w:right w:val="nil"/>
            </w:tcBorders>
            <w:shd w:val="clear" w:color="auto" w:fill="auto"/>
            <w:noWrap/>
            <w:vAlign w:val="center"/>
            <w:hideMark/>
          </w:tcPr>
          <w:p w14:paraId="36CA5F4E"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52,3%</w:t>
            </w:r>
          </w:p>
        </w:tc>
        <w:tc>
          <w:tcPr>
            <w:tcW w:w="980" w:type="dxa"/>
            <w:tcBorders>
              <w:top w:val="nil"/>
              <w:left w:val="nil"/>
              <w:bottom w:val="single" w:sz="8" w:space="0" w:color="FFFFFF"/>
              <w:right w:val="nil"/>
            </w:tcBorders>
            <w:shd w:val="clear" w:color="auto" w:fill="auto"/>
            <w:noWrap/>
            <w:vAlign w:val="center"/>
            <w:hideMark/>
          </w:tcPr>
          <w:p w14:paraId="0CB70CCE"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46,7%</w:t>
            </w:r>
          </w:p>
        </w:tc>
        <w:tc>
          <w:tcPr>
            <w:tcW w:w="980" w:type="dxa"/>
            <w:tcBorders>
              <w:top w:val="nil"/>
              <w:left w:val="nil"/>
              <w:bottom w:val="single" w:sz="8" w:space="0" w:color="FFFFFF"/>
              <w:right w:val="nil"/>
            </w:tcBorders>
            <w:shd w:val="clear" w:color="auto" w:fill="auto"/>
            <w:noWrap/>
            <w:vAlign w:val="center"/>
            <w:hideMark/>
          </w:tcPr>
          <w:p w14:paraId="6572E9AA"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38,2%</w:t>
            </w:r>
          </w:p>
        </w:tc>
        <w:tc>
          <w:tcPr>
            <w:tcW w:w="980" w:type="dxa"/>
            <w:tcBorders>
              <w:top w:val="nil"/>
              <w:left w:val="nil"/>
              <w:bottom w:val="single" w:sz="8" w:space="0" w:color="FFFFFF"/>
              <w:right w:val="nil"/>
            </w:tcBorders>
            <w:shd w:val="clear" w:color="auto" w:fill="auto"/>
            <w:noWrap/>
            <w:vAlign w:val="center"/>
            <w:hideMark/>
          </w:tcPr>
          <w:p w14:paraId="047B0CC2"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35,2%</w:t>
            </w:r>
          </w:p>
        </w:tc>
        <w:tc>
          <w:tcPr>
            <w:tcW w:w="980" w:type="dxa"/>
            <w:tcBorders>
              <w:top w:val="nil"/>
              <w:left w:val="nil"/>
              <w:bottom w:val="single" w:sz="8" w:space="0" w:color="FFFFFF"/>
              <w:right w:val="nil"/>
            </w:tcBorders>
            <w:shd w:val="clear" w:color="auto" w:fill="auto"/>
            <w:noWrap/>
            <w:vAlign w:val="center"/>
            <w:hideMark/>
          </w:tcPr>
          <w:p w14:paraId="7FA51476"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40,7%</w:t>
            </w:r>
          </w:p>
        </w:tc>
        <w:tc>
          <w:tcPr>
            <w:tcW w:w="980" w:type="dxa"/>
            <w:tcBorders>
              <w:top w:val="nil"/>
              <w:left w:val="nil"/>
              <w:bottom w:val="single" w:sz="8" w:space="0" w:color="FFFFFF"/>
              <w:right w:val="nil"/>
            </w:tcBorders>
            <w:shd w:val="clear" w:color="auto" w:fill="auto"/>
            <w:noWrap/>
            <w:vAlign w:val="center"/>
            <w:hideMark/>
          </w:tcPr>
          <w:p w14:paraId="7B0EF696"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41,2%</w:t>
            </w:r>
          </w:p>
        </w:tc>
        <w:tc>
          <w:tcPr>
            <w:tcW w:w="980" w:type="dxa"/>
            <w:tcBorders>
              <w:top w:val="nil"/>
              <w:left w:val="nil"/>
              <w:bottom w:val="single" w:sz="8" w:space="0" w:color="FFFFFF"/>
              <w:right w:val="nil"/>
            </w:tcBorders>
            <w:shd w:val="clear" w:color="auto" w:fill="auto"/>
            <w:noWrap/>
            <w:vAlign w:val="center"/>
            <w:hideMark/>
          </w:tcPr>
          <w:p w14:paraId="0816E549"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52,4%</w:t>
            </w:r>
          </w:p>
        </w:tc>
      </w:tr>
      <w:tr w:rsidR="00F85821" w:rsidRPr="00535D03" w14:paraId="4B2AF97F" w14:textId="77777777" w:rsidTr="00DD6460">
        <w:trPr>
          <w:trHeight w:val="259"/>
        </w:trPr>
        <w:tc>
          <w:tcPr>
            <w:tcW w:w="180" w:type="dxa"/>
            <w:tcBorders>
              <w:top w:val="nil"/>
              <w:left w:val="nil"/>
              <w:bottom w:val="single" w:sz="8" w:space="0" w:color="FFFFFF"/>
              <w:right w:val="nil"/>
            </w:tcBorders>
            <w:shd w:val="clear" w:color="000000" w:fill="DAEEF3"/>
            <w:noWrap/>
            <w:vAlign w:val="center"/>
            <w:hideMark/>
          </w:tcPr>
          <w:p w14:paraId="12C67823"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2600" w:type="dxa"/>
            <w:tcBorders>
              <w:top w:val="nil"/>
              <w:left w:val="nil"/>
              <w:bottom w:val="single" w:sz="8" w:space="0" w:color="FFFFFF"/>
              <w:right w:val="nil"/>
            </w:tcBorders>
            <w:shd w:val="clear" w:color="000000" w:fill="DAEEF3"/>
            <w:vAlign w:val="center"/>
            <w:hideMark/>
          </w:tcPr>
          <w:p w14:paraId="62FB932E" w14:textId="77777777" w:rsidR="00F85821" w:rsidRPr="00535D03" w:rsidRDefault="00F85821" w:rsidP="00DD6460">
            <w:pPr>
              <w:spacing w:line="240" w:lineRule="auto"/>
              <w:rPr>
                <w:rFonts w:cs="Arial"/>
                <w:color w:val="000000"/>
                <w:sz w:val="16"/>
                <w:szCs w:val="16"/>
              </w:rPr>
            </w:pPr>
            <w:r w:rsidRPr="00535D03">
              <w:rPr>
                <w:rFonts w:cs="Arial"/>
                <w:color w:val="000000"/>
                <w:sz w:val="16"/>
                <w:szCs w:val="16"/>
              </w:rPr>
              <w:t xml:space="preserve">Střední podniky (50-249 </w:t>
            </w:r>
            <w:proofErr w:type="spellStart"/>
            <w:r w:rsidRPr="00535D03">
              <w:rPr>
                <w:rFonts w:cs="Arial"/>
                <w:color w:val="000000"/>
                <w:sz w:val="16"/>
                <w:szCs w:val="16"/>
              </w:rPr>
              <w:t>zam</w:t>
            </w:r>
            <w:proofErr w:type="spellEnd"/>
            <w:r w:rsidRPr="00535D03">
              <w:rPr>
                <w:rFonts w:cs="Arial"/>
                <w:color w:val="000000"/>
                <w:sz w:val="16"/>
                <w:szCs w:val="16"/>
              </w:rPr>
              <w:t>.)</w:t>
            </w:r>
          </w:p>
        </w:tc>
        <w:tc>
          <w:tcPr>
            <w:tcW w:w="980" w:type="dxa"/>
            <w:tcBorders>
              <w:top w:val="nil"/>
              <w:left w:val="single" w:sz="12" w:space="0" w:color="FFFFFF"/>
              <w:bottom w:val="single" w:sz="8" w:space="0" w:color="FFFFFF"/>
              <w:right w:val="nil"/>
            </w:tcBorders>
            <w:shd w:val="clear" w:color="000000" w:fill="DAEEF3"/>
            <w:noWrap/>
            <w:vAlign w:val="center"/>
            <w:hideMark/>
          </w:tcPr>
          <w:p w14:paraId="684A3BF4"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63,5%</w:t>
            </w:r>
          </w:p>
        </w:tc>
        <w:tc>
          <w:tcPr>
            <w:tcW w:w="980" w:type="dxa"/>
            <w:tcBorders>
              <w:top w:val="nil"/>
              <w:left w:val="nil"/>
              <w:bottom w:val="single" w:sz="8" w:space="0" w:color="FFFFFF"/>
              <w:right w:val="nil"/>
            </w:tcBorders>
            <w:shd w:val="clear" w:color="000000" w:fill="DAEEF3"/>
            <w:noWrap/>
            <w:vAlign w:val="center"/>
            <w:hideMark/>
          </w:tcPr>
          <w:p w14:paraId="02EADD3B"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64,0%</w:t>
            </w:r>
          </w:p>
        </w:tc>
        <w:tc>
          <w:tcPr>
            <w:tcW w:w="980" w:type="dxa"/>
            <w:tcBorders>
              <w:top w:val="nil"/>
              <w:left w:val="nil"/>
              <w:bottom w:val="single" w:sz="8" w:space="0" w:color="FFFFFF"/>
              <w:right w:val="nil"/>
            </w:tcBorders>
            <w:shd w:val="clear" w:color="000000" w:fill="DAEEF3"/>
            <w:noWrap/>
            <w:vAlign w:val="center"/>
            <w:hideMark/>
          </w:tcPr>
          <w:p w14:paraId="0735CEE5"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57,6%</w:t>
            </w:r>
          </w:p>
        </w:tc>
        <w:tc>
          <w:tcPr>
            <w:tcW w:w="980" w:type="dxa"/>
            <w:tcBorders>
              <w:top w:val="nil"/>
              <w:left w:val="nil"/>
              <w:bottom w:val="single" w:sz="8" w:space="0" w:color="FFFFFF"/>
              <w:right w:val="nil"/>
            </w:tcBorders>
            <w:shd w:val="clear" w:color="000000" w:fill="DAEEF3"/>
            <w:noWrap/>
            <w:vAlign w:val="center"/>
            <w:hideMark/>
          </w:tcPr>
          <w:p w14:paraId="364ECBFC"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59,1%</w:t>
            </w:r>
          </w:p>
        </w:tc>
        <w:tc>
          <w:tcPr>
            <w:tcW w:w="980" w:type="dxa"/>
            <w:tcBorders>
              <w:top w:val="nil"/>
              <w:left w:val="nil"/>
              <w:bottom w:val="single" w:sz="8" w:space="0" w:color="FFFFFF"/>
              <w:right w:val="nil"/>
            </w:tcBorders>
            <w:shd w:val="clear" w:color="000000" w:fill="DAEEF3"/>
            <w:noWrap/>
            <w:vAlign w:val="center"/>
            <w:hideMark/>
          </w:tcPr>
          <w:p w14:paraId="07F45423"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58,2%</w:t>
            </w:r>
          </w:p>
        </w:tc>
        <w:tc>
          <w:tcPr>
            <w:tcW w:w="980" w:type="dxa"/>
            <w:tcBorders>
              <w:top w:val="nil"/>
              <w:left w:val="nil"/>
              <w:bottom w:val="single" w:sz="8" w:space="0" w:color="FFFFFF"/>
              <w:right w:val="nil"/>
            </w:tcBorders>
            <w:shd w:val="clear" w:color="000000" w:fill="DAEEF3"/>
            <w:noWrap/>
            <w:vAlign w:val="center"/>
            <w:hideMark/>
          </w:tcPr>
          <w:p w14:paraId="434C85DA"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59,8%</w:t>
            </w:r>
          </w:p>
        </w:tc>
        <w:tc>
          <w:tcPr>
            <w:tcW w:w="980" w:type="dxa"/>
            <w:tcBorders>
              <w:top w:val="nil"/>
              <w:left w:val="nil"/>
              <w:bottom w:val="single" w:sz="8" w:space="0" w:color="FFFFFF"/>
              <w:right w:val="nil"/>
            </w:tcBorders>
            <w:shd w:val="clear" w:color="000000" w:fill="DAEEF3"/>
            <w:noWrap/>
            <w:vAlign w:val="center"/>
            <w:hideMark/>
          </w:tcPr>
          <w:p w14:paraId="69B7CC71"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66,6%</w:t>
            </w:r>
          </w:p>
        </w:tc>
      </w:tr>
      <w:tr w:rsidR="00F85821" w:rsidRPr="00535D03" w14:paraId="6808350A" w14:textId="77777777" w:rsidTr="00DD6460">
        <w:trPr>
          <w:trHeight w:val="259"/>
        </w:trPr>
        <w:tc>
          <w:tcPr>
            <w:tcW w:w="180" w:type="dxa"/>
            <w:tcBorders>
              <w:top w:val="nil"/>
              <w:left w:val="nil"/>
              <w:bottom w:val="single" w:sz="8" w:space="0" w:color="FFFFFF"/>
              <w:right w:val="nil"/>
            </w:tcBorders>
            <w:shd w:val="clear" w:color="000000" w:fill="DAEEF3"/>
            <w:noWrap/>
            <w:vAlign w:val="center"/>
            <w:hideMark/>
          </w:tcPr>
          <w:p w14:paraId="4AB24CEF"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2600" w:type="dxa"/>
            <w:tcBorders>
              <w:top w:val="nil"/>
              <w:left w:val="nil"/>
              <w:bottom w:val="single" w:sz="8" w:space="0" w:color="FFFFFF"/>
              <w:right w:val="nil"/>
            </w:tcBorders>
            <w:shd w:val="clear" w:color="000000" w:fill="DAEEF3"/>
            <w:vAlign w:val="center"/>
            <w:hideMark/>
          </w:tcPr>
          <w:p w14:paraId="353E57D3" w14:textId="77777777" w:rsidR="00F85821" w:rsidRPr="00535D03" w:rsidRDefault="00F85821" w:rsidP="00DD6460">
            <w:pPr>
              <w:spacing w:line="240" w:lineRule="auto"/>
              <w:rPr>
                <w:rFonts w:cs="Arial"/>
                <w:color w:val="000000"/>
                <w:sz w:val="16"/>
                <w:szCs w:val="16"/>
              </w:rPr>
            </w:pPr>
            <w:r w:rsidRPr="00535D03">
              <w:rPr>
                <w:rFonts w:cs="Arial"/>
                <w:color w:val="000000"/>
                <w:sz w:val="16"/>
                <w:szCs w:val="16"/>
              </w:rPr>
              <w:t xml:space="preserve">Velké podniky (250+ </w:t>
            </w:r>
            <w:proofErr w:type="spellStart"/>
            <w:r w:rsidRPr="00535D03">
              <w:rPr>
                <w:rFonts w:cs="Arial"/>
                <w:color w:val="000000"/>
                <w:sz w:val="16"/>
                <w:szCs w:val="16"/>
              </w:rPr>
              <w:t>zam</w:t>
            </w:r>
            <w:proofErr w:type="spellEnd"/>
            <w:r w:rsidRPr="00535D03">
              <w:rPr>
                <w:rFonts w:cs="Arial"/>
                <w:color w:val="000000"/>
                <w:sz w:val="16"/>
                <w:szCs w:val="16"/>
              </w:rPr>
              <w:t>.)</w:t>
            </w:r>
          </w:p>
        </w:tc>
        <w:tc>
          <w:tcPr>
            <w:tcW w:w="980" w:type="dxa"/>
            <w:tcBorders>
              <w:top w:val="nil"/>
              <w:left w:val="single" w:sz="12" w:space="0" w:color="FFFFFF"/>
              <w:bottom w:val="single" w:sz="8" w:space="0" w:color="FFFFFF"/>
              <w:right w:val="nil"/>
            </w:tcBorders>
            <w:shd w:val="clear" w:color="auto" w:fill="auto"/>
            <w:noWrap/>
            <w:vAlign w:val="center"/>
            <w:hideMark/>
          </w:tcPr>
          <w:p w14:paraId="33BBFBD1"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80,7%</w:t>
            </w:r>
          </w:p>
        </w:tc>
        <w:tc>
          <w:tcPr>
            <w:tcW w:w="980" w:type="dxa"/>
            <w:tcBorders>
              <w:top w:val="nil"/>
              <w:left w:val="nil"/>
              <w:bottom w:val="single" w:sz="8" w:space="0" w:color="FFFFFF"/>
              <w:right w:val="nil"/>
            </w:tcBorders>
            <w:shd w:val="clear" w:color="auto" w:fill="auto"/>
            <w:noWrap/>
            <w:vAlign w:val="center"/>
            <w:hideMark/>
          </w:tcPr>
          <w:p w14:paraId="4DB84350"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78,6%</w:t>
            </w:r>
          </w:p>
        </w:tc>
        <w:tc>
          <w:tcPr>
            <w:tcW w:w="980" w:type="dxa"/>
            <w:tcBorders>
              <w:top w:val="nil"/>
              <w:left w:val="nil"/>
              <w:bottom w:val="single" w:sz="8" w:space="0" w:color="FFFFFF"/>
              <w:right w:val="nil"/>
            </w:tcBorders>
            <w:shd w:val="clear" w:color="auto" w:fill="auto"/>
            <w:noWrap/>
            <w:vAlign w:val="center"/>
            <w:hideMark/>
          </w:tcPr>
          <w:p w14:paraId="30FB2B5B"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78,7%</w:t>
            </w:r>
          </w:p>
        </w:tc>
        <w:tc>
          <w:tcPr>
            <w:tcW w:w="980" w:type="dxa"/>
            <w:tcBorders>
              <w:top w:val="nil"/>
              <w:left w:val="nil"/>
              <w:bottom w:val="single" w:sz="8" w:space="0" w:color="FFFFFF"/>
              <w:right w:val="nil"/>
            </w:tcBorders>
            <w:shd w:val="clear" w:color="auto" w:fill="auto"/>
            <w:noWrap/>
            <w:vAlign w:val="center"/>
            <w:hideMark/>
          </w:tcPr>
          <w:p w14:paraId="2EBB0CFD"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77,2%</w:t>
            </w:r>
          </w:p>
        </w:tc>
        <w:tc>
          <w:tcPr>
            <w:tcW w:w="980" w:type="dxa"/>
            <w:tcBorders>
              <w:top w:val="nil"/>
              <w:left w:val="nil"/>
              <w:bottom w:val="single" w:sz="8" w:space="0" w:color="FFFFFF"/>
              <w:right w:val="nil"/>
            </w:tcBorders>
            <w:shd w:val="clear" w:color="auto" w:fill="auto"/>
            <w:noWrap/>
            <w:vAlign w:val="center"/>
            <w:hideMark/>
          </w:tcPr>
          <w:p w14:paraId="58EE11F6"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77,4%</w:t>
            </w:r>
          </w:p>
        </w:tc>
        <w:tc>
          <w:tcPr>
            <w:tcW w:w="980" w:type="dxa"/>
            <w:tcBorders>
              <w:top w:val="nil"/>
              <w:left w:val="nil"/>
              <w:bottom w:val="single" w:sz="8" w:space="0" w:color="FFFFFF"/>
              <w:right w:val="nil"/>
            </w:tcBorders>
            <w:shd w:val="clear" w:color="auto" w:fill="auto"/>
            <w:noWrap/>
            <w:vAlign w:val="center"/>
            <w:hideMark/>
          </w:tcPr>
          <w:p w14:paraId="4033F238"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73,6%</w:t>
            </w:r>
          </w:p>
        </w:tc>
        <w:tc>
          <w:tcPr>
            <w:tcW w:w="980" w:type="dxa"/>
            <w:tcBorders>
              <w:top w:val="nil"/>
              <w:left w:val="nil"/>
              <w:bottom w:val="single" w:sz="8" w:space="0" w:color="FFFFFF"/>
              <w:right w:val="nil"/>
            </w:tcBorders>
            <w:shd w:val="clear" w:color="auto" w:fill="auto"/>
            <w:noWrap/>
            <w:vAlign w:val="center"/>
            <w:hideMark/>
          </w:tcPr>
          <w:p w14:paraId="23E01EBE"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83,3%</w:t>
            </w:r>
          </w:p>
        </w:tc>
      </w:tr>
      <w:tr w:rsidR="00F85821" w:rsidRPr="00535D03" w14:paraId="035A9458" w14:textId="77777777" w:rsidTr="00DD6460">
        <w:trPr>
          <w:trHeight w:val="259"/>
        </w:trPr>
        <w:tc>
          <w:tcPr>
            <w:tcW w:w="2780" w:type="dxa"/>
            <w:gridSpan w:val="2"/>
            <w:tcBorders>
              <w:top w:val="single" w:sz="8" w:space="0" w:color="FFFFFF"/>
              <w:left w:val="nil"/>
              <w:bottom w:val="single" w:sz="8" w:space="0" w:color="FFFFFF"/>
              <w:right w:val="single" w:sz="12" w:space="0" w:color="FFFFFF"/>
            </w:tcBorders>
            <w:shd w:val="clear" w:color="000000" w:fill="B7DEE8"/>
            <w:noWrap/>
            <w:vAlign w:val="center"/>
            <w:hideMark/>
          </w:tcPr>
          <w:p w14:paraId="1DE7AE8E"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Podle CZ-NACE</w:t>
            </w:r>
          </w:p>
        </w:tc>
        <w:tc>
          <w:tcPr>
            <w:tcW w:w="980" w:type="dxa"/>
            <w:tcBorders>
              <w:top w:val="nil"/>
              <w:left w:val="nil"/>
              <w:bottom w:val="single" w:sz="8" w:space="0" w:color="FFFFFF"/>
              <w:right w:val="nil"/>
            </w:tcBorders>
            <w:shd w:val="clear" w:color="000000" w:fill="B7DEE8"/>
            <w:noWrap/>
            <w:vAlign w:val="center"/>
            <w:hideMark/>
          </w:tcPr>
          <w:p w14:paraId="5C2042F8"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noWrap/>
            <w:vAlign w:val="center"/>
            <w:hideMark/>
          </w:tcPr>
          <w:p w14:paraId="5CB60593"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noWrap/>
            <w:vAlign w:val="center"/>
            <w:hideMark/>
          </w:tcPr>
          <w:p w14:paraId="4E00BE4E"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noWrap/>
            <w:vAlign w:val="center"/>
            <w:hideMark/>
          </w:tcPr>
          <w:p w14:paraId="0D919161"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noWrap/>
            <w:vAlign w:val="center"/>
            <w:hideMark/>
          </w:tcPr>
          <w:p w14:paraId="2482DDF4"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noWrap/>
            <w:vAlign w:val="center"/>
            <w:hideMark/>
          </w:tcPr>
          <w:p w14:paraId="4B899775"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980" w:type="dxa"/>
            <w:tcBorders>
              <w:top w:val="nil"/>
              <w:left w:val="nil"/>
              <w:bottom w:val="single" w:sz="8" w:space="0" w:color="FFFFFF"/>
              <w:right w:val="nil"/>
            </w:tcBorders>
            <w:shd w:val="clear" w:color="000000" w:fill="B7DEE8"/>
            <w:noWrap/>
            <w:vAlign w:val="center"/>
            <w:hideMark/>
          </w:tcPr>
          <w:p w14:paraId="788437B8"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r>
      <w:tr w:rsidR="00F85821" w:rsidRPr="00535D03" w14:paraId="1D71F2C1" w14:textId="77777777" w:rsidTr="00DD6460">
        <w:trPr>
          <w:trHeight w:val="259"/>
        </w:trPr>
        <w:tc>
          <w:tcPr>
            <w:tcW w:w="180" w:type="dxa"/>
            <w:tcBorders>
              <w:top w:val="nil"/>
              <w:left w:val="nil"/>
              <w:bottom w:val="single" w:sz="8" w:space="0" w:color="FFFFFF"/>
              <w:right w:val="nil"/>
            </w:tcBorders>
            <w:shd w:val="clear" w:color="000000" w:fill="DAEEF3"/>
            <w:noWrap/>
            <w:vAlign w:val="center"/>
            <w:hideMark/>
          </w:tcPr>
          <w:p w14:paraId="44F9A93E"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2600" w:type="dxa"/>
            <w:tcBorders>
              <w:top w:val="nil"/>
              <w:left w:val="nil"/>
              <w:bottom w:val="single" w:sz="8" w:space="0" w:color="FFFFFF"/>
              <w:right w:val="nil"/>
            </w:tcBorders>
            <w:shd w:val="clear" w:color="000000" w:fill="DAEEF3"/>
            <w:vAlign w:val="center"/>
            <w:hideMark/>
          </w:tcPr>
          <w:p w14:paraId="38DE8EFC" w14:textId="77777777" w:rsidR="00F85821" w:rsidRPr="00535D03" w:rsidRDefault="00F85821" w:rsidP="00DD6460">
            <w:pPr>
              <w:spacing w:line="240" w:lineRule="auto"/>
              <w:rPr>
                <w:rFonts w:cs="Arial"/>
                <w:color w:val="000000"/>
                <w:sz w:val="16"/>
                <w:szCs w:val="16"/>
              </w:rPr>
            </w:pPr>
            <w:r w:rsidRPr="00535D03">
              <w:rPr>
                <w:rFonts w:cs="Arial"/>
                <w:color w:val="000000"/>
                <w:sz w:val="16"/>
                <w:szCs w:val="16"/>
              </w:rPr>
              <w:t>Průmysl (NACE B+C+D+E)</w:t>
            </w:r>
          </w:p>
        </w:tc>
        <w:tc>
          <w:tcPr>
            <w:tcW w:w="980" w:type="dxa"/>
            <w:tcBorders>
              <w:top w:val="nil"/>
              <w:left w:val="single" w:sz="12" w:space="0" w:color="FFFFFF"/>
              <w:bottom w:val="single" w:sz="8" w:space="0" w:color="FFFFFF"/>
              <w:right w:val="nil"/>
            </w:tcBorders>
            <w:shd w:val="clear" w:color="auto" w:fill="auto"/>
            <w:noWrap/>
            <w:vAlign w:val="center"/>
            <w:hideMark/>
          </w:tcPr>
          <w:p w14:paraId="4D201CC2"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55,4%</w:t>
            </w:r>
          </w:p>
        </w:tc>
        <w:tc>
          <w:tcPr>
            <w:tcW w:w="980" w:type="dxa"/>
            <w:tcBorders>
              <w:top w:val="nil"/>
              <w:left w:val="nil"/>
              <w:bottom w:val="single" w:sz="8" w:space="0" w:color="FFFFFF"/>
              <w:right w:val="nil"/>
            </w:tcBorders>
            <w:shd w:val="clear" w:color="auto" w:fill="auto"/>
            <w:noWrap/>
            <w:vAlign w:val="center"/>
            <w:hideMark/>
          </w:tcPr>
          <w:p w14:paraId="63FC15B1"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53,2%</w:t>
            </w:r>
          </w:p>
        </w:tc>
        <w:tc>
          <w:tcPr>
            <w:tcW w:w="980" w:type="dxa"/>
            <w:tcBorders>
              <w:top w:val="nil"/>
              <w:left w:val="nil"/>
              <w:bottom w:val="single" w:sz="8" w:space="0" w:color="FFFFFF"/>
              <w:right w:val="nil"/>
            </w:tcBorders>
            <w:shd w:val="clear" w:color="auto" w:fill="auto"/>
            <w:noWrap/>
            <w:vAlign w:val="center"/>
            <w:hideMark/>
          </w:tcPr>
          <w:p w14:paraId="58D9119F"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47,1%</w:t>
            </w:r>
          </w:p>
        </w:tc>
        <w:tc>
          <w:tcPr>
            <w:tcW w:w="980" w:type="dxa"/>
            <w:tcBorders>
              <w:top w:val="nil"/>
              <w:left w:val="nil"/>
              <w:bottom w:val="single" w:sz="8" w:space="0" w:color="FFFFFF"/>
              <w:right w:val="nil"/>
            </w:tcBorders>
            <w:shd w:val="clear" w:color="auto" w:fill="auto"/>
            <w:noWrap/>
            <w:vAlign w:val="center"/>
            <w:hideMark/>
          </w:tcPr>
          <w:p w14:paraId="1A85F74D"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46,0%</w:t>
            </w:r>
          </w:p>
        </w:tc>
        <w:tc>
          <w:tcPr>
            <w:tcW w:w="980" w:type="dxa"/>
            <w:tcBorders>
              <w:top w:val="nil"/>
              <w:left w:val="nil"/>
              <w:bottom w:val="single" w:sz="8" w:space="0" w:color="FFFFFF"/>
              <w:right w:val="nil"/>
            </w:tcBorders>
            <w:shd w:val="clear" w:color="auto" w:fill="auto"/>
            <w:noWrap/>
            <w:vAlign w:val="center"/>
            <w:hideMark/>
          </w:tcPr>
          <w:p w14:paraId="206D0616"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50,5%</w:t>
            </w:r>
          </w:p>
        </w:tc>
        <w:tc>
          <w:tcPr>
            <w:tcW w:w="980" w:type="dxa"/>
            <w:tcBorders>
              <w:top w:val="nil"/>
              <w:left w:val="nil"/>
              <w:bottom w:val="single" w:sz="8" w:space="0" w:color="FFFFFF"/>
              <w:right w:val="nil"/>
            </w:tcBorders>
            <w:shd w:val="clear" w:color="auto" w:fill="auto"/>
            <w:noWrap/>
            <w:vAlign w:val="center"/>
            <w:hideMark/>
          </w:tcPr>
          <w:p w14:paraId="118F4DEA"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49,4%</w:t>
            </w:r>
          </w:p>
        </w:tc>
        <w:tc>
          <w:tcPr>
            <w:tcW w:w="980" w:type="dxa"/>
            <w:tcBorders>
              <w:top w:val="nil"/>
              <w:left w:val="nil"/>
              <w:bottom w:val="single" w:sz="8" w:space="0" w:color="FFFFFF"/>
              <w:right w:val="nil"/>
            </w:tcBorders>
            <w:shd w:val="clear" w:color="auto" w:fill="auto"/>
            <w:noWrap/>
            <w:vAlign w:val="center"/>
            <w:hideMark/>
          </w:tcPr>
          <w:p w14:paraId="41ACCE45"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57,3%</w:t>
            </w:r>
          </w:p>
        </w:tc>
      </w:tr>
      <w:tr w:rsidR="00F85821" w:rsidRPr="00535D03" w14:paraId="68D6917E" w14:textId="77777777" w:rsidTr="00DD6460">
        <w:trPr>
          <w:trHeight w:val="259"/>
        </w:trPr>
        <w:tc>
          <w:tcPr>
            <w:tcW w:w="180" w:type="dxa"/>
            <w:tcBorders>
              <w:top w:val="nil"/>
              <w:left w:val="nil"/>
              <w:bottom w:val="single" w:sz="8" w:space="0" w:color="FFFFFF"/>
              <w:right w:val="nil"/>
            </w:tcBorders>
            <w:shd w:val="clear" w:color="000000" w:fill="DAEEF3"/>
            <w:noWrap/>
            <w:vAlign w:val="center"/>
            <w:hideMark/>
          </w:tcPr>
          <w:p w14:paraId="377A86BE" w14:textId="77777777" w:rsidR="00F85821" w:rsidRPr="00535D03" w:rsidRDefault="00F85821" w:rsidP="00DD6460">
            <w:pPr>
              <w:spacing w:line="240" w:lineRule="auto"/>
              <w:rPr>
                <w:rFonts w:cs="Arial"/>
                <w:b/>
                <w:bCs/>
                <w:color w:val="000000"/>
                <w:sz w:val="16"/>
                <w:szCs w:val="16"/>
              </w:rPr>
            </w:pPr>
            <w:r w:rsidRPr="00535D03">
              <w:rPr>
                <w:rFonts w:cs="Arial"/>
                <w:b/>
                <w:bCs/>
                <w:color w:val="000000"/>
                <w:sz w:val="16"/>
                <w:szCs w:val="16"/>
              </w:rPr>
              <w:t> </w:t>
            </w:r>
          </w:p>
        </w:tc>
        <w:tc>
          <w:tcPr>
            <w:tcW w:w="2600" w:type="dxa"/>
            <w:tcBorders>
              <w:top w:val="nil"/>
              <w:left w:val="nil"/>
              <w:bottom w:val="single" w:sz="8" w:space="0" w:color="FFFFFF"/>
              <w:right w:val="nil"/>
            </w:tcBorders>
            <w:shd w:val="clear" w:color="000000" w:fill="DAEEF3"/>
            <w:vAlign w:val="center"/>
            <w:hideMark/>
          </w:tcPr>
          <w:p w14:paraId="728FFC70" w14:textId="77777777" w:rsidR="00F85821" w:rsidRPr="00535D03" w:rsidRDefault="00F85821" w:rsidP="00DD6460">
            <w:pPr>
              <w:spacing w:line="240" w:lineRule="auto"/>
              <w:rPr>
                <w:rFonts w:cs="Arial"/>
                <w:color w:val="000000"/>
                <w:sz w:val="16"/>
                <w:szCs w:val="16"/>
              </w:rPr>
            </w:pPr>
            <w:r w:rsidRPr="00535D03">
              <w:rPr>
                <w:rFonts w:cs="Arial"/>
                <w:color w:val="000000"/>
                <w:sz w:val="16"/>
                <w:szCs w:val="16"/>
              </w:rPr>
              <w:t>Služby (NACE G46-H-J-K-M71-72-73)</w:t>
            </w:r>
          </w:p>
        </w:tc>
        <w:tc>
          <w:tcPr>
            <w:tcW w:w="980" w:type="dxa"/>
            <w:tcBorders>
              <w:top w:val="nil"/>
              <w:left w:val="single" w:sz="12" w:space="0" w:color="FFFFFF"/>
              <w:bottom w:val="single" w:sz="8" w:space="0" w:color="FFFFFF"/>
              <w:right w:val="nil"/>
            </w:tcBorders>
            <w:shd w:val="clear" w:color="000000" w:fill="DAEEF3"/>
            <w:noWrap/>
            <w:vAlign w:val="center"/>
            <w:hideMark/>
          </w:tcPr>
          <w:p w14:paraId="18D45797"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56,9%</w:t>
            </w:r>
          </w:p>
        </w:tc>
        <w:tc>
          <w:tcPr>
            <w:tcW w:w="980" w:type="dxa"/>
            <w:tcBorders>
              <w:top w:val="nil"/>
              <w:left w:val="nil"/>
              <w:bottom w:val="single" w:sz="8" w:space="0" w:color="FFFFFF"/>
              <w:right w:val="nil"/>
            </w:tcBorders>
            <w:shd w:val="clear" w:color="000000" w:fill="DAEEF3"/>
            <w:noWrap/>
            <w:vAlign w:val="center"/>
            <w:hideMark/>
          </w:tcPr>
          <w:p w14:paraId="2530FBEC"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49,4%</w:t>
            </w:r>
          </w:p>
        </w:tc>
        <w:tc>
          <w:tcPr>
            <w:tcW w:w="980" w:type="dxa"/>
            <w:tcBorders>
              <w:top w:val="nil"/>
              <w:left w:val="nil"/>
              <w:bottom w:val="single" w:sz="8" w:space="0" w:color="FFFFFF"/>
              <w:right w:val="nil"/>
            </w:tcBorders>
            <w:shd w:val="clear" w:color="000000" w:fill="DAEEF3"/>
            <w:noWrap/>
            <w:vAlign w:val="center"/>
            <w:hideMark/>
          </w:tcPr>
          <w:p w14:paraId="633D4BD2"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39,8%</w:t>
            </w:r>
          </w:p>
        </w:tc>
        <w:tc>
          <w:tcPr>
            <w:tcW w:w="980" w:type="dxa"/>
            <w:tcBorders>
              <w:top w:val="nil"/>
              <w:left w:val="nil"/>
              <w:bottom w:val="single" w:sz="8" w:space="0" w:color="FFFFFF"/>
              <w:right w:val="nil"/>
            </w:tcBorders>
            <w:shd w:val="clear" w:color="000000" w:fill="DAEEF3"/>
            <w:noWrap/>
            <w:vAlign w:val="center"/>
            <w:hideMark/>
          </w:tcPr>
          <w:p w14:paraId="4192B53E"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37,0%</w:t>
            </w:r>
          </w:p>
        </w:tc>
        <w:tc>
          <w:tcPr>
            <w:tcW w:w="980" w:type="dxa"/>
            <w:tcBorders>
              <w:top w:val="nil"/>
              <w:left w:val="nil"/>
              <w:bottom w:val="single" w:sz="8" w:space="0" w:color="FFFFFF"/>
              <w:right w:val="nil"/>
            </w:tcBorders>
            <w:shd w:val="clear" w:color="000000" w:fill="DAEEF3"/>
            <w:noWrap/>
            <w:vAlign w:val="center"/>
            <w:hideMark/>
          </w:tcPr>
          <w:p w14:paraId="343FF253"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41,1%</w:t>
            </w:r>
          </w:p>
        </w:tc>
        <w:tc>
          <w:tcPr>
            <w:tcW w:w="980" w:type="dxa"/>
            <w:tcBorders>
              <w:top w:val="nil"/>
              <w:left w:val="nil"/>
              <w:bottom w:val="single" w:sz="8" w:space="0" w:color="FFFFFF"/>
              <w:right w:val="nil"/>
            </w:tcBorders>
            <w:shd w:val="clear" w:color="000000" w:fill="DAEEF3"/>
            <w:noWrap/>
            <w:vAlign w:val="center"/>
            <w:hideMark/>
          </w:tcPr>
          <w:p w14:paraId="14403C16"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43,7%</w:t>
            </w:r>
          </w:p>
        </w:tc>
        <w:tc>
          <w:tcPr>
            <w:tcW w:w="980" w:type="dxa"/>
            <w:tcBorders>
              <w:top w:val="nil"/>
              <w:left w:val="nil"/>
              <w:bottom w:val="single" w:sz="8" w:space="0" w:color="FFFFFF"/>
              <w:right w:val="nil"/>
            </w:tcBorders>
            <w:shd w:val="clear" w:color="000000" w:fill="DAEEF3"/>
            <w:noWrap/>
            <w:vAlign w:val="center"/>
            <w:hideMark/>
          </w:tcPr>
          <w:p w14:paraId="7F4DDAF9" w14:textId="77777777" w:rsidR="00F85821" w:rsidRPr="00535D03" w:rsidRDefault="00F85821" w:rsidP="00DD6460">
            <w:pPr>
              <w:spacing w:line="240" w:lineRule="auto"/>
              <w:jc w:val="right"/>
              <w:rPr>
                <w:rFonts w:cs="Arial"/>
                <w:color w:val="000000"/>
                <w:sz w:val="16"/>
                <w:szCs w:val="16"/>
              </w:rPr>
            </w:pPr>
            <w:r w:rsidRPr="00535D03">
              <w:rPr>
                <w:rFonts w:cs="Arial"/>
                <w:color w:val="000000"/>
                <w:sz w:val="16"/>
                <w:szCs w:val="16"/>
              </w:rPr>
              <w:t>56,5%</w:t>
            </w:r>
          </w:p>
        </w:tc>
      </w:tr>
    </w:tbl>
    <w:p w14:paraId="0A98858A" w14:textId="77777777" w:rsidR="00F85821" w:rsidRPr="003F10C4" w:rsidRDefault="00F85821" w:rsidP="006331A6">
      <w:pPr>
        <w:spacing w:before="60" w:after="120" w:line="240" w:lineRule="auto"/>
        <w:jc w:val="both"/>
        <w:rPr>
          <w:rFonts w:cs="Arial"/>
          <w:i/>
          <w:iCs/>
          <w:sz w:val="18"/>
          <w:szCs w:val="18"/>
        </w:rPr>
      </w:pPr>
      <w:r>
        <w:rPr>
          <w:rFonts w:cs="Arial"/>
          <w:i/>
          <w:iCs/>
          <w:sz w:val="18"/>
          <w:szCs w:val="18"/>
        </w:rPr>
        <w:t xml:space="preserve">    </w:t>
      </w:r>
      <w:r w:rsidRPr="00F63E5F">
        <w:rPr>
          <w:rFonts w:cs="Arial"/>
          <w:i/>
          <w:iCs/>
          <w:sz w:val="16"/>
          <w:szCs w:val="18"/>
        </w:rPr>
        <w:t>POZN.: Podíly na celkovém počtu podniků.</w:t>
      </w:r>
    </w:p>
    <w:p w14:paraId="1847AECA" w14:textId="77777777" w:rsidR="007B7003" w:rsidRDefault="007E7595" w:rsidP="007E7595">
      <w:pPr>
        <w:spacing w:after="60"/>
        <w:jc w:val="both"/>
      </w:pPr>
      <w:r w:rsidRPr="000E10FB">
        <w:lastRenderedPageBreak/>
        <w:t>Z pohledu vlastnictví podniku inovují více podniky pod zahraniční kontrolou</w:t>
      </w:r>
      <w:r>
        <w:t xml:space="preserve"> (68,6 %) než domácí podniky (54,3</w:t>
      </w:r>
      <w:r w:rsidRPr="000E10FB">
        <w:t xml:space="preserve"> %). </w:t>
      </w:r>
      <w:r>
        <w:t xml:space="preserve">Tato skutečnost ve velké míře odráží odlišnou strukturu firem podle jejich velikosti, kde ve firmách pod zahraniční kontrolou, je vyšší podíl středních a především velkých firem, než u podniků domácích. </w:t>
      </w:r>
      <w:r w:rsidR="00E771F5" w:rsidRPr="00CE20DC">
        <w:t>Největší rozdíl nalez</w:t>
      </w:r>
      <w:r w:rsidR="009A78B4" w:rsidRPr="00CE20DC">
        <w:t xml:space="preserve">neme u </w:t>
      </w:r>
      <w:r w:rsidR="00637413" w:rsidRPr="00CE20DC">
        <w:t>středních</w:t>
      </w:r>
      <w:r w:rsidR="009A78B4" w:rsidRPr="00CE20DC">
        <w:t xml:space="preserve"> podniků, kde je mezi </w:t>
      </w:r>
      <w:r w:rsidR="00057D73" w:rsidRPr="00CE20DC">
        <w:t>domácí</w:t>
      </w:r>
      <w:r w:rsidR="00E771F5" w:rsidRPr="00CE20DC">
        <w:t>mi</w:t>
      </w:r>
      <w:r w:rsidR="00057D73" w:rsidRPr="00CE20DC">
        <w:t xml:space="preserve"> podniky </w:t>
      </w:r>
      <w:r w:rsidR="005C5CCE">
        <w:t>o téměř 10 procentních bodů</w:t>
      </w:r>
      <w:r w:rsidR="002557E9" w:rsidRPr="00CE20DC">
        <w:t xml:space="preserve"> </w:t>
      </w:r>
      <w:r w:rsidR="00D33BC7" w:rsidRPr="00CE20DC">
        <w:t xml:space="preserve">méně </w:t>
      </w:r>
      <w:r w:rsidR="00E771F5" w:rsidRPr="00CE20DC">
        <w:t xml:space="preserve">inovujících podniků </w:t>
      </w:r>
      <w:r w:rsidR="00D33BC7" w:rsidRPr="00CE20DC">
        <w:t xml:space="preserve">než </w:t>
      </w:r>
      <w:r w:rsidR="00E771F5" w:rsidRPr="00CE20DC">
        <w:t xml:space="preserve">v podnicích </w:t>
      </w:r>
      <w:r w:rsidR="00D33BC7" w:rsidRPr="00CE20DC">
        <w:t>pod</w:t>
      </w:r>
      <w:r w:rsidR="00286B25" w:rsidRPr="00CE20DC">
        <w:t xml:space="preserve"> zahraniční kontrolou</w:t>
      </w:r>
      <w:r w:rsidR="00E771F5" w:rsidRPr="00CE20DC">
        <w:t>.</w:t>
      </w:r>
      <w:r w:rsidR="00D33BC7" w:rsidRPr="00CE20DC">
        <w:t xml:space="preserve"> U </w:t>
      </w:r>
      <w:r w:rsidR="00637413" w:rsidRPr="00CE20DC">
        <w:t>malých</w:t>
      </w:r>
      <w:r w:rsidR="00D33BC7" w:rsidRPr="00CE20DC">
        <w:t xml:space="preserve"> podniků činil rozdíl </w:t>
      </w:r>
      <w:r w:rsidR="00637413" w:rsidRPr="00CE20DC">
        <w:t>7</w:t>
      </w:r>
      <w:r w:rsidR="00E2070C" w:rsidRPr="00CE20DC">
        <w:t xml:space="preserve"> </w:t>
      </w:r>
      <w:r w:rsidR="00D33BC7" w:rsidRPr="00CE20DC">
        <w:t>procentní</w:t>
      </w:r>
      <w:r w:rsidR="00637413" w:rsidRPr="00CE20DC">
        <w:t>ch</w:t>
      </w:r>
      <w:r w:rsidR="00D33BC7" w:rsidRPr="00CE20DC">
        <w:t xml:space="preserve"> bod</w:t>
      </w:r>
      <w:r w:rsidR="00637413" w:rsidRPr="00CE20DC">
        <w:t>ů</w:t>
      </w:r>
      <w:r w:rsidR="00D33BC7" w:rsidRPr="00CE20DC">
        <w:t xml:space="preserve"> v neprospěch domácích podniků. </w:t>
      </w:r>
      <w:r w:rsidR="00637413" w:rsidRPr="00CE20DC">
        <w:t>D</w:t>
      </w:r>
      <w:r w:rsidR="00D33BC7" w:rsidRPr="00CE20DC">
        <w:t>omácí velké podniky</w:t>
      </w:r>
      <w:r w:rsidR="00505549" w:rsidRPr="00CE20DC">
        <w:t xml:space="preserve"> </w:t>
      </w:r>
      <w:r w:rsidR="00D33BC7" w:rsidRPr="00CE20DC">
        <w:t xml:space="preserve">inovovaly v uvedeném období </w:t>
      </w:r>
      <w:r w:rsidR="00637413" w:rsidRPr="00CE20DC">
        <w:t>téměř stejně jako</w:t>
      </w:r>
      <w:r w:rsidR="00D33BC7" w:rsidRPr="00CE20DC">
        <w:t xml:space="preserve"> ty pod zahraniční kontrolou.</w:t>
      </w:r>
      <w:r w:rsidR="00D33BC7">
        <w:t xml:space="preserve"> </w:t>
      </w:r>
    </w:p>
    <w:p w14:paraId="110942F1" w14:textId="77777777" w:rsidR="008C0A97" w:rsidRDefault="009A333C" w:rsidP="00A34719">
      <w:pPr>
        <w:spacing w:before="120" w:after="60"/>
        <w:ind w:left="709" w:hanging="709"/>
        <w:rPr>
          <w:b/>
          <w:sz w:val="18"/>
        </w:rPr>
      </w:pPr>
      <w:r>
        <w:rPr>
          <w:b/>
          <w:sz w:val="18"/>
        </w:rPr>
        <w:t>GRAF 8</w:t>
      </w:r>
      <w:r w:rsidR="004121C6">
        <w:rPr>
          <w:b/>
          <w:sz w:val="18"/>
        </w:rPr>
        <w:t xml:space="preserve"> </w:t>
      </w:r>
      <w:r w:rsidR="007B7003" w:rsidRPr="003C2A63">
        <w:rPr>
          <w:b/>
          <w:sz w:val="18"/>
        </w:rPr>
        <w:t xml:space="preserve">Podíl </w:t>
      </w:r>
      <w:r w:rsidR="00230A72" w:rsidRPr="003C2A63">
        <w:rPr>
          <w:b/>
          <w:sz w:val="18"/>
        </w:rPr>
        <w:t xml:space="preserve">inovujících podniků na </w:t>
      </w:r>
      <w:r w:rsidR="002D2D6D" w:rsidRPr="003C2A63">
        <w:rPr>
          <w:b/>
          <w:sz w:val="18"/>
        </w:rPr>
        <w:t xml:space="preserve">celkovém </w:t>
      </w:r>
      <w:r w:rsidR="007B7003" w:rsidRPr="003C2A63">
        <w:rPr>
          <w:b/>
          <w:sz w:val="18"/>
        </w:rPr>
        <w:t>počtu podniků</w:t>
      </w:r>
      <w:r w:rsidR="00230A72" w:rsidRPr="003C2A63">
        <w:rPr>
          <w:b/>
          <w:sz w:val="18"/>
        </w:rPr>
        <w:t xml:space="preserve"> v </w:t>
      </w:r>
      <w:r w:rsidR="00120443" w:rsidRPr="003C2A63">
        <w:rPr>
          <w:b/>
          <w:sz w:val="18"/>
        </w:rPr>
        <w:t>dané</w:t>
      </w:r>
      <w:r w:rsidR="00230A72" w:rsidRPr="003C2A63">
        <w:rPr>
          <w:b/>
          <w:sz w:val="18"/>
        </w:rPr>
        <w:t xml:space="preserve"> </w:t>
      </w:r>
      <w:r w:rsidR="00120443" w:rsidRPr="003C2A63">
        <w:rPr>
          <w:b/>
          <w:sz w:val="18"/>
        </w:rPr>
        <w:t>skupině</w:t>
      </w:r>
      <w:r w:rsidR="007B7003" w:rsidRPr="003C2A63">
        <w:rPr>
          <w:b/>
          <w:sz w:val="18"/>
        </w:rPr>
        <w:t xml:space="preserve"> podle </w:t>
      </w:r>
      <w:r w:rsidR="004D6A27" w:rsidRPr="003C2A63">
        <w:rPr>
          <w:b/>
          <w:sz w:val="18"/>
        </w:rPr>
        <w:t>velikosti a</w:t>
      </w:r>
      <w:r w:rsidR="00312A86" w:rsidRPr="003C2A63">
        <w:rPr>
          <w:b/>
          <w:sz w:val="18"/>
        </w:rPr>
        <w:t xml:space="preserve"> </w:t>
      </w:r>
      <w:r w:rsidR="007B7003" w:rsidRPr="003C2A63">
        <w:rPr>
          <w:b/>
          <w:sz w:val="18"/>
        </w:rPr>
        <w:t>vlastnictví podniku</w:t>
      </w:r>
      <w:r w:rsidR="00D33BC7" w:rsidRPr="003C2A63">
        <w:rPr>
          <w:b/>
          <w:sz w:val="18"/>
        </w:rPr>
        <w:t xml:space="preserve">; </w:t>
      </w:r>
      <w:r w:rsidR="00F44551">
        <w:rPr>
          <w:b/>
          <w:sz w:val="18"/>
        </w:rPr>
        <w:t>2016–2018 a 2018–2020</w:t>
      </w:r>
    </w:p>
    <w:p w14:paraId="2B59DCF0" w14:textId="77777777" w:rsidR="00AD425B" w:rsidRDefault="00511145" w:rsidP="00AD425B">
      <w:r>
        <w:rPr>
          <w:noProof/>
        </w:rPr>
        <w:drawing>
          <wp:inline distT="0" distB="0" distL="0" distR="0" wp14:anchorId="3ADEF796" wp14:editId="16CD0751">
            <wp:extent cx="6120000" cy="2590680"/>
            <wp:effectExtent l="0" t="0" r="14605" b="635"/>
            <wp:docPr id="1" name="Graf 1">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7D9E4F" w14:textId="77777777" w:rsidR="00B2746E" w:rsidRPr="00B2746E" w:rsidRDefault="00B2746E" w:rsidP="00B2746E">
      <w:pPr>
        <w:spacing w:before="60" w:after="60"/>
        <w:jc w:val="right"/>
        <w:rPr>
          <w:i/>
          <w:sz w:val="18"/>
        </w:rPr>
      </w:pPr>
      <w:r w:rsidRPr="00B2746E">
        <w:rPr>
          <w:i/>
          <w:sz w:val="18"/>
        </w:rPr>
        <w:t>Zdroj: ČSÚ, Šetření o inovačních aktivitách podniků</w:t>
      </w:r>
    </w:p>
    <w:p w14:paraId="3B2EFC3D" w14:textId="5BEB6C2B" w:rsidR="00DA3BF0" w:rsidRDefault="00180EBF" w:rsidP="004A794B">
      <w:pPr>
        <w:spacing w:before="120" w:after="120"/>
        <w:jc w:val="both"/>
      </w:pPr>
      <w:r>
        <w:t xml:space="preserve">V průmyslu v letech 2018 až 2020 </w:t>
      </w:r>
      <w:r w:rsidR="00024E3F">
        <w:t>inovovalo 57</w:t>
      </w:r>
      <w:r w:rsidR="00E4771F">
        <w:t>,3</w:t>
      </w:r>
      <w:r w:rsidR="00024E3F">
        <w:t> %</w:t>
      </w:r>
      <w:r>
        <w:t xml:space="preserve"> podniků</w:t>
      </w:r>
      <w:r w:rsidR="00024E3F">
        <w:t xml:space="preserve"> a konkrétně </w:t>
      </w:r>
      <w:r>
        <w:rPr>
          <w:b/>
        </w:rPr>
        <w:t xml:space="preserve">ve </w:t>
      </w:r>
      <w:r w:rsidRPr="00A54A05">
        <w:rPr>
          <w:b/>
        </w:rPr>
        <w:t>zpracovatelském průmyslu dosá</w:t>
      </w:r>
      <w:r>
        <w:rPr>
          <w:b/>
        </w:rPr>
        <w:t>hl podíl inovujících podniků 58,3 </w:t>
      </w:r>
      <w:r w:rsidRPr="00A54A05">
        <w:rPr>
          <w:b/>
        </w:rPr>
        <w:t>%</w:t>
      </w:r>
      <w:r>
        <w:t>. V odvětvích služeb inovovalo 5</w:t>
      </w:r>
      <w:r w:rsidR="00E4771F">
        <w:t>6,5</w:t>
      </w:r>
      <w:r>
        <w:t xml:space="preserve"> % podniků, tedy téměř shodně jako v průmyslu, nejvíce pak v odvětvové sekci </w:t>
      </w:r>
      <w:r w:rsidRPr="00BE7F40">
        <w:t>Informační</w:t>
      </w:r>
      <w:r>
        <w:t>ch</w:t>
      </w:r>
      <w:r w:rsidRPr="00BE7F40">
        <w:t xml:space="preserve"> a komunikační</w:t>
      </w:r>
      <w:r>
        <w:t>ch činností (77,2 %). V odvětví Vědeckých a technických činností se inovacím věnovalo 61,3 %</w:t>
      </w:r>
      <w:r w:rsidR="00513D91">
        <w:t xml:space="preserve"> a o</w:t>
      </w:r>
      <w:r>
        <w:t>proti předchozímu období vzrostl podíl inovujících podniků v této sekci o pětinu. Naopak nejméně inovují podniky v dopravě a skladování (34 %).</w:t>
      </w:r>
    </w:p>
    <w:p w14:paraId="148F8B33" w14:textId="77777777" w:rsidR="007B7003" w:rsidRPr="003C2A63" w:rsidRDefault="009A333C" w:rsidP="00450AA9">
      <w:pPr>
        <w:spacing w:after="60"/>
        <w:rPr>
          <w:b/>
          <w:sz w:val="18"/>
        </w:rPr>
      </w:pPr>
      <w:r>
        <w:rPr>
          <w:b/>
          <w:sz w:val="18"/>
        </w:rPr>
        <w:t>GRAF 9</w:t>
      </w:r>
      <w:r w:rsidR="008C0A97">
        <w:rPr>
          <w:b/>
          <w:sz w:val="18"/>
        </w:rPr>
        <w:t xml:space="preserve"> </w:t>
      </w:r>
      <w:r w:rsidR="007B7003" w:rsidRPr="003C2A63">
        <w:rPr>
          <w:b/>
          <w:sz w:val="18"/>
        </w:rPr>
        <w:t xml:space="preserve">Podíl </w:t>
      </w:r>
      <w:r w:rsidR="00D60199" w:rsidRPr="003C2A63">
        <w:rPr>
          <w:b/>
          <w:sz w:val="18"/>
        </w:rPr>
        <w:t>inovujících podniků</w:t>
      </w:r>
      <w:r w:rsidR="00A32F7F" w:rsidRPr="003C2A63">
        <w:rPr>
          <w:b/>
          <w:sz w:val="18"/>
        </w:rPr>
        <w:t xml:space="preserve"> </w:t>
      </w:r>
      <w:r w:rsidR="00B00E5C" w:rsidRPr="003C2A63">
        <w:rPr>
          <w:b/>
          <w:sz w:val="18"/>
        </w:rPr>
        <w:t>ve vybraných</w:t>
      </w:r>
      <w:r w:rsidR="007B7003" w:rsidRPr="003C2A63">
        <w:rPr>
          <w:b/>
          <w:sz w:val="18"/>
        </w:rPr>
        <w:t xml:space="preserve"> odvětvích CZ-NACE</w:t>
      </w:r>
      <w:r w:rsidR="00B96887" w:rsidRPr="003C2A63">
        <w:rPr>
          <w:b/>
          <w:sz w:val="18"/>
        </w:rPr>
        <w:t xml:space="preserve">; </w:t>
      </w:r>
      <w:r w:rsidR="00CE20DC">
        <w:rPr>
          <w:b/>
          <w:sz w:val="18"/>
        </w:rPr>
        <w:t>2016–2018 a 2018–2020</w:t>
      </w:r>
    </w:p>
    <w:p w14:paraId="61DBF19A" w14:textId="77777777" w:rsidR="007B7003" w:rsidRPr="0027262F" w:rsidRDefault="00EE3E17" w:rsidP="007B7003">
      <w:pPr>
        <w:rPr>
          <w:rFonts w:ascii="Calibri" w:hAnsi="Calibri"/>
        </w:rPr>
      </w:pPr>
      <w:r>
        <w:rPr>
          <w:noProof/>
        </w:rPr>
        <w:drawing>
          <wp:inline distT="0" distB="0" distL="0" distR="0" wp14:anchorId="529E6F63" wp14:editId="23241550">
            <wp:extent cx="6120000" cy="2556000"/>
            <wp:effectExtent l="0" t="0" r="14605" b="15875"/>
            <wp:docPr id="14" name="Graf 14">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D08520" w14:textId="77777777" w:rsidR="007B7003" w:rsidRDefault="007F16B1" w:rsidP="00D345A8">
      <w:pPr>
        <w:spacing w:before="60" w:after="120"/>
        <w:rPr>
          <w:rFonts w:cs="Arial"/>
          <w:i/>
          <w:sz w:val="18"/>
        </w:rPr>
      </w:pPr>
      <w:r w:rsidRPr="00D768AA">
        <w:rPr>
          <w:rFonts w:cs="Arial"/>
          <w:i/>
          <w:sz w:val="18"/>
        </w:rPr>
        <w:t>POZN.:</w:t>
      </w:r>
      <w:r w:rsidR="005A3EA6" w:rsidRPr="00D768AA">
        <w:rPr>
          <w:rFonts w:cs="Arial"/>
          <w:i/>
          <w:sz w:val="18"/>
        </w:rPr>
        <w:t xml:space="preserve"> </w:t>
      </w:r>
      <w:r w:rsidR="00210640" w:rsidRPr="00D768AA">
        <w:rPr>
          <w:rFonts w:cs="Arial"/>
          <w:i/>
          <w:sz w:val="18"/>
        </w:rPr>
        <w:t xml:space="preserve">Kompletní přehled všech sledovaných sekcí </w:t>
      </w:r>
      <w:r w:rsidR="002E56EA" w:rsidRPr="00D768AA">
        <w:rPr>
          <w:rFonts w:cs="Arial"/>
          <w:i/>
          <w:sz w:val="18"/>
        </w:rPr>
        <w:t>viz tabulka</w:t>
      </w:r>
      <w:r w:rsidR="00210640" w:rsidRPr="00D768AA">
        <w:rPr>
          <w:rFonts w:cs="Arial"/>
          <w:i/>
          <w:sz w:val="18"/>
        </w:rPr>
        <w:t xml:space="preserve"> </w:t>
      </w:r>
      <w:r w:rsidR="00C2411E">
        <w:rPr>
          <w:rFonts w:cs="Arial"/>
          <w:i/>
          <w:sz w:val="18"/>
        </w:rPr>
        <w:t>20</w:t>
      </w:r>
      <w:r w:rsidR="002E56EA" w:rsidRPr="00D768AA">
        <w:rPr>
          <w:rFonts w:cs="Arial"/>
          <w:i/>
          <w:sz w:val="18"/>
        </w:rPr>
        <w:t>A</w:t>
      </w:r>
      <w:r w:rsidR="007277D9">
        <w:rPr>
          <w:rFonts w:cs="Arial"/>
          <w:i/>
          <w:sz w:val="18"/>
        </w:rPr>
        <w:t xml:space="preserve"> v</w:t>
      </w:r>
      <w:r w:rsidR="00E4626C">
        <w:rPr>
          <w:rFonts w:cs="Arial"/>
          <w:i/>
          <w:sz w:val="18"/>
        </w:rPr>
        <w:t xml:space="preserve"> tabulkové přílo</w:t>
      </w:r>
      <w:r w:rsidR="007277D9">
        <w:rPr>
          <w:rFonts w:cs="Arial"/>
          <w:i/>
          <w:sz w:val="18"/>
        </w:rPr>
        <w:t>ze</w:t>
      </w:r>
      <w:r w:rsidR="00210640" w:rsidRPr="00D768AA">
        <w:rPr>
          <w:rFonts w:cs="Arial"/>
          <w:i/>
          <w:sz w:val="18"/>
        </w:rPr>
        <w:t xml:space="preserve">. </w:t>
      </w:r>
    </w:p>
    <w:p w14:paraId="538FF0D8" w14:textId="77777777" w:rsidR="00B2746E" w:rsidRPr="00B2746E" w:rsidRDefault="00B2746E" w:rsidP="00B2746E">
      <w:pPr>
        <w:spacing w:before="60" w:after="60"/>
        <w:jc w:val="right"/>
        <w:rPr>
          <w:i/>
          <w:sz w:val="18"/>
        </w:rPr>
      </w:pPr>
      <w:r w:rsidRPr="00B2746E">
        <w:rPr>
          <w:i/>
          <w:sz w:val="18"/>
        </w:rPr>
        <w:t>Zdroj: ČSÚ, Šetření o inovačních aktivitách podniků</w:t>
      </w:r>
    </w:p>
    <w:p w14:paraId="54176E9A" w14:textId="77777777" w:rsidR="00DA3BF0" w:rsidRDefault="007B7003" w:rsidP="002A42C2">
      <w:pPr>
        <w:spacing w:before="120" w:after="60"/>
        <w:jc w:val="both"/>
      </w:pPr>
      <w:r w:rsidRPr="00D6280A">
        <w:lastRenderedPageBreak/>
        <w:t>Z celkového počtu šetřených</w:t>
      </w:r>
      <w:r w:rsidRPr="00B00E5C">
        <w:t xml:space="preserve"> podniků </w:t>
      </w:r>
      <w:r w:rsidR="00DA3BF0">
        <w:t xml:space="preserve">polovina připadala na podniky s převažující ekonomickou činností spadající </w:t>
      </w:r>
      <w:r w:rsidR="008C5CFE">
        <w:t>do sekce Z</w:t>
      </w:r>
      <w:r w:rsidRPr="00B00E5C">
        <w:t>pracovatelského průmyslu</w:t>
      </w:r>
      <w:r w:rsidR="004434D1">
        <w:t>.</w:t>
      </w:r>
      <w:r w:rsidRPr="00B00E5C">
        <w:t xml:space="preserve"> </w:t>
      </w:r>
      <w:r w:rsidR="00DA3BF0" w:rsidRPr="00DA3BF0">
        <w:t>V</w:t>
      </w:r>
      <w:r w:rsidR="00DA3BF0">
        <w:t xml:space="preserve"> této odvětvové sekci </w:t>
      </w:r>
      <w:r w:rsidR="00DA3BF0" w:rsidRPr="00DA3BF0">
        <w:t>dos</w:t>
      </w:r>
      <w:r w:rsidR="00921D4A">
        <w:t>áhl podíl inovujících podniků 58,3</w:t>
      </w:r>
      <w:r w:rsidR="00725B4E">
        <w:t> </w:t>
      </w:r>
      <w:r w:rsidR="00DA3BF0" w:rsidRPr="00DA3BF0">
        <w:t xml:space="preserve">%. </w:t>
      </w:r>
      <w:r w:rsidR="00DA3BF0">
        <w:t>V předchozím období ve zpracovatelském průmyslu inovo</w:t>
      </w:r>
      <w:r w:rsidR="00921D4A">
        <w:t>valo 50,9</w:t>
      </w:r>
      <w:r w:rsidR="00725B4E">
        <w:t> % podniků.</w:t>
      </w:r>
    </w:p>
    <w:p w14:paraId="21FAE583" w14:textId="77777777" w:rsidR="00DD12D8" w:rsidRPr="00D92C97" w:rsidRDefault="00DD12D8" w:rsidP="00DD12D8">
      <w:pPr>
        <w:spacing w:before="60" w:after="60"/>
        <w:jc w:val="both"/>
      </w:pPr>
      <w:r>
        <w:t xml:space="preserve">Ve zpracovatelském průmyslu </w:t>
      </w:r>
      <w:r w:rsidRPr="00D92C97">
        <w:t>se</w:t>
      </w:r>
      <w:r w:rsidR="00100EBD">
        <w:t xml:space="preserve"> inovačním činnostem věnovalo 87,7</w:t>
      </w:r>
      <w:r>
        <w:t> % velkých pod</w:t>
      </w:r>
      <w:r w:rsidR="00100EBD">
        <w:t>niků. Ve srovnání s obdobím 2016–2018</w:t>
      </w:r>
      <w:r>
        <w:t xml:space="preserve"> do</w:t>
      </w:r>
      <w:r w:rsidR="00100EBD">
        <w:t>šlo v této skupině ke zvýšení inovačního úsilí téměř o 10 procentních bodů</w:t>
      </w:r>
      <w:r>
        <w:t xml:space="preserve">. </w:t>
      </w:r>
      <w:r w:rsidRPr="00D92C97">
        <w:t>S klesající veli</w:t>
      </w:r>
      <w:r>
        <w:t>kostí podniku klesá i podíl podniků</w:t>
      </w:r>
      <w:r w:rsidRPr="00D92C97">
        <w:t xml:space="preserve">, které </w:t>
      </w:r>
      <w:r w:rsidR="00725B4E">
        <w:t xml:space="preserve">v dané velikostní skupině </w:t>
      </w:r>
      <w:r w:rsidRPr="00D92C97">
        <w:t>inovovaly.</w:t>
      </w:r>
    </w:p>
    <w:p w14:paraId="314384B8" w14:textId="1EA8698A" w:rsidR="00DD12D8" w:rsidRDefault="00DD12D8" w:rsidP="00DD12D8">
      <w:pPr>
        <w:spacing w:after="60"/>
        <w:jc w:val="both"/>
      </w:pPr>
      <w:r w:rsidRPr="00D92C97">
        <w:t>Rozdíl mezi inovačním úsilím podnik</w:t>
      </w:r>
      <w:r>
        <w:t xml:space="preserve">ů pod zahraniční kontrolou a domácích podniků </w:t>
      </w:r>
      <w:r w:rsidRPr="00D92C97">
        <w:t>je v případě zpracovatelského prům</w:t>
      </w:r>
      <w:r w:rsidR="00813514">
        <w:t>yslu vyšší</w:t>
      </w:r>
      <w:r>
        <w:t xml:space="preserve"> než v případě všech sledovaných podniků v Česku</w:t>
      </w:r>
      <w:r w:rsidRPr="00D92C97">
        <w:t>.</w:t>
      </w:r>
      <w:r>
        <w:t xml:space="preserve"> V případě podniků pod zahraniční </w:t>
      </w:r>
      <w:r w:rsidR="00813514">
        <w:t xml:space="preserve">kontrolou v období 2018–2020 inovovalo více </w:t>
      </w:r>
      <w:r w:rsidR="005174CA">
        <w:t xml:space="preserve">než </w:t>
      </w:r>
      <w:r w:rsidR="00813514">
        <w:t>sedm</w:t>
      </w:r>
      <w:r>
        <w:t xml:space="preserve"> z deseti firem ve zpracovat</w:t>
      </w:r>
      <w:r w:rsidR="00813514">
        <w:t>elském průmyslu, tj. o 18</w:t>
      </w:r>
      <w:r>
        <w:t xml:space="preserve"> procentních bodů více než v případě podniků domácích. </w:t>
      </w:r>
    </w:p>
    <w:p w14:paraId="06474E2E" w14:textId="77777777" w:rsidR="00D345A8" w:rsidRPr="003C2A63" w:rsidRDefault="00813514" w:rsidP="004434D1">
      <w:pPr>
        <w:spacing w:before="120" w:after="60"/>
        <w:ind w:left="1134" w:hanging="1134"/>
        <w:rPr>
          <w:b/>
          <w:sz w:val="18"/>
        </w:rPr>
      </w:pPr>
      <w:r>
        <w:rPr>
          <w:b/>
          <w:sz w:val="18"/>
        </w:rPr>
        <w:t>GRAF 10</w:t>
      </w:r>
      <w:r w:rsidR="00D345A8" w:rsidRPr="003C2A63">
        <w:rPr>
          <w:b/>
          <w:sz w:val="18"/>
        </w:rPr>
        <w:t xml:space="preserve"> Podíl inovujících podniků v odvětvích zpracovatelského</w:t>
      </w:r>
      <w:r>
        <w:rPr>
          <w:b/>
          <w:sz w:val="18"/>
        </w:rPr>
        <w:t xml:space="preserve"> průmyslu; 2016–2018 a 2018–2020</w:t>
      </w:r>
    </w:p>
    <w:p w14:paraId="788EEB30" w14:textId="77777777" w:rsidR="00D345A8" w:rsidRDefault="00A73763" w:rsidP="00D345A8">
      <w:pPr>
        <w:ind w:left="851" w:hanging="851"/>
        <w:rPr>
          <w:b/>
        </w:rPr>
      </w:pPr>
      <w:r>
        <w:rPr>
          <w:noProof/>
        </w:rPr>
        <w:drawing>
          <wp:inline distT="0" distB="0" distL="0" distR="0" wp14:anchorId="3A526A91" wp14:editId="06CF019D">
            <wp:extent cx="6120000" cy="3996000"/>
            <wp:effectExtent l="0" t="0" r="14605" b="5080"/>
            <wp:docPr id="12" name="Graf 12">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E17E49" w14:textId="77777777" w:rsidR="0055711D" w:rsidRPr="00B2746E" w:rsidRDefault="0055711D" w:rsidP="0055711D">
      <w:pPr>
        <w:spacing w:before="60" w:after="60"/>
        <w:jc w:val="right"/>
        <w:rPr>
          <w:i/>
          <w:sz w:val="18"/>
        </w:rPr>
      </w:pPr>
      <w:r w:rsidRPr="00B2746E">
        <w:rPr>
          <w:i/>
          <w:sz w:val="18"/>
        </w:rPr>
        <w:t>Zdroj: ČSÚ, Šetření o inovačních aktivitách podniků</w:t>
      </w:r>
    </w:p>
    <w:p w14:paraId="6EB67515" w14:textId="07C65648" w:rsidR="00F1216F" w:rsidRDefault="00142C3A" w:rsidP="0055711D">
      <w:pPr>
        <w:spacing w:before="120" w:after="60"/>
        <w:jc w:val="both"/>
      </w:pPr>
      <w:r>
        <w:t xml:space="preserve">Ve zpracovatelském průmyslu </w:t>
      </w:r>
      <w:r w:rsidR="007C5644">
        <w:t>byl v období 2018–2020</w:t>
      </w:r>
      <w:r w:rsidR="00020F0B">
        <w:t xml:space="preserve"> nejvyšší podíl inovativních firem </w:t>
      </w:r>
      <w:r w:rsidR="007C5644">
        <w:t>v petrochemickém a chemickém průmyslu</w:t>
      </w:r>
      <w:r w:rsidR="00020F0B">
        <w:t xml:space="preserve">, </w:t>
      </w:r>
      <w:r>
        <w:t xml:space="preserve">kde inovovalo </w:t>
      </w:r>
      <w:r w:rsidR="00397543">
        <w:t>77,9</w:t>
      </w:r>
      <w:r w:rsidR="007B7003" w:rsidRPr="00D92C97">
        <w:t> % podniků.</w:t>
      </w:r>
      <w:r w:rsidR="00020F0B">
        <w:t> Následovaly podniky v</w:t>
      </w:r>
      <w:r w:rsidR="00F1216F">
        <w:t> </w:t>
      </w:r>
      <w:r w:rsidR="007C5644">
        <w:t>elektronickém</w:t>
      </w:r>
      <w:r w:rsidR="00C06C03">
        <w:t xml:space="preserve"> průmyslu, kde </w:t>
      </w:r>
      <w:r w:rsidR="008860EA">
        <w:t>7</w:t>
      </w:r>
      <w:r w:rsidR="00397543">
        <w:t>6</w:t>
      </w:r>
      <w:r w:rsidR="008860EA">
        <w:t> %</w:t>
      </w:r>
      <w:r w:rsidR="00C06C03">
        <w:t xml:space="preserve"> z nich uvedlo, že</w:t>
      </w:r>
      <w:r w:rsidR="00B0416F">
        <w:t xml:space="preserve"> v tomto období zavedly </w:t>
      </w:r>
      <w:r w:rsidR="00020F0B">
        <w:t xml:space="preserve">inovaci. </w:t>
      </w:r>
      <w:r w:rsidR="00F1216F">
        <w:t>Výrazně nad průměrem zpra</w:t>
      </w:r>
      <w:r w:rsidR="007C5644">
        <w:t xml:space="preserve">covatelského průmyslu si stojí i farmaceutický průmysl, </w:t>
      </w:r>
      <w:r w:rsidR="005174CA">
        <w:t xml:space="preserve">ve kterém </w:t>
      </w:r>
      <w:r w:rsidR="007C5644">
        <w:t>inovovalo 7</w:t>
      </w:r>
      <w:r w:rsidR="00397543">
        <w:t>2,6</w:t>
      </w:r>
      <w:r w:rsidR="00F1216F">
        <w:t> % firem. Mezi poslední</w:t>
      </w:r>
      <w:r w:rsidR="0082700D">
        <w:t xml:space="preserve">mi dvěma sledovanými obdobími </w:t>
      </w:r>
      <w:r w:rsidR="00F1216F">
        <w:t>byly zaznamenány vý</w:t>
      </w:r>
      <w:r w:rsidR="0017583E">
        <w:t xml:space="preserve">znamné </w:t>
      </w:r>
      <w:r w:rsidR="00F1216F">
        <w:t xml:space="preserve">rozdíly v podílu inovativních firem v jednotlivých odvětvích zpracovatelského průmyslu. </w:t>
      </w:r>
      <w:r w:rsidR="0082700D">
        <w:t>Kromě farmaceutického a strojírenského průmyslu došlo</w:t>
      </w:r>
      <w:r w:rsidR="00EB2AB5">
        <w:t>, u všech ostatních odvětví zpracovatelského průmyslu,</w:t>
      </w:r>
      <w:r w:rsidR="0082700D">
        <w:t xml:space="preserve"> oproti minulému období</w:t>
      </w:r>
      <w:r w:rsidR="005174CA">
        <w:t>,</w:t>
      </w:r>
      <w:r w:rsidR="0082700D">
        <w:t xml:space="preserve"> ke zvýšení inovačního úsilí podniků. Nejvíce narostl podíl inovujících podniků v e</w:t>
      </w:r>
      <w:r w:rsidR="00B0416F">
        <w:t xml:space="preserve">lektrotechnickém </w:t>
      </w:r>
      <w:r w:rsidR="00397543">
        <w:t>průmyslu, ze 49,9</w:t>
      </w:r>
      <w:r w:rsidR="00B0416F">
        <w:t> </w:t>
      </w:r>
      <w:r w:rsidR="0082700D">
        <w:t xml:space="preserve">% na 66,1 %. </w:t>
      </w:r>
      <w:r w:rsidR="00B0416F">
        <w:t xml:space="preserve">Ve všech </w:t>
      </w:r>
      <w:r w:rsidR="00BE0A1A">
        <w:t>odvět</w:t>
      </w:r>
      <w:r w:rsidR="00C45F47">
        <w:t>v</w:t>
      </w:r>
      <w:r w:rsidR="00BE0A1A">
        <w:t>í</w:t>
      </w:r>
      <w:r w:rsidR="00C45F47">
        <w:t>ch</w:t>
      </w:r>
      <w:r w:rsidR="00BE0A1A">
        <w:t xml:space="preserve"> zpracovatelského průmyslu</w:t>
      </w:r>
      <w:r w:rsidR="00B0416F">
        <w:t>, kromě dřevozpracujícího a papírenského průmyslu, byl</w:t>
      </w:r>
      <w:r w:rsidR="00BE0A1A">
        <w:t xml:space="preserve"> v období 2018–2020 </w:t>
      </w:r>
      <w:r w:rsidR="0084085D">
        <w:t xml:space="preserve">zjištěn </w:t>
      </w:r>
      <w:r w:rsidR="00B0416F">
        <w:t>podíl inovujících podniků vyšší</w:t>
      </w:r>
      <w:r w:rsidR="00BE0A1A">
        <w:t xml:space="preserve"> než 50 procent. </w:t>
      </w:r>
    </w:p>
    <w:p w14:paraId="68B69A2B" w14:textId="77777777" w:rsidR="00702B39" w:rsidRDefault="00782844" w:rsidP="002D5E15">
      <w:pPr>
        <w:spacing w:after="120"/>
        <w:jc w:val="both"/>
      </w:pPr>
      <w:r>
        <w:t>Vůbec</w:t>
      </w:r>
      <w:r w:rsidR="00702B39">
        <w:t xml:space="preserve"> nejméně inovovaly své produkty a podnikové procesy podniky </w:t>
      </w:r>
      <w:r>
        <w:t>v již zmíněném dřevozpracujících a papírenském průmyslu</w:t>
      </w:r>
      <w:r w:rsidR="00F1216F">
        <w:t xml:space="preserve">, kde tak v období </w:t>
      </w:r>
      <w:r w:rsidR="0082700D">
        <w:t>2018–2020</w:t>
      </w:r>
      <w:r w:rsidR="00F1216F" w:rsidRPr="00F1216F">
        <w:t xml:space="preserve"> </w:t>
      </w:r>
      <w:r w:rsidR="00F1216F">
        <w:t>učinil</w:t>
      </w:r>
      <w:r w:rsidR="00D536B3">
        <w:t xml:space="preserve">o </w:t>
      </w:r>
      <w:r>
        <w:t>49,6</w:t>
      </w:r>
      <w:r w:rsidR="00D536B3">
        <w:t> </w:t>
      </w:r>
      <w:r w:rsidR="00702B39">
        <w:t>%</w:t>
      </w:r>
      <w:r w:rsidR="00D536B3">
        <w:t xml:space="preserve"> podniků</w:t>
      </w:r>
      <w:r w:rsidR="00702B39">
        <w:t>.</w:t>
      </w:r>
      <w:r w:rsidR="00F1216F">
        <w:t xml:space="preserve"> </w:t>
      </w:r>
      <w:r w:rsidR="00F1216F" w:rsidRPr="00F1216F">
        <w:t xml:space="preserve">V </w:t>
      </w:r>
      <w:r w:rsidR="00F1216F" w:rsidRPr="000C34E5">
        <w:rPr>
          <w:b/>
          <w:bCs/>
        </w:rPr>
        <w:t>automobilovém průmyslu</w:t>
      </w:r>
      <w:r w:rsidR="00F1216F" w:rsidRPr="00F1216F">
        <w:t xml:space="preserve"> zavedlo </w:t>
      </w:r>
      <w:r w:rsidR="00F1216F">
        <w:t xml:space="preserve">ve stejném období </w:t>
      </w:r>
      <w:r w:rsidR="0082700D">
        <w:rPr>
          <w:b/>
          <w:bCs/>
        </w:rPr>
        <w:t xml:space="preserve">inovace </w:t>
      </w:r>
      <w:r>
        <w:rPr>
          <w:b/>
          <w:bCs/>
        </w:rPr>
        <w:t xml:space="preserve">rovných </w:t>
      </w:r>
      <w:r w:rsidR="0082700D">
        <w:rPr>
          <w:b/>
          <w:bCs/>
        </w:rPr>
        <w:t>70</w:t>
      </w:r>
      <w:r w:rsidR="00D536B3">
        <w:rPr>
          <w:b/>
          <w:bCs/>
        </w:rPr>
        <w:t> </w:t>
      </w:r>
      <w:r w:rsidR="00F1216F" w:rsidRPr="000C34E5">
        <w:rPr>
          <w:b/>
          <w:bCs/>
        </w:rPr>
        <w:t>% podniků</w:t>
      </w:r>
      <w:r>
        <w:t xml:space="preserve"> a ve strojírenském 64,5</w:t>
      </w:r>
      <w:r w:rsidR="00F1216F">
        <w:t> %</w:t>
      </w:r>
      <w:r w:rsidR="00F1216F" w:rsidRPr="00F1216F">
        <w:t>.</w:t>
      </w:r>
    </w:p>
    <w:p w14:paraId="4045410F" w14:textId="6BA8E0D5" w:rsidR="00EF55A5" w:rsidRDefault="00EF55A5" w:rsidP="002D5E15">
      <w:pPr>
        <w:spacing w:after="120"/>
        <w:jc w:val="both"/>
      </w:pPr>
      <w:r>
        <w:lastRenderedPageBreak/>
        <w:t xml:space="preserve">Nejvíce inovovaly v období 2018–2020 firmy v hlavním městě Praze, </w:t>
      </w:r>
      <w:r w:rsidR="005174CA">
        <w:t>z</w:t>
      </w:r>
      <w:r>
        <w:t xml:space="preserve">de podíl inovujících podniků dosáhl dvou třetin všech podniků. S odstupem cca 8 procentních bodů </w:t>
      </w:r>
      <w:r w:rsidR="00093B37">
        <w:t xml:space="preserve">následovaly Zlínský a Jihomoravský kraj, </w:t>
      </w:r>
      <w:r w:rsidR="005174CA">
        <w:t>s</w:t>
      </w:r>
      <w:r w:rsidR="00C83283">
        <w:t> </w:t>
      </w:r>
      <w:r w:rsidR="00093B37">
        <w:t>58</w:t>
      </w:r>
      <w:r w:rsidR="00C83283">
        <w:t> </w:t>
      </w:r>
      <w:r w:rsidR="00093B37">
        <w:t xml:space="preserve">% </w:t>
      </w:r>
      <w:r w:rsidR="005174CA">
        <w:t xml:space="preserve">inovujících </w:t>
      </w:r>
      <w:r w:rsidR="00093B37">
        <w:t>podniků. Nejméně se inovacím věnovaly podniky v Karlovarském a Ústeckém kraji, podíl inovujících podniků</w:t>
      </w:r>
      <w:r w:rsidR="005174CA">
        <w:t xml:space="preserve"> zde</w:t>
      </w:r>
      <w:r w:rsidR="00093B37">
        <w:t xml:space="preserve"> nepřekročil </w:t>
      </w:r>
      <w:r w:rsidR="00EB2AB5">
        <w:t xml:space="preserve">50% </w:t>
      </w:r>
      <w:r w:rsidR="00093B37">
        <w:t>hranici.</w:t>
      </w:r>
      <w:r>
        <w:t xml:space="preserve"> </w:t>
      </w:r>
    </w:p>
    <w:p w14:paraId="3BDDA355" w14:textId="77777777" w:rsidR="001F0568" w:rsidRDefault="001F0568" w:rsidP="002D5E15">
      <w:pPr>
        <w:spacing w:after="120"/>
        <w:jc w:val="both"/>
      </w:pPr>
      <w:r>
        <w:t xml:space="preserve">V pěti krajích, zejména pak v Praze, byl celkový podíl inovujících podniků vyšší než u podniků působících ve zpracovatelském průmyslu. </w:t>
      </w:r>
      <w:r w:rsidR="00C33AC2">
        <w:t xml:space="preserve">V ostatních krajích intenzivněji inovovaly podniky ve zpracovatelském průmyslu. </w:t>
      </w:r>
      <w:r w:rsidR="00C7674B">
        <w:t>Týkalo se to zejména podniků</w:t>
      </w:r>
      <w:r w:rsidR="00C33AC2">
        <w:t xml:space="preserve"> ve Středočeském, Olomouckém</w:t>
      </w:r>
      <w:r w:rsidR="00066504">
        <w:t xml:space="preserve">, Libereckém, </w:t>
      </w:r>
      <w:r w:rsidR="00C33AC2">
        <w:t>Jihočeském</w:t>
      </w:r>
      <w:r w:rsidR="00066504">
        <w:t xml:space="preserve"> a Moravskoslezském kraji</w:t>
      </w:r>
      <w:r w:rsidR="00C33AC2">
        <w:t xml:space="preserve">. </w:t>
      </w:r>
    </w:p>
    <w:p w14:paraId="40CFC746" w14:textId="77777777" w:rsidR="00C84D42" w:rsidRPr="00EF55A5" w:rsidRDefault="00CF2091" w:rsidP="00EF55A5">
      <w:pPr>
        <w:spacing w:before="120" w:after="60"/>
        <w:ind w:left="1134" w:hanging="1134"/>
        <w:rPr>
          <w:b/>
          <w:sz w:val="18"/>
        </w:rPr>
      </w:pPr>
      <w:r>
        <w:rPr>
          <w:b/>
          <w:sz w:val="18"/>
        </w:rPr>
        <w:t>GRAF 11</w:t>
      </w:r>
      <w:r w:rsidR="00C84D42" w:rsidRPr="003C2A63">
        <w:rPr>
          <w:b/>
          <w:sz w:val="18"/>
        </w:rPr>
        <w:t xml:space="preserve"> Podíl inovujících podn</w:t>
      </w:r>
      <w:r w:rsidR="00C84D42">
        <w:rPr>
          <w:b/>
          <w:sz w:val="18"/>
        </w:rPr>
        <w:t>iků v krajích; 2018–2020</w:t>
      </w:r>
    </w:p>
    <w:p w14:paraId="7E1CA8A2" w14:textId="77777777" w:rsidR="00EF55A5" w:rsidRDefault="00A73763" w:rsidP="009B5F4A">
      <w:pPr>
        <w:spacing w:after="120" w:line="240" w:lineRule="auto"/>
        <w:rPr>
          <w:rStyle w:val="st"/>
        </w:rPr>
      </w:pPr>
      <w:r>
        <w:rPr>
          <w:noProof/>
        </w:rPr>
        <w:drawing>
          <wp:inline distT="0" distB="0" distL="0" distR="0" wp14:anchorId="4E7D9BB5" wp14:editId="43CB4705">
            <wp:extent cx="6120000" cy="4000500"/>
            <wp:effectExtent l="0" t="0" r="14605" b="0"/>
            <wp:docPr id="13" name="Graf 13">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7E57BF" w14:textId="77777777" w:rsidR="0055711D" w:rsidRPr="00B2746E" w:rsidRDefault="0055711D" w:rsidP="0055711D">
      <w:pPr>
        <w:spacing w:before="60" w:after="60"/>
        <w:jc w:val="right"/>
        <w:rPr>
          <w:i/>
          <w:sz w:val="18"/>
        </w:rPr>
      </w:pPr>
      <w:r w:rsidRPr="00B2746E">
        <w:rPr>
          <w:i/>
          <w:sz w:val="18"/>
        </w:rPr>
        <w:t>Zdroj: ČSÚ, Šetření o inovačních aktivitách podniků</w:t>
      </w:r>
    </w:p>
    <w:p w14:paraId="05F90ED6" w14:textId="77777777" w:rsidR="00EF55A5" w:rsidRDefault="00EF55A5" w:rsidP="009B5F4A">
      <w:pPr>
        <w:spacing w:before="120" w:line="240" w:lineRule="auto"/>
        <w:rPr>
          <w:rStyle w:val="st"/>
        </w:rPr>
      </w:pPr>
    </w:p>
    <w:p w14:paraId="3EBAD00E" w14:textId="77777777" w:rsidR="00EF55A5" w:rsidRDefault="00EF55A5">
      <w:pPr>
        <w:spacing w:line="240" w:lineRule="auto"/>
        <w:rPr>
          <w:rStyle w:val="st"/>
        </w:rPr>
      </w:pPr>
    </w:p>
    <w:p w14:paraId="1FCC784A" w14:textId="77777777" w:rsidR="003C2A63" w:rsidRDefault="003C2A63">
      <w:pPr>
        <w:spacing w:line="240" w:lineRule="auto"/>
        <w:rPr>
          <w:rStyle w:val="st"/>
          <w:rFonts w:eastAsia="MS Gothic"/>
          <w:b/>
          <w:bCs/>
          <w:color w:val="009BB4"/>
          <w:sz w:val="24"/>
        </w:rPr>
      </w:pPr>
      <w:r>
        <w:rPr>
          <w:rStyle w:val="st"/>
        </w:rPr>
        <w:br w:type="page"/>
      </w:r>
    </w:p>
    <w:p w14:paraId="022F6223" w14:textId="77777777" w:rsidR="002A0975" w:rsidRPr="0033205F" w:rsidRDefault="002A0975" w:rsidP="00F6656E">
      <w:pPr>
        <w:pStyle w:val="Nadpis3"/>
        <w:spacing w:before="60" w:after="60"/>
        <w:rPr>
          <w:rStyle w:val="st"/>
        </w:rPr>
      </w:pPr>
      <w:r>
        <w:rPr>
          <w:rStyle w:val="st"/>
        </w:rPr>
        <w:lastRenderedPageBreak/>
        <w:t>3.2</w:t>
      </w:r>
      <w:r w:rsidRPr="0033205F">
        <w:rPr>
          <w:rStyle w:val="st"/>
        </w:rPr>
        <w:t>.</w:t>
      </w:r>
      <w:r>
        <w:rPr>
          <w:rStyle w:val="st"/>
        </w:rPr>
        <w:t>2</w:t>
      </w:r>
      <w:r w:rsidRPr="0033205F">
        <w:rPr>
          <w:rStyle w:val="st"/>
        </w:rPr>
        <w:t xml:space="preserve"> Podniky s</w:t>
      </w:r>
      <w:r w:rsidR="0056261D">
        <w:rPr>
          <w:rStyle w:val="st"/>
        </w:rPr>
        <w:t> </w:t>
      </w:r>
      <w:r w:rsidRPr="0033205F">
        <w:rPr>
          <w:rStyle w:val="st"/>
        </w:rPr>
        <w:t>ino</w:t>
      </w:r>
      <w:r w:rsidR="00284D4D">
        <w:rPr>
          <w:rStyle w:val="st"/>
        </w:rPr>
        <w:t>vačními činnostmi</w:t>
      </w:r>
      <w:r w:rsidR="00A734BA">
        <w:rPr>
          <w:rStyle w:val="st"/>
        </w:rPr>
        <w:t xml:space="preserve"> </w:t>
      </w:r>
      <w:r w:rsidR="007C167E">
        <w:rPr>
          <w:rStyle w:val="st"/>
        </w:rPr>
        <w:t>podle typu inovace</w:t>
      </w:r>
    </w:p>
    <w:p w14:paraId="6ED4957B" w14:textId="77777777" w:rsidR="00DD6460" w:rsidRDefault="0017583E" w:rsidP="00DD6460">
      <w:pPr>
        <w:spacing w:after="60"/>
        <w:jc w:val="both"/>
      </w:pPr>
      <w:r w:rsidRPr="0017583E">
        <w:t xml:space="preserve">Podniky </w:t>
      </w:r>
      <w:r>
        <w:t xml:space="preserve">v Česku </w:t>
      </w:r>
      <w:r w:rsidRPr="0017583E">
        <w:t xml:space="preserve">se v rámci svých inovačních aktivit více soustředily na inovace </w:t>
      </w:r>
      <w:r w:rsidRPr="00BE22F5">
        <w:rPr>
          <w:b/>
        </w:rPr>
        <w:t>podnikových procesů</w:t>
      </w:r>
      <w:r w:rsidR="00C37861">
        <w:t>, které v období 2018–2020 zavedlo 53,6</w:t>
      </w:r>
      <w:r w:rsidR="007D2010">
        <w:t> </w:t>
      </w:r>
      <w:r w:rsidRPr="0017583E">
        <w:t>% podnik</w:t>
      </w:r>
      <w:r w:rsidR="00AA5163">
        <w:t>ů</w:t>
      </w:r>
      <w:r w:rsidR="00DD6460">
        <w:t xml:space="preserve"> (94,2 % z inovujících podniků)</w:t>
      </w:r>
      <w:r w:rsidR="00AA5163">
        <w:t>. Spadají sem inovace vnitropodnikových</w:t>
      </w:r>
      <w:r w:rsidRPr="0017583E">
        <w:t xml:space="preserve"> procesů, inovace marketingových metod a inovace spojené s organizačními změnami. Nový či podstatně zlepšený výrobek či službu </w:t>
      </w:r>
      <w:r>
        <w:t xml:space="preserve">– </w:t>
      </w:r>
      <w:r w:rsidRPr="00BE22F5">
        <w:rPr>
          <w:b/>
        </w:rPr>
        <w:t>produktovou inovaci</w:t>
      </w:r>
      <w:r>
        <w:t xml:space="preserve"> </w:t>
      </w:r>
      <w:r w:rsidR="003919FF">
        <w:t>–</w:t>
      </w:r>
      <w:r>
        <w:t xml:space="preserve"> </w:t>
      </w:r>
      <w:r w:rsidR="00C37861">
        <w:t>na trh uvedlo 36,5</w:t>
      </w:r>
      <w:r w:rsidR="007D2010">
        <w:t> </w:t>
      </w:r>
      <w:r w:rsidRPr="0017583E">
        <w:t>% podniků</w:t>
      </w:r>
      <w:r w:rsidR="00DD6460">
        <w:t xml:space="preserve"> (64,2 % z inovujících podniků)</w:t>
      </w:r>
      <w:r w:rsidRPr="0017583E">
        <w:t xml:space="preserve">. </w:t>
      </w:r>
      <w:r w:rsidR="00DD6460">
        <w:t>Téměř polovina inovujících podniků (48,9 %) se v tomto období zabývala současně jak inovacemi produktů, tak inovacemi podnikových procesů.</w:t>
      </w:r>
    </w:p>
    <w:p w14:paraId="6C777570" w14:textId="77777777" w:rsidR="00DD6460" w:rsidRDefault="00DD6460" w:rsidP="00DD6460">
      <w:pPr>
        <w:spacing w:after="60"/>
        <w:jc w:val="both"/>
      </w:pPr>
      <w:r>
        <w:t xml:space="preserve">Necelé jedno procento podniků uvedlo, že ve sledovaném období provádělo inovační činnosti, které však byly přerušeny nebo do konce roku 2020 nedokončeny, případně inovace nebyly zatím uvedeny na trh či zavedeny v podniku. </w:t>
      </w:r>
    </w:p>
    <w:p w14:paraId="3DE12DDE" w14:textId="77777777" w:rsidR="00DD6460" w:rsidRPr="00D90999" w:rsidRDefault="00DD6460" w:rsidP="00DD6460">
      <w:pPr>
        <w:spacing w:before="120"/>
        <w:jc w:val="both"/>
        <w:rPr>
          <w:b/>
          <w:sz w:val="18"/>
        </w:rPr>
      </w:pPr>
      <w:r w:rsidRPr="00D90999">
        <w:rPr>
          <w:b/>
          <w:sz w:val="18"/>
        </w:rPr>
        <w:t xml:space="preserve">TAB 2: Inovační aktivity podniků </w:t>
      </w:r>
      <w:r>
        <w:rPr>
          <w:b/>
          <w:sz w:val="18"/>
        </w:rPr>
        <w:t xml:space="preserve">podle typu inovace </w:t>
      </w:r>
      <w:r w:rsidRPr="00D90999">
        <w:rPr>
          <w:b/>
          <w:sz w:val="18"/>
        </w:rPr>
        <w:t xml:space="preserve">ve sledovaných obdobích – základní údaje </w:t>
      </w:r>
    </w:p>
    <w:tbl>
      <w:tblPr>
        <w:tblW w:w="9805" w:type="dxa"/>
        <w:tblCellMar>
          <w:left w:w="70" w:type="dxa"/>
          <w:right w:w="70" w:type="dxa"/>
        </w:tblCellMar>
        <w:tblLook w:val="04A0" w:firstRow="1" w:lastRow="0" w:firstColumn="1" w:lastColumn="0" w:noHBand="0" w:noVBand="1"/>
      </w:tblPr>
      <w:tblGrid>
        <w:gridCol w:w="185"/>
        <w:gridCol w:w="2792"/>
        <w:gridCol w:w="1068"/>
        <w:gridCol w:w="960"/>
        <w:gridCol w:w="960"/>
        <w:gridCol w:w="960"/>
        <w:gridCol w:w="960"/>
        <w:gridCol w:w="960"/>
        <w:gridCol w:w="960"/>
      </w:tblGrid>
      <w:tr w:rsidR="00DD6460" w:rsidRPr="00931A20" w14:paraId="6E948926" w14:textId="77777777" w:rsidTr="00DD6460">
        <w:trPr>
          <w:trHeight w:val="315"/>
        </w:trPr>
        <w:tc>
          <w:tcPr>
            <w:tcW w:w="185" w:type="dxa"/>
            <w:tcBorders>
              <w:top w:val="nil"/>
              <w:left w:val="nil"/>
              <w:bottom w:val="nil"/>
              <w:right w:val="nil"/>
            </w:tcBorders>
            <w:shd w:val="clear" w:color="000000" w:fill="4BACC6"/>
            <w:noWrap/>
            <w:vAlign w:val="center"/>
            <w:hideMark/>
          </w:tcPr>
          <w:p w14:paraId="02A971F2" w14:textId="77777777" w:rsidR="00DD6460" w:rsidRPr="00931A20" w:rsidRDefault="00DD6460" w:rsidP="00DD6460">
            <w:pPr>
              <w:spacing w:line="240" w:lineRule="auto"/>
              <w:rPr>
                <w:rFonts w:cs="Arial"/>
                <w:color w:val="FFFFFF"/>
                <w:sz w:val="16"/>
                <w:szCs w:val="16"/>
              </w:rPr>
            </w:pPr>
            <w:r w:rsidRPr="00931A20">
              <w:rPr>
                <w:rFonts w:cs="Arial"/>
                <w:color w:val="FFFFFF"/>
                <w:sz w:val="16"/>
                <w:szCs w:val="16"/>
              </w:rPr>
              <w:t> </w:t>
            </w:r>
          </w:p>
        </w:tc>
        <w:tc>
          <w:tcPr>
            <w:tcW w:w="2792" w:type="dxa"/>
            <w:tcBorders>
              <w:top w:val="nil"/>
              <w:left w:val="nil"/>
              <w:bottom w:val="nil"/>
              <w:right w:val="single" w:sz="8" w:space="0" w:color="FFFFFF"/>
            </w:tcBorders>
            <w:shd w:val="clear" w:color="000000" w:fill="4BACC6"/>
            <w:noWrap/>
            <w:vAlign w:val="center"/>
            <w:hideMark/>
          </w:tcPr>
          <w:p w14:paraId="398511A7" w14:textId="77777777" w:rsidR="00DD6460" w:rsidRPr="00931A20" w:rsidRDefault="00DD6460" w:rsidP="00DD6460">
            <w:pPr>
              <w:spacing w:line="240" w:lineRule="auto"/>
              <w:jc w:val="center"/>
              <w:rPr>
                <w:rFonts w:cs="Arial"/>
                <w:b/>
                <w:bCs/>
                <w:color w:val="FFFFFF"/>
                <w:sz w:val="16"/>
                <w:szCs w:val="16"/>
              </w:rPr>
            </w:pPr>
            <w:r w:rsidRPr="00931A20">
              <w:rPr>
                <w:rFonts w:cs="Arial"/>
                <w:b/>
                <w:bCs/>
                <w:color w:val="FFFFFF"/>
                <w:sz w:val="16"/>
                <w:szCs w:val="16"/>
              </w:rPr>
              <w:t>NACE B+C+D+E+G46+H+J+K+M71-73</w:t>
            </w:r>
          </w:p>
        </w:tc>
        <w:tc>
          <w:tcPr>
            <w:tcW w:w="1068" w:type="dxa"/>
            <w:tcBorders>
              <w:top w:val="nil"/>
              <w:left w:val="nil"/>
              <w:bottom w:val="nil"/>
              <w:right w:val="nil"/>
            </w:tcBorders>
            <w:shd w:val="clear" w:color="000000" w:fill="4BACC6"/>
            <w:vAlign w:val="center"/>
            <w:hideMark/>
          </w:tcPr>
          <w:p w14:paraId="41030B1D" w14:textId="77777777" w:rsidR="00DD6460" w:rsidRPr="00931A20" w:rsidRDefault="00DD6460" w:rsidP="00DD6460">
            <w:pPr>
              <w:spacing w:line="240" w:lineRule="auto"/>
              <w:jc w:val="center"/>
              <w:rPr>
                <w:rFonts w:cs="Arial"/>
                <w:b/>
                <w:bCs/>
                <w:color w:val="FFFFFF"/>
                <w:sz w:val="16"/>
                <w:szCs w:val="16"/>
              </w:rPr>
            </w:pPr>
            <w:r w:rsidRPr="00931A20">
              <w:rPr>
                <w:rFonts w:cs="Arial"/>
                <w:b/>
                <w:bCs/>
                <w:color w:val="FFFFFF"/>
                <w:sz w:val="16"/>
                <w:szCs w:val="16"/>
              </w:rPr>
              <w:t>2006–2008</w:t>
            </w:r>
          </w:p>
        </w:tc>
        <w:tc>
          <w:tcPr>
            <w:tcW w:w="960" w:type="dxa"/>
            <w:tcBorders>
              <w:top w:val="nil"/>
              <w:left w:val="nil"/>
              <w:bottom w:val="nil"/>
              <w:right w:val="nil"/>
            </w:tcBorders>
            <w:shd w:val="clear" w:color="000000" w:fill="4BACC6"/>
            <w:vAlign w:val="center"/>
            <w:hideMark/>
          </w:tcPr>
          <w:p w14:paraId="2CCE210B" w14:textId="77777777" w:rsidR="00DD6460" w:rsidRPr="00931A20" w:rsidRDefault="00DD6460" w:rsidP="00DD6460">
            <w:pPr>
              <w:spacing w:line="240" w:lineRule="auto"/>
              <w:jc w:val="center"/>
              <w:rPr>
                <w:rFonts w:cs="Arial"/>
                <w:b/>
                <w:bCs/>
                <w:color w:val="FFFFFF"/>
                <w:sz w:val="16"/>
                <w:szCs w:val="16"/>
              </w:rPr>
            </w:pPr>
            <w:r w:rsidRPr="00931A20">
              <w:rPr>
                <w:rFonts w:cs="Arial"/>
                <w:b/>
                <w:bCs/>
                <w:color w:val="FFFFFF"/>
                <w:sz w:val="16"/>
                <w:szCs w:val="16"/>
              </w:rPr>
              <w:t>2008–2010</w:t>
            </w:r>
          </w:p>
        </w:tc>
        <w:tc>
          <w:tcPr>
            <w:tcW w:w="960" w:type="dxa"/>
            <w:tcBorders>
              <w:top w:val="nil"/>
              <w:left w:val="nil"/>
              <w:bottom w:val="nil"/>
              <w:right w:val="nil"/>
            </w:tcBorders>
            <w:shd w:val="clear" w:color="000000" w:fill="4BACC6"/>
            <w:vAlign w:val="center"/>
            <w:hideMark/>
          </w:tcPr>
          <w:p w14:paraId="7AD65DBD" w14:textId="77777777" w:rsidR="00DD6460" w:rsidRPr="00931A20" w:rsidRDefault="00DD6460" w:rsidP="00DD6460">
            <w:pPr>
              <w:spacing w:line="240" w:lineRule="auto"/>
              <w:jc w:val="center"/>
              <w:rPr>
                <w:rFonts w:cs="Arial"/>
                <w:b/>
                <w:bCs/>
                <w:color w:val="FFFFFF"/>
                <w:sz w:val="16"/>
                <w:szCs w:val="16"/>
              </w:rPr>
            </w:pPr>
            <w:r w:rsidRPr="00931A20">
              <w:rPr>
                <w:rFonts w:cs="Arial"/>
                <w:b/>
                <w:bCs/>
                <w:color w:val="FFFFFF"/>
                <w:sz w:val="16"/>
                <w:szCs w:val="16"/>
              </w:rPr>
              <w:t>2010–2012</w:t>
            </w:r>
          </w:p>
        </w:tc>
        <w:tc>
          <w:tcPr>
            <w:tcW w:w="960" w:type="dxa"/>
            <w:tcBorders>
              <w:top w:val="nil"/>
              <w:left w:val="nil"/>
              <w:bottom w:val="nil"/>
              <w:right w:val="nil"/>
            </w:tcBorders>
            <w:shd w:val="clear" w:color="000000" w:fill="4BACC6"/>
            <w:vAlign w:val="center"/>
            <w:hideMark/>
          </w:tcPr>
          <w:p w14:paraId="0CD70516" w14:textId="77777777" w:rsidR="00DD6460" w:rsidRPr="00931A20" w:rsidRDefault="00DD6460" w:rsidP="00DD6460">
            <w:pPr>
              <w:spacing w:line="240" w:lineRule="auto"/>
              <w:jc w:val="center"/>
              <w:rPr>
                <w:rFonts w:cs="Arial"/>
                <w:b/>
                <w:bCs/>
                <w:color w:val="FFFFFF"/>
                <w:sz w:val="16"/>
                <w:szCs w:val="16"/>
              </w:rPr>
            </w:pPr>
            <w:r w:rsidRPr="00931A20">
              <w:rPr>
                <w:rFonts w:cs="Arial"/>
                <w:b/>
                <w:bCs/>
                <w:color w:val="FFFFFF"/>
                <w:sz w:val="16"/>
                <w:szCs w:val="16"/>
              </w:rPr>
              <w:t>2012–2014</w:t>
            </w:r>
          </w:p>
        </w:tc>
        <w:tc>
          <w:tcPr>
            <w:tcW w:w="960" w:type="dxa"/>
            <w:tcBorders>
              <w:top w:val="nil"/>
              <w:left w:val="nil"/>
              <w:bottom w:val="nil"/>
              <w:right w:val="nil"/>
            </w:tcBorders>
            <w:shd w:val="clear" w:color="000000" w:fill="4BACC6"/>
            <w:vAlign w:val="center"/>
            <w:hideMark/>
          </w:tcPr>
          <w:p w14:paraId="2FEAE659" w14:textId="77777777" w:rsidR="00DD6460" w:rsidRPr="00931A20" w:rsidRDefault="00DD6460" w:rsidP="00DD6460">
            <w:pPr>
              <w:spacing w:line="240" w:lineRule="auto"/>
              <w:jc w:val="center"/>
              <w:rPr>
                <w:rFonts w:cs="Arial"/>
                <w:b/>
                <w:bCs/>
                <w:color w:val="FFFFFF"/>
                <w:sz w:val="16"/>
                <w:szCs w:val="16"/>
              </w:rPr>
            </w:pPr>
            <w:r w:rsidRPr="00931A20">
              <w:rPr>
                <w:rFonts w:cs="Arial"/>
                <w:b/>
                <w:bCs/>
                <w:color w:val="FFFFFF"/>
                <w:sz w:val="16"/>
                <w:szCs w:val="16"/>
              </w:rPr>
              <w:t>2014–2016</w:t>
            </w:r>
          </w:p>
        </w:tc>
        <w:tc>
          <w:tcPr>
            <w:tcW w:w="960" w:type="dxa"/>
            <w:tcBorders>
              <w:top w:val="nil"/>
              <w:left w:val="nil"/>
              <w:bottom w:val="nil"/>
              <w:right w:val="nil"/>
            </w:tcBorders>
            <w:shd w:val="clear" w:color="000000" w:fill="4BACC6"/>
            <w:vAlign w:val="center"/>
            <w:hideMark/>
          </w:tcPr>
          <w:p w14:paraId="6193B780" w14:textId="77777777" w:rsidR="00DD6460" w:rsidRPr="00931A20" w:rsidRDefault="00DD6460" w:rsidP="00DD6460">
            <w:pPr>
              <w:spacing w:line="240" w:lineRule="auto"/>
              <w:jc w:val="center"/>
              <w:rPr>
                <w:rFonts w:cs="Arial"/>
                <w:b/>
                <w:bCs/>
                <w:color w:val="FFFFFF"/>
                <w:sz w:val="16"/>
                <w:szCs w:val="16"/>
              </w:rPr>
            </w:pPr>
            <w:r w:rsidRPr="00931A20">
              <w:rPr>
                <w:rFonts w:cs="Arial"/>
                <w:b/>
                <w:bCs/>
                <w:color w:val="FFFFFF"/>
                <w:sz w:val="16"/>
                <w:szCs w:val="16"/>
              </w:rPr>
              <w:t>2016–2018</w:t>
            </w:r>
          </w:p>
        </w:tc>
        <w:tc>
          <w:tcPr>
            <w:tcW w:w="960" w:type="dxa"/>
            <w:tcBorders>
              <w:top w:val="nil"/>
              <w:left w:val="nil"/>
              <w:bottom w:val="nil"/>
              <w:right w:val="nil"/>
            </w:tcBorders>
            <w:shd w:val="clear" w:color="000000" w:fill="4BACC6"/>
            <w:vAlign w:val="center"/>
            <w:hideMark/>
          </w:tcPr>
          <w:p w14:paraId="7AF39B2A" w14:textId="77777777" w:rsidR="00DD6460" w:rsidRPr="00931A20" w:rsidRDefault="00DD6460" w:rsidP="00DD6460">
            <w:pPr>
              <w:spacing w:line="240" w:lineRule="auto"/>
              <w:jc w:val="center"/>
              <w:rPr>
                <w:rFonts w:cs="Arial"/>
                <w:b/>
                <w:bCs/>
                <w:color w:val="FFFFFF"/>
                <w:sz w:val="16"/>
                <w:szCs w:val="16"/>
              </w:rPr>
            </w:pPr>
            <w:r w:rsidRPr="00931A20">
              <w:rPr>
                <w:rFonts w:cs="Arial"/>
                <w:b/>
                <w:bCs/>
                <w:color w:val="FFFFFF"/>
                <w:sz w:val="16"/>
                <w:szCs w:val="16"/>
              </w:rPr>
              <w:t>2018–2020</w:t>
            </w:r>
          </w:p>
        </w:tc>
      </w:tr>
      <w:tr w:rsidR="00DD6460" w:rsidRPr="00931A20" w14:paraId="2053B2A3" w14:textId="77777777" w:rsidTr="00DD6460">
        <w:trPr>
          <w:trHeight w:val="315"/>
        </w:trPr>
        <w:tc>
          <w:tcPr>
            <w:tcW w:w="2977" w:type="dxa"/>
            <w:gridSpan w:val="2"/>
            <w:tcBorders>
              <w:top w:val="single" w:sz="8" w:space="0" w:color="FFFFFF"/>
              <w:left w:val="nil"/>
              <w:bottom w:val="single" w:sz="8" w:space="0" w:color="FFFFFF"/>
              <w:right w:val="single" w:sz="8" w:space="0" w:color="FFFFFF"/>
            </w:tcBorders>
            <w:shd w:val="clear" w:color="000000" w:fill="92CDDC"/>
            <w:noWrap/>
            <w:vAlign w:val="center"/>
            <w:hideMark/>
          </w:tcPr>
          <w:p w14:paraId="535E706A" w14:textId="77777777" w:rsidR="00DD6460" w:rsidRPr="00931A20" w:rsidRDefault="00DD6460" w:rsidP="00DD6460">
            <w:pPr>
              <w:spacing w:line="240" w:lineRule="auto"/>
              <w:rPr>
                <w:rFonts w:cs="Arial"/>
                <w:b/>
                <w:bCs/>
                <w:color w:val="000000"/>
                <w:sz w:val="16"/>
                <w:szCs w:val="16"/>
              </w:rPr>
            </w:pPr>
            <w:r w:rsidRPr="00931A20">
              <w:rPr>
                <w:rFonts w:cs="Arial"/>
                <w:b/>
                <w:bCs/>
                <w:color w:val="000000"/>
                <w:sz w:val="16"/>
                <w:szCs w:val="16"/>
              </w:rPr>
              <w:t>Inovující podniky celkem</w:t>
            </w:r>
          </w:p>
        </w:tc>
        <w:tc>
          <w:tcPr>
            <w:tcW w:w="1068" w:type="dxa"/>
            <w:tcBorders>
              <w:top w:val="single" w:sz="8" w:space="0" w:color="FFFFFF"/>
              <w:left w:val="nil"/>
              <w:bottom w:val="single" w:sz="8" w:space="0" w:color="FFFFFF"/>
              <w:right w:val="nil"/>
            </w:tcBorders>
            <w:shd w:val="clear" w:color="000000" w:fill="92CDDC"/>
            <w:noWrap/>
            <w:vAlign w:val="center"/>
            <w:hideMark/>
          </w:tcPr>
          <w:p w14:paraId="690B64DA"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56,0%</w:t>
            </w:r>
          </w:p>
        </w:tc>
        <w:tc>
          <w:tcPr>
            <w:tcW w:w="960" w:type="dxa"/>
            <w:tcBorders>
              <w:top w:val="single" w:sz="8" w:space="0" w:color="FFFFFF"/>
              <w:left w:val="nil"/>
              <w:bottom w:val="single" w:sz="8" w:space="0" w:color="FFFFFF"/>
              <w:right w:val="nil"/>
            </w:tcBorders>
            <w:shd w:val="clear" w:color="000000" w:fill="92CDDC"/>
            <w:noWrap/>
            <w:vAlign w:val="center"/>
            <w:hideMark/>
          </w:tcPr>
          <w:p w14:paraId="7528F0EF"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51,7%</w:t>
            </w:r>
          </w:p>
        </w:tc>
        <w:tc>
          <w:tcPr>
            <w:tcW w:w="960" w:type="dxa"/>
            <w:tcBorders>
              <w:top w:val="single" w:sz="8" w:space="0" w:color="FFFFFF"/>
              <w:left w:val="nil"/>
              <w:bottom w:val="single" w:sz="8" w:space="0" w:color="FFFFFF"/>
              <w:right w:val="nil"/>
            </w:tcBorders>
            <w:shd w:val="clear" w:color="000000" w:fill="92CDDC"/>
            <w:noWrap/>
            <w:vAlign w:val="center"/>
            <w:hideMark/>
          </w:tcPr>
          <w:p w14:paraId="3EAFF6B0"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43,9%</w:t>
            </w:r>
          </w:p>
        </w:tc>
        <w:tc>
          <w:tcPr>
            <w:tcW w:w="960" w:type="dxa"/>
            <w:tcBorders>
              <w:top w:val="single" w:sz="8" w:space="0" w:color="FFFFFF"/>
              <w:left w:val="nil"/>
              <w:bottom w:val="single" w:sz="8" w:space="0" w:color="FFFFFF"/>
              <w:right w:val="nil"/>
            </w:tcBorders>
            <w:shd w:val="clear" w:color="000000" w:fill="92CDDC"/>
            <w:noWrap/>
            <w:vAlign w:val="center"/>
            <w:hideMark/>
          </w:tcPr>
          <w:p w14:paraId="7F978D22"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42,0%</w:t>
            </w:r>
          </w:p>
        </w:tc>
        <w:tc>
          <w:tcPr>
            <w:tcW w:w="960" w:type="dxa"/>
            <w:tcBorders>
              <w:top w:val="single" w:sz="8" w:space="0" w:color="FFFFFF"/>
              <w:left w:val="nil"/>
              <w:bottom w:val="single" w:sz="8" w:space="0" w:color="FFFFFF"/>
              <w:right w:val="nil"/>
            </w:tcBorders>
            <w:shd w:val="clear" w:color="000000" w:fill="92CDDC"/>
            <w:noWrap/>
            <w:vAlign w:val="center"/>
            <w:hideMark/>
          </w:tcPr>
          <w:p w14:paraId="740E5154"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46,3%</w:t>
            </w:r>
          </w:p>
        </w:tc>
        <w:tc>
          <w:tcPr>
            <w:tcW w:w="960" w:type="dxa"/>
            <w:tcBorders>
              <w:top w:val="single" w:sz="8" w:space="0" w:color="FFFFFF"/>
              <w:left w:val="nil"/>
              <w:bottom w:val="single" w:sz="8" w:space="0" w:color="FFFFFF"/>
              <w:right w:val="nil"/>
            </w:tcBorders>
            <w:shd w:val="clear" w:color="000000" w:fill="92CDDC"/>
            <w:noWrap/>
            <w:vAlign w:val="center"/>
            <w:hideMark/>
          </w:tcPr>
          <w:p w14:paraId="6452E6A5"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46,8%</w:t>
            </w:r>
          </w:p>
        </w:tc>
        <w:tc>
          <w:tcPr>
            <w:tcW w:w="960" w:type="dxa"/>
            <w:tcBorders>
              <w:top w:val="single" w:sz="8" w:space="0" w:color="FFFFFF"/>
              <w:left w:val="nil"/>
              <w:bottom w:val="single" w:sz="8" w:space="0" w:color="FFFFFF"/>
              <w:right w:val="nil"/>
            </w:tcBorders>
            <w:shd w:val="clear" w:color="000000" w:fill="92CDDC"/>
            <w:noWrap/>
            <w:vAlign w:val="center"/>
            <w:hideMark/>
          </w:tcPr>
          <w:p w14:paraId="5B672DC5"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56,9%</w:t>
            </w:r>
          </w:p>
        </w:tc>
      </w:tr>
      <w:tr w:rsidR="00DD6460" w:rsidRPr="00931A20" w14:paraId="0E3EE1C3" w14:textId="77777777" w:rsidTr="00DD6460">
        <w:trPr>
          <w:trHeight w:val="315"/>
        </w:trPr>
        <w:tc>
          <w:tcPr>
            <w:tcW w:w="2977" w:type="dxa"/>
            <w:gridSpan w:val="2"/>
            <w:tcBorders>
              <w:top w:val="single" w:sz="8" w:space="0" w:color="FFFFFF"/>
              <w:left w:val="nil"/>
              <w:bottom w:val="single" w:sz="8" w:space="0" w:color="FFFFFF"/>
              <w:right w:val="single" w:sz="8" w:space="0" w:color="FFFFFF"/>
            </w:tcBorders>
            <w:shd w:val="clear" w:color="000000" w:fill="B7DEE8"/>
            <w:noWrap/>
            <w:vAlign w:val="center"/>
            <w:hideMark/>
          </w:tcPr>
          <w:p w14:paraId="45F8E969" w14:textId="77777777" w:rsidR="00DD6460" w:rsidRPr="00931A20" w:rsidRDefault="00DD6460" w:rsidP="00DD6460">
            <w:pPr>
              <w:spacing w:line="240" w:lineRule="auto"/>
              <w:rPr>
                <w:rFonts w:cs="Arial"/>
                <w:b/>
                <w:bCs/>
                <w:color w:val="000000"/>
                <w:sz w:val="16"/>
                <w:szCs w:val="16"/>
              </w:rPr>
            </w:pPr>
            <w:r w:rsidRPr="00931A20">
              <w:rPr>
                <w:rFonts w:cs="Arial"/>
                <w:b/>
                <w:bCs/>
                <w:color w:val="000000"/>
                <w:sz w:val="16"/>
                <w:szCs w:val="16"/>
              </w:rPr>
              <w:t>Podniky s inovací produktů</w:t>
            </w:r>
          </w:p>
        </w:tc>
        <w:tc>
          <w:tcPr>
            <w:tcW w:w="1068" w:type="dxa"/>
            <w:tcBorders>
              <w:top w:val="nil"/>
              <w:left w:val="nil"/>
              <w:bottom w:val="single" w:sz="8" w:space="0" w:color="FFFFFF"/>
              <w:right w:val="nil"/>
            </w:tcBorders>
            <w:shd w:val="clear" w:color="000000" w:fill="B7DEE8"/>
            <w:vAlign w:val="center"/>
            <w:hideMark/>
          </w:tcPr>
          <w:p w14:paraId="791F44F2"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24,5%</w:t>
            </w:r>
          </w:p>
        </w:tc>
        <w:tc>
          <w:tcPr>
            <w:tcW w:w="960" w:type="dxa"/>
            <w:tcBorders>
              <w:top w:val="nil"/>
              <w:left w:val="nil"/>
              <w:bottom w:val="single" w:sz="8" w:space="0" w:color="FFFFFF"/>
              <w:right w:val="nil"/>
            </w:tcBorders>
            <w:shd w:val="clear" w:color="000000" w:fill="B7DEE8"/>
            <w:vAlign w:val="center"/>
            <w:hideMark/>
          </w:tcPr>
          <w:p w14:paraId="3FA4F605"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24,1%</w:t>
            </w:r>
          </w:p>
        </w:tc>
        <w:tc>
          <w:tcPr>
            <w:tcW w:w="960" w:type="dxa"/>
            <w:tcBorders>
              <w:top w:val="nil"/>
              <w:left w:val="nil"/>
              <w:bottom w:val="single" w:sz="8" w:space="0" w:color="FFFFFF"/>
              <w:right w:val="nil"/>
            </w:tcBorders>
            <w:shd w:val="clear" w:color="000000" w:fill="B7DEE8"/>
            <w:vAlign w:val="center"/>
            <w:hideMark/>
          </w:tcPr>
          <w:p w14:paraId="367EEC44"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25,3%</w:t>
            </w:r>
          </w:p>
        </w:tc>
        <w:tc>
          <w:tcPr>
            <w:tcW w:w="960" w:type="dxa"/>
            <w:tcBorders>
              <w:top w:val="nil"/>
              <w:left w:val="nil"/>
              <w:bottom w:val="single" w:sz="8" w:space="0" w:color="FFFFFF"/>
              <w:right w:val="nil"/>
            </w:tcBorders>
            <w:shd w:val="clear" w:color="000000" w:fill="B7DEE8"/>
            <w:vAlign w:val="center"/>
            <w:hideMark/>
          </w:tcPr>
          <w:p w14:paraId="3E3ACD5C"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25,1%</w:t>
            </w:r>
          </w:p>
        </w:tc>
        <w:tc>
          <w:tcPr>
            <w:tcW w:w="960" w:type="dxa"/>
            <w:tcBorders>
              <w:top w:val="nil"/>
              <w:left w:val="nil"/>
              <w:bottom w:val="single" w:sz="8" w:space="0" w:color="FFFFFF"/>
              <w:right w:val="nil"/>
            </w:tcBorders>
            <w:shd w:val="clear" w:color="000000" w:fill="B7DEE8"/>
            <w:vAlign w:val="center"/>
            <w:hideMark/>
          </w:tcPr>
          <w:p w14:paraId="70E52866"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25,7%</w:t>
            </w:r>
          </w:p>
        </w:tc>
        <w:tc>
          <w:tcPr>
            <w:tcW w:w="960" w:type="dxa"/>
            <w:tcBorders>
              <w:top w:val="nil"/>
              <w:left w:val="nil"/>
              <w:bottom w:val="single" w:sz="8" w:space="0" w:color="FFFFFF"/>
              <w:right w:val="nil"/>
            </w:tcBorders>
            <w:shd w:val="clear" w:color="000000" w:fill="B7DEE8"/>
            <w:vAlign w:val="center"/>
            <w:hideMark/>
          </w:tcPr>
          <w:p w14:paraId="224BB310"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26,8%</w:t>
            </w:r>
          </w:p>
        </w:tc>
        <w:tc>
          <w:tcPr>
            <w:tcW w:w="960" w:type="dxa"/>
            <w:tcBorders>
              <w:top w:val="nil"/>
              <w:left w:val="nil"/>
              <w:bottom w:val="single" w:sz="8" w:space="0" w:color="FFFFFF"/>
              <w:right w:val="nil"/>
            </w:tcBorders>
            <w:shd w:val="clear" w:color="000000" w:fill="B7DEE8"/>
            <w:vAlign w:val="center"/>
            <w:hideMark/>
          </w:tcPr>
          <w:p w14:paraId="4D2136C4"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36,5%</w:t>
            </w:r>
          </w:p>
        </w:tc>
      </w:tr>
      <w:tr w:rsidR="00DD6460" w:rsidRPr="00931A20" w14:paraId="72FC1507" w14:textId="77777777" w:rsidTr="00DD6460">
        <w:trPr>
          <w:trHeight w:val="340"/>
        </w:trPr>
        <w:tc>
          <w:tcPr>
            <w:tcW w:w="2977" w:type="dxa"/>
            <w:gridSpan w:val="2"/>
            <w:tcBorders>
              <w:top w:val="single" w:sz="8" w:space="0" w:color="FFFFFF"/>
              <w:left w:val="nil"/>
              <w:bottom w:val="single" w:sz="8" w:space="0" w:color="FFFFFF"/>
              <w:right w:val="single" w:sz="8" w:space="0" w:color="FFFFFF"/>
            </w:tcBorders>
            <w:shd w:val="clear" w:color="000000" w:fill="B7DEE8"/>
            <w:noWrap/>
            <w:vAlign w:val="center"/>
            <w:hideMark/>
          </w:tcPr>
          <w:p w14:paraId="1D67A02D" w14:textId="77777777" w:rsidR="00DD6460" w:rsidRPr="00931A20" w:rsidRDefault="00DD6460" w:rsidP="00DD6460">
            <w:pPr>
              <w:spacing w:line="240" w:lineRule="auto"/>
              <w:rPr>
                <w:rFonts w:cs="Arial"/>
                <w:b/>
                <w:bCs/>
                <w:color w:val="000000"/>
                <w:sz w:val="16"/>
                <w:szCs w:val="16"/>
              </w:rPr>
            </w:pPr>
            <w:r w:rsidRPr="00931A20">
              <w:rPr>
                <w:rFonts w:cs="Arial"/>
                <w:b/>
                <w:bCs/>
                <w:color w:val="000000"/>
                <w:sz w:val="16"/>
                <w:szCs w:val="16"/>
              </w:rPr>
              <w:t>Podniky s inovací podnikových procesů</w:t>
            </w:r>
          </w:p>
        </w:tc>
        <w:tc>
          <w:tcPr>
            <w:tcW w:w="1068" w:type="dxa"/>
            <w:tcBorders>
              <w:top w:val="nil"/>
              <w:left w:val="nil"/>
              <w:bottom w:val="single" w:sz="8" w:space="0" w:color="FFFFFF"/>
              <w:right w:val="nil"/>
            </w:tcBorders>
            <w:shd w:val="clear" w:color="000000" w:fill="B7DEE8"/>
            <w:noWrap/>
            <w:vAlign w:val="center"/>
            <w:hideMark/>
          </w:tcPr>
          <w:p w14:paraId="2B78A9E1"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53,3%</w:t>
            </w:r>
          </w:p>
        </w:tc>
        <w:tc>
          <w:tcPr>
            <w:tcW w:w="960" w:type="dxa"/>
            <w:tcBorders>
              <w:top w:val="nil"/>
              <w:left w:val="nil"/>
              <w:bottom w:val="single" w:sz="8" w:space="0" w:color="FFFFFF"/>
              <w:right w:val="nil"/>
            </w:tcBorders>
            <w:shd w:val="clear" w:color="000000" w:fill="B7DEE8"/>
            <w:noWrap/>
            <w:vAlign w:val="center"/>
            <w:hideMark/>
          </w:tcPr>
          <w:p w14:paraId="4F19D3CF"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47,2%</w:t>
            </w:r>
          </w:p>
        </w:tc>
        <w:tc>
          <w:tcPr>
            <w:tcW w:w="960" w:type="dxa"/>
            <w:tcBorders>
              <w:top w:val="nil"/>
              <w:left w:val="nil"/>
              <w:bottom w:val="single" w:sz="8" w:space="0" w:color="FFFFFF"/>
              <w:right w:val="nil"/>
            </w:tcBorders>
            <w:shd w:val="clear" w:color="000000" w:fill="B7DEE8"/>
            <w:noWrap/>
            <w:vAlign w:val="center"/>
            <w:hideMark/>
          </w:tcPr>
          <w:p w14:paraId="2CDF9972"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37,9%</w:t>
            </w:r>
          </w:p>
        </w:tc>
        <w:tc>
          <w:tcPr>
            <w:tcW w:w="960" w:type="dxa"/>
            <w:tcBorders>
              <w:top w:val="nil"/>
              <w:left w:val="nil"/>
              <w:bottom w:val="single" w:sz="8" w:space="0" w:color="FFFFFF"/>
              <w:right w:val="nil"/>
            </w:tcBorders>
            <w:shd w:val="clear" w:color="000000" w:fill="B7DEE8"/>
            <w:noWrap/>
            <w:vAlign w:val="center"/>
            <w:hideMark/>
          </w:tcPr>
          <w:p w14:paraId="190E7DD0"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34,8%</w:t>
            </w:r>
          </w:p>
        </w:tc>
        <w:tc>
          <w:tcPr>
            <w:tcW w:w="960" w:type="dxa"/>
            <w:tcBorders>
              <w:top w:val="nil"/>
              <w:left w:val="nil"/>
              <w:bottom w:val="single" w:sz="8" w:space="0" w:color="FFFFFF"/>
              <w:right w:val="nil"/>
            </w:tcBorders>
            <w:shd w:val="clear" w:color="000000" w:fill="B7DEE8"/>
            <w:noWrap/>
            <w:vAlign w:val="center"/>
            <w:hideMark/>
          </w:tcPr>
          <w:p w14:paraId="5BFD4E68"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41,7%</w:t>
            </w:r>
          </w:p>
        </w:tc>
        <w:tc>
          <w:tcPr>
            <w:tcW w:w="960" w:type="dxa"/>
            <w:tcBorders>
              <w:top w:val="nil"/>
              <w:left w:val="nil"/>
              <w:bottom w:val="single" w:sz="8" w:space="0" w:color="FFFFFF"/>
              <w:right w:val="nil"/>
            </w:tcBorders>
            <w:shd w:val="clear" w:color="000000" w:fill="B7DEE8"/>
            <w:noWrap/>
            <w:vAlign w:val="center"/>
            <w:hideMark/>
          </w:tcPr>
          <w:p w14:paraId="1FB5CE50"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40,3%</w:t>
            </w:r>
          </w:p>
        </w:tc>
        <w:tc>
          <w:tcPr>
            <w:tcW w:w="960" w:type="dxa"/>
            <w:tcBorders>
              <w:top w:val="nil"/>
              <w:left w:val="nil"/>
              <w:bottom w:val="single" w:sz="8" w:space="0" w:color="FFFFFF"/>
              <w:right w:val="nil"/>
            </w:tcBorders>
            <w:shd w:val="clear" w:color="000000" w:fill="B7DEE8"/>
            <w:noWrap/>
            <w:vAlign w:val="center"/>
            <w:hideMark/>
          </w:tcPr>
          <w:p w14:paraId="1CB8A76F" w14:textId="77777777" w:rsidR="00DD6460" w:rsidRPr="00931A20" w:rsidRDefault="00DD6460" w:rsidP="00DD6460">
            <w:pPr>
              <w:spacing w:line="240" w:lineRule="auto"/>
              <w:jc w:val="right"/>
              <w:rPr>
                <w:rFonts w:cs="Arial"/>
                <w:b/>
                <w:bCs/>
                <w:color w:val="000000"/>
                <w:sz w:val="16"/>
                <w:szCs w:val="16"/>
              </w:rPr>
            </w:pPr>
            <w:r w:rsidRPr="00931A20">
              <w:rPr>
                <w:rFonts w:cs="Arial"/>
                <w:b/>
                <w:bCs/>
                <w:color w:val="000000"/>
                <w:sz w:val="16"/>
                <w:szCs w:val="16"/>
              </w:rPr>
              <w:t>53,6%</w:t>
            </w:r>
          </w:p>
        </w:tc>
      </w:tr>
      <w:tr w:rsidR="00DD6460" w:rsidRPr="00931A20" w14:paraId="17A4F573" w14:textId="77777777" w:rsidTr="00DD6460">
        <w:trPr>
          <w:trHeight w:val="315"/>
        </w:trPr>
        <w:tc>
          <w:tcPr>
            <w:tcW w:w="185" w:type="dxa"/>
            <w:tcBorders>
              <w:top w:val="nil"/>
              <w:left w:val="nil"/>
              <w:bottom w:val="single" w:sz="8" w:space="0" w:color="FFFFFF"/>
              <w:right w:val="nil"/>
            </w:tcBorders>
            <w:shd w:val="clear" w:color="000000" w:fill="DAEEF3"/>
            <w:noWrap/>
            <w:vAlign w:val="center"/>
            <w:hideMark/>
          </w:tcPr>
          <w:p w14:paraId="4BBFA73A" w14:textId="77777777" w:rsidR="00DD6460" w:rsidRPr="00931A20" w:rsidRDefault="00DD6460" w:rsidP="00DD6460">
            <w:pPr>
              <w:spacing w:line="240" w:lineRule="auto"/>
              <w:rPr>
                <w:rFonts w:cs="Arial"/>
                <w:b/>
                <w:bCs/>
                <w:color w:val="000000"/>
                <w:sz w:val="16"/>
                <w:szCs w:val="16"/>
              </w:rPr>
            </w:pPr>
            <w:r w:rsidRPr="00931A20">
              <w:rPr>
                <w:rFonts w:cs="Arial"/>
                <w:b/>
                <w:bCs/>
                <w:color w:val="000000"/>
                <w:sz w:val="16"/>
                <w:szCs w:val="16"/>
              </w:rPr>
              <w:t> </w:t>
            </w:r>
          </w:p>
        </w:tc>
        <w:tc>
          <w:tcPr>
            <w:tcW w:w="2792" w:type="dxa"/>
            <w:tcBorders>
              <w:top w:val="nil"/>
              <w:left w:val="nil"/>
              <w:bottom w:val="single" w:sz="8" w:space="0" w:color="FFFFFF"/>
              <w:right w:val="single" w:sz="8" w:space="0" w:color="FFFFFF"/>
            </w:tcBorders>
            <w:shd w:val="clear" w:color="000000" w:fill="DAEEF3"/>
            <w:noWrap/>
            <w:vAlign w:val="center"/>
            <w:hideMark/>
          </w:tcPr>
          <w:p w14:paraId="127F3550" w14:textId="77777777" w:rsidR="00DD6460" w:rsidRPr="00931A20" w:rsidRDefault="00DD6460" w:rsidP="00DD6460">
            <w:pPr>
              <w:spacing w:line="240" w:lineRule="auto"/>
              <w:rPr>
                <w:rFonts w:cs="Arial"/>
                <w:color w:val="000000"/>
                <w:sz w:val="16"/>
                <w:szCs w:val="16"/>
              </w:rPr>
            </w:pPr>
            <w:r w:rsidRPr="00931A20">
              <w:rPr>
                <w:rFonts w:cs="Arial"/>
                <w:color w:val="000000"/>
                <w:sz w:val="16"/>
                <w:szCs w:val="16"/>
              </w:rPr>
              <w:t>Podniky s inovací vnitropodnikových procesů</w:t>
            </w:r>
          </w:p>
        </w:tc>
        <w:tc>
          <w:tcPr>
            <w:tcW w:w="1068" w:type="dxa"/>
            <w:tcBorders>
              <w:top w:val="nil"/>
              <w:left w:val="nil"/>
              <w:bottom w:val="single" w:sz="8" w:space="0" w:color="FFFFFF"/>
              <w:right w:val="nil"/>
            </w:tcBorders>
            <w:shd w:val="clear" w:color="auto" w:fill="auto"/>
            <w:noWrap/>
            <w:vAlign w:val="center"/>
            <w:hideMark/>
          </w:tcPr>
          <w:p w14:paraId="352CFE5A"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30,8%</w:t>
            </w:r>
          </w:p>
        </w:tc>
        <w:tc>
          <w:tcPr>
            <w:tcW w:w="960" w:type="dxa"/>
            <w:tcBorders>
              <w:top w:val="nil"/>
              <w:left w:val="nil"/>
              <w:bottom w:val="single" w:sz="8" w:space="0" w:color="FFFFFF"/>
              <w:right w:val="nil"/>
            </w:tcBorders>
            <w:shd w:val="clear" w:color="auto" w:fill="auto"/>
            <w:noWrap/>
            <w:vAlign w:val="center"/>
            <w:hideMark/>
          </w:tcPr>
          <w:p w14:paraId="1A2696B1"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22,9%</w:t>
            </w:r>
          </w:p>
        </w:tc>
        <w:tc>
          <w:tcPr>
            <w:tcW w:w="960" w:type="dxa"/>
            <w:tcBorders>
              <w:top w:val="nil"/>
              <w:left w:val="nil"/>
              <w:bottom w:val="single" w:sz="8" w:space="0" w:color="FFFFFF"/>
              <w:right w:val="nil"/>
            </w:tcBorders>
            <w:shd w:val="clear" w:color="auto" w:fill="auto"/>
            <w:noWrap/>
            <w:vAlign w:val="center"/>
            <w:hideMark/>
          </w:tcPr>
          <w:p w14:paraId="556FCF87"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24,0%</w:t>
            </w:r>
          </w:p>
        </w:tc>
        <w:tc>
          <w:tcPr>
            <w:tcW w:w="960" w:type="dxa"/>
            <w:tcBorders>
              <w:top w:val="nil"/>
              <w:left w:val="nil"/>
              <w:bottom w:val="single" w:sz="8" w:space="0" w:color="FFFFFF"/>
              <w:right w:val="nil"/>
            </w:tcBorders>
            <w:shd w:val="clear" w:color="auto" w:fill="auto"/>
            <w:noWrap/>
            <w:vAlign w:val="center"/>
            <w:hideMark/>
          </w:tcPr>
          <w:p w14:paraId="3D7955F8"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22,4%</w:t>
            </w:r>
          </w:p>
        </w:tc>
        <w:tc>
          <w:tcPr>
            <w:tcW w:w="960" w:type="dxa"/>
            <w:tcBorders>
              <w:top w:val="nil"/>
              <w:left w:val="nil"/>
              <w:bottom w:val="single" w:sz="8" w:space="0" w:color="FFFFFF"/>
              <w:right w:val="nil"/>
            </w:tcBorders>
            <w:shd w:val="clear" w:color="auto" w:fill="auto"/>
            <w:noWrap/>
            <w:vAlign w:val="center"/>
            <w:hideMark/>
          </w:tcPr>
          <w:p w14:paraId="72E3E275"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27,7%</w:t>
            </w:r>
          </w:p>
        </w:tc>
        <w:tc>
          <w:tcPr>
            <w:tcW w:w="960" w:type="dxa"/>
            <w:tcBorders>
              <w:top w:val="nil"/>
              <w:left w:val="nil"/>
              <w:bottom w:val="single" w:sz="8" w:space="0" w:color="FFFFFF"/>
              <w:right w:val="nil"/>
            </w:tcBorders>
            <w:shd w:val="clear" w:color="auto" w:fill="auto"/>
            <w:noWrap/>
            <w:vAlign w:val="center"/>
            <w:hideMark/>
          </w:tcPr>
          <w:p w14:paraId="2B739AC4"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32,3%</w:t>
            </w:r>
          </w:p>
        </w:tc>
        <w:tc>
          <w:tcPr>
            <w:tcW w:w="960" w:type="dxa"/>
            <w:tcBorders>
              <w:top w:val="nil"/>
              <w:left w:val="nil"/>
              <w:bottom w:val="single" w:sz="8" w:space="0" w:color="FFFFFF"/>
              <w:right w:val="nil"/>
            </w:tcBorders>
            <w:shd w:val="clear" w:color="auto" w:fill="auto"/>
            <w:noWrap/>
            <w:vAlign w:val="center"/>
            <w:hideMark/>
          </w:tcPr>
          <w:p w14:paraId="0D051936"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43,8%</w:t>
            </w:r>
          </w:p>
        </w:tc>
      </w:tr>
      <w:tr w:rsidR="00DD6460" w:rsidRPr="00931A20" w14:paraId="7104EACC" w14:textId="77777777" w:rsidTr="00DD6460">
        <w:trPr>
          <w:trHeight w:val="315"/>
        </w:trPr>
        <w:tc>
          <w:tcPr>
            <w:tcW w:w="185" w:type="dxa"/>
            <w:tcBorders>
              <w:top w:val="nil"/>
              <w:left w:val="nil"/>
              <w:bottom w:val="single" w:sz="8" w:space="0" w:color="FFFFFF"/>
              <w:right w:val="nil"/>
            </w:tcBorders>
            <w:shd w:val="clear" w:color="000000" w:fill="DAEEF3"/>
            <w:noWrap/>
            <w:vAlign w:val="center"/>
            <w:hideMark/>
          </w:tcPr>
          <w:p w14:paraId="2E690589" w14:textId="77777777" w:rsidR="00DD6460" w:rsidRPr="00931A20" w:rsidRDefault="00DD6460" w:rsidP="00DD6460">
            <w:pPr>
              <w:spacing w:line="240" w:lineRule="auto"/>
              <w:rPr>
                <w:rFonts w:cs="Arial"/>
                <w:b/>
                <w:bCs/>
                <w:color w:val="000000"/>
                <w:sz w:val="16"/>
                <w:szCs w:val="16"/>
              </w:rPr>
            </w:pPr>
            <w:r w:rsidRPr="00931A20">
              <w:rPr>
                <w:rFonts w:cs="Arial"/>
                <w:b/>
                <w:bCs/>
                <w:color w:val="000000"/>
                <w:sz w:val="16"/>
                <w:szCs w:val="16"/>
              </w:rPr>
              <w:t> </w:t>
            </w:r>
          </w:p>
        </w:tc>
        <w:tc>
          <w:tcPr>
            <w:tcW w:w="2792" w:type="dxa"/>
            <w:tcBorders>
              <w:top w:val="nil"/>
              <w:left w:val="nil"/>
              <w:bottom w:val="single" w:sz="8" w:space="0" w:color="FFFFFF"/>
              <w:right w:val="single" w:sz="8" w:space="0" w:color="FFFFFF"/>
            </w:tcBorders>
            <w:shd w:val="clear" w:color="000000" w:fill="DAEEF3"/>
            <w:noWrap/>
            <w:vAlign w:val="center"/>
            <w:hideMark/>
          </w:tcPr>
          <w:p w14:paraId="0E061A8F" w14:textId="77777777" w:rsidR="00DD6460" w:rsidRPr="00931A20" w:rsidRDefault="00DD6460" w:rsidP="00DD6460">
            <w:pPr>
              <w:spacing w:line="240" w:lineRule="auto"/>
              <w:rPr>
                <w:rFonts w:cs="Arial"/>
                <w:color w:val="000000"/>
                <w:sz w:val="16"/>
                <w:szCs w:val="16"/>
              </w:rPr>
            </w:pPr>
            <w:r w:rsidRPr="00931A20">
              <w:rPr>
                <w:rFonts w:cs="Arial"/>
                <w:color w:val="000000"/>
                <w:sz w:val="16"/>
                <w:szCs w:val="16"/>
              </w:rPr>
              <w:t>Podniky s marketingovou inovací</w:t>
            </w:r>
          </w:p>
        </w:tc>
        <w:tc>
          <w:tcPr>
            <w:tcW w:w="1068" w:type="dxa"/>
            <w:tcBorders>
              <w:top w:val="nil"/>
              <w:left w:val="nil"/>
              <w:bottom w:val="single" w:sz="8" w:space="0" w:color="FFFFFF"/>
              <w:right w:val="nil"/>
            </w:tcBorders>
            <w:shd w:val="clear" w:color="000000" w:fill="DAEEF3"/>
            <w:noWrap/>
            <w:vAlign w:val="center"/>
            <w:hideMark/>
          </w:tcPr>
          <w:p w14:paraId="1B35A5DC"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35,6%</w:t>
            </w:r>
          </w:p>
        </w:tc>
        <w:tc>
          <w:tcPr>
            <w:tcW w:w="960" w:type="dxa"/>
            <w:tcBorders>
              <w:top w:val="nil"/>
              <w:left w:val="nil"/>
              <w:bottom w:val="single" w:sz="8" w:space="0" w:color="FFFFFF"/>
              <w:right w:val="nil"/>
            </w:tcBorders>
            <w:shd w:val="clear" w:color="000000" w:fill="DAEEF3"/>
            <w:noWrap/>
            <w:vAlign w:val="center"/>
            <w:hideMark/>
          </w:tcPr>
          <w:p w14:paraId="7428AE74"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29,6%</w:t>
            </w:r>
          </w:p>
        </w:tc>
        <w:tc>
          <w:tcPr>
            <w:tcW w:w="960" w:type="dxa"/>
            <w:tcBorders>
              <w:top w:val="nil"/>
              <w:left w:val="nil"/>
              <w:bottom w:val="single" w:sz="8" w:space="0" w:color="FFFFFF"/>
              <w:right w:val="nil"/>
            </w:tcBorders>
            <w:shd w:val="clear" w:color="000000" w:fill="DAEEF3"/>
            <w:noWrap/>
            <w:vAlign w:val="center"/>
            <w:hideMark/>
          </w:tcPr>
          <w:p w14:paraId="57B9878F"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22,4%</w:t>
            </w:r>
          </w:p>
        </w:tc>
        <w:tc>
          <w:tcPr>
            <w:tcW w:w="960" w:type="dxa"/>
            <w:tcBorders>
              <w:top w:val="nil"/>
              <w:left w:val="nil"/>
              <w:bottom w:val="single" w:sz="8" w:space="0" w:color="FFFFFF"/>
              <w:right w:val="nil"/>
            </w:tcBorders>
            <w:shd w:val="clear" w:color="000000" w:fill="DAEEF3"/>
            <w:noWrap/>
            <w:vAlign w:val="center"/>
            <w:hideMark/>
          </w:tcPr>
          <w:p w14:paraId="039256B0"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20,5%</w:t>
            </w:r>
          </w:p>
        </w:tc>
        <w:tc>
          <w:tcPr>
            <w:tcW w:w="960" w:type="dxa"/>
            <w:tcBorders>
              <w:top w:val="nil"/>
              <w:left w:val="nil"/>
              <w:bottom w:val="single" w:sz="8" w:space="0" w:color="FFFFFF"/>
              <w:right w:val="nil"/>
            </w:tcBorders>
            <w:shd w:val="clear" w:color="000000" w:fill="DAEEF3"/>
            <w:noWrap/>
            <w:vAlign w:val="center"/>
            <w:hideMark/>
          </w:tcPr>
          <w:p w14:paraId="20145A55"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26,3%</w:t>
            </w:r>
          </w:p>
        </w:tc>
        <w:tc>
          <w:tcPr>
            <w:tcW w:w="960" w:type="dxa"/>
            <w:tcBorders>
              <w:top w:val="nil"/>
              <w:left w:val="nil"/>
              <w:bottom w:val="single" w:sz="8" w:space="0" w:color="FFFFFF"/>
              <w:right w:val="nil"/>
            </w:tcBorders>
            <w:shd w:val="clear" w:color="000000" w:fill="DAEEF3"/>
            <w:noWrap/>
            <w:vAlign w:val="center"/>
            <w:hideMark/>
          </w:tcPr>
          <w:p w14:paraId="47DA31CA"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22,2%</w:t>
            </w:r>
          </w:p>
        </w:tc>
        <w:tc>
          <w:tcPr>
            <w:tcW w:w="960" w:type="dxa"/>
            <w:tcBorders>
              <w:top w:val="nil"/>
              <w:left w:val="nil"/>
              <w:bottom w:val="single" w:sz="8" w:space="0" w:color="FFFFFF"/>
              <w:right w:val="nil"/>
            </w:tcBorders>
            <w:shd w:val="clear" w:color="000000" w:fill="DAEEF3"/>
            <w:noWrap/>
            <w:vAlign w:val="center"/>
            <w:hideMark/>
          </w:tcPr>
          <w:p w14:paraId="18B4F418"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34,8%</w:t>
            </w:r>
          </w:p>
        </w:tc>
      </w:tr>
      <w:tr w:rsidR="00DD6460" w:rsidRPr="00931A20" w14:paraId="6DA2087F" w14:textId="77777777" w:rsidTr="00DD6460">
        <w:trPr>
          <w:trHeight w:val="315"/>
        </w:trPr>
        <w:tc>
          <w:tcPr>
            <w:tcW w:w="185" w:type="dxa"/>
            <w:tcBorders>
              <w:top w:val="nil"/>
              <w:left w:val="nil"/>
              <w:bottom w:val="single" w:sz="8" w:space="0" w:color="FFFFFF"/>
              <w:right w:val="nil"/>
            </w:tcBorders>
            <w:shd w:val="clear" w:color="000000" w:fill="DAEEF3"/>
            <w:noWrap/>
            <w:vAlign w:val="center"/>
            <w:hideMark/>
          </w:tcPr>
          <w:p w14:paraId="64B08925" w14:textId="77777777" w:rsidR="00DD6460" w:rsidRPr="00931A20" w:rsidRDefault="00DD6460" w:rsidP="00DD6460">
            <w:pPr>
              <w:spacing w:line="240" w:lineRule="auto"/>
              <w:rPr>
                <w:rFonts w:cs="Arial"/>
                <w:b/>
                <w:bCs/>
                <w:color w:val="000000"/>
                <w:sz w:val="16"/>
                <w:szCs w:val="16"/>
              </w:rPr>
            </w:pPr>
            <w:r w:rsidRPr="00931A20">
              <w:rPr>
                <w:rFonts w:cs="Arial"/>
                <w:b/>
                <w:bCs/>
                <w:color w:val="000000"/>
                <w:sz w:val="16"/>
                <w:szCs w:val="16"/>
              </w:rPr>
              <w:t> </w:t>
            </w:r>
          </w:p>
        </w:tc>
        <w:tc>
          <w:tcPr>
            <w:tcW w:w="2792" w:type="dxa"/>
            <w:tcBorders>
              <w:top w:val="nil"/>
              <w:left w:val="nil"/>
              <w:bottom w:val="single" w:sz="8" w:space="0" w:color="DAEEF3"/>
              <w:right w:val="single" w:sz="8" w:space="0" w:color="FFFFFF"/>
            </w:tcBorders>
            <w:shd w:val="clear" w:color="000000" w:fill="DAEEF3"/>
            <w:noWrap/>
            <w:vAlign w:val="center"/>
            <w:hideMark/>
          </w:tcPr>
          <w:p w14:paraId="638A4627" w14:textId="77777777" w:rsidR="00DD6460" w:rsidRPr="00931A20" w:rsidRDefault="00DD6460" w:rsidP="00DD6460">
            <w:pPr>
              <w:spacing w:line="240" w:lineRule="auto"/>
              <w:rPr>
                <w:rFonts w:cs="Arial"/>
                <w:color w:val="000000"/>
                <w:sz w:val="16"/>
                <w:szCs w:val="16"/>
              </w:rPr>
            </w:pPr>
            <w:r w:rsidRPr="00931A20">
              <w:rPr>
                <w:rFonts w:cs="Arial"/>
                <w:color w:val="000000"/>
                <w:sz w:val="16"/>
                <w:szCs w:val="16"/>
              </w:rPr>
              <w:t>Podniky s organizační inovací</w:t>
            </w:r>
          </w:p>
        </w:tc>
        <w:tc>
          <w:tcPr>
            <w:tcW w:w="1068" w:type="dxa"/>
            <w:tcBorders>
              <w:top w:val="nil"/>
              <w:left w:val="nil"/>
              <w:bottom w:val="single" w:sz="8" w:space="0" w:color="DAEEF3"/>
              <w:right w:val="nil"/>
            </w:tcBorders>
            <w:shd w:val="clear" w:color="auto" w:fill="auto"/>
            <w:noWrap/>
            <w:vAlign w:val="center"/>
            <w:hideMark/>
          </w:tcPr>
          <w:p w14:paraId="4AB22DB8"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34,0%</w:t>
            </w:r>
          </w:p>
        </w:tc>
        <w:tc>
          <w:tcPr>
            <w:tcW w:w="960" w:type="dxa"/>
            <w:tcBorders>
              <w:top w:val="nil"/>
              <w:left w:val="nil"/>
              <w:bottom w:val="single" w:sz="8" w:space="0" w:color="DAEEF3"/>
              <w:right w:val="nil"/>
            </w:tcBorders>
            <w:shd w:val="clear" w:color="auto" w:fill="auto"/>
            <w:noWrap/>
            <w:vAlign w:val="center"/>
            <w:hideMark/>
          </w:tcPr>
          <w:p w14:paraId="3090C6BC"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30,9%</w:t>
            </w:r>
          </w:p>
        </w:tc>
        <w:tc>
          <w:tcPr>
            <w:tcW w:w="960" w:type="dxa"/>
            <w:tcBorders>
              <w:top w:val="nil"/>
              <w:left w:val="nil"/>
              <w:bottom w:val="single" w:sz="8" w:space="0" w:color="DAEEF3"/>
              <w:right w:val="nil"/>
            </w:tcBorders>
            <w:shd w:val="clear" w:color="auto" w:fill="auto"/>
            <w:noWrap/>
            <w:vAlign w:val="center"/>
            <w:hideMark/>
          </w:tcPr>
          <w:p w14:paraId="3D24DA70"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20,5%</w:t>
            </w:r>
          </w:p>
        </w:tc>
        <w:tc>
          <w:tcPr>
            <w:tcW w:w="960" w:type="dxa"/>
            <w:tcBorders>
              <w:top w:val="nil"/>
              <w:left w:val="nil"/>
              <w:bottom w:val="single" w:sz="8" w:space="0" w:color="DAEEF3"/>
              <w:right w:val="nil"/>
            </w:tcBorders>
            <w:shd w:val="clear" w:color="auto" w:fill="auto"/>
            <w:noWrap/>
            <w:vAlign w:val="center"/>
            <w:hideMark/>
          </w:tcPr>
          <w:p w14:paraId="49DCC0BF"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17,1%</w:t>
            </w:r>
          </w:p>
        </w:tc>
        <w:tc>
          <w:tcPr>
            <w:tcW w:w="960" w:type="dxa"/>
            <w:tcBorders>
              <w:top w:val="nil"/>
              <w:left w:val="nil"/>
              <w:bottom w:val="single" w:sz="8" w:space="0" w:color="DAEEF3"/>
              <w:right w:val="nil"/>
            </w:tcBorders>
            <w:shd w:val="clear" w:color="auto" w:fill="auto"/>
            <w:noWrap/>
            <w:vAlign w:val="center"/>
            <w:hideMark/>
          </w:tcPr>
          <w:p w14:paraId="34DB32DC"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17,6%</w:t>
            </w:r>
          </w:p>
        </w:tc>
        <w:tc>
          <w:tcPr>
            <w:tcW w:w="960" w:type="dxa"/>
            <w:tcBorders>
              <w:top w:val="nil"/>
              <w:left w:val="nil"/>
              <w:bottom w:val="single" w:sz="8" w:space="0" w:color="DAEEF3"/>
              <w:right w:val="nil"/>
            </w:tcBorders>
            <w:shd w:val="clear" w:color="auto" w:fill="auto"/>
            <w:noWrap/>
            <w:vAlign w:val="center"/>
            <w:hideMark/>
          </w:tcPr>
          <w:p w14:paraId="583AE2BC"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23,1%</w:t>
            </w:r>
          </w:p>
        </w:tc>
        <w:tc>
          <w:tcPr>
            <w:tcW w:w="960" w:type="dxa"/>
            <w:tcBorders>
              <w:top w:val="nil"/>
              <w:left w:val="nil"/>
              <w:bottom w:val="single" w:sz="8" w:space="0" w:color="DAEEF3"/>
              <w:right w:val="nil"/>
            </w:tcBorders>
            <w:shd w:val="clear" w:color="auto" w:fill="auto"/>
            <w:noWrap/>
            <w:vAlign w:val="center"/>
            <w:hideMark/>
          </w:tcPr>
          <w:p w14:paraId="661924B4" w14:textId="77777777" w:rsidR="00DD6460" w:rsidRPr="00931A20" w:rsidRDefault="00DD6460" w:rsidP="00DD6460">
            <w:pPr>
              <w:spacing w:line="240" w:lineRule="auto"/>
              <w:jc w:val="right"/>
              <w:rPr>
                <w:rFonts w:cs="Arial"/>
                <w:color w:val="000000"/>
                <w:sz w:val="16"/>
                <w:szCs w:val="16"/>
              </w:rPr>
            </w:pPr>
            <w:r w:rsidRPr="00931A20">
              <w:rPr>
                <w:rFonts w:cs="Arial"/>
                <w:color w:val="000000"/>
                <w:sz w:val="16"/>
                <w:szCs w:val="16"/>
              </w:rPr>
              <w:t>40,8%</w:t>
            </w:r>
          </w:p>
        </w:tc>
      </w:tr>
    </w:tbl>
    <w:p w14:paraId="7C2CDAAE" w14:textId="77777777" w:rsidR="00DD6460" w:rsidRDefault="00DD6460" w:rsidP="00DD6460">
      <w:pPr>
        <w:spacing w:before="60" w:after="120" w:line="240" w:lineRule="auto"/>
        <w:jc w:val="both"/>
        <w:rPr>
          <w:rFonts w:cs="Arial"/>
          <w:i/>
          <w:iCs/>
          <w:sz w:val="18"/>
          <w:szCs w:val="18"/>
        </w:rPr>
      </w:pPr>
      <w:r>
        <w:rPr>
          <w:rFonts w:cs="Arial"/>
          <w:i/>
          <w:iCs/>
          <w:sz w:val="18"/>
          <w:szCs w:val="18"/>
        </w:rPr>
        <w:t xml:space="preserve">  POZN.</w:t>
      </w:r>
      <w:r w:rsidRPr="003F10C4">
        <w:rPr>
          <w:rFonts w:cs="Arial"/>
          <w:i/>
          <w:iCs/>
          <w:sz w:val="18"/>
          <w:szCs w:val="18"/>
        </w:rPr>
        <w:t>: Podíly na celkovém počtu podniků.</w:t>
      </w:r>
    </w:p>
    <w:p w14:paraId="5FCE50CD" w14:textId="77777777" w:rsidR="00DD6460" w:rsidRPr="00DD6460" w:rsidRDefault="00DD6460" w:rsidP="00CB567C">
      <w:pPr>
        <w:spacing w:before="240" w:after="120"/>
        <w:jc w:val="both"/>
      </w:pPr>
      <w:r>
        <w:t>Z </w:t>
      </w:r>
      <w:r w:rsidRPr="00585C1E">
        <w:t>hlediska</w:t>
      </w:r>
      <w:r w:rsidRPr="00BE22F5">
        <w:rPr>
          <w:b/>
        </w:rPr>
        <w:t xml:space="preserve"> velikosti</w:t>
      </w:r>
      <w:r>
        <w:t xml:space="preserve"> sledovaných podniků, nalezneme nejvyšší podíl firem, které inovují své výrobky nebo služby, mezi velkými subjekty s 250 a více zaměstnanými osobami. V období 2018–2020</w:t>
      </w:r>
      <w:r w:rsidRPr="00A9709C">
        <w:t xml:space="preserve"> </w:t>
      </w:r>
      <w:r>
        <w:t>zavedla inovaci produktů více než polovina z nich, konkrétně 61,3 % velkých podniků</w:t>
      </w:r>
      <w:r w:rsidRPr="00B054ED">
        <w:t xml:space="preserve">. Ve skupině středně velkých podniků </w:t>
      </w:r>
      <w:r>
        <w:t>to bylo o 17 procentních bodů méně. Nejnižší podíl produktově</w:t>
      </w:r>
      <w:r w:rsidRPr="00B054ED">
        <w:t xml:space="preserve"> inovujících podniků by</w:t>
      </w:r>
      <w:r>
        <w:t>l zjištěn</w:t>
      </w:r>
      <w:r w:rsidRPr="00B054ED">
        <w:t xml:space="preserve"> </w:t>
      </w:r>
      <w:r>
        <w:t xml:space="preserve">v kategorii </w:t>
      </w:r>
      <w:r w:rsidRPr="00B054ED">
        <w:t>malých podni</w:t>
      </w:r>
      <w:r>
        <w:t>ků. V období 2018–2020</w:t>
      </w:r>
      <w:r w:rsidRPr="00A9709C">
        <w:t xml:space="preserve"> zavedl</w:t>
      </w:r>
      <w:r>
        <w:t>a</w:t>
      </w:r>
      <w:r w:rsidRPr="00A9709C">
        <w:t xml:space="preserve"> </w:t>
      </w:r>
      <w:r>
        <w:t xml:space="preserve">na trh nový </w:t>
      </w:r>
      <w:r w:rsidRPr="00A9709C">
        <w:t>či podstatně zlepšen</w:t>
      </w:r>
      <w:r>
        <w:t>ý</w:t>
      </w:r>
      <w:r w:rsidRPr="00A9709C">
        <w:t xml:space="preserve"> výrob</w:t>
      </w:r>
      <w:r>
        <w:t>e</w:t>
      </w:r>
      <w:r w:rsidRPr="00A9709C">
        <w:t>k nebo služb</w:t>
      </w:r>
      <w:r>
        <w:t>u necelá třetina malých podniků</w:t>
      </w:r>
      <w:r w:rsidRPr="00B054ED">
        <w:t xml:space="preserve">. </w:t>
      </w:r>
      <w:r>
        <w:t xml:space="preserve">Obdobná situace nastává i u ostatních druhů inovací spjatých s podnikovými procesy, kdy velké podniky inovují jednotlivé druhy inovací intenzivnější než střední a malé. </w:t>
      </w:r>
    </w:p>
    <w:p w14:paraId="08FEB19A" w14:textId="77777777" w:rsidR="00DD6460" w:rsidRPr="003C2A63" w:rsidRDefault="00DD6460" w:rsidP="00DD6460">
      <w:pPr>
        <w:spacing w:after="60"/>
        <w:ind w:left="1276" w:hanging="1276"/>
        <w:rPr>
          <w:rFonts w:cs="Arial"/>
          <w:b/>
          <w:sz w:val="18"/>
          <w:szCs w:val="20"/>
        </w:rPr>
      </w:pPr>
      <w:r w:rsidRPr="003C2A63">
        <w:rPr>
          <w:rFonts w:cs="Arial"/>
          <w:b/>
          <w:sz w:val="18"/>
          <w:szCs w:val="20"/>
        </w:rPr>
        <w:t>G</w:t>
      </w:r>
      <w:r>
        <w:rPr>
          <w:rFonts w:cs="Arial"/>
          <w:b/>
          <w:sz w:val="18"/>
          <w:szCs w:val="20"/>
        </w:rPr>
        <w:t>RAF 12</w:t>
      </w:r>
      <w:r w:rsidRPr="003C2A63">
        <w:rPr>
          <w:rFonts w:cs="Arial"/>
          <w:b/>
          <w:sz w:val="18"/>
          <w:szCs w:val="20"/>
        </w:rPr>
        <w:t xml:space="preserve"> Podíl </w:t>
      </w:r>
      <w:r>
        <w:rPr>
          <w:rFonts w:cs="Arial"/>
          <w:b/>
          <w:sz w:val="18"/>
          <w:szCs w:val="20"/>
        </w:rPr>
        <w:t xml:space="preserve">produktově a procesně </w:t>
      </w:r>
      <w:r w:rsidRPr="003C2A63">
        <w:rPr>
          <w:rFonts w:cs="Arial"/>
          <w:b/>
          <w:sz w:val="18"/>
          <w:szCs w:val="20"/>
        </w:rPr>
        <w:t xml:space="preserve">inovujících podniků </w:t>
      </w:r>
      <w:r w:rsidRPr="003C2A63">
        <w:rPr>
          <w:b/>
          <w:sz w:val="18"/>
        </w:rPr>
        <w:t>v dané skupině</w:t>
      </w:r>
      <w:r>
        <w:rPr>
          <w:rFonts w:cs="Arial"/>
          <w:b/>
          <w:sz w:val="18"/>
          <w:szCs w:val="20"/>
        </w:rPr>
        <w:t>; 2018–2020</w:t>
      </w:r>
    </w:p>
    <w:p w14:paraId="2DF00E5A" w14:textId="77777777" w:rsidR="00DD6460" w:rsidRDefault="00DD6460" w:rsidP="00DD6460">
      <w:r>
        <w:rPr>
          <w:noProof/>
        </w:rPr>
        <w:drawing>
          <wp:inline distT="0" distB="0" distL="0" distR="0" wp14:anchorId="6870639B" wp14:editId="3AAA1484">
            <wp:extent cx="6120000" cy="2520000"/>
            <wp:effectExtent l="0" t="0" r="14605" b="13970"/>
            <wp:docPr id="22" name="Graf 22">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636F61" w14:textId="77777777" w:rsidR="0055711D" w:rsidRPr="00B2746E" w:rsidRDefault="0055711D" w:rsidP="0055711D">
      <w:pPr>
        <w:spacing w:before="60" w:after="60"/>
        <w:jc w:val="right"/>
        <w:rPr>
          <w:i/>
          <w:sz w:val="18"/>
        </w:rPr>
      </w:pPr>
      <w:r w:rsidRPr="00B2746E">
        <w:rPr>
          <w:i/>
          <w:sz w:val="18"/>
        </w:rPr>
        <w:t>Zdroj: ČSÚ, Šetření o inovačních aktivitách podniků</w:t>
      </w:r>
    </w:p>
    <w:p w14:paraId="1AB4D088" w14:textId="7E8C23CF" w:rsidR="00B054ED" w:rsidRPr="00337388" w:rsidRDefault="00B054ED" w:rsidP="0055711D">
      <w:pPr>
        <w:spacing w:before="120" w:after="120"/>
        <w:jc w:val="both"/>
      </w:pPr>
      <w:r w:rsidRPr="00B054ED">
        <w:t>Z pohled</w:t>
      </w:r>
      <w:r w:rsidR="009A30F8">
        <w:t xml:space="preserve">u </w:t>
      </w:r>
      <w:r w:rsidR="009A30F8" w:rsidRPr="00BE22F5">
        <w:rPr>
          <w:b/>
        </w:rPr>
        <w:t xml:space="preserve">vlastnictví </w:t>
      </w:r>
      <w:r w:rsidR="009A30F8" w:rsidRPr="00585C1E">
        <w:t>podniku</w:t>
      </w:r>
      <w:r w:rsidR="00016EC5">
        <w:t>,</w:t>
      </w:r>
      <w:r w:rsidR="0058632D">
        <w:t xml:space="preserve"> </w:t>
      </w:r>
      <w:r w:rsidR="005559F0">
        <w:t xml:space="preserve">jak </w:t>
      </w:r>
      <w:r w:rsidR="0058632D">
        <w:t>produkty</w:t>
      </w:r>
      <w:r w:rsidR="005559F0">
        <w:t>, tak i</w:t>
      </w:r>
      <w:r w:rsidR="0058632D">
        <w:t xml:space="preserve"> </w:t>
      </w:r>
      <w:r w:rsidR="00C623D8">
        <w:t xml:space="preserve">podnikové </w:t>
      </w:r>
      <w:r w:rsidR="0058632D">
        <w:t>procesy</w:t>
      </w:r>
      <w:r w:rsidR="00EA0B97">
        <w:t>,</w:t>
      </w:r>
      <w:r w:rsidR="0058632D">
        <w:t xml:space="preserve"> aktivněji inovovaly</w:t>
      </w:r>
      <w:r w:rsidRPr="00B054ED">
        <w:t xml:space="preserve"> podn</w:t>
      </w:r>
      <w:r w:rsidR="00C623D8">
        <w:t>iky pod zahraniční kontrolou než domácí podniky</w:t>
      </w:r>
      <w:r w:rsidR="00337388">
        <w:t xml:space="preserve">. </w:t>
      </w:r>
      <w:r w:rsidR="00CB567C">
        <w:t>Pokud výrobek nebo službu inovovalo 34,2 % domácích podniků, tak u zahraničních to bylo 46,</w:t>
      </w:r>
      <w:r w:rsidR="00EA0B97">
        <w:t>6 </w:t>
      </w:r>
      <w:r w:rsidR="00CB567C">
        <w:t xml:space="preserve">%. Inovaci podnikového procesu zavedly téměř dvě třetiny podniků pod zahraniční kontrolou, v případě domácích podniků to byla polovina.  </w:t>
      </w:r>
      <w:r w:rsidR="00077E36">
        <w:t xml:space="preserve"> </w:t>
      </w:r>
    </w:p>
    <w:p w14:paraId="25B0A14A" w14:textId="77777777" w:rsidR="007B3059" w:rsidRDefault="00585C1E" w:rsidP="00192C11">
      <w:pPr>
        <w:spacing w:before="240" w:after="120"/>
        <w:jc w:val="both"/>
      </w:pPr>
      <w:r>
        <w:lastRenderedPageBreak/>
        <w:t xml:space="preserve">Pokud se zaměříme na odvětvové sekce sledovaných podniků, nejvyšší podíl podniků jak s inovací </w:t>
      </w:r>
      <w:r w:rsidR="00063BFC">
        <w:t>produktů,</w:t>
      </w:r>
      <w:r>
        <w:t xml:space="preserve"> tak i procesů, se nachází v sekci </w:t>
      </w:r>
      <w:r w:rsidRPr="00F42C2A">
        <w:rPr>
          <w:b/>
        </w:rPr>
        <w:t>Informační a komunikační činnosti</w:t>
      </w:r>
      <w:r w:rsidR="00DF2F65">
        <w:t xml:space="preserve">. Do této odvětvové sekce spadají firmy s převažující ekonomickou činností v oblasti výroby, poskytování služeb a distribuce informačních a </w:t>
      </w:r>
      <w:r w:rsidR="007B3059">
        <w:t xml:space="preserve">audiovizuálních </w:t>
      </w:r>
      <w:r w:rsidR="00DF2F65">
        <w:t>produktů včetně zprostředkování přenosu dat či komunikace.</w:t>
      </w:r>
      <w:r w:rsidR="007B3059">
        <w:t xml:space="preserve"> Kromě těchto firem zde hrají významnou roli i podniky poskytující služby v oblasti informačních technologií</w:t>
      </w:r>
      <w:r w:rsidR="00F40A99">
        <w:t>,</w:t>
      </w:r>
      <w:r w:rsidR="007B3059">
        <w:t xml:space="preserve"> jako je </w:t>
      </w:r>
      <w:r w:rsidR="007B3059" w:rsidRPr="007B3059">
        <w:t>vývoj, úprav</w:t>
      </w:r>
      <w:r w:rsidR="007B3059">
        <w:t>a</w:t>
      </w:r>
      <w:r w:rsidR="007B3059" w:rsidRPr="007B3059">
        <w:t>, testování</w:t>
      </w:r>
      <w:r w:rsidR="007B3059">
        <w:t xml:space="preserve"> </w:t>
      </w:r>
      <w:r w:rsidR="007B3059" w:rsidRPr="007B3059">
        <w:t>a péče o software</w:t>
      </w:r>
      <w:r w:rsidR="007B3059">
        <w:t xml:space="preserve"> či </w:t>
      </w:r>
      <w:r w:rsidR="007B3059" w:rsidRPr="007B3059">
        <w:t>plánování</w:t>
      </w:r>
      <w:r w:rsidR="007B3059">
        <w:t xml:space="preserve">, </w:t>
      </w:r>
      <w:r w:rsidR="007B3059" w:rsidRPr="007B3059">
        <w:t>navrhování</w:t>
      </w:r>
      <w:r w:rsidR="007B3059">
        <w:t>, správ</w:t>
      </w:r>
      <w:r w:rsidR="00F40A99">
        <w:t>a</w:t>
      </w:r>
      <w:r w:rsidR="007B3059">
        <w:t xml:space="preserve"> a provoz </w:t>
      </w:r>
      <w:r w:rsidR="007B3059" w:rsidRPr="007B3059">
        <w:t>počítačových systémů</w:t>
      </w:r>
      <w:r w:rsidR="007B3059">
        <w:t xml:space="preserve"> včetně zpracování dat. </w:t>
      </w:r>
      <w:r w:rsidR="00F40A99">
        <w:t>Z</w:t>
      </w:r>
      <w:r w:rsidR="007B3059">
        <w:t xml:space="preserve"> této odvětvové sekce </w:t>
      </w:r>
      <w:r w:rsidR="00F40A99">
        <w:t xml:space="preserve">zavedlo </w:t>
      </w:r>
      <w:r w:rsidR="007B3059">
        <w:t xml:space="preserve">v období </w:t>
      </w:r>
      <w:r w:rsidR="00966E1B">
        <w:t>2018–2020</w:t>
      </w:r>
      <w:r w:rsidR="007B3059">
        <w:t xml:space="preserve"> produktovou inovaci</w:t>
      </w:r>
      <w:r w:rsidR="00966E1B">
        <w:t xml:space="preserve"> 57,5</w:t>
      </w:r>
      <w:r w:rsidR="00F40A99">
        <w:t> % podniků</w:t>
      </w:r>
      <w:r w:rsidR="00966E1B">
        <w:t xml:space="preserve"> a 73,3</w:t>
      </w:r>
      <w:r w:rsidR="007B3059">
        <w:t xml:space="preserve"> % inovaci </w:t>
      </w:r>
      <w:r w:rsidR="007F79EE">
        <w:t xml:space="preserve">podnikového </w:t>
      </w:r>
      <w:r w:rsidR="007B3059">
        <w:t xml:space="preserve">procesu. </w:t>
      </w:r>
    </w:p>
    <w:p w14:paraId="042849FC" w14:textId="0DF5207A" w:rsidR="007B3059" w:rsidRDefault="007B3059" w:rsidP="00DF2F65">
      <w:pPr>
        <w:spacing w:before="120" w:after="120"/>
        <w:jc w:val="both"/>
      </w:pPr>
      <w:r w:rsidRPr="007B3059">
        <w:t xml:space="preserve">Ve </w:t>
      </w:r>
      <w:r w:rsidRPr="005C5503">
        <w:rPr>
          <w:b/>
        </w:rPr>
        <w:t>zpracovatelském průmyslu</w:t>
      </w:r>
      <w:r w:rsidRPr="007B3059">
        <w:t xml:space="preserve"> dosáhl podíl </w:t>
      </w:r>
      <w:r w:rsidR="00966E1B">
        <w:t>produktově inovujících podniků 40,4</w:t>
      </w:r>
      <w:r>
        <w:t> </w:t>
      </w:r>
      <w:r w:rsidRPr="007B3059">
        <w:t>%</w:t>
      </w:r>
      <w:r w:rsidR="00F000ED">
        <w:t xml:space="preserve"> a procesně inovovalo</w:t>
      </w:r>
      <w:r>
        <w:t xml:space="preserve"> </w:t>
      </w:r>
      <w:r w:rsidR="00966E1B">
        <w:t>54,6</w:t>
      </w:r>
      <w:r w:rsidR="003406D8">
        <w:t> % podniků</w:t>
      </w:r>
      <w:r w:rsidRPr="007B3059">
        <w:t xml:space="preserve">. </w:t>
      </w:r>
      <w:r>
        <w:t xml:space="preserve">V rámci všech sledovaných odvětví platí, že více firem v nich inovovalo své </w:t>
      </w:r>
      <w:r w:rsidR="005C5503">
        <w:t xml:space="preserve">podnikové </w:t>
      </w:r>
      <w:r>
        <w:t xml:space="preserve">procesy než produkty. </w:t>
      </w:r>
    </w:p>
    <w:p w14:paraId="18AB0192" w14:textId="77777777" w:rsidR="00F6656E" w:rsidRDefault="00BC1769" w:rsidP="00F42C2A">
      <w:pPr>
        <w:spacing w:before="120" w:after="120"/>
        <w:jc w:val="both"/>
        <w:rPr>
          <w:rFonts w:cs="Arial"/>
          <w:b/>
          <w:sz w:val="18"/>
          <w:szCs w:val="20"/>
        </w:rPr>
      </w:pPr>
      <w:r>
        <w:t xml:space="preserve">V odvětví </w:t>
      </w:r>
      <w:r w:rsidRPr="00706499">
        <w:rPr>
          <w:b/>
        </w:rPr>
        <w:t>služeb</w:t>
      </w:r>
      <w:r>
        <w:t xml:space="preserve"> inovovalo své produkty méně než polovina podnikům konkrétně 34,1 %. Inovaci podnikových</w:t>
      </w:r>
      <w:r w:rsidR="00706499">
        <w:t xml:space="preserve"> procesu se ve službách věnovala více než polovina</w:t>
      </w:r>
      <w:r>
        <w:t xml:space="preserve"> podniků. Vůbec nejméně inovovaly své produkty a </w:t>
      </w:r>
      <w:r w:rsidR="00706499">
        <w:t>podnikové procesy firmy</w:t>
      </w:r>
      <w:r>
        <w:t xml:space="preserve"> působící v odvětví dopravy a skladování. Inovaci produktů zde zavedlo 13,5 % z nich a inovaci podnikových procesů pak 31,8 %. </w:t>
      </w:r>
    </w:p>
    <w:p w14:paraId="7367FA47" w14:textId="77777777" w:rsidR="00B054ED" w:rsidRPr="003C2A63" w:rsidRDefault="00124165" w:rsidP="00535B46">
      <w:pPr>
        <w:spacing w:after="60"/>
        <w:rPr>
          <w:rFonts w:cs="Arial"/>
          <w:b/>
          <w:sz w:val="18"/>
          <w:szCs w:val="20"/>
        </w:rPr>
      </w:pPr>
      <w:r w:rsidRPr="003C2A63">
        <w:rPr>
          <w:rFonts w:cs="Arial"/>
          <w:b/>
          <w:sz w:val="18"/>
          <w:szCs w:val="20"/>
        </w:rPr>
        <w:t>G</w:t>
      </w:r>
      <w:r w:rsidR="00CF2091">
        <w:rPr>
          <w:rFonts w:cs="Arial"/>
          <w:b/>
          <w:sz w:val="18"/>
          <w:szCs w:val="20"/>
        </w:rPr>
        <w:t>RAF 13</w:t>
      </w:r>
      <w:r w:rsidR="005832D2" w:rsidRPr="003C2A63">
        <w:rPr>
          <w:rFonts w:cs="Arial"/>
          <w:b/>
          <w:sz w:val="18"/>
          <w:szCs w:val="20"/>
        </w:rPr>
        <w:t xml:space="preserve"> Podíl </w:t>
      </w:r>
      <w:r w:rsidR="003406D8">
        <w:rPr>
          <w:rFonts w:cs="Arial"/>
          <w:b/>
          <w:sz w:val="18"/>
          <w:szCs w:val="20"/>
        </w:rPr>
        <w:t xml:space="preserve">produktově a procesně </w:t>
      </w:r>
      <w:r w:rsidR="00B054ED" w:rsidRPr="003C2A63">
        <w:rPr>
          <w:rFonts w:cs="Arial"/>
          <w:b/>
          <w:sz w:val="18"/>
          <w:szCs w:val="20"/>
        </w:rPr>
        <w:t xml:space="preserve">inovujících podniků ve vybraných </w:t>
      </w:r>
      <w:r w:rsidR="003406D8">
        <w:rPr>
          <w:rFonts w:cs="Arial"/>
          <w:b/>
          <w:sz w:val="18"/>
          <w:szCs w:val="20"/>
        </w:rPr>
        <w:t>sekcích</w:t>
      </w:r>
      <w:r w:rsidR="001E176E">
        <w:rPr>
          <w:rFonts w:cs="Arial"/>
          <w:b/>
          <w:sz w:val="18"/>
          <w:szCs w:val="20"/>
        </w:rPr>
        <w:t xml:space="preserve"> </w:t>
      </w:r>
      <w:r w:rsidR="00192C11">
        <w:rPr>
          <w:rFonts w:cs="Arial"/>
          <w:b/>
          <w:sz w:val="18"/>
          <w:szCs w:val="20"/>
        </w:rPr>
        <w:t>CZ-NACE; 2018–2020</w:t>
      </w:r>
      <w:r w:rsidR="00B054ED" w:rsidRPr="003C2A63">
        <w:rPr>
          <w:rFonts w:cs="Arial"/>
          <w:b/>
          <w:sz w:val="18"/>
          <w:szCs w:val="20"/>
        </w:rPr>
        <w:t xml:space="preserve"> </w:t>
      </w:r>
    </w:p>
    <w:p w14:paraId="76F9777E" w14:textId="77777777" w:rsidR="00B054ED" w:rsidRPr="008602B1" w:rsidRDefault="00192C11" w:rsidP="00B054ED">
      <w:pPr>
        <w:rPr>
          <w:rFonts w:ascii="Calibri" w:hAnsi="Calibri"/>
          <w:b/>
          <w:sz w:val="18"/>
        </w:rPr>
      </w:pPr>
      <w:r>
        <w:rPr>
          <w:noProof/>
        </w:rPr>
        <w:drawing>
          <wp:inline distT="0" distB="0" distL="0" distR="0" wp14:anchorId="29E1D250" wp14:editId="080C085D">
            <wp:extent cx="6120000" cy="2592000"/>
            <wp:effectExtent l="0" t="0" r="14605" b="18415"/>
            <wp:docPr id="28" name="Graf 28">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6A06CC" w14:textId="77777777" w:rsidR="009821D9" w:rsidRPr="00D768AA" w:rsidRDefault="009821D9" w:rsidP="00F6656E">
      <w:pPr>
        <w:spacing w:before="60" w:after="120"/>
        <w:rPr>
          <w:rFonts w:cs="Arial"/>
          <w:i/>
          <w:sz w:val="18"/>
        </w:rPr>
      </w:pPr>
      <w:r w:rsidRPr="00FF4622">
        <w:rPr>
          <w:rFonts w:cs="Arial"/>
          <w:i/>
          <w:sz w:val="18"/>
        </w:rPr>
        <w:t>POZN.: Kompletní přehled všech sledovaných sekcí viz tabulk</w:t>
      </w:r>
      <w:r w:rsidR="00F202B4" w:rsidRPr="00FF4622">
        <w:rPr>
          <w:rFonts w:cs="Arial"/>
          <w:i/>
          <w:sz w:val="18"/>
        </w:rPr>
        <w:t>y</w:t>
      </w:r>
      <w:r w:rsidRPr="00FF4622">
        <w:rPr>
          <w:rFonts w:cs="Arial"/>
          <w:i/>
          <w:sz w:val="18"/>
        </w:rPr>
        <w:t xml:space="preserve"> </w:t>
      </w:r>
      <w:r w:rsidR="00265BD7" w:rsidRPr="00FF4622">
        <w:rPr>
          <w:rFonts w:cs="Arial"/>
          <w:i/>
          <w:sz w:val="18"/>
        </w:rPr>
        <w:t>1</w:t>
      </w:r>
      <w:r w:rsidR="00FF4622" w:rsidRPr="00FF4622">
        <w:rPr>
          <w:rFonts w:cs="Arial"/>
          <w:i/>
          <w:sz w:val="18"/>
        </w:rPr>
        <w:t>8</w:t>
      </w:r>
      <w:r w:rsidR="00C54C37" w:rsidRPr="00FF4622">
        <w:rPr>
          <w:rFonts w:cs="Arial"/>
          <w:i/>
          <w:sz w:val="18"/>
        </w:rPr>
        <w:t>A</w:t>
      </w:r>
      <w:r w:rsidR="00F202B4" w:rsidRPr="00FF4622">
        <w:rPr>
          <w:rFonts w:cs="Arial"/>
          <w:i/>
          <w:sz w:val="18"/>
        </w:rPr>
        <w:t xml:space="preserve"> a </w:t>
      </w:r>
      <w:r w:rsidR="00265BD7" w:rsidRPr="00FF4622">
        <w:rPr>
          <w:rFonts w:cs="Arial"/>
          <w:i/>
          <w:sz w:val="18"/>
        </w:rPr>
        <w:t>1</w:t>
      </w:r>
      <w:r w:rsidR="00FF4622" w:rsidRPr="00FF4622">
        <w:rPr>
          <w:rFonts w:cs="Arial"/>
          <w:i/>
          <w:sz w:val="18"/>
        </w:rPr>
        <w:t>8</w:t>
      </w:r>
      <w:r w:rsidR="00C54C37" w:rsidRPr="00FF4622">
        <w:rPr>
          <w:rFonts w:cs="Arial"/>
          <w:i/>
          <w:sz w:val="18"/>
        </w:rPr>
        <w:t>B</w:t>
      </w:r>
      <w:r w:rsidR="005A64A8" w:rsidRPr="00FF4622">
        <w:rPr>
          <w:rFonts w:cs="Arial"/>
          <w:i/>
          <w:sz w:val="18"/>
        </w:rPr>
        <w:t xml:space="preserve"> v tabulkové příloze</w:t>
      </w:r>
      <w:r w:rsidRPr="00FF4622">
        <w:rPr>
          <w:rFonts w:cs="Arial"/>
          <w:i/>
          <w:sz w:val="18"/>
        </w:rPr>
        <w:t>.</w:t>
      </w:r>
      <w:r w:rsidRPr="00D768AA">
        <w:rPr>
          <w:rFonts w:cs="Arial"/>
          <w:i/>
          <w:sz w:val="18"/>
        </w:rPr>
        <w:t xml:space="preserve"> </w:t>
      </w:r>
    </w:p>
    <w:p w14:paraId="0D939ADA" w14:textId="77777777" w:rsidR="0055711D" w:rsidRPr="00B2746E" w:rsidRDefault="0055711D" w:rsidP="0055711D">
      <w:pPr>
        <w:spacing w:before="60" w:after="60"/>
        <w:jc w:val="right"/>
        <w:rPr>
          <w:i/>
          <w:sz w:val="18"/>
        </w:rPr>
      </w:pPr>
      <w:r w:rsidRPr="00B2746E">
        <w:rPr>
          <w:i/>
          <w:sz w:val="18"/>
        </w:rPr>
        <w:t>Zdroj: ČSÚ, Šetření o inovačních aktivitách podniků</w:t>
      </w:r>
    </w:p>
    <w:p w14:paraId="72A84F65" w14:textId="7214FF7A" w:rsidR="004E511E" w:rsidRPr="00BF737E" w:rsidRDefault="00D734FC" w:rsidP="0055711D">
      <w:pPr>
        <w:spacing w:before="120" w:after="60"/>
        <w:jc w:val="both"/>
      </w:pPr>
      <w:r w:rsidRPr="00467AF3">
        <w:rPr>
          <w:b/>
        </w:rPr>
        <w:t>Zpracovatelský</w:t>
      </w:r>
      <w:r w:rsidR="00B054ED" w:rsidRPr="00467AF3">
        <w:rPr>
          <w:b/>
        </w:rPr>
        <w:t xml:space="preserve"> prů</w:t>
      </w:r>
      <w:r w:rsidRPr="00467AF3">
        <w:rPr>
          <w:b/>
        </w:rPr>
        <w:t xml:space="preserve">mysl </w:t>
      </w:r>
      <w:r w:rsidRPr="00BF737E">
        <w:t>hraje</w:t>
      </w:r>
      <w:r w:rsidR="009D0309" w:rsidRPr="00BF737E">
        <w:t xml:space="preserve"> klíčovou roli </w:t>
      </w:r>
      <w:r w:rsidRPr="00BF737E">
        <w:t>v ekonomice</w:t>
      </w:r>
      <w:r w:rsidR="00B054ED" w:rsidRPr="00BF737E">
        <w:t>, proto stojí za</w:t>
      </w:r>
      <w:r w:rsidRPr="00BF737E">
        <w:t xml:space="preserve"> to uvést podrobné členění dle</w:t>
      </w:r>
      <w:r w:rsidR="00B054ED" w:rsidRPr="00BF737E">
        <w:t xml:space="preserve"> jednotlivých odvětví. </w:t>
      </w:r>
      <w:r w:rsidR="00230B35" w:rsidRPr="00BF737E">
        <w:t>Jak již bylo řečeno, m</w:t>
      </w:r>
      <w:r w:rsidR="00B054ED" w:rsidRPr="00BF737E">
        <w:t>ezi</w:t>
      </w:r>
      <w:r w:rsidR="00063CB7" w:rsidRPr="00BF737E">
        <w:t xml:space="preserve"> lídry </w:t>
      </w:r>
      <w:r w:rsidR="00530ACB" w:rsidRPr="00BF737E">
        <w:t>v zavádění inovací v období 2018–2020</w:t>
      </w:r>
      <w:r w:rsidR="00B054ED" w:rsidRPr="00BF737E">
        <w:t xml:space="preserve"> patřily podniky</w:t>
      </w:r>
      <w:r w:rsidR="007B2AFA" w:rsidRPr="00BF737E">
        <w:t xml:space="preserve"> v</w:t>
      </w:r>
      <w:r w:rsidR="00063CB7" w:rsidRPr="00BF737E">
        <w:t xml:space="preserve"> </w:t>
      </w:r>
      <w:r w:rsidR="007B2AFA" w:rsidRPr="00BF737E">
        <w:t>petrochemickém a chemickém</w:t>
      </w:r>
      <w:r w:rsidR="00063CB7" w:rsidRPr="00BF737E">
        <w:t xml:space="preserve"> průmyslu</w:t>
      </w:r>
      <w:r w:rsidR="002560BA">
        <w:t xml:space="preserve"> a </w:t>
      </w:r>
      <w:r w:rsidR="007B2AFA" w:rsidRPr="00BF737E">
        <w:t>elektronickém průmyslu</w:t>
      </w:r>
      <w:r w:rsidR="00063CB7" w:rsidRPr="00BF737E">
        <w:t>, které se také nejintenzivněji věnovaly zavádění</w:t>
      </w:r>
      <w:r w:rsidR="007B2AFA" w:rsidRPr="00BF737E">
        <w:t xml:space="preserve"> inovace podnikových procesů (shodně 71</w:t>
      </w:r>
      <w:r w:rsidR="00063CB7" w:rsidRPr="00BF737E">
        <w:t xml:space="preserve"> %). </w:t>
      </w:r>
      <w:r w:rsidR="007B2AFA" w:rsidRPr="00BF737E">
        <w:t>Firmy v</w:t>
      </w:r>
      <w:r w:rsidR="00264B5B">
        <w:t> </w:t>
      </w:r>
      <w:r w:rsidR="007B2AFA" w:rsidRPr="00BF737E">
        <w:t>těchto</w:t>
      </w:r>
      <w:r w:rsidR="00264B5B">
        <w:t xml:space="preserve"> dvou</w:t>
      </w:r>
      <w:r w:rsidR="00230B35" w:rsidRPr="00BF737E">
        <w:t xml:space="preserve"> odvětví</w:t>
      </w:r>
      <w:r w:rsidR="007B2AFA" w:rsidRPr="00BF737E">
        <w:t>ch</w:t>
      </w:r>
      <w:r w:rsidR="00230B35" w:rsidRPr="00BF737E">
        <w:t xml:space="preserve"> také nejintenzivněji </w:t>
      </w:r>
      <w:r w:rsidR="00063CB7" w:rsidRPr="00BF737E">
        <w:t xml:space="preserve">ze všech </w:t>
      </w:r>
      <w:r w:rsidR="00230B35" w:rsidRPr="00BF737E">
        <w:t>inovovaly své prod</w:t>
      </w:r>
      <w:r w:rsidR="00063CB7" w:rsidRPr="00BF737E">
        <w:t>ukty (</w:t>
      </w:r>
      <w:r w:rsidR="007B2AFA" w:rsidRPr="00BF737E">
        <w:t>64</w:t>
      </w:r>
      <w:r w:rsidR="000D6912" w:rsidRPr="00BF737E">
        <w:t> </w:t>
      </w:r>
      <w:r w:rsidR="009D0309" w:rsidRPr="00BF737E">
        <w:t>%</w:t>
      </w:r>
      <w:r w:rsidR="007B2AFA" w:rsidRPr="00BF737E">
        <w:t xml:space="preserve"> a 63 %</w:t>
      </w:r>
      <w:r w:rsidR="009D0309" w:rsidRPr="00BF737E">
        <w:t xml:space="preserve">). </w:t>
      </w:r>
    </w:p>
    <w:p w14:paraId="3DFACA5B" w14:textId="270A2C1A" w:rsidR="000A165A" w:rsidRDefault="00B054ED" w:rsidP="00695457">
      <w:pPr>
        <w:spacing w:after="60"/>
        <w:jc w:val="both"/>
      </w:pPr>
      <w:r w:rsidRPr="00BF737E">
        <w:t>V nejvýznamnějším odvětví z pohledu ekonomiky, v automobilovém průmyslu, inovovalo</w:t>
      </w:r>
      <w:r w:rsidR="007B2AFA" w:rsidRPr="00BF737E">
        <w:t xml:space="preserve"> produkty 44</w:t>
      </w:r>
      <w:r w:rsidRPr="00BF737E">
        <w:t xml:space="preserve"> % </w:t>
      </w:r>
      <w:r w:rsidR="007B2AFA" w:rsidRPr="00BF737E">
        <w:t>a podnikové procesy 64</w:t>
      </w:r>
      <w:r w:rsidR="007A4879" w:rsidRPr="00BF737E">
        <w:t> %</w:t>
      </w:r>
      <w:r w:rsidR="001C795C" w:rsidRPr="00BF737E">
        <w:t xml:space="preserve"> </w:t>
      </w:r>
      <w:r w:rsidR="007A4879" w:rsidRPr="00BF737E">
        <w:t>podniků</w:t>
      </w:r>
      <w:r w:rsidRPr="00BF737E">
        <w:t>.</w:t>
      </w:r>
      <w:r w:rsidR="0072567E">
        <w:t xml:space="preserve"> </w:t>
      </w:r>
    </w:p>
    <w:p w14:paraId="5931D7DA" w14:textId="77777777" w:rsidR="00467AF3" w:rsidRDefault="00467AF3" w:rsidP="00467AF3">
      <w:pPr>
        <w:spacing w:after="60"/>
        <w:jc w:val="both"/>
      </w:pPr>
      <w:r>
        <w:t xml:space="preserve">Vůbec nejméně ve zpracovatelském průmyslu inovovaly své produkty podniky v odvětví výroby kovů, hutních a kovodělných výrobků (31 %), tedy v odvětví méně intenzivním na inovace. Toto odvětví spolu s dřevozpracujícím a papírenským průmyslem a textilním, oděvním, kožedělných a obuvnickým průmyslem se řadí v zavádění produktových inovací i inovací podnikových procesů na chvost </w:t>
      </w:r>
      <w:r w:rsidRPr="009C4D84">
        <w:t>v</w:t>
      </w:r>
      <w:r>
        <w:t> </w:t>
      </w:r>
      <w:r w:rsidRPr="009C4D84">
        <w:t>žebříčku</w:t>
      </w:r>
      <w:r>
        <w:t xml:space="preserve"> podniků, které inovovaly činnosti spojené s produkty, výrobou, marketingem nebo změnami v organizaci podniku.  </w:t>
      </w:r>
    </w:p>
    <w:p w14:paraId="6832BB62" w14:textId="2C347D9F" w:rsidR="00467AF3" w:rsidRDefault="00467AF3" w:rsidP="00467AF3">
      <w:pPr>
        <w:spacing w:after="60"/>
        <w:jc w:val="both"/>
      </w:pPr>
      <w:r>
        <w:t>Blíže viz graf č. 14 na následující straně.</w:t>
      </w:r>
    </w:p>
    <w:p w14:paraId="74C40524" w14:textId="77777777" w:rsidR="000400C2" w:rsidRDefault="000400C2" w:rsidP="00467AF3">
      <w:pPr>
        <w:spacing w:after="60"/>
        <w:jc w:val="both"/>
      </w:pPr>
    </w:p>
    <w:p w14:paraId="7D4B7BBC" w14:textId="77777777" w:rsidR="00467AF3" w:rsidRDefault="00467AF3" w:rsidP="00695457">
      <w:pPr>
        <w:spacing w:after="60"/>
        <w:jc w:val="both"/>
      </w:pPr>
    </w:p>
    <w:p w14:paraId="53D6D308" w14:textId="77777777" w:rsidR="00C31499" w:rsidRPr="003C2A63" w:rsidRDefault="004E511E" w:rsidP="0055711D">
      <w:pPr>
        <w:spacing w:before="120" w:after="60"/>
        <w:rPr>
          <w:rFonts w:cs="Arial"/>
          <w:b/>
          <w:sz w:val="18"/>
          <w:szCs w:val="20"/>
        </w:rPr>
      </w:pPr>
      <w:r w:rsidRPr="003C2A63">
        <w:rPr>
          <w:rFonts w:cs="Arial"/>
          <w:b/>
          <w:sz w:val="18"/>
          <w:szCs w:val="20"/>
        </w:rPr>
        <w:lastRenderedPageBreak/>
        <w:t>G</w:t>
      </w:r>
      <w:r w:rsidR="00CF2091">
        <w:rPr>
          <w:rFonts w:cs="Arial"/>
          <w:b/>
          <w:sz w:val="18"/>
          <w:szCs w:val="20"/>
        </w:rPr>
        <w:t>RAF 14</w:t>
      </w:r>
      <w:r w:rsidR="005124A8" w:rsidRPr="003C2A63">
        <w:rPr>
          <w:rFonts w:cs="Arial"/>
          <w:b/>
          <w:sz w:val="18"/>
          <w:szCs w:val="20"/>
        </w:rPr>
        <w:t xml:space="preserve"> Podíl </w:t>
      </w:r>
      <w:r w:rsidR="003406D8">
        <w:rPr>
          <w:rFonts w:cs="Arial"/>
          <w:b/>
          <w:sz w:val="18"/>
          <w:szCs w:val="20"/>
        </w:rPr>
        <w:t xml:space="preserve">produktové a procesně </w:t>
      </w:r>
      <w:r w:rsidR="00B054ED" w:rsidRPr="003C2A63">
        <w:rPr>
          <w:rFonts w:cs="Arial"/>
          <w:b/>
          <w:sz w:val="18"/>
          <w:szCs w:val="20"/>
        </w:rPr>
        <w:t xml:space="preserve">inovujících podniků </w:t>
      </w:r>
      <w:r w:rsidR="00ED2269" w:rsidRPr="003C2A63">
        <w:rPr>
          <w:rFonts w:cs="Arial"/>
          <w:b/>
          <w:sz w:val="18"/>
          <w:szCs w:val="20"/>
        </w:rPr>
        <w:t>v odvětvích zpracovatelského průmyslu</w:t>
      </w:r>
      <w:r w:rsidR="00CF10F5">
        <w:rPr>
          <w:rFonts w:cs="Arial"/>
          <w:b/>
          <w:sz w:val="18"/>
          <w:szCs w:val="20"/>
        </w:rPr>
        <w:t>; 2018–2020</w:t>
      </w:r>
    </w:p>
    <w:p w14:paraId="736ABDEF" w14:textId="77777777" w:rsidR="009C4D84" w:rsidRDefault="00E3521E" w:rsidP="00C05EE7">
      <w:pPr>
        <w:spacing w:after="60"/>
        <w:ind w:left="851" w:hanging="851"/>
        <w:rPr>
          <w:rFonts w:cs="Arial"/>
          <w:b/>
          <w:szCs w:val="20"/>
        </w:rPr>
      </w:pPr>
      <w:r>
        <w:rPr>
          <w:noProof/>
        </w:rPr>
        <w:drawing>
          <wp:inline distT="0" distB="0" distL="0" distR="0" wp14:anchorId="68CA4CB0" wp14:editId="33ECDBD9">
            <wp:extent cx="6120000" cy="4680000"/>
            <wp:effectExtent l="0" t="0" r="14605" b="6350"/>
            <wp:docPr id="16" name="Graf 16">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054ED" w:rsidRPr="004E511E">
        <w:rPr>
          <w:rFonts w:cs="Arial"/>
          <w:b/>
          <w:szCs w:val="20"/>
        </w:rPr>
        <w:t xml:space="preserve"> </w:t>
      </w:r>
    </w:p>
    <w:p w14:paraId="61056678" w14:textId="77777777" w:rsidR="0055711D" w:rsidRPr="00B2746E" w:rsidRDefault="0055711D" w:rsidP="0055711D">
      <w:pPr>
        <w:spacing w:before="60" w:after="60"/>
        <w:jc w:val="right"/>
        <w:rPr>
          <w:i/>
          <w:sz w:val="18"/>
        </w:rPr>
      </w:pPr>
      <w:r w:rsidRPr="00B2746E">
        <w:rPr>
          <w:i/>
          <w:sz w:val="18"/>
        </w:rPr>
        <w:t>Zdroj: ČSÚ, Šetření o inovačních aktivitách podniků</w:t>
      </w:r>
    </w:p>
    <w:p w14:paraId="2738F21F" w14:textId="252DCEAA" w:rsidR="00574054" w:rsidRDefault="00574054" w:rsidP="0055711D">
      <w:pPr>
        <w:spacing w:before="120" w:after="60"/>
        <w:jc w:val="both"/>
      </w:pPr>
      <w:r w:rsidRPr="00B91AFB">
        <w:t>Inovace produktů a podnikových procesů nemusí být ve sledovaném odvětví uvedeny na trh nebo zdárně zavedeny v rámci podniku z důvodů přerušení inovačních činností nebo jejich nedokončení. Ve zpracovatelském průmyslu nedokončilo či pře</w:t>
      </w:r>
      <w:r w:rsidR="00A1129D">
        <w:t xml:space="preserve">rušilo své inovační činnosti </w:t>
      </w:r>
      <w:r w:rsidR="009D7AF5">
        <w:t>0,8 %</w:t>
      </w:r>
      <w:r w:rsidRPr="00B91AFB">
        <w:t xml:space="preserve"> podniků. Nejvíce podniků nedokončilo či přerušilo ve sledovaném období inovační činnosti ve farmaceutickém průmyslu (3,8 %). Vysoký podíl</w:t>
      </w:r>
      <w:r w:rsidR="002E7D31">
        <w:t>, oproti průměru</w:t>
      </w:r>
      <w:r w:rsidR="001C12E9">
        <w:t xml:space="preserve"> za zpracovatelský průmysl</w:t>
      </w:r>
      <w:r w:rsidR="002E7D31">
        <w:t>,</w:t>
      </w:r>
      <w:r w:rsidRPr="00B91AFB">
        <w:t xml:space="preserve"> byl zjištěn i u podniků v petrochemické a chemickém průmyslu (2,4 %) a ve výrobě ostatních dopravních prostředků a zařízení (2 %).  </w:t>
      </w:r>
    </w:p>
    <w:p w14:paraId="4EAD51A6" w14:textId="77777777" w:rsidR="003C6D1D" w:rsidRDefault="003C6D1D" w:rsidP="003C6D1D">
      <w:pPr>
        <w:spacing w:before="60" w:after="60"/>
        <w:jc w:val="both"/>
      </w:pPr>
      <w:r w:rsidRPr="003C6D1D">
        <w:t>Blíže k tomu viz tabulka 1</w:t>
      </w:r>
      <w:r w:rsidR="007A1A48">
        <w:t>8</w:t>
      </w:r>
      <w:r w:rsidRPr="003C6D1D">
        <w:t>B v tabulkové příloze.</w:t>
      </w:r>
    </w:p>
    <w:p w14:paraId="6A222498" w14:textId="77777777" w:rsidR="00A44FA1" w:rsidRDefault="00716062" w:rsidP="0047073D">
      <w:pPr>
        <w:spacing w:before="120" w:after="60"/>
        <w:jc w:val="both"/>
      </w:pPr>
      <w:r>
        <w:t>Největší podíl firem inovoval své produkty v </w:t>
      </w:r>
      <w:r w:rsidRPr="00972B8D">
        <w:rPr>
          <w:b/>
        </w:rPr>
        <w:t>hlavním městě Praze</w:t>
      </w:r>
      <w:r>
        <w:t xml:space="preserve"> (podíl 43,1 %)</w:t>
      </w:r>
      <w:r w:rsidR="00A44FA1">
        <w:t>. Aktivně inovují své produkty také firmy v Libereckém (39,2 %) a Plzeňském (37,8 %) kraji.</w:t>
      </w:r>
      <w:r>
        <w:t xml:space="preserve"> </w:t>
      </w:r>
      <w:r w:rsidR="00A44FA1">
        <w:t xml:space="preserve">Naopak podle očekávání </w:t>
      </w:r>
      <w:r w:rsidR="00A44FA1" w:rsidRPr="00A44FA1">
        <w:t>nejméně v období 2018 až 2020 inovovaly své produkty</w:t>
      </w:r>
      <w:r w:rsidR="00A44FA1">
        <w:t xml:space="preserve"> </w:t>
      </w:r>
      <w:r w:rsidR="00A44FA1" w:rsidRPr="00A44FA1">
        <w:t>podniky v</w:t>
      </w:r>
      <w:r w:rsidR="00A44FA1">
        <w:t> </w:t>
      </w:r>
      <w:r w:rsidR="00A44FA1" w:rsidRPr="00A44FA1">
        <w:t>Ústeckém</w:t>
      </w:r>
      <w:r w:rsidR="00A44FA1">
        <w:t xml:space="preserve"> (26,9 %)</w:t>
      </w:r>
      <w:r w:rsidR="00A44FA1" w:rsidRPr="00A44FA1">
        <w:t xml:space="preserve"> a Karlovarském</w:t>
      </w:r>
      <w:r w:rsidR="00A44FA1">
        <w:t xml:space="preserve"> (28,1 %)</w:t>
      </w:r>
      <w:r w:rsidR="00A44FA1" w:rsidRPr="00A44FA1">
        <w:t xml:space="preserve"> kraji. </w:t>
      </w:r>
    </w:p>
    <w:p w14:paraId="3AE2CC83" w14:textId="77777777" w:rsidR="00C56EB6" w:rsidRDefault="00A44FA1" w:rsidP="0047073D">
      <w:pPr>
        <w:spacing w:before="120" w:after="60"/>
        <w:jc w:val="both"/>
      </w:pPr>
      <w:r>
        <w:t>N</w:t>
      </w:r>
      <w:r w:rsidR="00716062">
        <w:t xml:space="preserve">ejvíce firem </w:t>
      </w:r>
      <w:r>
        <w:t xml:space="preserve">se </w:t>
      </w:r>
      <w:r w:rsidR="00716062">
        <w:t>zabývalo inovacemi podnikových procesů</w:t>
      </w:r>
      <w:r>
        <w:t xml:space="preserve"> v Praze. Nějaký druh inovace podnikového procesu zde zavedlo</w:t>
      </w:r>
      <w:r w:rsidR="001C12E9">
        <w:t xml:space="preserve"> (64,1 %)</w:t>
      </w:r>
      <w:r w:rsidR="00716062">
        <w:t xml:space="preserve">. V žádném dalším kraji podíl podniků inovujících podnikové procesy </w:t>
      </w:r>
      <w:r w:rsidR="006E448A">
        <w:t xml:space="preserve">již </w:t>
      </w:r>
      <w:r w:rsidR="00716062">
        <w:t xml:space="preserve">nepřesáhl hranici 60 %. </w:t>
      </w:r>
      <w:r w:rsidR="00665B63">
        <w:t>Více než polovina podniků inovovala své podnikové procesy v sedmí krajích, s Prahou pak v osmi.</w:t>
      </w:r>
      <w:r>
        <w:t xml:space="preserve"> Nejméně inovovaly své podnikové procesy firmy v Karlovarském (</w:t>
      </w:r>
      <w:r w:rsidR="0001669A">
        <w:t>43,6 %) a Ústeckém (48,4 %) kraji.</w:t>
      </w:r>
    </w:p>
    <w:p w14:paraId="29CC89A5" w14:textId="77777777" w:rsidR="0001669A" w:rsidRDefault="0001669A" w:rsidP="0047073D">
      <w:pPr>
        <w:spacing w:before="120" w:after="60"/>
        <w:jc w:val="both"/>
      </w:pPr>
      <w:r>
        <w:t>Blíže viz graf na následující straně a tabulky č. 47A/47B v tabulkové příloze.</w:t>
      </w:r>
    </w:p>
    <w:p w14:paraId="26C9406E" w14:textId="77777777" w:rsidR="0001669A" w:rsidRDefault="0001669A" w:rsidP="00C56EB6">
      <w:pPr>
        <w:spacing w:before="120" w:after="60"/>
        <w:ind w:left="1134" w:hanging="1134"/>
        <w:rPr>
          <w:rFonts w:cs="Arial"/>
          <w:b/>
          <w:sz w:val="18"/>
          <w:szCs w:val="20"/>
        </w:rPr>
      </w:pPr>
    </w:p>
    <w:p w14:paraId="11B98C5D" w14:textId="77777777" w:rsidR="0001669A" w:rsidRDefault="0001669A" w:rsidP="00C56EB6">
      <w:pPr>
        <w:spacing w:before="120" w:after="60"/>
        <w:ind w:left="1134" w:hanging="1134"/>
        <w:rPr>
          <w:rFonts w:cs="Arial"/>
          <w:b/>
          <w:sz w:val="18"/>
          <w:szCs w:val="20"/>
        </w:rPr>
      </w:pPr>
    </w:p>
    <w:p w14:paraId="164A7B71" w14:textId="77777777" w:rsidR="0001669A" w:rsidRDefault="0001669A" w:rsidP="00C56EB6">
      <w:pPr>
        <w:spacing w:before="120" w:after="60"/>
        <w:ind w:left="1134" w:hanging="1134"/>
        <w:rPr>
          <w:rFonts w:cs="Arial"/>
          <w:b/>
          <w:sz w:val="18"/>
          <w:szCs w:val="20"/>
        </w:rPr>
      </w:pPr>
    </w:p>
    <w:p w14:paraId="426E659C" w14:textId="77777777" w:rsidR="0001669A" w:rsidRDefault="0001669A" w:rsidP="00C56EB6">
      <w:pPr>
        <w:spacing w:before="120" w:after="60"/>
        <w:ind w:left="1134" w:hanging="1134"/>
        <w:rPr>
          <w:rFonts w:cs="Arial"/>
          <w:b/>
          <w:sz w:val="18"/>
          <w:szCs w:val="20"/>
        </w:rPr>
      </w:pPr>
    </w:p>
    <w:p w14:paraId="203CD70F" w14:textId="77777777" w:rsidR="00C56EB6" w:rsidRPr="003C2A63" w:rsidRDefault="00C56EB6" w:rsidP="00972B8D">
      <w:pPr>
        <w:spacing w:before="120" w:after="60"/>
        <w:rPr>
          <w:rFonts w:cs="Arial"/>
          <w:b/>
          <w:sz w:val="18"/>
          <w:szCs w:val="20"/>
        </w:rPr>
      </w:pPr>
      <w:r w:rsidRPr="003C2A63">
        <w:rPr>
          <w:rFonts w:cs="Arial"/>
          <w:b/>
          <w:sz w:val="18"/>
          <w:szCs w:val="20"/>
        </w:rPr>
        <w:lastRenderedPageBreak/>
        <w:t>G</w:t>
      </w:r>
      <w:r>
        <w:rPr>
          <w:rFonts w:cs="Arial"/>
          <w:b/>
          <w:sz w:val="18"/>
          <w:szCs w:val="20"/>
        </w:rPr>
        <w:t>RAF 15</w:t>
      </w:r>
      <w:r w:rsidRPr="003C2A63">
        <w:rPr>
          <w:rFonts w:cs="Arial"/>
          <w:b/>
          <w:sz w:val="18"/>
          <w:szCs w:val="20"/>
        </w:rPr>
        <w:t xml:space="preserve"> Podíl </w:t>
      </w:r>
      <w:r>
        <w:rPr>
          <w:rFonts w:cs="Arial"/>
          <w:b/>
          <w:sz w:val="18"/>
          <w:szCs w:val="20"/>
        </w:rPr>
        <w:t xml:space="preserve">produktové a procesně </w:t>
      </w:r>
      <w:r w:rsidRPr="003C2A63">
        <w:rPr>
          <w:rFonts w:cs="Arial"/>
          <w:b/>
          <w:sz w:val="18"/>
          <w:szCs w:val="20"/>
        </w:rPr>
        <w:t xml:space="preserve">inovujících podniků </w:t>
      </w:r>
      <w:r>
        <w:rPr>
          <w:rFonts w:cs="Arial"/>
          <w:b/>
          <w:sz w:val="18"/>
          <w:szCs w:val="20"/>
        </w:rPr>
        <w:t>v krajích; 2018–2020</w:t>
      </w:r>
    </w:p>
    <w:p w14:paraId="59131591" w14:textId="77777777" w:rsidR="0055711D" w:rsidRDefault="00C56EB6" w:rsidP="0083264F">
      <w:pPr>
        <w:spacing w:after="60"/>
        <w:rPr>
          <w:rStyle w:val="st"/>
        </w:rPr>
      </w:pPr>
      <w:r>
        <w:rPr>
          <w:noProof/>
        </w:rPr>
        <w:drawing>
          <wp:inline distT="0" distB="0" distL="0" distR="0" wp14:anchorId="20BADA7E" wp14:editId="3B5CD244">
            <wp:extent cx="6120000" cy="4644000"/>
            <wp:effectExtent l="0" t="0" r="14605" b="4445"/>
            <wp:docPr id="27" name="Graf 27">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2F4194" w14:textId="77777777" w:rsidR="0055711D" w:rsidRPr="00B2746E" w:rsidRDefault="0055711D" w:rsidP="0055711D">
      <w:pPr>
        <w:spacing w:before="60" w:after="60"/>
        <w:jc w:val="right"/>
        <w:rPr>
          <w:i/>
          <w:sz w:val="18"/>
        </w:rPr>
      </w:pPr>
      <w:r w:rsidRPr="00B2746E">
        <w:rPr>
          <w:i/>
          <w:sz w:val="18"/>
        </w:rPr>
        <w:t>Zdroj: ČSÚ, Šetření o inovačních aktivitách podniků</w:t>
      </w:r>
    </w:p>
    <w:p w14:paraId="4BF3A5CE" w14:textId="77777777" w:rsidR="00646BC3" w:rsidRPr="00C05EE7" w:rsidRDefault="00646BC3" w:rsidP="0083264F">
      <w:pPr>
        <w:spacing w:after="60"/>
        <w:rPr>
          <w:rStyle w:val="st"/>
          <w:rFonts w:cs="Arial"/>
          <w:b/>
          <w:szCs w:val="20"/>
        </w:rPr>
      </w:pPr>
      <w:r>
        <w:rPr>
          <w:rStyle w:val="st"/>
        </w:rPr>
        <w:br w:type="page"/>
      </w:r>
    </w:p>
    <w:p w14:paraId="5D2C9DE9" w14:textId="77777777" w:rsidR="002F075D" w:rsidRPr="00B95276" w:rsidRDefault="002F075D" w:rsidP="00B95276">
      <w:pPr>
        <w:pStyle w:val="Nadpis3"/>
        <w:rPr>
          <w:rStyle w:val="st"/>
        </w:rPr>
      </w:pPr>
      <w:r>
        <w:rPr>
          <w:rStyle w:val="st"/>
        </w:rPr>
        <w:lastRenderedPageBreak/>
        <w:t>3.2</w:t>
      </w:r>
      <w:r w:rsidRPr="0033205F">
        <w:rPr>
          <w:rStyle w:val="st"/>
        </w:rPr>
        <w:t>.</w:t>
      </w:r>
      <w:r>
        <w:rPr>
          <w:rStyle w:val="st"/>
        </w:rPr>
        <w:t>3</w:t>
      </w:r>
      <w:r w:rsidRPr="0033205F">
        <w:rPr>
          <w:rStyle w:val="st"/>
        </w:rPr>
        <w:t xml:space="preserve"> Podniky s</w:t>
      </w:r>
      <w:r w:rsidR="0097688D">
        <w:rPr>
          <w:rStyle w:val="st"/>
        </w:rPr>
        <w:t xml:space="preserve"> inovacemi </w:t>
      </w:r>
      <w:r w:rsidR="007C167E">
        <w:rPr>
          <w:rStyle w:val="st"/>
        </w:rPr>
        <w:t>produktů</w:t>
      </w:r>
    </w:p>
    <w:p w14:paraId="13B2D7D4" w14:textId="77777777" w:rsidR="00A1259E" w:rsidRPr="00A1259E" w:rsidRDefault="00A1259E" w:rsidP="00BD0613">
      <w:pPr>
        <w:pStyle w:val="Nadpis4"/>
        <w:spacing w:before="60" w:after="60"/>
        <w:rPr>
          <w:rStyle w:val="st"/>
          <w:color w:val="009BB4"/>
        </w:rPr>
      </w:pPr>
      <w:r w:rsidRPr="00A1259E">
        <w:rPr>
          <w:rStyle w:val="st"/>
          <w:color w:val="009BB4"/>
        </w:rPr>
        <w:t xml:space="preserve">3.2.3.1 </w:t>
      </w:r>
      <w:r w:rsidR="00D1176D">
        <w:rPr>
          <w:rStyle w:val="st"/>
          <w:color w:val="009BB4"/>
        </w:rPr>
        <w:t xml:space="preserve">Druh produktových inovací </w:t>
      </w:r>
    </w:p>
    <w:p w14:paraId="4F0E8DDF" w14:textId="76045B6E" w:rsidR="009E6615" w:rsidRDefault="00862EA2" w:rsidP="008552CF">
      <w:pPr>
        <w:spacing w:after="60"/>
        <w:jc w:val="both"/>
      </w:pPr>
      <w:r>
        <w:t>P</w:t>
      </w:r>
      <w:r w:rsidR="006927DD" w:rsidRPr="006927DD">
        <w:t>odniky</w:t>
      </w:r>
      <w:r>
        <w:t xml:space="preserve"> </w:t>
      </w:r>
      <w:r w:rsidR="009E6615">
        <w:t xml:space="preserve">se v rámci svých produktových inovací </w:t>
      </w:r>
      <w:r w:rsidR="009E6615" w:rsidRPr="006927DD">
        <w:t>soustředily</w:t>
      </w:r>
      <w:r w:rsidR="009E6615">
        <w:t xml:space="preserve"> </w:t>
      </w:r>
      <w:r>
        <w:t>v</w:t>
      </w:r>
      <w:r w:rsidR="006927DD" w:rsidRPr="006927DD">
        <w:t xml:space="preserve"> období </w:t>
      </w:r>
      <w:r w:rsidR="00B235C8">
        <w:t>2018–2020</w:t>
      </w:r>
      <w:r>
        <w:t xml:space="preserve"> </w:t>
      </w:r>
      <w:r w:rsidR="006927DD" w:rsidRPr="006927DD">
        <w:t xml:space="preserve">zejména na inovaci svých výrobků. </w:t>
      </w:r>
      <w:r w:rsidR="006927DD" w:rsidRPr="00E07A54">
        <w:rPr>
          <w:b/>
        </w:rPr>
        <w:t>Inovaci výrobků</w:t>
      </w:r>
      <w:r w:rsidRPr="00E07A54">
        <w:rPr>
          <w:b/>
        </w:rPr>
        <w:t xml:space="preserve"> </w:t>
      </w:r>
      <w:r w:rsidRPr="007E4EDD">
        <w:t>zavedl</w:t>
      </w:r>
      <w:r w:rsidR="000D28C1">
        <w:t>o 27,</w:t>
      </w:r>
      <w:r w:rsidR="009D7AF5">
        <w:t>7 </w:t>
      </w:r>
      <w:r w:rsidR="000D28C1">
        <w:t>%</w:t>
      </w:r>
      <w:r w:rsidR="003406D8" w:rsidRPr="007E4EDD">
        <w:t xml:space="preserve"> pod</w:t>
      </w:r>
      <w:r w:rsidR="00B235C8">
        <w:t>niků s deseti a více zaměstnanými osobami</w:t>
      </w:r>
      <w:r w:rsidR="007559FE">
        <w:t>;</w:t>
      </w:r>
      <w:r w:rsidR="000D28C1">
        <w:t xml:space="preserve"> v kategorii produktově inovujících podniků podíl činil</w:t>
      </w:r>
      <w:r w:rsidR="007559FE">
        <w:t xml:space="preserve"> </w:t>
      </w:r>
      <w:r w:rsidR="004B5116">
        <w:t>75,8</w:t>
      </w:r>
      <w:r w:rsidR="004B5116" w:rsidRPr="007E4EDD">
        <w:t> %</w:t>
      </w:r>
      <w:r w:rsidR="003406D8" w:rsidRPr="007E4EDD">
        <w:t xml:space="preserve">. </w:t>
      </w:r>
      <w:r w:rsidR="009E6615">
        <w:t xml:space="preserve">Své </w:t>
      </w:r>
      <w:r w:rsidR="009E6615" w:rsidRPr="00E07A54">
        <w:rPr>
          <w:b/>
        </w:rPr>
        <w:t>s</w:t>
      </w:r>
      <w:r w:rsidR="006927DD" w:rsidRPr="00E07A54">
        <w:rPr>
          <w:b/>
        </w:rPr>
        <w:t>lužby</w:t>
      </w:r>
      <w:r w:rsidR="007559FE">
        <w:rPr>
          <w:b/>
        </w:rPr>
        <w:t xml:space="preserve"> inovovala pětina</w:t>
      </w:r>
      <w:r w:rsidR="009E6615" w:rsidRPr="007E4EDD">
        <w:t xml:space="preserve"> podniků</w:t>
      </w:r>
      <w:r w:rsidR="007559FE">
        <w:t>, tj. více než</w:t>
      </w:r>
      <w:r w:rsidR="003406D8" w:rsidRPr="007E4EDD">
        <w:t xml:space="preserve"> polovina z </w:t>
      </w:r>
      <w:r w:rsidR="006927DD" w:rsidRPr="006927DD">
        <w:t>produktově inovujících podniků.</w:t>
      </w:r>
      <w:r w:rsidR="009E6615">
        <w:t xml:space="preserve"> Podniky mohly také inovovat současně své výrobky i služby. Učinilo tak </w:t>
      </w:r>
      <w:r w:rsidR="007559FE">
        <w:t>10,7</w:t>
      </w:r>
      <w:r w:rsidR="003A1184">
        <w:t> </w:t>
      </w:r>
      <w:r w:rsidR="009E6615">
        <w:t>% podniků (</w:t>
      </w:r>
      <w:r w:rsidR="00190695">
        <w:t>2</w:t>
      </w:r>
      <w:r w:rsidR="007559FE">
        <w:t>9,4</w:t>
      </w:r>
      <w:r w:rsidR="003A1184">
        <w:t> </w:t>
      </w:r>
      <w:r w:rsidR="009E6615">
        <w:t xml:space="preserve">% </w:t>
      </w:r>
      <w:r w:rsidR="009E6615" w:rsidRPr="006927DD">
        <w:t>produktově inovujících podniků</w:t>
      </w:r>
      <w:r w:rsidR="009E6615">
        <w:t xml:space="preserve">). </w:t>
      </w:r>
    </w:p>
    <w:p w14:paraId="7C658424" w14:textId="77777777" w:rsidR="006927DD" w:rsidRPr="003C2A63" w:rsidRDefault="000F5FCB" w:rsidP="002167E5">
      <w:pPr>
        <w:spacing w:before="120" w:after="60"/>
        <w:ind w:left="1134" w:hanging="1134"/>
        <w:rPr>
          <w:rFonts w:cs="Arial"/>
          <w:b/>
          <w:sz w:val="18"/>
          <w:szCs w:val="20"/>
        </w:rPr>
      </w:pPr>
      <w:r w:rsidRPr="003C2A63">
        <w:rPr>
          <w:rFonts w:cs="Arial"/>
          <w:b/>
          <w:sz w:val="18"/>
          <w:szCs w:val="20"/>
        </w:rPr>
        <w:t>G</w:t>
      </w:r>
      <w:r w:rsidR="00CF2091">
        <w:rPr>
          <w:rFonts w:cs="Arial"/>
          <w:b/>
          <w:sz w:val="18"/>
          <w:szCs w:val="20"/>
        </w:rPr>
        <w:t>RAF 16</w:t>
      </w:r>
      <w:r w:rsidR="006927DD" w:rsidRPr="003C2A63">
        <w:rPr>
          <w:rFonts w:cs="Arial"/>
          <w:b/>
          <w:sz w:val="18"/>
          <w:szCs w:val="20"/>
        </w:rPr>
        <w:t xml:space="preserve"> </w:t>
      </w:r>
      <w:r w:rsidR="00105C1A" w:rsidRPr="003C2A63">
        <w:rPr>
          <w:rFonts w:cs="Arial"/>
          <w:b/>
          <w:sz w:val="18"/>
          <w:szCs w:val="20"/>
        </w:rPr>
        <w:t xml:space="preserve">Podíl podniků </w:t>
      </w:r>
      <w:r w:rsidR="003406D8">
        <w:rPr>
          <w:rFonts w:cs="Arial"/>
          <w:b/>
          <w:sz w:val="18"/>
          <w:szCs w:val="20"/>
        </w:rPr>
        <w:t xml:space="preserve">s produktovou inovací </w:t>
      </w:r>
      <w:r w:rsidR="00105C1A" w:rsidRPr="003C2A63">
        <w:rPr>
          <w:b/>
          <w:sz w:val="18"/>
        </w:rPr>
        <w:t>na celkovém počtu podniků v dané skupině</w:t>
      </w:r>
      <w:r w:rsidR="00D76CAD">
        <w:rPr>
          <w:rFonts w:cs="Arial"/>
          <w:b/>
          <w:sz w:val="18"/>
          <w:szCs w:val="20"/>
        </w:rPr>
        <w:t>; 2018–2020</w:t>
      </w:r>
    </w:p>
    <w:p w14:paraId="5D8B5B01" w14:textId="77777777" w:rsidR="006927DD" w:rsidRDefault="007132AB" w:rsidP="006927DD">
      <w:r>
        <w:rPr>
          <w:noProof/>
        </w:rPr>
        <w:drawing>
          <wp:inline distT="0" distB="0" distL="0" distR="0" wp14:anchorId="72FB40E8" wp14:editId="292758DF">
            <wp:extent cx="6120000" cy="2520000"/>
            <wp:effectExtent l="0" t="0" r="14605" b="13970"/>
            <wp:docPr id="4" name="Graf 4">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2F0E01" w14:textId="77777777" w:rsidR="0055711D" w:rsidRPr="00B2746E" w:rsidRDefault="0055711D" w:rsidP="0055711D">
      <w:pPr>
        <w:spacing w:before="60" w:after="60"/>
        <w:jc w:val="right"/>
        <w:rPr>
          <w:i/>
          <w:sz w:val="18"/>
        </w:rPr>
      </w:pPr>
      <w:r w:rsidRPr="00B2746E">
        <w:rPr>
          <w:i/>
          <w:sz w:val="18"/>
        </w:rPr>
        <w:t>Zdroj: ČSÚ, Šetření o inovačních aktivitách podniků</w:t>
      </w:r>
    </w:p>
    <w:p w14:paraId="163911A2" w14:textId="77777777" w:rsidR="00757FAD" w:rsidRDefault="006927DD" w:rsidP="0055711D">
      <w:pPr>
        <w:spacing w:before="120" w:after="60"/>
        <w:jc w:val="both"/>
      </w:pPr>
      <w:r w:rsidRPr="008552CF">
        <w:t>Velmi rozdílné podíly zavedených typů produktové inovace jsou v případě rozlišení podle odvětvové klasifikace</w:t>
      </w:r>
      <w:r w:rsidR="00AF7CC8">
        <w:t xml:space="preserve"> ekonomických činností</w:t>
      </w:r>
      <w:r w:rsidR="000A1E13">
        <w:t xml:space="preserve">, což </w:t>
      </w:r>
      <w:r w:rsidRPr="008552CF">
        <w:t xml:space="preserve">je </w:t>
      </w:r>
      <w:r w:rsidR="000A1E13">
        <w:t xml:space="preserve">samozřejmě </w:t>
      </w:r>
      <w:r w:rsidRPr="008552CF">
        <w:t>dáno povahou činností v</w:t>
      </w:r>
      <w:r w:rsidR="00AF7CC8">
        <w:t xml:space="preserve"> daném </w:t>
      </w:r>
      <w:r w:rsidRPr="008552CF">
        <w:t>odvětví. Proto například informační a telekomunikační činnosti mají velmi nízký podíl inovace výrobku</w:t>
      </w:r>
      <w:r w:rsidR="00D056BE">
        <w:t xml:space="preserve"> (33,8 %)</w:t>
      </w:r>
      <w:r w:rsidRPr="008552CF">
        <w:t xml:space="preserve"> a vysoký podíl inovace služby</w:t>
      </w:r>
      <w:r w:rsidR="00D056BE">
        <w:t xml:space="preserve"> (50,2 %)</w:t>
      </w:r>
      <w:r w:rsidRPr="008552CF">
        <w:t xml:space="preserve">. Stejně tak </w:t>
      </w:r>
      <w:r w:rsidR="00970B58">
        <w:t xml:space="preserve">tomu je i </w:t>
      </w:r>
      <w:r w:rsidRPr="008552CF">
        <w:t>v peně</w:t>
      </w:r>
      <w:r w:rsidR="00970B58">
        <w:t>žnictví a pojišťovnictví</w:t>
      </w:r>
      <w:r w:rsidRPr="008552CF">
        <w:t xml:space="preserve">. </w:t>
      </w:r>
      <w:r w:rsidR="00173A87">
        <w:t>Obecně ve službách převládá inovace služby nad inovací výrobku.</w:t>
      </w:r>
      <w:r w:rsidR="001E176E">
        <w:t xml:space="preserve"> </w:t>
      </w:r>
      <w:r w:rsidR="00173A87">
        <w:t xml:space="preserve">Zcela opačná situace panuje </w:t>
      </w:r>
      <w:r w:rsidR="00173A87" w:rsidRPr="008552CF">
        <w:t>u podniků</w:t>
      </w:r>
      <w:r w:rsidR="007154E1">
        <w:t xml:space="preserve"> v </w:t>
      </w:r>
      <w:r w:rsidR="00173A87">
        <w:t>průmyslu, které se</w:t>
      </w:r>
      <w:r w:rsidR="00B33DCD">
        <w:t xml:space="preserve"> naopak</w:t>
      </w:r>
      <w:r w:rsidR="00173A87">
        <w:t xml:space="preserve"> zaměřují zejména na inovaci výroků</w:t>
      </w:r>
      <w:r w:rsidR="001E176E">
        <w:t>.</w:t>
      </w:r>
      <w:r w:rsidR="00173A87">
        <w:t xml:space="preserve"> </w:t>
      </w:r>
      <w:r w:rsidR="00D056BE">
        <w:t>Ve zpracovatelském průmyslu inovovalo výrobek 37,1 % podniků a inovací služby se zabývalo 15,2 % podniků.</w:t>
      </w:r>
    </w:p>
    <w:p w14:paraId="26664274" w14:textId="77777777" w:rsidR="006927DD" w:rsidRPr="003C2A63" w:rsidRDefault="008552CF" w:rsidP="00542D4A">
      <w:pPr>
        <w:spacing w:before="120" w:after="60"/>
        <w:ind w:left="709" w:hanging="709"/>
        <w:rPr>
          <w:rFonts w:cs="Arial"/>
          <w:b/>
          <w:sz w:val="18"/>
          <w:szCs w:val="20"/>
        </w:rPr>
      </w:pPr>
      <w:r w:rsidRPr="003C2A63">
        <w:rPr>
          <w:rFonts w:cs="Arial"/>
          <w:b/>
          <w:sz w:val="18"/>
          <w:szCs w:val="20"/>
        </w:rPr>
        <w:t>G</w:t>
      </w:r>
      <w:r w:rsidR="00BE22F5">
        <w:rPr>
          <w:rFonts w:cs="Arial"/>
          <w:b/>
          <w:sz w:val="18"/>
          <w:szCs w:val="20"/>
        </w:rPr>
        <w:t>RAF 1</w:t>
      </w:r>
      <w:r w:rsidR="00FF2431">
        <w:rPr>
          <w:rFonts w:cs="Arial"/>
          <w:b/>
          <w:sz w:val="18"/>
          <w:szCs w:val="20"/>
        </w:rPr>
        <w:t>7</w:t>
      </w:r>
      <w:r w:rsidR="006927DD" w:rsidRPr="003C2A63">
        <w:rPr>
          <w:rFonts w:cs="Arial"/>
          <w:b/>
          <w:sz w:val="18"/>
          <w:szCs w:val="20"/>
        </w:rPr>
        <w:t xml:space="preserve"> </w:t>
      </w:r>
      <w:r w:rsidR="00970B58" w:rsidRPr="003C2A63">
        <w:rPr>
          <w:rFonts w:cs="Arial"/>
          <w:b/>
          <w:sz w:val="18"/>
          <w:szCs w:val="20"/>
        </w:rPr>
        <w:t xml:space="preserve">Podíl podniků </w:t>
      </w:r>
      <w:r w:rsidR="001E176E">
        <w:rPr>
          <w:rFonts w:cs="Arial"/>
          <w:b/>
          <w:sz w:val="18"/>
          <w:szCs w:val="20"/>
        </w:rPr>
        <w:t xml:space="preserve">s inovací produktu </w:t>
      </w:r>
      <w:r w:rsidR="00970B58" w:rsidRPr="003C2A63">
        <w:rPr>
          <w:b/>
          <w:sz w:val="18"/>
        </w:rPr>
        <w:t xml:space="preserve">na celkovém počtu podniků </w:t>
      </w:r>
      <w:r w:rsidR="000435CC" w:rsidRPr="003C2A63">
        <w:rPr>
          <w:rFonts w:cs="Arial"/>
          <w:b/>
          <w:sz w:val="18"/>
          <w:szCs w:val="20"/>
        </w:rPr>
        <w:t>ve</w:t>
      </w:r>
      <w:r w:rsidRPr="003C2A63">
        <w:rPr>
          <w:rFonts w:cs="Arial"/>
          <w:b/>
          <w:sz w:val="18"/>
          <w:szCs w:val="20"/>
        </w:rPr>
        <w:t xml:space="preserve"> vybraných </w:t>
      </w:r>
      <w:r w:rsidR="00400042" w:rsidRPr="003C2A63">
        <w:rPr>
          <w:rFonts w:cs="Arial"/>
          <w:b/>
          <w:sz w:val="18"/>
          <w:szCs w:val="20"/>
        </w:rPr>
        <w:t>sekcích</w:t>
      </w:r>
      <w:r w:rsidR="00970B58" w:rsidRPr="003C2A63">
        <w:rPr>
          <w:rFonts w:cs="Arial"/>
          <w:b/>
          <w:sz w:val="18"/>
          <w:szCs w:val="20"/>
        </w:rPr>
        <w:t xml:space="preserve"> CZ-</w:t>
      </w:r>
      <w:r w:rsidR="00542D4A" w:rsidRPr="003C2A63">
        <w:rPr>
          <w:rFonts w:cs="Arial"/>
          <w:b/>
          <w:sz w:val="18"/>
          <w:szCs w:val="20"/>
        </w:rPr>
        <w:t>NACE;</w:t>
      </w:r>
      <w:r w:rsidR="00542D4A">
        <w:rPr>
          <w:rFonts w:cs="Arial"/>
          <w:b/>
          <w:sz w:val="18"/>
          <w:szCs w:val="20"/>
        </w:rPr>
        <w:t xml:space="preserve">       </w:t>
      </w:r>
      <w:r w:rsidR="00FF2431">
        <w:rPr>
          <w:rFonts w:cs="Arial"/>
          <w:b/>
          <w:sz w:val="18"/>
          <w:szCs w:val="20"/>
        </w:rPr>
        <w:t>2018–2020</w:t>
      </w:r>
    </w:p>
    <w:p w14:paraId="3C10245F" w14:textId="77777777" w:rsidR="00CF7035" w:rsidRPr="00210640" w:rsidRDefault="00CD5A48" w:rsidP="00953480">
      <w:pPr>
        <w:rPr>
          <w:rFonts w:cs="Arial"/>
          <w:i/>
          <w:sz w:val="18"/>
        </w:rPr>
      </w:pPr>
      <w:r>
        <w:rPr>
          <w:noProof/>
        </w:rPr>
        <w:drawing>
          <wp:inline distT="0" distB="0" distL="0" distR="0" wp14:anchorId="19392DA9" wp14:editId="5E8C5E6D">
            <wp:extent cx="6120000" cy="2520000"/>
            <wp:effectExtent l="0" t="0" r="14605" b="13970"/>
            <wp:docPr id="30" name="Graf 30">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502E3F" w14:textId="77777777" w:rsidR="009817C3" w:rsidRDefault="009817C3" w:rsidP="003630C8">
      <w:pPr>
        <w:spacing w:before="120" w:after="60"/>
        <w:jc w:val="both"/>
        <w:rPr>
          <w:rFonts w:cs="Arial"/>
          <w:i/>
          <w:sz w:val="18"/>
        </w:rPr>
      </w:pPr>
      <w:r w:rsidRPr="00D056BE">
        <w:rPr>
          <w:rFonts w:cs="Arial"/>
          <w:i/>
          <w:sz w:val="18"/>
        </w:rPr>
        <w:t>POZN.: Kompletní přehled všech sledovaných sekcí viz tabulky 1</w:t>
      </w:r>
      <w:r w:rsidR="00D056BE" w:rsidRPr="00D056BE">
        <w:rPr>
          <w:rFonts w:cs="Arial"/>
          <w:i/>
          <w:sz w:val="18"/>
        </w:rPr>
        <w:t>9</w:t>
      </w:r>
      <w:r w:rsidRPr="00D056BE">
        <w:rPr>
          <w:rFonts w:cs="Arial"/>
          <w:i/>
          <w:sz w:val="18"/>
        </w:rPr>
        <w:t>A a 1</w:t>
      </w:r>
      <w:r w:rsidR="00D056BE" w:rsidRPr="00D056BE">
        <w:rPr>
          <w:rFonts w:cs="Arial"/>
          <w:i/>
          <w:sz w:val="18"/>
        </w:rPr>
        <w:t>9</w:t>
      </w:r>
      <w:r w:rsidRPr="00D056BE">
        <w:rPr>
          <w:rFonts w:cs="Arial"/>
          <w:i/>
          <w:sz w:val="18"/>
        </w:rPr>
        <w:t>B v tabulkové příloze.</w:t>
      </w:r>
      <w:r w:rsidRPr="00D768AA">
        <w:rPr>
          <w:rFonts w:cs="Arial"/>
          <w:i/>
          <w:sz w:val="18"/>
        </w:rPr>
        <w:t xml:space="preserve"> </w:t>
      </w:r>
    </w:p>
    <w:p w14:paraId="690B09A4" w14:textId="77777777" w:rsidR="0055711D" w:rsidRPr="00B2746E" w:rsidRDefault="0055711D" w:rsidP="0055711D">
      <w:pPr>
        <w:spacing w:before="60" w:after="60"/>
        <w:jc w:val="right"/>
        <w:rPr>
          <w:i/>
          <w:sz w:val="18"/>
        </w:rPr>
      </w:pPr>
      <w:r w:rsidRPr="00B2746E">
        <w:rPr>
          <w:i/>
          <w:sz w:val="18"/>
        </w:rPr>
        <w:t>Zdroj: ČSÚ, Šetření o inovačních aktivitách podniků</w:t>
      </w:r>
    </w:p>
    <w:p w14:paraId="677DC1DA" w14:textId="02948669" w:rsidR="008229A3" w:rsidRDefault="008229A3" w:rsidP="003630C8">
      <w:pPr>
        <w:spacing w:before="120" w:after="60"/>
        <w:jc w:val="both"/>
      </w:pPr>
      <w:r>
        <w:rPr>
          <w:rFonts w:cs="Arial"/>
          <w:szCs w:val="20"/>
        </w:rPr>
        <w:lastRenderedPageBreak/>
        <w:t xml:space="preserve">V rámci </w:t>
      </w:r>
      <w:r w:rsidRPr="006168D6">
        <w:rPr>
          <w:rFonts w:cs="Arial"/>
          <w:b/>
          <w:szCs w:val="20"/>
        </w:rPr>
        <w:t>zpracovatelského průmyslu</w:t>
      </w:r>
      <w:r>
        <w:rPr>
          <w:rFonts w:cs="Arial"/>
          <w:szCs w:val="20"/>
        </w:rPr>
        <w:t xml:space="preserve"> </w:t>
      </w:r>
      <w:r w:rsidR="00142356">
        <w:rPr>
          <w:rFonts w:cs="Arial"/>
          <w:szCs w:val="20"/>
        </w:rPr>
        <w:t>zavedla</w:t>
      </w:r>
      <w:r w:rsidR="001E176E">
        <w:rPr>
          <w:rFonts w:cs="Arial"/>
          <w:szCs w:val="20"/>
        </w:rPr>
        <w:t xml:space="preserve"> na trh nový nebo podstatně zlepšený výrobek více </w:t>
      </w:r>
      <w:r w:rsidR="00DE36E5">
        <w:rPr>
          <w:rFonts w:cs="Arial"/>
          <w:szCs w:val="20"/>
        </w:rPr>
        <w:t>než</w:t>
      </w:r>
      <w:r w:rsidR="001E176E">
        <w:rPr>
          <w:rFonts w:cs="Arial"/>
          <w:szCs w:val="20"/>
        </w:rPr>
        <w:t xml:space="preserve"> polovina firem</w:t>
      </w:r>
      <w:r w:rsidR="00610118">
        <w:rPr>
          <w:rFonts w:cs="Arial"/>
          <w:szCs w:val="20"/>
        </w:rPr>
        <w:t xml:space="preserve"> ve čtyřech odvětvích.</w:t>
      </w:r>
      <w:r w:rsidR="00142356">
        <w:rPr>
          <w:rFonts w:cs="Arial"/>
          <w:szCs w:val="20"/>
        </w:rPr>
        <w:t xml:space="preserve"> </w:t>
      </w:r>
      <w:r w:rsidR="00610118">
        <w:rPr>
          <w:rFonts w:cs="Arial"/>
          <w:szCs w:val="20"/>
        </w:rPr>
        <w:t xml:space="preserve">Nejvíce inovovaly své výrobky podniky </w:t>
      </w:r>
      <w:r w:rsidR="00142356">
        <w:rPr>
          <w:rFonts w:cs="Arial"/>
          <w:szCs w:val="20"/>
        </w:rPr>
        <w:t>v petrochemickém a chemickém průmyslu</w:t>
      </w:r>
      <w:r w:rsidR="00610118">
        <w:rPr>
          <w:rFonts w:cs="Arial"/>
          <w:szCs w:val="20"/>
        </w:rPr>
        <w:t xml:space="preserve"> (62 %)</w:t>
      </w:r>
      <w:r w:rsidR="001E176E">
        <w:rPr>
          <w:rFonts w:cs="Arial"/>
          <w:szCs w:val="20"/>
        </w:rPr>
        <w:t xml:space="preserve">. </w:t>
      </w:r>
      <w:r>
        <w:t>Vysokého podílu dosáhl</w:t>
      </w:r>
      <w:r w:rsidR="009B2251">
        <w:t>y i</w:t>
      </w:r>
      <w:r>
        <w:t xml:space="preserve"> </w:t>
      </w:r>
      <w:r w:rsidR="001E176E">
        <w:t>podniky v</w:t>
      </w:r>
      <w:r w:rsidR="00610118">
        <w:t> </w:t>
      </w:r>
      <w:r>
        <w:rPr>
          <w:rFonts w:cs="Arial"/>
          <w:szCs w:val="20"/>
        </w:rPr>
        <w:t>elektronick</w:t>
      </w:r>
      <w:r w:rsidR="001E176E">
        <w:rPr>
          <w:rFonts w:cs="Arial"/>
          <w:szCs w:val="20"/>
        </w:rPr>
        <w:t>ém</w:t>
      </w:r>
      <w:r w:rsidR="00610118">
        <w:rPr>
          <w:rFonts w:cs="Arial"/>
          <w:szCs w:val="20"/>
        </w:rPr>
        <w:t xml:space="preserve"> </w:t>
      </w:r>
      <w:r>
        <w:t>průmysl</w:t>
      </w:r>
      <w:r w:rsidR="00542D4A">
        <w:t>u</w:t>
      </w:r>
      <w:r w:rsidR="001E176E">
        <w:t xml:space="preserve">, </w:t>
      </w:r>
      <w:r w:rsidR="00610118">
        <w:t>kde své výrobky inovovalo rovných 60</w:t>
      </w:r>
      <w:r w:rsidR="001E176E">
        <w:t> % z nich.</w:t>
      </w:r>
      <w:r w:rsidR="003630C8">
        <w:t xml:space="preserve"> </w:t>
      </w:r>
      <w:r w:rsidR="00610118">
        <w:t xml:space="preserve">V automobilovém průmyslu inovovalo výrobky </w:t>
      </w:r>
      <w:r w:rsidR="009D7AF5">
        <w:t>43 </w:t>
      </w:r>
      <w:r w:rsidR="00610118">
        <w:t xml:space="preserve">% podniků, </w:t>
      </w:r>
      <w:r w:rsidR="009D7AF5">
        <w:t xml:space="preserve">což bylo </w:t>
      </w:r>
      <w:r w:rsidR="00610118">
        <w:t>shodně jako v elektrotechnickém průmyslu.</w:t>
      </w:r>
    </w:p>
    <w:p w14:paraId="5E82A9E6" w14:textId="77777777" w:rsidR="008229A3" w:rsidRPr="008229A3" w:rsidRDefault="00D41F3D" w:rsidP="00542D4A">
      <w:pPr>
        <w:spacing w:after="60"/>
        <w:jc w:val="both"/>
        <w:rPr>
          <w:rFonts w:cs="Arial"/>
          <w:szCs w:val="20"/>
        </w:rPr>
      </w:pPr>
      <w:r>
        <w:t>Inovaci služeb, která má v případě podniků zpracovatelského průmyslu spíše doplňkovou roli, se věnovaly nejvíce podniky v elektronickém průmyslu</w:t>
      </w:r>
      <w:r w:rsidR="001E176E">
        <w:t xml:space="preserve">, </w:t>
      </w:r>
      <w:r w:rsidR="00BF5417">
        <w:t xml:space="preserve">jednalo se o </w:t>
      </w:r>
      <w:r w:rsidR="001E176E">
        <w:t>čtvrtin</w:t>
      </w:r>
      <w:r w:rsidR="00BF5417">
        <w:t>u</w:t>
      </w:r>
      <w:r w:rsidR="001E176E">
        <w:t xml:space="preserve"> z nich.</w:t>
      </w:r>
      <w:r>
        <w:t xml:space="preserve"> V ostatních odvětvích zpracovatelského průmyslu byl podíl podnik</w:t>
      </w:r>
      <w:r w:rsidR="000933FB">
        <w:t>ů inovujících služby nižší než 20</w:t>
      </w:r>
      <w:r w:rsidR="00BF5417">
        <w:t> </w:t>
      </w:r>
      <w:r>
        <w:t xml:space="preserve">%. </w:t>
      </w:r>
    </w:p>
    <w:p w14:paraId="55BCD75C" w14:textId="77777777" w:rsidR="00757FAD" w:rsidRPr="00C92798" w:rsidRDefault="00757FAD" w:rsidP="00542D4A">
      <w:pPr>
        <w:spacing w:before="120" w:after="60"/>
        <w:ind w:left="1134" w:hanging="1134"/>
        <w:rPr>
          <w:rFonts w:cs="Arial"/>
          <w:b/>
          <w:sz w:val="18"/>
          <w:szCs w:val="20"/>
        </w:rPr>
      </w:pPr>
      <w:r w:rsidRPr="00C92798">
        <w:rPr>
          <w:rFonts w:cs="Arial"/>
          <w:b/>
          <w:sz w:val="18"/>
          <w:szCs w:val="20"/>
        </w:rPr>
        <w:t>G</w:t>
      </w:r>
      <w:r w:rsidR="00BE1F41">
        <w:rPr>
          <w:rFonts w:cs="Arial"/>
          <w:b/>
          <w:sz w:val="18"/>
          <w:szCs w:val="20"/>
        </w:rPr>
        <w:t>RAF 18</w:t>
      </w:r>
      <w:r w:rsidRPr="00C92798">
        <w:rPr>
          <w:rFonts w:cs="Arial"/>
          <w:b/>
          <w:sz w:val="18"/>
          <w:szCs w:val="20"/>
        </w:rPr>
        <w:t xml:space="preserve"> Podíl podniků </w:t>
      </w:r>
      <w:r w:rsidR="001E176E">
        <w:rPr>
          <w:rFonts w:cs="Arial"/>
          <w:b/>
          <w:sz w:val="18"/>
          <w:szCs w:val="20"/>
        </w:rPr>
        <w:t>s inovací produktu</w:t>
      </w:r>
      <w:r w:rsidRPr="00C92798">
        <w:rPr>
          <w:rFonts w:cs="Arial"/>
          <w:b/>
          <w:sz w:val="18"/>
          <w:szCs w:val="20"/>
        </w:rPr>
        <w:t xml:space="preserve"> v odvětvích</w:t>
      </w:r>
      <w:r w:rsidR="00A71D57">
        <w:rPr>
          <w:rFonts w:cs="Arial"/>
          <w:b/>
          <w:sz w:val="18"/>
          <w:szCs w:val="20"/>
        </w:rPr>
        <w:t xml:space="preserve"> zpracovatelského průmyslu; 2018–2020</w:t>
      </w:r>
    </w:p>
    <w:p w14:paraId="489ED976" w14:textId="77777777" w:rsidR="00757FAD" w:rsidRDefault="003B0C72" w:rsidP="003060E9">
      <w:pPr>
        <w:spacing w:after="60"/>
        <w:jc w:val="both"/>
      </w:pPr>
      <w:r>
        <w:rPr>
          <w:noProof/>
        </w:rPr>
        <w:drawing>
          <wp:inline distT="0" distB="0" distL="0" distR="0" wp14:anchorId="34CBD681" wp14:editId="0AF0D434">
            <wp:extent cx="6120000" cy="4320000"/>
            <wp:effectExtent l="0" t="0" r="14605" b="4445"/>
            <wp:docPr id="32" name="Graf 32">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095312" w14:textId="77777777" w:rsidR="0055711D" w:rsidRPr="00B2746E" w:rsidRDefault="0055711D" w:rsidP="0055711D">
      <w:pPr>
        <w:spacing w:before="60" w:after="60"/>
        <w:jc w:val="right"/>
        <w:rPr>
          <w:i/>
          <w:sz w:val="18"/>
        </w:rPr>
      </w:pPr>
      <w:r w:rsidRPr="00B2746E">
        <w:rPr>
          <w:i/>
          <w:sz w:val="18"/>
        </w:rPr>
        <w:t>Zdroj: ČSÚ, Šetření o inovačních aktivitách podniků</w:t>
      </w:r>
    </w:p>
    <w:p w14:paraId="2DC48CCB" w14:textId="77777777" w:rsidR="00A1259E" w:rsidRPr="00A1259E" w:rsidRDefault="00A1259E" w:rsidP="002B6AC4">
      <w:pPr>
        <w:pStyle w:val="Nadpis4"/>
        <w:spacing w:before="240"/>
        <w:rPr>
          <w:color w:val="009BB4"/>
        </w:rPr>
      </w:pPr>
      <w:r w:rsidRPr="00A1259E">
        <w:rPr>
          <w:rStyle w:val="st"/>
          <w:color w:val="009BB4"/>
        </w:rPr>
        <w:t>3.2.3</w:t>
      </w:r>
      <w:r w:rsidR="00AE3DD8">
        <w:rPr>
          <w:rStyle w:val="st"/>
          <w:color w:val="009BB4"/>
        </w:rPr>
        <w:t>.2</w:t>
      </w:r>
      <w:r w:rsidRPr="00A1259E">
        <w:rPr>
          <w:rStyle w:val="st"/>
          <w:color w:val="009BB4"/>
        </w:rPr>
        <w:t xml:space="preserve"> P</w:t>
      </w:r>
      <w:r w:rsidR="00D1176D">
        <w:rPr>
          <w:rStyle w:val="st"/>
          <w:color w:val="009BB4"/>
        </w:rPr>
        <w:t>ůvodce produktových inovací</w:t>
      </w:r>
    </w:p>
    <w:p w14:paraId="685A0483" w14:textId="77777777" w:rsidR="00011387" w:rsidRDefault="00D1176D" w:rsidP="00A1259E">
      <w:pPr>
        <w:spacing w:before="60" w:after="60"/>
        <w:jc w:val="both"/>
      </w:pPr>
      <w:r>
        <w:t xml:space="preserve">V rámci statistického zjišťování o inovačních aktivitách firem se sledovalo i kdo </w:t>
      </w:r>
      <w:r w:rsidRPr="00835375">
        <w:rPr>
          <w:b/>
        </w:rPr>
        <w:t>vyvíjel produktové inovace</w:t>
      </w:r>
      <w:r>
        <w:t xml:space="preserve"> zavedené na trh podniky v</w:t>
      </w:r>
      <w:r w:rsidR="00757FA8">
        <w:t>e</w:t>
      </w:r>
      <w:r>
        <w:t xml:space="preserve"> sledovaném období. </w:t>
      </w:r>
      <w:r w:rsidRPr="00D1176D">
        <w:t>Inovace mohla být vyvinuta podnikem</w:t>
      </w:r>
      <w:r w:rsidR="00011387">
        <w:t xml:space="preserve"> plně ve vlastní režii</w:t>
      </w:r>
      <w:r w:rsidRPr="00D1176D">
        <w:t>, ve spolupráci s jiným subjektem, jiným subjektem</w:t>
      </w:r>
      <w:r w:rsidR="00011387">
        <w:t xml:space="preserve"> na základě zadání či šlo o „pouhou“ úpravu </w:t>
      </w:r>
      <w:r w:rsidR="00011387" w:rsidRPr="00011387">
        <w:t>(napodob</w:t>
      </w:r>
      <w:r w:rsidR="00011387">
        <w:t xml:space="preserve">ení či přizpůsobení) výrobku či služby </w:t>
      </w:r>
      <w:r w:rsidR="00011387" w:rsidRPr="00011387">
        <w:t>jiného subjektu</w:t>
      </w:r>
      <w:r w:rsidR="00011387">
        <w:t>. Jelikož po</w:t>
      </w:r>
      <w:r w:rsidR="00011387" w:rsidRPr="00011387">
        <w:t>dnik může inovovat/vyvíjet produkty ve svém portfoliu odlišným způsobem</w:t>
      </w:r>
      <w:r w:rsidR="00011387">
        <w:t xml:space="preserve"> a mohl během sledovaného období zavést více inovovaných produktů či služeb, </w:t>
      </w:r>
      <w:r w:rsidR="00011387" w:rsidRPr="00C82F33">
        <w:t>součet odpovědí za jednotlivé kate</w:t>
      </w:r>
      <w:r w:rsidR="00757FA8" w:rsidRPr="00C82F33">
        <w:t>gorie může být vyšší než 100 %.</w:t>
      </w:r>
    </w:p>
    <w:p w14:paraId="606BFB57" w14:textId="3FD857F4" w:rsidR="00870703" w:rsidRDefault="00870703" w:rsidP="00870703">
      <w:pPr>
        <w:spacing w:before="60" w:after="60"/>
        <w:jc w:val="both"/>
      </w:pPr>
      <w:r>
        <w:t xml:space="preserve">Podniky s inovací produktu nejčastěji své </w:t>
      </w:r>
      <w:r w:rsidRPr="00AF622E">
        <w:t>nové či zásadně zdokonalené</w:t>
      </w:r>
      <w:r w:rsidRPr="00AF622E">
        <w:rPr>
          <w:b/>
        </w:rPr>
        <w:t xml:space="preserve"> </w:t>
      </w:r>
      <w:r w:rsidRPr="00CF7C03">
        <w:t>produkty</w:t>
      </w:r>
      <w:r>
        <w:rPr>
          <w:b/>
        </w:rPr>
        <w:t xml:space="preserve"> </w:t>
      </w:r>
      <w:r w:rsidRPr="00CF7C03">
        <w:t>vyvíjely</w:t>
      </w:r>
      <w:r>
        <w:rPr>
          <w:b/>
        </w:rPr>
        <w:t xml:space="preserve"> ve vlastní režii. </w:t>
      </w:r>
      <w:r w:rsidRPr="00CF7C03">
        <w:t>Tut</w:t>
      </w:r>
      <w:r w:rsidR="00E72736">
        <w:t>o skutečnost uvedlo 70,6</w:t>
      </w:r>
      <w:r w:rsidRPr="00CF7C03">
        <w:t> % pod</w:t>
      </w:r>
      <w:r w:rsidR="00E72736">
        <w:t>niků s deseti a více zaměstnanými osobami</w:t>
      </w:r>
      <w:r w:rsidRPr="00CF7C03">
        <w:t xml:space="preserve"> v</w:t>
      </w:r>
      <w:r w:rsidR="00084837">
        <w:t>e</w:t>
      </w:r>
      <w:r w:rsidRPr="00CF7C03">
        <w:t> sledovaných odvětvích, které</w:t>
      </w:r>
      <w:r>
        <w:rPr>
          <w:b/>
        </w:rPr>
        <w:t xml:space="preserve"> </w:t>
      </w:r>
      <w:r w:rsidR="00E72736">
        <w:t>v období 2018–2020</w:t>
      </w:r>
      <w:r>
        <w:t xml:space="preserve"> zavedly na trh inovaci produktu. Častěji tak činily domácí podniky</w:t>
      </w:r>
      <w:r w:rsidR="00CA492E">
        <w:t xml:space="preserve"> (79,3 %)</w:t>
      </w:r>
      <w:r>
        <w:t xml:space="preserve"> v porovnání s podniky pod zahraniční kontrolou</w:t>
      </w:r>
      <w:r w:rsidR="00CA492E">
        <w:t xml:space="preserve"> (42,1 %)</w:t>
      </w:r>
      <w:r>
        <w:t xml:space="preserve"> a malé</w:t>
      </w:r>
      <w:r w:rsidR="00CA492E">
        <w:t xml:space="preserve"> (74,5 %)</w:t>
      </w:r>
      <w:r>
        <w:t xml:space="preserve"> a střední</w:t>
      </w:r>
      <w:r w:rsidR="00CA492E">
        <w:t xml:space="preserve"> (64 %)</w:t>
      </w:r>
      <w:r>
        <w:t xml:space="preserve"> podniky v porovnání s těmi velkými</w:t>
      </w:r>
      <w:r w:rsidR="00CA492E">
        <w:t xml:space="preserve"> (59,2 %)</w:t>
      </w:r>
      <w:r>
        <w:t>.</w:t>
      </w:r>
    </w:p>
    <w:p w14:paraId="29962C12" w14:textId="77777777" w:rsidR="00835375" w:rsidRDefault="00835375" w:rsidP="00835375">
      <w:pPr>
        <w:spacing w:before="60" w:after="60"/>
        <w:jc w:val="both"/>
      </w:pPr>
      <w:r w:rsidRPr="003060E9">
        <w:t xml:space="preserve">Podíl </w:t>
      </w:r>
      <w:r>
        <w:t xml:space="preserve">produktově inovujících </w:t>
      </w:r>
      <w:r w:rsidRPr="003060E9">
        <w:t xml:space="preserve">podniků, </w:t>
      </w:r>
      <w:r>
        <w:t>které vyvíjely inovované produkty</w:t>
      </w:r>
      <w:r w:rsidRPr="003060E9">
        <w:t xml:space="preserve"> ve </w:t>
      </w:r>
      <w:r w:rsidRPr="00835375">
        <w:rPr>
          <w:b/>
        </w:rPr>
        <w:t>spolupráci</w:t>
      </w:r>
      <w:r w:rsidRPr="003060E9">
        <w:t xml:space="preserve"> s</w:t>
      </w:r>
      <w:r>
        <w:t> </w:t>
      </w:r>
      <w:r w:rsidRPr="003060E9">
        <w:t>jiným</w:t>
      </w:r>
      <w:r w:rsidR="00E72736">
        <w:t xml:space="preserve"> subjektem, dosáhl 41</w:t>
      </w:r>
      <w:r>
        <w:t xml:space="preserve"> %. Častěji tak činí velké firmy a firmy pod zahraniční kontrolou, které využívají především </w:t>
      </w:r>
      <w:r w:rsidRPr="00835375">
        <w:rPr>
          <w:b/>
        </w:rPr>
        <w:lastRenderedPageBreak/>
        <w:t>spolupráci v rámci skupiny podniků</w:t>
      </w:r>
      <w:r>
        <w:t>. Tento způsob vývoje ino</w:t>
      </w:r>
      <w:r w:rsidR="00C82F33">
        <w:t>vovaných produktů uvedla více než</w:t>
      </w:r>
      <w:r>
        <w:t xml:space="preserve"> polovina z nich. </w:t>
      </w:r>
      <w:r w:rsidR="00CE6B14">
        <w:t>V případě podniků pod zahraniční kontrolou podíl dosáhl 67,5 %.</w:t>
      </w:r>
    </w:p>
    <w:p w14:paraId="012584DC" w14:textId="77777777" w:rsidR="007A2E47" w:rsidRDefault="00835375" w:rsidP="00835375">
      <w:pPr>
        <w:spacing w:before="60" w:after="60"/>
        <w:jc w:val="both"/>
      </w:pPr>
      <w:r>
        <w:t>S</w:t>
      </w:r>
      <w:r w:rsidRPr="003060E9">
        <w:t> </w:t>
      </w:r>
      <w:r w:rsidRPr="00DC66ED">
        <w:rPr>
          <w:b/>
        </w:rPr>
        <w:t>vysokými školami nebo ostatními veřejnými výzkumnými organizacemi spolupracovala</w:t>
      </w:r>
      <w:r>
        <w:t xml:space="preserve"> na vývoji nových produktů</w:t>
      </w:r>
      <w:r w:rsidRPr="003060E9">
        <w:t xml:space="preserve"> </w:t>
      </w:r>
      <w:r>
        <w:t>desetina</w:t>
      </w:r>
      <w:r w:rsidR="00387E13">
        <w:t xml:space="preserve"> produktově inovujících podniků.</w:t>
      </w:r>
      <w:r>
        <w:t xml:space="preserve"> Tento způsob </w:t>
      </w:r>
      <w:r w:rsidR="00BB6DC2">
        <w:t xml:space="preserve">spolupráce </w:t>
      </w:r>
      <w:r>
        <w:t>více využívají velké firmy, kde tak učinila téměř čtvrtina s produkt</w:t>
      </w:r>
      <w:r w:rsidR="00387E13">
        <w:t>ovou inovací</w:t>
      </w:r>
      <w:r>
        <w:t>.</w:t>
      </w:r>
      <w:r w:rsidR="00BB6DC2">
        <w:t xml:space="preserve"> Aktivněji</w:t>
      </w:r>
      <w:r w:rsidR="00387E13">
        <w:t xml:space="preserve"> s vysokými školami a veřejnými výzkumnými organizacemi spolupracují na vývoji produktové inovace domácí podniky (12,7 %) než podniky pod zahraniční kontrolou (8,1 %)</w:t>
      </w:r>
    </w:p>
    <w:p w14:paraId="1766A8FE" w14:textId="77777777" w:rsidR="002E1B16" w:rsidRPr="00C92798" w:rsidRDefault="002E1B16" w:rsidP="004839AB">
      <w:pPr>
        <w:spacing w:before="120" w:after="60"/>
        <w:rPr>
          <w:rFonts w:cs="Arial"/>
          <w:b/>
          <w:sz w:val="18"/>
          <w:szCs w:val="20"/>
        </w:rPr>
      </w:pPr>
      <w:r w:rsidRPr="00C92798">
        <w:rPr>
          <w:rFonts w:cs="Arial"/>
          <w:b/>
          <w:sz w:val="18"/>
          <w:szCs w:val="20"/>
        </w:rPr>
        <w:t>G</w:t>
      </w:r>
      <w:r w:rsidR="00F87B8E">
        <w:rPr>
          <w:rFonts w:cs="Arial"/>
          <w:b/>
          <w:sz w:val="18"/>
          <w:szCs w:val="20"/>
        </w:rPr>
        <w:t>RAF 19</w:t>
      </w:r>
      <w:r w:rsidRPr="00C92798">
        <w:rPr>
          <w:rFonts w:cs="Arial"/>
          <w:b/>
          <w:sz w:val="18"/>
          <w:szCs w:val="20"/>
        </w:rPr>
        <w:t xml:space="preserve"> </w:t>
      </w:r>
      <w:r>
        <w:rPr>
          <w:rFonts w:cs="Arial"/>
          <w:b/>
          <w:sz w:val="18"/>
          <w:szCs w:val="20"/>
        </w:rPr>
        <w:t xml:space="preserve">Způsob vývoje inovovaných produktů ve vybraných skupinách podniků; </w:t>
      </w:r>
      <w:r w:rsidR="008225CC">
        <w:rPr>
          <w:rFonts w:cs="Arial"/>
          <w:b/>
          <w:sz w:val="18"/>
          <w:szCs w:val="20"/>
        </w:rPr>
        <w:t>2018–2020</w:t>
      </w:r>
      <w:r w:rsidRPr="00C92798">
        <w:rPr>
          <w:rFonts w:cs="Arial"/>
          <w:b/>
          <w:sz w:val="18"/>
          <w:szCs w:val="20"/>
        </w:rPr>
        <w:t xml:space="preserve"> (%</w:t>
      </w:r>
      <w:r>
        <w:rPr>
          <w:rFonts w:cs="Arial"/>
          <w:b/>
          <w:sz w:val="18"/>
          <w:szCs w:val="20"/>
        </w:rPr>
        <w:t>)*</w:t>
      </w:r>
    </w:p>
    <w:p w14:paraId="586DCD2C" w14:textId="77777777" w:rsidR="002E1B16" w:rsidRDefault="00BB6DC2" w:rsidP="002E1B16">
      <w:pPr>
        <w:rPr>
          <w:rFonts w:ascii="Calibri" w:hAnsi="Calibri"/>
        </w:rPr>
      </w:pPr>
      <w:r>
        <w:rPr>
          <w:noProof/>
        </w:rPr>
        <w:drawing>
          <wp:inline distT="0" distB="0" distL="0" distR="0" wp14:anchorId="5409915A" wp14:editId="0E1A07F5">
            <wp:extent cx="6120000" cy="2520000"/>
            <wp:effectExtent l="0" t="0" r="14605" b="13970"/>
            <wp:docPr id="19" name="Graf 19">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64FF78" w14:textId="77777777" w:rsidR="002E1B16" w:rsidRDefault="002E1B16" w:rsidP="00CD4F02">
      <w:pPr>
        <w:spacing w:before="60" w:after="60"/>
        <w:jc w:val="both"/>
        <w:rPr>
          <w:i/>
          <w:sz w:val="18"/>
        </w:rPr>
      </w:pPr>
      <w:r w:rsidRPr="00BB0DBA">
        <w:rPr>
          <w:i/>
          <w:sz w:val="18"/>
        </w:rPr>
        <w:t>*Podíl podniků</w:t>
      </w:r>
      <w:r>
        <w:rPr>
          <w:i/>
          <w:sz w:val="18"/>
        </w:rPr>
        <w:t xml:space="preserve"> s produktovou inovací </w:t>
      </w:r>
      <w:r w:rsidRPr="00BB0DBA">
        <w:rPr>
          <w:i/>
          <w:sz w:val="18"/>
        </w:rPr>
        <w:t>v dané skupině, které uvedly</w:t>
      </w:r>
      <w:r>
        <w:rPr>
          <w:i/>
          <w:sz w:val="18"/>
        </w:rPr>
        <w:t xml:space="preserve"> daný způsob vývoje nových či podstatně zlepšených produktů na trh</w:t>
      </w:r>
      <w:r w:rsidR="00870703">
        <w:rPr>
          <w:i/>
          <w:sz w:val="18"/>
        </w:rPr>
        <w:t>. Podniky mohly uvést více jak jeden způsob.</w:t>
      </w:r>
    </w:p>
    <w:p w14:paraId="48A95EBB" w14:textId="77777777" w:rsidR="00CD4F02" w:rsidRPr="00B2746E" w:rsidRDefault="00CD4F02" w:rsidP="00CD4F02">
      <w:pPr>
        <w:spacing w:before="60" w:after="60"/>
        <w:jc w:val="right"/>
        <w:rPr>
          <w:i/>
          <w:sz w:val="18"/>
        </w:rPr>
      </w:pPr>
      <w:r w:rsidRPr="00B2746E">
        <w:rPr>
          <w:i/>
          <w:sz w:val="18"/>
        </w:rPr>
        <w:t>Zdroj: ČSÚ, Šetření o inovačních aktivitách podniků</w:t>
      </w:r>
    </w:p>
    <w:p w14:paraId="24A4185B" w14:textId="77777777" w:rsidR="002E1B16" w:rsidRDefault="001C48A8" w:rsidP="00CD4F02">
      <w:pPr>
        <w:spacing w:before="120" w:after="60"/>
        <w:jc w:val="both"/>
      </w:pPr>
      <w:r w:rsidRPr="00835375">
        <w:rPr>
          <w:b/>
        </w:rPr>
        <w:t xml:space="preserve">Adaptaci </w:t>
      </w:r>
      <w:r w:rsidR="00CC113F" w:rsidRPr="00835375">
        <w:rPr>
          <w:b/>
        </w:rPr>
        <w:t>produktů</w:t>
      </w:r>
      <w:r>
        <w:t xml:space="preserve"> vyvinutých jinými subjekty využilo</w:t>
      </w:r>
      <w:r w:rsidR="00CC113F">
        <w:t xml:space="preserve"> pro své produktové</w:t>
      </w:r>
      <w:r>
        <w:t xml:space="preserve"> inovace </w:t>
      </w:r>
      <w:r w:rsidR="005D70D8">
        <w:t>8</w:t>
      </w:r>
      <w:r w:rsidR="00DC66ED">
        <w:t>,4</w:t>
      </w:r>
      <w:r w:rsidR="00126365">
        <w:t> </w:t>
      </w:r>
      <w:r>
        <w:t>% podniků</w:t>
      </w:r>
      <w:r w:rsidR="00971B3F">
        <w:t xml:space="preserve"> s produktovou inovací</w:t>
      </w:r>
      <w:r>
        <w:t>.</w:t>
      </w:r>
      <w:r w:rsidR="002E1B16">
        <w:t xml:space="preserve"> Na rozdíl od předchozích sledovaných způsobů vývoje inovovaných produktů nejsou v této kategorii velké rozdíly v závislosti na velikosti a vlastnictví sledovaných podniků s produktovou inovací.</w:t>
      </w:r>
    </w:p>
    <w:p w14:paraId="46472E87" w14:textId="77777777" w:rsidR="006927DD" w:rsidRPr="003060E9" w:rsidRDefault="001C48A8" w:rsidP="00A1259E">
      <w:pPr>
        <w:spacing w:before="60" w:after="60"/>
        <w:jc w:val="both"/>
      </w:pPr>
      <w:r>
        <w:t xml:space="preserve">Podnik také mohl nechat </w:t>
      </w:r>
      <w:r w:rsidRPr="00835375">
        <w:rPr>
          <w:b/>
        </w:rPr>
        <w:t xml:space="preserve">zadat </w:t>
      </w:r>
      <w:r w:rsidR="002E1B16" w:rsidRPr="00835375">
        <w:rPr>
          <w:b/>
        </w:rPr>
        <w:t xml:space="preserve">vývoj inovovaného produktu </w:t>
      </w:r>
      <w:r w:rsidRPr="00835375">
        <w:rPr>
          <w:b/>
        </w:rPr>
        <w:t>externímu subjektu</w:t>
      </w:r>
      <w:r>
        <w:t>. Vývoj inovace výrobku</w:t>
      </w:r>
      <w:r w:rsidR="008A5A4E">
        <w:t xml:space="preserve"> nebo služby</w:t>
      </w:r>
      <w:r>
        <w:t xml:space="preserve"> zadalo jinému podniku</w:t>
      </w:r>
      <w:r w:rsidR="006927DD" w:rsidRPr="003060E9">
        <w:t xml:space="preserve"> </w:t>
      </w:r>
      <w:r w:rsidR="0018389E">
        <w:t>(</w:t>
      </w:r>
      <w:r w:rsidR="006927DD" w:rsidRPr="003060E9">
        <w:t>včetně p</w:t>
      </w:r>
      <w:r>
        <w:t>odniků</w:t>
      </w:r>
      <w:r w:rsidR="0018389E">
        <w:t>m</w:t>
      </w:r>
      <w:r>
        <w:t xml:space="preserve"> v podnikové skupině</w:t>
      </w:r>
      <w:r w:rsidR="0018389E">
        <w:t>)</w:t>
      </w:r>
      <w:r>
        <w:t xml:space="preserve"> </w:t>
      </w:r>
      <w:r w:rsidR="00DC66ED">
        <w:t>7,3</w:t>
      </w:r>
      <w:r>
        <w:t> % produktově</w:t>
      </w:r>
      <w:r w:rsidR="000A0811">
        <w:t xml:space="preserve"> inovujících podniků. </w:t>
      </w:r>
      <w:r w:rsidR="00126365">
        <w:t xml:space="preserve">Pouze </w:t>
      </w:r>
      <w:r w:rsidR="0018389E">
        <w:t>1,3 %</w:t>
      </w:r>
      <w:r w:rsidR="00073455">
        <w:t xml:space="preserve"> </w:t>
      </w:r>
      <w:r>
        <w:t>podniků zada</w:t>
      </w:r>
      <w:r w:rsidR="007347B8">
        <w:t>lo provedení inovace výrobku</w:t>
      </w:r>
      <w:r w:rsidR="008A5A4E">
        <w:t>/služby</w:t>
      </w:r>
      <w:r w:rsidR="007347B8">
        <w:t xml:space="preserve"> </w:t>
      </w:r>
      <w:r>
        <w:t>vyso</w:t>
      </w:r>
      <w:r w:rsidR="00CC113F">
        <w:t>ké škole nebo výzkumné organizaci</w:t>
      </w:r>
      <w:r>
        <w:t>.</w:t>
      </w:r>
      <w:r w:rsidR="006927DD" w:rsidRPr="003060E9">
        <w:t xml:space="preserve"> </w:t>
      </w:r>
    </w:p>
    <w:p w14:paraId="33D0D838" w14:textId="77777777" w:rsidR="00184689" w:rsidRPr="00190CD5" w:rsidRDefault="008E6FF6" w:rsidP="00640010">
      <w:pPr>
        <w:spacing w:after="120"/>
        <w:jc w:val="both"/>
      </w:pPr>
      <w:r>
        <w:t>Ve zpracovatelském průmyslu</w:t>
      </w:r>
      <w:r w:rsidR="009C7BEE">
        <w:t xml:space="preserve"> téměř</w:t>
      </w:r>
      <w:r>
        <w:t xml:space="preserve"> tři čtvrtiny podniků s p</w:t>
      </w:r>
      <w:r w:rsidR="00AD7CE4">
        <w:t>roduktovou inovací uvedlo, že inovaci</w:t>
      </w:r>
      <w:r>
        <w:t xml:space="preserve"> vyv</w:t>
      </w:r>
      <w:r w:rsidR="009C7BEE">
        <w:t>íjelo ve vlastní režii a 40 %</w:t>
      </w:r>
      <w:r>
        <w:t xml:space="preserve"> ve spolupráci s jiným subjektem. I tady platí, že malé podniky častěji volí vývoj produktových inovací ve vlastní režii v porovnání s velkými firmami, které častěji spoléhají na spolupráci s jinými subjekty, a to především </w:t>
      </w:r>
      <w:r w:rsidR="001F2D3F">
        <w:t xml:space="preserve">s </w:t>
      </w:r>
      <w:r>
        <w:t xml:space="preserve">podniky ve vlastní skupině. V rámci sledovaných odvětví zpracovatelského průmyslu existují poměrně výrazné rozdíly ve způsobu vývoje produktových inovací, které lze </w:t>
      </w:r>
      <w:r w:rsidRPr="00CA492E">
        <w:t>na</w:t>
      </w:r>
      <w:r w:rsidR="00C255DA" w:rsidRPr="00CA492E">
        <w:t>lézt</w:t>
      </w:r>
      <w:r w:rsidRPr="00CA492E">
        <w:t xml:space="preserve"> v </w:t>
      </w:r>
      <w:r w:rsidR="00E7308A" w:rsidRPr="00CA492E">
        <w:t>tabul</w:t>
      </w:r>
      <w:r w:rsidRPr="00CA492E">
        <w:t xml:space="preserve">ce </w:t>
      </w:r>
      <w:r w:rsidR="00CA492E" w:rsidRPr="00CA492E">
        <w:t>20</w:t>
      </w:r>
      <w:r w:rsidR="006E2569" w:rsidRPr="00CA492E">
        <w:t xml:space="preserve">B </w:t>
      </w:r>
      <w:r w:rsidR="00D6488C" w:rsidRPr="00CA492E">
        <w:t>v příloze</w:t>
      </w:r>
      <w:r w:rsidR="00D6488C">
        <w:t xml:space="preserve"> této publikace.</w:t>
      </w:r>
    </w:p>
    <w:p w14:paraId="6E03BAC0" w14:textId="77777777" w:rsidR="00E74500" w:rsidRPr="00E74500" w:rsidRDefault="00E74500" w:rsidP="00E65196">
      <w:pPr>
        <w:pStyle w:val="Nadpis4"/>
        <w:spacing w:before="240"/>
        <w:rPr>
          <w:color w:val="009BB4"/>
        </w:rPr>
      </w:pPr>
      <w:r w:rsidRPr="00A1259E">
        <w:rPr>
          <w:rStyle w:val="st"/>
          <w:color w:val="009BB4"/>
        </w:rPr>
        <w:t>3.2.3</w:t>
      </w:r>
      <w:r w:rsidR="00432A69">
        <w:rPr>
          <w:rStyle w:val="st"/>
          <w:color w:val="009BB4"/>
        </w:rPr>
        <w:t>.3</w:t>
      </w:r>
      <w:r w:rsidRPr="00A1259E">
        <w:rPr>
          <w:rStyle w:val="st"/>
          <w:color w:val="009BB4"/>
        </w:rPr>
        <w:t xml:space="preserve"> </w:t>
      </w:r>
      <w:r w:rsidR="008E6FF6">
        <w:rPr>
          <w:rStyle w:val="st"/>
          <w:color w:val="009BB4"/>
        </w:rPr>
        <w:t>Novost produktových inovací</w:t>
      </w:r>
    </w:p>
    <w:p w14:paraId="202052DC" w14:textId="77777777" w:rsidR="008E6FF6" w:rsidRDefault="008E6FF6" w:rsidP="0008384E">
      <w:pPr>
        <w:spacing w:before="60" w:after="60"/>
        <w:jc w:val="both"/>
      </w:pPr>
      <w:r>
        <w:t>Kromě toho</w:t>
      </w:r>
      <w:r w:rsidR="00FD3913">
        <w:t>,</w:t>
      </w:r>
      <w:r>
        <w:t xml:space="preserve"> zda</w:t>
      </w:r>
      <w:r w:rsidR="00FD3913">
        <w:t xml:space="preserve">li vůbec </w:t>
      </w:r>
      <w:r>
        <w:t xml:space="preserve">zavedl </w:t>
      </w:r>
      <w:r w:rsidR="00FD3913">
        <w:t>podnik v</w:t>
      </w:r>
      <w:r w:rsidR="00D6488C">
        <w:t>e</w:t>
      </w:r>
      <w:r w:rsidR="00FD3913">
        <w:t xml:space="preserve"> sledovaném období </w:t>
      </w:r>
      <w:r>
        <w:t>inovovaný produkt</w:t>
      </w:r>
      <w:r w:rsidR="00FD3913">
        <w:t xml:space="preserve">, se sleduje i to, zda jde o </w:t>
      </w:r>
      <w:r>
        <w:t>produkt, který byl</w:t>
      </w:r>
      <w:r w:rsidR="00133F19">
        <w:rPr>
          <w:b/>
        </w:rPr>
        <w:t xml:space="preserve"> </w:t>
      </w:r>
      <w:r w:rsidRPr="00B61CB6">
        <w:rPr>
          <w:b/>
        </w:rPr>
        <w:t>nový na trhu</w:t>
      </w:r>
      <w:r>
        <w:t xml:space="preserve">, tj. podnik </w:t>
      </w:r>
      <w:r w:rsidR="00FD3913">
        <w:t xml:space="preserve">jej </w:t>
      </w:r>
      <w:r>
        <w:t>uvedl na některý ze svých trhů dříve než konkurence</w:t>
      </w:r>
      <w:r w:rsidR="00133F19">
        <w:t>,</w:t>
      </w:r>
      <w:r w:rsidR="00FD3913">
        <w:t xml:space="preserve"> nebo šlo </w:t>
      </w:r>
      <w:r w:rsidR="00B61CB6">
        <w:t>o</w:t>
      </w:r>
      <w:r w:rsidR="00133F19">
        <w:t xml:space="preserve"> </w:t>
      </w:r>
      <w:r w:rsidR="00FD3913">
        <w:t xml:space="preserve">produkt </w:t>
      </w:r>
      <w:r w:rsidR="00FD3913" w:rsidRPr="00B61CB6">
        <w:rPr>
          <w:b/>
        </w:rPr>
        <w:t xml:space="preserve">nový pouze </w:t>
      </w:r>
      <w:r w:rsidRPr="00B61CB6">
        <w:rPr>
          <w:b/>
        </w:rPr>
        <w:t>pro podnik</w:t>
      </w:r>
      <w:r>
        <w:t xml:space="preserve">, tj. podnik </w:t>
      </w:r>
      <w:r w:rsidR="00FD3913">
        <w:t xml:space="preserve">jej </w:t>
      </w:r>
      <w:r>
        <w:t>uvedl na některý ze svých trhů později než konkurence</w:t>
      </w:r>
      <w:r w:rsidR="00FD3913">
        <w:t>.</w:t>
      </w:r>
    </w:p>
    <w:p w14:paraId="1317862F" w14:textId="77777777" w:rsidR="00FD3913" w:rsidRDefault="00FD3913" w:rsidP="00F90D7C">
      <w:pPr>
        <w:spacing w:before="120" w:after="60"/>
        <w:jc w:val="both"/>
      </w:pPr>
      <w:r w:rsidRPr="00FD3913">
        <w:t xml:space="preserve">Jelikož podnik mohl během sledovaného období zavést </w:t>
      </w:r>
      <w:r>
        <w:t xml:space="preserve">na trh </w:t>
      </w:r>
      <w:r w:rsidRPr="00FD3913">
        <w:t xml:space="preserve">více inovovaných produktů či služeb, </w:t>
      </w:r>
      <w:r>
        <w:t xml:space="preserve">i v tomto případě může být </w:t>
      </w:r>
      <w:r w:rsidRPr="00FD3913">
        <w:t>součet odpovědí za jednotl</w:t>
      </w:r>
      <w:r w:rsidR="00B61CB6">
        <w:t>ivé kategorie vyšší než 100 %.</w:t>
      </w:r>
    </w:p>
    <w:p w14:paraId="08837EC3" w14:textId="01BFD9A9" w:rsidR="009B2457" w:rsidRDefault="006927DD" w:rsidP="005F70E5">
      <w:pPr>
        <w:spacing w:before="120" w:after="60"/>
        <w:jc w:val="both"/>
        <w:rPr>
          <w:rFonts w:cs="Arial"/>
          <w:szCs w:val="20"/>
        </w:rPr>
      </w:pPr>
      <w:r w:rsidRPr="00CA492E">
        <w:t xml:space="preserve">Na otázku ohledně novosti produktové inovace </w:t>
      </w:r>
      <w:r w:rsidR="007D136A" w:rsidRPr="00CA492E">
        <w:t>odpověděl</w:t>
      </w:r>
      <w:r w:rsidR="00B61CB6" w:rsidRPr="00CA492E">
        <w:t>y</w:t>
      </w:r>
      <w:r w:rsidR="002A696C" w:rsidRPr="00CA492E">
        <w:t xml:space="preserve"> více než tři čtvrtiny (78,6</w:t>
      </w:r>
      <w:r w:rsidR="00FD3913" w:rsidRPr="00CA492E">
        <w:t xml:space="preserve"> %) </w:t>
      </w:r>
      <w:r w:rsidRPr="00CA492E">
        <w:t>produktově inovujících podniků</w:t>
      </w:r>
      <w:r w:rsidR="00FD3913" w:rsidRPr="00CA492E">
        <w:t xml:space="preserve">, </w:t>
      </w:r>
      <w:r w:rsidRPr="00CA492E">
        <w:t xml:space="preserve">že </w:t>
      </w:r>
      <w:r w:rsidR="00FD3913" w:rsidRPr="00CA492E">
        <w:t xml:space="preserve">inovované produkty byly </w:t>
      </w:r>
      <w:r w:rsidRPr="00CA492E">
        <w:t>nov</w:t>
      </w:r>
      <w:r w:rsidR="00FD3913" w:rsidRPr="00CA492E">
        <w:t xml:space="preserve">é či výrazně zlepšené </w:t>
      </w:r>
      <w:r w:rsidR="0071369B" w:rsidRPr="00CA492E">
        <w:rPr>
          <w:b/>
        </w:rPr>
        <w:t xml:space="preserve">pouze </w:t>
      </w:r>
      <w:r w:rsidR="00184689" w:rsidRPr="00CA492E">
        <w:rPr>
          <w:b/>
        </w:rPr>
        <w:t xml:space="preserve">pro </w:t>
      </w:r>
      <w:r w:rsidR="00FD3913" w:rsidRPr="00CA492E">
        <w:rPr>
          <w:b/>
        </w:rPr>
        <w:t xml:space="preserve">jejich </w:t>
      </w:r>
      <w:r w:rsidR="00184689" w:rsidRPr="00CA492E">
        <w:rPr>
          <w:b/>
        </w:rPr>
        <w:t>podnik</w:t>
      </w:r>
      <w:r w:rsidR="00FD3913" w:rsidRPr="00CA492E">
        <w:t>.</w:t>
      </w:r>
      <w:r w:rsidR="00184689" w:rsidRPr="00CA492E">
        <w:t xml:space="preserve"> </w:t>
      </w:r>
      <w:r w:rsidR="00941DE7" w:rsidRPr="00CA492E">
        <w:t xml:space="preserve">To, že podniky častěji inovují produkty nové „pouze“ pro podnik platí pro všechny velikostní skupiny podniků a většinu ze </w:t>
      </w:r>
      <w:r w:rsidR="00941DE7" w:rsidRPr="00CA492E">
        <w:lastRenderedPageBreak/>
        <w:t>sledovaných odvětví. Podrobněji viz tabulky 2</w:t>
      </w:r>
      <w:r w:rsidR="00CA492E" w:rsidRPr="00CA492E">
        <w:t>1</w:t>
      </w:r>
      <w:r w:rsidR="00941DE7" w:rsidRPr="00CA492E">
        <w:t>A a 2</w:t>
      </w:r>
      <w:r w:rsidR="00CA492E" w:rsidRPr="00CA492E">
        <w:t>1</w:t>
      </w:r>
      <w:r w:rsidR="00941DE7" w:rsidRPr="00CA492E">
        <w:t>B v</w:t>
      </w:r>
      <w:r w:rsidR="00941DE7">
        <w:t xml:space="preserve"> tabulkové příloze. </w:t>
      </w:r>
      <w:r w:rsidR="00FD3913" w:rsidRPr="005F70E5">
        <w:t xml:space="preserve">Inovované produkty </w:t>
      </w:r>
      <w:r w:rsidR="00FD3913" w:rsidRPr="00FD3913">
        <w:rPr>
          <w:b/>
        </w:rPr>
        <w:t>nové na trhu</w:t>
      </w:r>
      <w:r w:rsidR="00AD7CE4">
        <w:t xml:space="preserve"> zavedla</w:t>
      </w:r>
      <w:r w:rsidR="00F666F0">
        <w:t>,</w:t>
      </w:r>
      <w:r w:rsidR="00FD3913" w:rsidRPr="005F70E5">
        <w:t xml:space="preserve"> </w:t>
      </w:r>
      <w:r w:rsidR="00FF3978">
        <w:t>dříve než konkurence</w:t>
      </w:r>
      <w:r w:rsidR="00F666F0">
        <w:t>,</w:t>
      </w:r>
      <w:r w:rsidR="00FF3978">
        <w:t xml:space="preserve"> </w:t>
      </w:r>
      <w:r w:rsidR="00512DD0">
        <w:t xml:space="preserve">na trh </w:t>
      </w:r>
      <w:r w:rsidR="002A696C">
        <w:t>méně než polovina</w:t>
      </w:r>
      <w:r w:rsidRPr="00FD3913">
        <w:t xml:space="preserve"> pr</w:t>
      </w:r>
      <w:r w:rsidRPr="00184689">
        <w:t xml:space="preserve">oduktově inovujících podniků. </w:t>
      </w:r>
      <w:r w:rsidR="00905BBE">
        <w:t xml:space="preserve">Pokud bychom tento údaj vztáhly na všechny produktově a procesně inovující podniky, tak </w:t>
      </w:r>
      <w:r w:rsidR="002A696C">
        <w:t xml:space="preserve">téměř </w:t>
      </w:r>
      <w:r w:rsidR="00905BBE">
        <w:t xml:space="preserve">třetina z nich zavedla inovovaný výrobek nebo službu novou na trhu. </w:t>
      </w:r>
      <w:r w:rsidR="00EF0E4F">
        <w:t xml:space="preserve">Mezi všemi </w:t>
      </w:r>
      <w:r w:rsidR="00905BBE">
        <w:t>podni</w:t>
      </w:r>
      <w:r w:rsidR="00EF0E4F">
        <w:t>ky</w:t>
      </w:r>
      <w:r w:rsidR="002A696C">
        <w:t xml:space="preserve"> s deseti a více zaměstnanými osobami</w:t>
      </w:r>
      <w:r w:rsidR="00905BBE">
        <w:t xml:space="preserve">, tj. bez ohledu na to, zda </w:t>
      </w:r>
      <w:r w:rsidR="00B61CB6">
        <w:t>s</w:t>
      </w:r>
      <w:r w:rsidR="00905BBE">
        <w:t>e</w:t>
      </w:r>
      <w:r w:rsidR="00B61CB6">
        <w:t xml:space="preserve"> jedná</w:t>
      </w:r>
      <w:r w:rsidR="00905BBE">
        <w:t xml:space="preserve"> o firmy s nebo bez inovačních aktivit, </w:t>
      </w:r>
      <w:r w:rsidR="00EF0E4F">
        <w:t>se jednalo o</w:t>
      </w:r>
      <w:r w:rsidR="00905BBE">
        <w:t xml:space="preserve"> </w:t>
      </w:r>
      <w:r w:rsidR="002A696C">
        <w:t>17,6</w:t>
      </w:r>
      <w:r w:rsidR="00B61CB6">
        <w:t> </w:t>
      </w:r>
      <w:r w:rsidR="00905BBE">
        <w:t xml:space="preserve">%. </w:t>
      </w:r>
      <w:r w:rsidR="009B2457" w:rsidRPr="009B2457">
        <w:t>Podnik mohl označit své produkty současně za nové na trhu i nové pouze v rámci podniku v souladu se svým produktovým portfoliem. Své produkty takto označil</w:t>
      </w:r>
      <w:r w:rsidR="00B96ED6">
        <w:t>o 27 %</w:t>
      </w:r>
      <w:r w:rsidR="009B2457" w:rsidRPr="009B2457">
        <w:t xml:space="preserve"> produktově inovujících podniků.</w:t>
      </w:r>
      <w:r w:rsidR="00905BBE">
        <w:t xml:space="preserve"> </w:t>
      </w:r>
    </w:p>
    <w:p w14:paraId="37A2AF78" w14:textId="0250566A" w:rsidR="00352A02" w:rsidRDefault="00884327" w:rsidP="005F70E5">
      <w:pPr>
        <w:spacing w:before="120" w:after="60"/>
        <w:jc w:val="both"/>
        <w:rPr>
          <w:rFonts w:cs="Arial"/>
          <w:szCs w:val="20"/>
        </w:rPr>
      </w:pPr>
      <w:r>
        <w:rPr>
          <w:rFonts w:cs="Arial"/>
          <w:szCs w:val="20"/>
        </w:rPr>
        <w:t>Ve z</w:t>
      </w:r>
      <w:r w:rsidR="00531ADC">
        <w:rPr>
          <w:rFonts w:cs="Arial"/>
          <w:szCs w:val="20"/>
        </w:rPr>
        <w:t>pracovatelském průmyslu uvedlo 48,7</w:t>
      </w:r>
      <w:r>
        <w:rPr>
          <w:rFonts w:cs="Arial"/>
          <w:szCs w:val="20"/>
        </w:rPr>
        <w:t> % podniků, že jejich produktové inovace byly nové na trhu. V případě produktových inovací nový</w:t>
      </w:r>
      <w:r w:rsidR="00531ADC">
        <w:rPr>
          <w:rFonts w:cs="Arial"/>
          <w:szCs w:val="20"/>
        </w:rPr>
        <w:t xml:space="preserve">ch pouze pro podnik </w:t>
      </w:r>
      <w:r w:rsidR="00343138">
        <w:rPr>
          <w:rFonts w:cs="Arial"/>
          <w:szCs w:val="20"/>
        </w:rPr>
        <w:t>se jednalo o 78 %</w:t>
      </w:r>
      <w:r>
        <w:rPr>
          <w:rFonts w:cs="Arial"/>
          <w:szCs w:val="20"/>
        </w:rPr>
        <w:t>. V rámci zpracovatelského průmyslu měly</w:t>
      </w:r>
      <w:r w:rsidR="00C92798">
        <w:rPr>
          <w:rFonts w:cs="Arial"/>
          <w:szCs w:val="20"/>
        </w:rPr>
        <w:t xml:space="preserve"> nejvyšší podíl inovace výrobků a </w:t>
      </w:r>
      <w:r>
        <w:rPr>
          <w:rFonts w:cs="Arial"/>
          <w:szCs w:val="20"/>
        </w:rPr>
        <w:t xml:space="preserve">služeb nových </w:t>
      </w:r>
      <w:r w:rsidR="00AD7CE4">
        <w:rPr>
          <w:rFonts w:cs="Arial"/>
          <w:szCs w:val="20"/>
        </w:rPr>
        <w:t>na trhu podniky v odvětví farmacie</w:t>
      </w:r>
      <w:r w:rsidR="00531ADC">
        <w:rPr>
          <w:rFonts w:cs="Arial"/>
          <w:szCs w:val="20"/>
        </w:rPr>
        <w:t xml:space="preserve"> (65,5 %)</w:t>
      </w:r>
      <w:r>
        <w:rPr>
          <w:rFonts w:cs="Arial"/>
          <w:szCs w:val="20"/>
        </w:rPr>
        <w:t>.</w:t>
      </w:r>
      <w:r w:rsidR="00FC6C48">
        <w:rPr>
          <w:rFonts w:cs="Arial"/>
          <w:szCs w:val="20"/>
        </w:rPr>
        <w:t xml:space="preserve"> </w:t>
      </w:r>
      <w:r w:rsidR="0073069F">
        <w:rPr>
          <w:rFonts w:cs="Arial"/>
          <w:szCs w:val="20"/>
        </w:rPr>
        <w:t>Naopak vůbec nejmenší podíl vykázaly podniky v automobilovém průmyslu (38,7 %).</w:t>
      </w:r>
    </w:p>
    <w:p w14:paraId="77326402" w14:textId="77777777" w:rsidR="00E74500" w:rsidRPr="00884327" w:rsidRDefault="00E74500" w:rsidP="00884327">
      <w:pPr>
        <w:spacing w:after="60"/>
        <w:jc w:val="both"/>
        <w:rPr>
          <w:rFonts w:cs="Arial"/>
          <w:szCs w:val="20"/>
        </w:rPr>
      </w:pPr>
      <w:r>
        <w:rPr>
          <w:rFonts w:cs="Arial"/>
          <w:szCs w:val="20"/>
        </w:rPr>
        <w:t xml:space="preserve">V informačních a komunikačních činnostech </w:t>
      </w:r>
      <w:r w:rsidR="005D1163">
        <w:rPr>
          <w:rFonts w:cs="Arial"/>
          <w:szCs w:val="20"/>
        </w:rPr>
        <w:t xml:space="preserve">uvedlo </w:t>
      </w:r>
      <w:r w:rsidR="009D3197">
        <w:rPr>
          <w:rFonts w:cs="Arial"/>
          <w:szCs w:val="20"/>
        </w:rPr>
        <w:t xml:space="preserve">produktovou inovaci </w:t>
      </w:r>
      <w:r w:rsidR="009275F8">
        <w:rPr>
          <w:rFonts w:cs="Arial"/>
          <w:szCs w:val="20"/>
        </w:rPr>
        <w:t>novou na trhu 47,9</w:t>
      </w:r>
      <w:r>
        <w:rPr>
          <w:rFonts w:cs="Arial"/>
          <w:szCs w:val="20"/>
        </w:rPr>
        <w:t xml:space="preserve"> % produktově inovujících podniků. Ve velkoobchodě dosáhl tento podíl </w:t>
      </w:r>
      <w:r w:rsidR="009275F8">
        <w:rPr>
          <w:rFonts w:cs="Arial"/>
          <w:szCs w:val="20"/>
        </w:rPr>
        <w:t>57,7</w:t>
      </w:r>
      <w:r w:rsidR="009D3197">
        <w:rPr>
          <w:rFonts w:cs="Arial"/>
          <w:szCs w:val="20"/>
        </w:rPr>
        <w:t> %</w:t>
      </w:r>
      <w:r w:rsidR="009B2457">
        <w:rPr>
          <w:rFonts w:cs="Arial"/>
          <w:szCs w:val="20"/>
        </w:rPr>
        <w:t xml:space="preserve">, </w:t>
      </w:r>
      <w:r w:rsidR="005F59DB">
        <w:rPr>
          <w:rFonts w:cs="Arial"/>
          <w:szCs w:val="20"/>
        </w:rPr>
        <w:t>jedná se</w:t>
      </w:r>
      <w:r w:rsidR="009B2457">
        <w:rPr>
          <w:rFonts w:cs="Arial"/>
          <w:szCs w:val="20"/>
        </w:rPr>
        <w:t xml:space="preserve"> o </w:t>
      </w:r>
      <w:r w:rsidR="009D3197">
        <w:rPr>
          <w:rFonts w:cs="Arial"/>
          <w:szCs w:val="20"/>
        </w:rPr>
        <w:t>vůbec nejvyšší hodnot</w:t>
      </w:r>
      <w:r w:rsidR="009B2457">
        <w:rPr>
          <w:rFonts w:cs="Arial"/>
          <w:szCs w:val="20"/>
        </w:rPr>
        <w:t>u</w:t>
      </w:r>
      <w:r w:rsidR="009D3197">
        <w:rPr>
          <w:rFonts w:cs="Arial"/>
          <w:szCs w:val="20"/>
        </w:rPr>
        <w:t xml:space="preserve"> ze všech odvětvových sekcí. </w:t>
      </w:r>
    </w:p>
    <w:p w14:paraId="6333A3A0" w14:textId="77777777" w:rsidR="006927DD" w:rsidRPr="008E2015" w:rsidRDefault="00DC5F2B" w:rsidP="00DC6F2A">
      <w:pPr>
        <w:spacing w:after="60"/>
        <w:ind w:left="851" w:hanging="851"/>
        <w:rPr>
          <w:rFonts w:cs="Arial"/>
          <w:b/>
          <w:sz w:val="18"/>
          <w:szCs w:val="20"/>
        </w:rPr>
      </w:pPr>
      <w:r w:rsidRPr="008E2015">
        <w:rPr>
          <w:rFonts w:cs="Arial"/>
          <w:b/>
          <w:sz w:val="18"/>
          <w:szCs w:val="20"/>
        </w:rPr>
        <w:t>G</w:t>
      </w:r>
      <w:r w:rsidR="00F87B8E">
        <w:rPr>
          <w:rFonts w:cs="Arial"/>
          <w:b/>
          <w:sz w:val="18"/>
          <w:szCs w:val="20"/>
        </w:rPr>
        <w:t>RAF 20</w:t>
      </w:r>
      <w:r w:rsidR="006927DD" w:rsidRPr="008E2015">
        <w:rPr>
          <w:rFonts w:cs="Arial"/>
          <w:b/>
          <w:sz w:val="18"/>
          <w:szCs w:val="20"/>
        </w:rPr>
        <w:t xml:space="preserve"> Novost produktové inovace </w:t>
      </w:r>
      <w:r w:rsidR="009B2457">
        <w:rPr>
          <w:rFonts w:cs="Arial"/>
          <w:b/>
          <w:sz w:val="18"/>
          <w:szCs w:val="20"/>
        </w:rPr>
        <w:t>ve vybraných skupinách podniků</w:t>
      </w:r>
      <w:r w:rsidR="00A47424" w:rsidRPr="008E2015">
        <w:rPr>
          <w:rFonts w:cs="Arial"/>
          <w:b/>
          <w:sz w:val="18"/>
          <w:szCs w:val="20"/>
        </w:rPr>
        <w:t xml:space="preserve"> 201</w:t>
      </w:r>
      <w:r w:rsidR="00F87B8E">
        <w:rPr>
          <w:rFonts w:cs="Arial"/>
          <w:b/>
          <w:sz w:val="18"/>
          <w:szCs w:val="20"/>
        </w:rPr>
        <w:t>8–2020</w:t>
      </w:r>
      <w:r w:rsidR="00184689" w:rsidRPr="008E2015">
        <w:rPr>
          <w:rFonts w:cs="Arial"/>
          <w:b/>
          <w:sz w:val="18"/>
          <w:szCs w:val="20"/>
        </w:rPr>
        <w:t xml:space="preserve"> </w:t>
      </w:r>
      <w:r w:rsidR="006927DD" w:rsidRPr="008E2015">
        <w:rPr>
          <w:rFonts w:cs="Arial"/>
          <w:b/>
          <w:sz w:val="18"/>
          <w:szCs w:val="20"/>
        </w:rPr>
        <w:t>(</w:t>
      </w:r>
      <w:r w:rsidR="00184689" w:rsidRPr="008E2015">
        <w:rPr>
          <w:rFonts w:cs="Arial"/>
          <w:b/>
          <w:sz w:val="18"/>
          <w:szCs w:val="20"/>
        </w:rPr>
        <w:t>%</w:t>
      </w:r>
      <w:r w:rsidR="006927DD" w:rsidRPr="008E2015">
        <w:rPr>
          <w:rFonts w:cs="Arial"/>
          <w:b/>
          <w:sz w:val="18"/>
          <w:szCs w:val="20"/>
        </w:rPr>
        <w:t xml:space="preserve"> z produkt</w:t>
      </w:r>
      <w:r w:rsidR="00243F74" w:rsidRPr="008E2015">
        <w:rPr>
          <w:rFonts w:cs="Arial"/>
          <w:b/>
          <w:sz w:val="18"/>
          <w:szCs w:val="20"/>
        </w:rPr>
        <w:t>ově inovujících podniků</w:t>
      </w:r>
      <w:r w:rsidR="006927DD" w:rsidRPr="008E2015">
        <w:rPr>
          <w:rFonts w:cs="Arial"/>
          <w:b/>
          <w:sz w:val="18"/>
          <w:szCs w:val="20"/>
        </w:rPr>
        <w:t>)</w:t>
      </w:r>
    </w:p>
    <w:p w14:paraId="4F19178D" w14:textId="77777777" w:rsidR="00EF69EB" w:rsidRDefault="00590BB4" w:rsidP="00EF69EB">
      <w:pPr>
        <w:rPr>
          <w:rStyle w:val="st"/>
          <w:rFonts w:ascii="Calibri" w:hAnsi="Calibri"/>
        </w:rPr>
      </w:pPr>
      <w:r>
        <w:rPr>
          <w:noProof/>
        </w:rPr>
        <w:drawing>
          <wp:inline distT="0" distB="0" distL="0" distR="0" wp14:anchorId="17B008D0" wp14:editId="574EDFFD">
            <wp:extent cx="6120000" cy="2520000"/>
            <wp:effectExtent l="0" t="0" r="14605" b="13970"/>
            <wp:docPr id="35" name="Graf 35">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A961AE" w14:textId="77777777" w:rsidR="00EF69EB" w:rsidRDefault="00EF69EB" w:rsidP="005F70E5">
      <w:pPr>
        <w:spacing w:before="60"/>
        <w:rPr>
          <w:rFonts w:cs="Arial"/>
          <w:i/>
          <w:sz w:val="18"/>
          <w:szCs w:val="16"/>
        </w:rPr>
      </w:pPr>
      <w:r w:rsidRPr="00D768AA">
        <w:rPr>
          <w:rFonts w:cs="Arial"/>
          <w:i/>
          <w:sz w:val="18"/>
          <w:szCs w:val="16"/>
        </w:rPr>
        <w:t xml:space="preserve">POZN. Podnik mohl označit své produkty </w:t>
      </w:r>
      <w:r w:rsidR="005F547B" w:rsidRPr="00D768AA">
        <w:rPr>
          <w:rFonts w:cs="Arial"/>
          <w:i/>
          <w:sz w:val="18"/>
          <w:szCs w:val="16"/>
        </w:rPr>
        <w:t xml:space="preserve">současně </w:t>
      </w:r>
      <w:r w:rsidRPr="00D768AA">
        <w:rPr>
          <w:rFonts w:cs="Arial"/>
          <w:i/>
          <w:sz w:val="18"/>
          <w:szCs w:val="16"/>
        </w:rPr>
        <w:t>za nové na trhu i nové pouze v rámci podniku v souladu se svým produktovým portfoliem.</w:t>
      </w:r>
      <w:r w:rsidR="00C505B7">
        <w:rPr>
          <w:rFonts w:cs="Arial"/>
          <w:i/>
          <w:sz w:val="18"/>
          <w:szCs w:val="16"/>
        </w:rPr>
        <w:t xml:space="preserve"> Své produkty takto označil</w:t>
      </w:r>
      <w:r w:rsidR="005F70E5">
        <w:rPr>
          <w:rFonts w:cs="Arial"/>
          <w:i/>
          <w:sz w:val="18"/>
          <w:szCs w:val="16"/>
        </w:rPr>
        <w:t>a</w:t>
      </w:r>
      <w:r w:rsidR="00C505B7">
        <w:rPr>
          <w:rFonts w:cs="Arial"/>
          <w:i/>
          <w:sz w:val="18"/>
          <w:szCs w:val="16"/>
        </w:rPr>
        <w:t xml:space="preserve"> </w:t>
      </w:r>
      <w:r w:rsidR="009B2457">
        <w:rPr>
          <w:rFonts w:cs="Arial"/>
          <w:i/>
          <w:sz w:val="18"/>
          <w:szCs w:val="16"/>
        </w:rPr>
        <w:t xml:space="preserve">třetina </w:t>
      </w:r>
      <w:r w:rsidR="00C47406">
        <w:rPr>
          <w:rFonts w:cs="Arial"/>
          <w:i/>
          <w:sz w:val="18"/>
          <w:szCs w:val="16"/>
        </w:rPr>
        <w:t xml:space="preserve">produktově inovujících podniků. </w:t>
      </w:r>
    </w:p>
    <w:p w14:paraId="4D150170" w14:textId="77777777" w:rsidR="000B26AE" w:rsidRPr="000B26AE" w:rsidRDefault="000B26AE" w:rsidP="000B26AE">
      <w:pPr>
        <w:spacing w:before="60" w:after="60"/>
        <w:jc w:val="right"/>
        <w:rPr>
          <w:i/>
          <w:sz w:val="18"/>
        </w:rPr>
      </w:pPr>
      <w:r w:rsidRPr="00B2746E">
        <w:rPr>
          <w:i/>
          <w:sz w:val="18"/>
        </w:rPr>
        <w:t>Zdroj: ČSÚ, Šetření o inovačních aktivitách podniků</w:t>
      </w:r>
    </w:p>
    <w:p w14:paraId="39E50C7D" w14:textId="77777777" w:rsidR="00432A69" w:rsidRPr="00432A69" w:rsidRDefault="00432A69" w:rsidP="00432A69">
      <w:pPr>
        <w:pStyle w:val="Nadpis4"/>
        <w:spacing w:before="240"/>
        <w:rPr>
          <w:color w:val="009BB4"/>
        </w:rPr>
      </w:pPr>
      <w:r w:rsidRPr="00A1259E">
        <w:rPr>
          <w:rStyle w:val="st"/>
          <w:color w:val="009BB4"/>
        </w:rPr>
        <w:t>3.2.3</w:t>
      </w:r>
      <w:r>
        <w:rPr>
          <w:rStyle w:val="st"/>
          <w:color w:val="009BB4"/>
        </w:rPr>
        <w:t>.4</w:t>
      </w:r>
      <w:r w:rsidR="007A2925">
        <w:rPr>
          <w:rStyle w:val="st"/>
          <w:color w:val="009BB4"/>
        </w:rPr>
        <w:t xml:space="preserve"> Tržby za inovované produkty</w:t>
      </w:r>
    </w:p>
    <w:p w14:paraId="231CF958" w14:textId="77777777" w:rsidR="002530C7" w:rsidRDefault="002530C7" w:rsidP="00B6182F">
      <w:pPr>
        <w:spacing w:before="60" w:after="60"/>
        <w:jc w:val="both"/>
      </w:pPr>
      <w:r>
        <w:t xml:space="preserve">Pro účely hodnocení úspěšnosti vynaložených nákladů na inovace lze použít ukazatel podílu tržeb z prodeje inovovaných produktů na celkových tržbách podniků s inovací produktu. </w:t>
      </w:r>
    </w:p>
    <w:p w14:paraId="299667F5" w14:textId="2AFA4FA5" w:rsidR="00D92223" w:rsidRDefault="00D92223" w:rsidP="00B6182F">
      <w:pPr>
        <w:spacing w:before="60" w:after="60"/>
        <w:jc w:val="both"/>
      </w:pPr>
      <w:r w:rsidRPr="00B8426F">
        <w:t>Na tržbách všech pod</w:t>
      </w:r>
      <w:r>
        <w:t>niků s deseti a více zaměstnanými osobami</w:t>
      </w:r>
      <w:r w:rsidRPr="00B8426F">
        <w:t xml:space="preserve"> se </w:t>
      </w:r>
      <w:r w:rsidR="00F666F0">
        <w:t xml:space="preserve">v roce 2020 </w:t>
      </w:r>
      <w:r w:rsidRPr="00B8426F">
        <w:t>tržby z produktov</w:t>
      </w:r>
      <w:r>
        <w:t>ých inovací podílely 14,4 %</w:t>
      </w:r>
      <w:r w:rsidRPr="00B8426F">
        <w:t>. Ve zpr</w:t>
      </w:r>
      <w:r>
        <w:t xml:space="preserve">acovatelském průmyslu </w:t>
      </w:r>
      <w:r w:rsidR="00F666F0">
        <w:t xml:space="preserve">se jednalo o </w:t>
      </w:r>
      <w:r>
        <w:t>pětin</w:t>
      </w:r>
      <w:r w:rsidR="00F666F0">
        <w:t>u</w:t>
      </w:r>
      <w:r w:rsidRPr="00B8426F">
        <w:t>.</w:t>
      </w:r>
    </w:p>
    <w:p w14:paraId="0A1EE452" w14:textId="77777777" w:rsidR="00C4767C" w:rsidRDefault="00F935B2" w:rsidP="00C4767C">
      <w:pPr>
        <w:spacing w:before="60" w:after="60"/>
        <w:jc w:val="both"/>
      </w:pPr>
      <w:r>
        <w:t>V roce 2020</w:t>
      </w:r>
      <w:r w:rsidR="00C4767C" w:rsidRPr="00467796">
        <w:t xml:space="preserve"> dosáhly tržby podniků</w:t>
      </w:r>
      <w:r w:rsidR="00467796" w:rsidRPr="00467796">
        <w:t xml:space="preserve"> s produktovou inovací téměř 5,3</w:t>
      </w:r>
      <w:r w:rsidR="00C4767C" w:rsidRPr="00467796">
        <w:t xml:space="preserve"> bilionu Kč, za inovované </w:t>
      </w:r>
      <w:r w:rsidR="00467796" w:rsidRPr="00467796">
        <w:t>výrobky však utržily „pouze“ 1,3</w:t>
      </w:r>
      <w:r w:rsidR="00C4767C" w:rsidRPr="00467796">
        <w:t xml:space="preserve"> bilionu Kč. Většina tržeb</w:t>
      </w:r>
      <w:r w:rsidR="00467796" w:rsidRPr="00467796">
        <w:t>, tři čtvrtiny (4 biliony</w:t>
      </w:r>
      <w:r w:rsidR="00C4767C" w:rsidRPr="00467796">
        <w:t xml:space="preserve"> Kč), tak pocházela z prodeje neinovovaných produktů.</w:t>
      </w:r>
      <w:r w:rsidR="00C4767C" w:rsidRPr="00B8426F">
        <w:t xml:space="preserve"> Pokud jde o tržby za inovov</w:t>
      </w:r>
      <w:r w:rsidR="00467796">
        <w:t>ané produkty, 42 %</w:t>
      </w:r>
      <w:r w:rsidR="00C4767C" w:rsidRPr="00B8426F">
        <w:t xml:space="preserve"> tvořily </w:t>
      </w:r>
      <w:r w:rsidR="00C4767C" w:rsidRPr="00D7724C">
        <w:t xml:space="preserve">tržby za produkty nové na trhu a </w:t>
      </w:r>
      <w:r w:rsidR="000F0120">
        <w:t>58</w:t>
      </w:r>
      <w:r w:rsidR="00467796">
        <w:t xml:space="preserve"> % pak</w:t>
      </w:r>
      <w:r>
        <w:t xml:space="preserve"> tržby za </w:t>
      </w:r>
      <w:r w:rsidR="00C4767C" w:rsidRPr="00D7724C">
        <w:t>inovované produkty nové „pouze“ pro podnik. Největší podíl na tržbách inovujících podniků mají nezměněné nebo málo modifikované výrobky či služby, a to bez ohledu na velikost, vlastnictví či převažující ekonomickou činnost sledovaných podniků.</w:t>
      </w:r>
    </w:p>
    <w:p w14:paraId="5E29C7BF" w14:textId="77777777" w:rsidR="00C4767C" w:rsidRDefault="00C4767C" w:rsidP="00C4767C">
      <w:pPr>
        <w:spacing w:after="60"/>
        <w:jc w:val="both"/>
      </w:pPr>
      <w:r w:rsidRPr="00450CB6">
        <w:t xml:space="preserve">Nejvyšší podíl tržeb za inovované produkty vykázaly v rámci podniků s produktovou inovací </w:t>
      </w:r>
      <w:r w:rsidRPr="00450CB6">
        <w:rPr>
          <w:b/>
        </w:rPr>
        <w:t>malé podniky</w:t>
      </w:r>
      <w:r w:rsidR="00F935B2" w:rsidRPr="00450CB6">
        <w:t>, a to 28,6</w:t>
      </w:r>
      <w:r w:rsidRPr="00450CB6">
        <w:t> %. U velkýc</w:t>
      </w:r>
      <w:r w:rsidR="002F3C2E">
        <w:t>h podniků podíl činil</w:t>
      </w:r>
      <w:r w:rsidR="00F935B2" w:rsidRPr="00450CB6">
        <w:t xml:space="preserve"> 24,7</w:t>
      </w:r>
      <w:r w:rsidRPr="00450CB6">
        <w:t> %. Napříč velikostními kategoriemi podniků však nezaznamenáváme významné rozdíly, neboť u středních podniků, kde byl tento</w:t>
      </w:r>
      <w:r w:rsidR="00F935B2" w:rsidRPr="00450CB6">
        <w:t xml:space="preserve"> podíl nejnižší, </w:t>
      </w:r>
      <w:r w:rsidR="002F3C2E" w:rsidRPr="00450CB6">
        <w:t xml:space="preserve">podíl tržeb za inovované produkty </w:t>
      </w:r>
      <w:r w:rsidR="002F3C2E">
        <w:t>dosáhl jedné čtvrtiny</w:t>
      </w:r>
      <w:r w:rsidRPr="00450CB6">
        <w:t>.</w:t>
      </w:r>
      <w:r w:rsidRPr="00B8426F">
        <w:t xml:space="preserve"> </w:t>
      </w:r>
    </w:p>
    <w:p w14:paraId="03E0DFCE" w14:textId="77777777" w:rsidR="00C4767C" w:rsidRPr="00D7724C" w:rsidRDefault="00C4767C" w:rsidP="00C4767C">
      <w:pPr>
        <w:spacing w:after="60"/>
        <w:jc w:val="both"/>
      </w:pPr>
      <w:r w:rsidRPr="00D7724C">
        <w:lastRenderedPageBreak/>
        <w:t xml:space="preserve">U podniků </w:t>
      </w:r>
      <w:r w:rsidR="000F0120" w:rsidRPr="00D7724C">
        <w:t xml:space="preserve">pod </w:t>
      </w:r>
      <w:r w:rsidR="000F0120" w:rsidRPr="00D7724C">
        <w:rPr>
          <w:b/>
        </w:rPr>
        <w:t>zahraniční kontrolou</w:t>
      </w:r>
      <w:r w:rsidR="000F0120" w:rsidRPr="00D7724C">
        <w:t xml:space="preserve"> </w:t>
      </w:r>
      <w:r w:rsidR="000F0120">
        <w:t xml:space="preserve">majících </w:t>
      </w:r>
      <w:r w:rsidRPr="00D7724C">
        <w:t>produktovou inovac</w:t>
      </w:r>
      <w:r w:rsidR="000F0120">
        <w:t>i</w:t>
      </w:r>
      <w:r w:rsidRPr="00D7724C">
        <w:t xml:space="preserve"> dosáhl podí</w:t>
      </w:r>
      <w:r w:rsidR="00450CB6">
        <w:t>l tržeb za inovované produkty 29 %, což je 10 procentních bodů</w:t>
      </w:r>
      <w:r w:rsidRPr="00D7724C">
        <w:t xml:space="preserve"> více než u domácích podniků. Ve struktuře tržeb za inovované produkty </w:t>
      </w:r>
      <w:r w:rsidR="00450CB6">
        <w:t xml:space="preserve">není </w:t>
      </w:r>
      <w:r w:rsidRPr="00D7724C">
        <w:t>mezi domácími podniky a podniky pod zahraniční kontrolou</w:t>
      </w:r>
      <w:r w:rsidR="00E15F96">
        <w:t xml:space="preserve"> </w:t>
      </w:r>
      <w:r w:rsidR="00E15F96" w:rsidRPr="00D7724C">
        <w:t>výrazný rozdíl</w:t>
      </w:r>
      <w:r w:rsidRPr="00D7724C">
        <w:t xml:space="preserve">. </w:t>
      </w:r>
      <w:r w:rsidR="00E15F96">
        <w:t>Jak d</w:t>
      </w:r>
      <w:r w:rsidRPr="00D7724C">
        <w:t>omácí podniky</w:t>
      </w:r>
      <w:r w:rsidR="00E15F96">
        <w:t>, tak i ty pod zahraniční kontrolou</w:t>
      </w:r>
      <w:r w:rsidRPr="00D7724C">
        <w:t xml:space="preserve"> utržily více za</w:t>
      </w:r>
      <w:r w:rsidR="00E15F96">
        <w:t xml:space="preserve"> produkty nové pouze pro podnik.</w:t>
      </w:r>
      <w:r w:rsidRPr="00D7724C">
        <w:t xml:space="preserve">  </w:t>
      </w:r>
    </w:p>
    <w:p w14:paraId="64F68726" w14:textId="77777777" w:rsidR="00352A02" w:rsidRPr="00B4480E" w:rsidRDefault="00352A02" w:rsidP="00C4767C">
      <w:pPr>
        <w:spacing w:before="120" w:after="60"/>
        <w:jc w:val="both"/>
        <w:rPr>
          <w:rFonts w:cs="Arial"/>
          <w:b/>
          <w:sz w:val="18"/>
          <w:szCs w:val="20"/>
        </w:rPr>
      </w:pPr>
      <w:r w:rsidRPr="00B62322">
        <w:rPr>
          <w:rFonts w:cs="Arial"/>
          <w:b/>
          <w:sz w:val="18"/>
          <w:szCs w:val="20"/>
        </w:rPr>
        <w:t>G</w:t>
      </w:r>
      <w:r w:rsidR="00C4767C">
        <w:rPr>
          <w:rFonts w:cs="Arial"/>
          <w:b/>
          <w:sz w:val="18"/>
          <w:szCs w:val="20"/>
        </w:rPr>
        <w:t>RAF 21</w:t>
      </w:r>
      <w:r w:rsidRPr="00B62322">
        <w:rPr>
          <w:rFonts w:cs="Arial"/>
          <w:b/>
          <w:sz w:val="18"/>
          <w:szCs w:val="20"/>
        </w:rPr>
        <w:t xml:space="preserve"> Tržby </w:t>
      </w:r>
      <w:r w:rsidR="007F4CF2" w:rsidRPr="00B62322">
        <w:rPr>
          <w:rFonts w:cs="Arial"/>
          <w:b/>
          <w:sz w:val="18"/>
          <w:szCs w:val="20"/>
        </w:rPr>
        <w:t>podniků s produktovou inovací ve</w:t>
      </w:r>
      <w:r w:rsidR="00893B1A">
        <w:rPr>
          <w:rFonts w:cs="Arial"/>
          <w:b/>
          <w:sz w:val="18"/>
          <w:szCs w:val="20"/>
        </w:rPr>
        <w:t xml:space="preserve"> vybraných skupinách v roce 2020</w:t>
      </w:r>
      <w:r w:rsidR="007F4CF2" w:rsidRPr="00B62322">
        <w:rPr>
          <w:rFonts w:cs="Arial"/>
          <w:b/>
          <w:sz w:val="18"/>
          <w:szCs w:val="20"/>
        </w:rPr>
        <w:t xml:space="preserve"> (mld. Kč)</w:t>
      </w:r>
    </w:p>
    <w:p w14:paraId="60ABA82D" w14:textId="77777777" w:rsidR="00352A02" w:rsidRDefault="00E5607D" w:rsidP="00352A02">
      <w:pPr>
        <w:rPr>
          <w:rFonts w:ascii="Calibri" w:hAnsi="Calibri"/>
          <w:color w:val="0070C0"/>
        </w:rPr>
      </w:pPr>
      <w:r>
        <w:rPr>
          <w:noProof/>
        </w:rPr>
        <w:drawing>
          <wp:inline distT="0" distB="0" distL="0" distR="0" wp14:anchorId="07F3D13E" wp14:editId="2FAEF351">
            <wp:extent cx="6120000" cy="2520000"/>
            <wp:effectExtent l="0" t="0" r="14605" b="13970"/>
            <wp:docPr id="37" name="Graf 37">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45FAB5A" w14:textId="77777777" w:rsidR="000B26AE" w:rsidRPr="000B26AE" w:rsidRDefault="000B26AE" w:rsidP="000B26AE">
      <w:pPr>
        <w:spacing w:before="60" w:after="60"/>
        <w:jc w:val="right"/>
        <w:rPr>
          <w:i/>
          <w:sz w:val="18"/>
        </w:rPr>
      </w:pPr>
      <w:r w:rsidRPr="00B2746E">
        <w:rPr>
          <w:i/>
          <w:sz w:val="18"/>
        </w:rPr>
        <w:t>Zdroj: ČSÚ, Šetření o inovačních aktivitách podniků</w:t>
      </w:r>
    </w:p>
    <w:p w14:paraId="553D6FD7" w14:textId="77777777" w:rsidR="00AE1124" w:rsidRPr="00D7724C" w:rsidRDefault="006B320D" w:rsidP="00FD69BD">
      <w:pPr>
        <w:spacing w:before="120" w:after="60"/>
        <w:jc w:val="both"/>
      </w:pPr>
      <w:r w:rsidRPr="00D7724C">
        <w:t xml:space="preserve">V rámci sledovaných </w:t>
      </w:r>
      <w:r w:rsidR="007924D8">
        <w:t>ekonomických sekcí</w:t>
      </w:r>
      <w:r w:rsidRPr="00D7724C">
        <w:t xml:space="preserve"> </w:t>
      </w:r>
      <w:r w:rsidR="00C66AE9" w:rsidRPr="00D7724C">
        <w:t>byl</w:t>
      </w:r>
      <w:r w:rsidRPr="00D7724C">
        <w:t xml:space="preserve"> </w:t>
      </w:r>
      <w:r w:rsidR="00C66AE9" w:rsidRPr="00D7724C">
        <w:t xml:space="preserve">zaznamenán </w:t>
      </w:r>
      <w:r w:rsidRPr="00D7724C">
        <w:t>n</w:t>
      </w:r>
      <w:r w:rsidR="00352A02" w:rsidRPr="00D7724C">
        <w:t>ejvyšší</w:t>
      </w:r>
      <w:r w:rsidR="0077033A" w:rsidRPr="00D7724C">
        <w:t>, a to</w:t>
      </w:r>
      <w:r w:rsidR="00C66AE9" w:rsidRPr="00D7724C">
        <w:t xml:space="preserve"> </w:t>
      </w:r>
      <w:r w:rsidR="00222374">
        <w:t xml:space="preserve">téměř </w:t>
      </w:r>
      <w:r w:rsidR="0077033A" w:rsidRPr="00D7724C">
        <w:t>třetinový,</w:t>
      </w:r>
      <w:r w:rsidR="0075329D" w:rsidRPr="00D7724C">
        <w:t xml:space="preserve"> podíl</w:t>
      </w:r>
      <w:r w:rsidR="00352A02" w:rsidRPr="00D7724C">
        <w:t xml:space="preserve"> tržeb za inovované produkty na celkových tržbách </w:t>
      </w:r>
      <w:r w:rsidRPr="00D7724C">
        <w:t>podniků s produktovou inovací</w:t>
      </w:r>
      <w:r w:rsidR="00352A02" w:rsidRPr="00D7724C">
        <w:t xml:space="preserve"> </w:t>
      </w:r>
      <w:r w:rsidRPr="00D7724C">
        <w:t>u subjektů</w:t>
      </w:r>
      <w:r w:rsidR="00352A02" w:rsidRPr="00D7724C">
        <w:t xml:space="preserve"> v pe</w:t>
      </w:r>
      <w:r w:rsidR="00856EE2" w:rsidRPr="00D7724C">
        <w:t>něžnictví a pojišťovnictví</w:t>
      </w:r>
      <w:r w:rsidR="00B722D1">
        <w:t xml:space="preserve"> a také v informačních a komunikačních činnostech</w:t>
      </w:r>
      <w:r w:rsidRPr="00D7724C">
        <w:t>.</w:t>
      </w:r>
      <w:r w:rsidR="00856EE2" w:rsidRPr="00D7724C">
        <w:t xml:space="preserve"> Ve zpracovatelském průmyslu</w:t>
      </w:r>
      <w:r w:rsidR="00B722D1">
        <w:t xml:space="preserve"> podniky utržily za inovované produkty</w:t>
      </w:r>
      <w:r w:rsidR="00856EE2" w:rsidRPr="00D7724C">
        <w:t xml:space="preserve"> </w:t>
      </w:r>
      <w:r w:rsidR="00B8426F">
        <w:t>28</w:t>
      </w:r>
      <w:r w:rsidR="00395620" w:rsidRPr="00D7724C">
        <w:t> %</w:t>
      </w:r>
      <w:r w:rsidR="00B722D1">
        <w:t xml:space="preserve"> svých tržeb</w:t>
      </w:r>
      <w:r w:rsidR="00395620" w:rsidRPr="00D7724C">
        <w:t xml:space="preserve">, přičemž </w:t>
      </w:r>
      <w:r w:rsidR="00B722D1">
        <w:t>jenom za</w:t>
      </w:r>
      <w:r w:rsidRPr="00D7724C">
        <w:t xml:space="preserve"> </w:t>
      </w:r>
      <w:r w:rsidR="00352A02" w:rsidRPr="00D7724C">
        <w:t>tržby za ino</w:t>
      </w:r>
      <w:r w:rsidR="00856EE2" w:rsidRPr="00D7724C">
        <w:t>vované produkty nové na trhu</w:t>
      </w:r>
      <w:r w:rsidR="00B722D1">
        <w:t xml:space="preserve"> získaly 13 % tržeb.</w:t>
      </w:r>
      <w:r w:rsidR="00856EE2" w:rsidRPr="00D7724C">
        <w:t xml:space="preserve"> </w:t>
      </w:r>
    </w:p>
    <w:p w14:paraId="30F86445" w14:textId="77777777" w:rsidR="00352A02" w:rsidRPr="00395620" w:rsidRDefault="00222374" w:rsidP="00F779AB">
      <w:pPr>
        <w:spacing w:after="60"/>
        <w:jc w:val="both"/>
      </w:pPr>
      <w:r>
        <w:t xml:space="preserve">V rámci zpracovatelského průmyslu byl </w:t>
      </w:r>
      <w:r w:rsidR="00446AE2">
        <w:t xml:space="preserve">u podniků s produktovou inovací </w:t>
      </w:r>
      <w:r>
        <w:t>n</w:t>
      </w:r>
      <w:r w:rsidR="00B722D1">
        <w:t xml:space="preserve">ejvyšší podíl tržeb za inovované produkty zjištěn v automobilovém průmyslu (39,1 %). Podniky v tomto odvětví dosáhly také nejvyššího podílu tržeb nových na trhu (21,9 %). </w:t>
      </w:r>
      <w:r w:rsidR="005417C1">
        <w:t>Dalším odvětvím s vysokým podílem tržeb za inovované produkty byl elektronický průmysl (33</w:t>
      </w:r>
      <w:r>
        <w:t> </w:t>
      </w:r>
      <w:r w:rsidR="005417C1">
        <w:t xml:space="preserve">%). </w:t>
      </w:r>
      <w:r w:rsidR="00C8168F" w:rsidRPr="009A64AB">
        <w:t>Data za o</w:t>
      </w:r>
      <w:r w:rsidR="00352A02" w:rsidRPr="009A64AB">
        <w:t>dvětví zpracovatelského pr</w:t>
      </w:r>
      <w:r w:rsidR="00856EE2" w:rsidRPr="009A64AB">
        <w:t xml:space="preserve">ůmyslu jsou </w:t>
      </w:r>
      <w:r w:rsidR="00856EE2" w:rsidRPr="00A141DA">
        <w:t>uvedena v tabulce 2</w:t>
      </w:r>
      <w:r w:rsidR="00A141DA" w:rsidRPr="00A141DA">
        <w:t>2</w:t>
      </w:r>
      <w:r w:rsidR="00352A02" w:rsidRPr="00A141DA">
        <w:t>B</w:t>
      </w:r>
      <w:r w:rsidR="00C8168F" w:rsidRPr="009A64AB">
        <w:t xml:space="preserve"> tabulkové přílohy</w:t>
      </w:r>
      <w:r w:rsidR="00352A02" w:rsidRPr="009A64AB">
        <w:t>.</w:t>
      </w:r>
    </w:p>
    <w:p w14:paraId="442B8AC0" w14:textId="77777777" w:rsidR="00352A02" w:rsidRPr="00CE0FC5" w:rsidRDefault="00352A02" w:rsidP="00F779AB">
      <w:pPr>
        <w:spacing w:before="120" w:after="60"/>
        <w:ind w:left="1276" w:hanging="1276"/>
        <w:jc w:val="both"/>
        <w:rPr>
          <w:rFonts w:cs="Arial"/>
          <w:b/>
          <w:sz w:val="18"/>
          <w:szCs w:val="20"/>
        </w:rPr>
      </w:pPr>
      <w:r w:rsidRPr="00112C78">
        <w:rPr>
          <w:rFonts w:cs="Arial"/>
          <w:b/>
          <w:sz w:val="18"/>
          <w:szCs w:val="20"/>
        </w:rPr>
        <w:t>G</w:t>
      </w:r>
      <w:r w:rsidR="00CC6E16">
        <w:rPr>
          <w:rFonts w:cs="Arial"/>
          <w:b/>
          <w:sz w:val="18"/>
          <w:szCs w:val="20"/>
        </w:rPr>
        <w:t>RAF 22</w:t>
      </w:r>
      <w:r w:rsidRPr="00112C78">
        <w:rPr>
          <w:rFonts w:cs="Arial"/>
          <w:b/>
          <w:sz w:val="18"/>
          <w:szCs w:val="20"/>
        </w:rPr>
        <w:t xml:space="preserve"> Struktura tržeb </w:t>
      </w:r>
      <w:r w:rsidR="00C66AE9" w:rsidRPr="00112C78">
        <w:rPr>
          <w:rFonts w:cs="Arial"/>
          <w:b/>
          <w:sz w:val="18"/>
          <w:szCs w:val="20"/>
        </w:rPr>
        <w:t xml:space="preserve">podniků s produktovou inovací </w:t>
      </w:r>
      <w:r w:rsidRPr="00112C78">
        <w:rPr>
          <w:rFonts w:cs="Arial"/>
          <w:b/>
          <w:sz w:val="18"/>
          <w:szCs w:val="20"/>
        </w:rPr>
        <w:t>ve vybraných sekcích CZ-NACE</w:t>
      </w:r>
      <w:r w:rsidR="004C0A87">
        <w:rPr>
          <w:rFonts w:cs="Arial"/>
          <w:b/>
          <w:sz w:val="18"/>
          <w:szCs w:val="20"/>
        </w:rPr>
        <w:t>; 2020</w:t>
      </w:r>
      <w:r w:rsidR="00C66AE9" w:rsidRPr="00112C78">
        <w:rPr>
          <w:rFonts w:cs="Arial"/>
          <w:b/>
          <w:sz w:val="18"/>
          <w:szCs w:val="20"/>
        </w:rPr>
        <w:t xml:space="preserve"> (%)</w:t>
      </w:r>
    </w:p>
    <w:p w14:paraId="5576BFDD" w14:textId="77777777" w:rsidR="00352A02" w:rsidRDefault="00CC6E16" w:rsidP="00352A02">
      <w:pPr>
        <w:jc w:val="both"/>
      </w:pPr>
      <w:r>
        <w:rPr>
          <w:noProof/>
        </w:rPr>
        <w:drawing>
          <wp:inline distT="0" distB="0" distL="0" distR="0" wp14:anchorId="65B94251" wp14:editId="0F31F9BE">
            <wp:extent cx="6120000" cy="2772000"/>
            <wp:effectExtent l="0" t="0" r="14605" b="9525"/>
            <wp:docPr id="2" name="Graf 2">
              <a:extLst xmlns:a="http://schemas.openxmlformats.org/drawingml/2006/main">
                <a:ext uri="{FF2B5EF4-FFF2-40B4-BE49-F238E27FC236}">
                  <a16:creationId xmlns:a16="http://schemas.microsoft.com/office/drawing/2014/main" id="{00000000-0008-0000-1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7AB7280" w14:textId="77777777" w:rsidR="00352A02" w:rsidRDefault="00352A02" w:rsidP="00352A02">
      <w:pPr>
        <w:spacing w:before="60" w:after="60"/>
        <w:jc w:val="both"/>
        <w:rPr>
          <w:rFonts w:cs="Arial"/>
          <w:i/>
          <w:sz w:val="18"/>
        </w:rPr>
      </w:pPr>
      <w:r>
        <w:rPr>
          <w:rFonts w:cs="Arial"/>
          <w:i/>
          <w:sz w:val="18"/>
        </w:rPr>
        <w:t xml:space="preserve">POZN.: </w:t>
      </w:r>
      <w:r w:rsidRPr="00210640">
        <w:rPr>
          <w:rFonts w:cs="Arial"/>
          <w:i/>
          <w:sz w:val="18"/>
        </w:rPr>
        <w:t xml:space="preserve">Kompletní přehled všech sledovaných sekcí </w:t>
      </w:r>
      <w:r w:rsidRPr="00A141DA">
        <w:rPr>
          <w:rFonts w:cs="Arial"/>
          <w:i/>
          <w:sz w:val="18"/>
        </w:rPr>
        <w:t xml:space="preserve">viz tabulka </w:t>
      </w:r>
      <w:r w:rsidR="00CB6325" w:rsidRPr="00A141DA">
        <w:rPr>
          <w:rFonts w:cs="Arial"/>
          <w:i/>
          <w:sz w:val="18"/>
        </w:rPr>
        <w:t>2</w:t>
      </w:r>
      <w:r w:rsidR="00A141DA" w:rsidRPr="00A141DA">
        <w:rPr>
          <w:rFonts w:cs="Arial"/>
          <w:i/>
          <w:sz w:val="18"/>
        </w:rPr>
        <w:t>2</w:t>
      </w:r>
      <w:r w:rsidRPr="00A141DA">
        <w:rPr>
          <w:rFonts w:cs="Arial"/>
          <w:i/>
          <w:sz w:val="18"/>
        </w:rPr>
        <w:t>A</w:t>
      </w:r>
      <w:r w:rsidR="0052419A" w:rsidRPr="00A141DA">
        <w:rPr>
          <w:rFonts w:cs="Arial"/>
          <w:i/>
          <w:sz w:val="18"/>
        </w:rPr>
        <w:t xml:space="preserve"> v tabulkové</w:t>
      </w:r>
      <w:r w:rsidR="0052419A">
        <w:rPr>
          <w:rFonts w:cs="Arial"/>
          <w:i/>
          <w:sz w:val="18"/>
        </w:rPr>
        <w:t xml:space="preserve"> příloze</w:t>
      </w:r>
      <w:r w:rsidRPr="00210640">
        <w:rPr>
          <w:rFonts w:cs="Arial"/>
          <w:i/>
          <w:sz w:val="18"/>
        </w:rPr>
        <w:t>.</w:t>
      </w:r>
    </w:p>
    <w:p w14:paraId="175483F3" w14:textId="77777777" w:rsidR="000B26AE" w:rsidRPr="000B26AE" w:rsidRDefault="000B26AE" w:rsidP="000B26AE">
      <w:pPr>
        <w:spacing w:before="60" w:after="60"/>
        <w:jc w:val="right"/>
        <w:rPr>
          <w:i/>
          <w:sz w:val="18"/>
        </w:rPr>
      </w:pPr>
      <w:r w:rsidRPr="00B2746E">
        <w:rPr>
          <w:i/>
          <w:sz w:val="18"/>
        </w:rPr>
        <w:t>Zdroj: ČSÚ, Šetření o inovačních aktivitách podniků</w:t>
      </w:r>
    </w:p>
    <w:p w14:paraId="2056C6E3" w14:textId="77777777" w:rsidR="007B7C9D" w:rsidRDefault="007B7C9D" w:rsidP="007B7C9D">
      <w:pPr>
        <w:pStyle w:val="Nadpis4"/>
        <w:spacing w:before="240"/>
        <w:rPr>
          <w:rStyle w:val="st"/>
          <w:color w:val="009BB4"/>
        </w:rPr>
      </w:pPr>
      <w:r w:rsidRPr="00A1259E">
        <w:rPr>
          <w:rStyle w:val="st"/>
          <w:color w:val="009BB4"/>
        </w:rPr>
        <w:lastRenderedPageBreak/>
        <w:t>3.2.3</w:t>
      </w:r>
      <w:r>
        <w:rPr>
          <w:rStyle w:val="st"/>
          <w:color w:val="009BB4"/>
        </w:rPr>
        <w:t>.5 Dopady zavedení produktové inovace</w:t>
      </w:r>
    </w:p>
    <w:p w14:paraId="3C18C27D" w14:textId="77777777" w:rsidR="00AE1124" w:rsidRDefault="00E6101E" w:rsidP="00CA76B8">
      <w:pPr>
        <w:spacing w:before="60" w:after="60"/>
        <w:jc w:val="both"/>
      </w:pPr>
      <w:r>
        <w:t xml:space="preserve">U produktových inovací se sledují i </w:t>
      </w:r>
      <w:r w:rsidR="00C66AE9">
        <w:t xml:space="preserve">výsledky či </w:t>
      </w:r>
      <w:r>
        <w:t xml:space="preserve">dopady produktových inovací </w:t>
      </w:r>
      <w:r w:rsidR="005660C3">
        <w:t xml:space="preserve">zavedených </w:t>
      </w:r>
      <w:r w:rsidR="00B801E5">
        <w:t>v letech 2018 až 2020</w:t>
      </w:r>
      <w:r>
        <w:t xml:space="preserve">. </w:t>
      </w:r>
      <w:r w:rsidR="00AE1124" w:rsidRPr="00AE1124">
        <w:t xml:space="preserve">Nejčastějším výsledkem produktových inovací bylo </w:t>
      </w:r>
      <w:r w:rsidR="00AE1124" w:rsidRPr="00CA76B8">
        <w:rPr>
          <w:b/>
        </w:rPr>
        <w:t>zvýšení kvality stávající produkce</w:t>
      </w:r>
      <w:r w:rsidR="00AE1124" w:rsidRPr="00AE1124">
        <w:t xml:space="preserve">, kterou uvedlo jako </w:t>
      </w:r>
      <w:r w:rsidR="00AE1124" w:rsidRPr="00CA76B8">
        <w:rPr>
          <w:b/>
        </w:rPr>
        <w:t>hlavní výsledek</w:t>
      </w:r>
      <w:r w:rsidR="00F039DC">
        <w:t xml:space="preserve"> 38,7</w:t>
      </w:r>
      <w:r w:rsidR="00EE78D4">
        <w:t> </w:t>
      </w:r>
      <w:r w:rsidR="00AE1124" w:rsidRPr="00AE1124">
        <w:t xml:space="preserve">% firem s produktovou inovací. </w:t>
      </w:r>
    </w:p>
    <w:p w14:paraId="1CEA0EF4" w14:textId="77777777" w:rsidR="007B7C9D" w:rsidRPr="002530C7" w:rsidRDefault="00843B29" w:rsidP="00CA76B8">
      <w:pPr>
        <w:spacing w:before="60" w:after="60"/>
        <w:jc w:val="both"/>
      </w:pPr>
      <w:r w:rsidRPr="0008384E">
        <w:rPr>
          <w:b/>
        </w:rPr>
        <w:t>R</w:t>
      </w:r>
      <w:r w:rsidR="00F72167" w:rsidRPr="0008384E">
        <w:rPr>
          <w:b/>
        </w:rPr>
        <w:t xml:space="preserve">ozšíření či </w:t>
      </w:r>
      <w:r w:rsidR="00F039DC" w:rsidRPr="0008384E">
        <w:rPr>
          <w:b/>
        </w:rPr>
        <w:t>obměnu</w:t>
      </w:r>
      <w:r w:rsidRPr="0008384E">
        <w:rPr>
          <w:b/>
        </w:rPr>
        <w:t xml:space="preserve"> nabídky produktů</w:t>
      </w:r>
      <w:r w:rsidRPr="002530C7">
        <w:t xml:space="preserve"> ve stávajícím odvětví</w:t>
      </w:r>
      <w:r>
        <w:t xml:space="preserve"> považovalo za nejvýznamnější dopad uvedení produktových inovací 2</w:t>
      </w:r>
      <w:r w:rsidR="00F039DC">
        <w:t>5,6</w:t>
      </w:r>
      <w:r>
        <w:t> % podniků.</w:t>
      </w:r>
      <w:r w:rsidR="00E6101E">
        <w:t xml:space="preserve"> </w:t>
      </w:r>
      <w:r w:rsidR="00E5231C">
        <w:t>Jako v pořadí třetí</w:t>
      </w:r>
      <w:r>
        <w:t xml:space="preserve"> uvedly</w:t>
      </w:r>
      <w:r w:rsidR="005660C3" w:rsidRPr="005660C3">
        <w:t xml:space="preserve"> </w:t>
      </w:r>
      <w:r w:rsidR="005660C3">
        <w:t>podniky</w:t>
      </w:r>
      <w:r>
        <w:t>, že uvedení produktové inovace na trh pro ně znamenalo z</w:t>
      </w:r>
      <w:r w:rsidRPr="00843B29">
        <w:t>výšení tržního podílu na stávajících trzích</w:t>
      </w:r>
      <w:r w:rsidR="00F039DC">
        <w:t xml:space="preserve"> (22,2</w:t>
      </w:r>
      <w:r w:rsidR="004F2C2E">
        <w:t> </w:t>
      </w:r>
      <w:r>
        <w:t>%).</w:t>
      </w:r>
      <w:r w:rsidR="00A8271B">
        <w:t xml:space="preserve"> </w:t>
      </w:r>
      <w:r w:rsidR="00F039DC">
        <w:t>Pouze 5</w:t>
      </w:r>
      <w:r w:rsidR="00AE1124" w:rsidRPr="00AE1124">
        <w:t xml:space="preserve"> % </w:t>
      </w:r>
      <w:r w:rsidR="00AE1124">
        <w:t xml:space="preserve">firem s produktovou inovací </w:t>
      </w:r>
      <w:r w:rsidR="008F1C65">
        <w:t>označilo jako hlavní výsledek produktových inovací</w:t>
      </w:r>
      <w:r w:rsidR="00AE1124">
        <w:t xml:space="preserve"> </w:t>
      </w:r>
      <w:r w:rsidR="00AE1124" w:rsidRPr="00AE1124">
        <w:t>vstup na nové trhy z hlediska poskytovaného sortimentu a 3</w:t>
      </w:r>
      <w:r w:rsidR="00F039DC">
        <w:t>,9</w:t>
      </w:r>
      <w:r w:rsidR="00AE1124" w:rsidRPr="00AE1124">
        <w:t xml:space="preserve"> % z hlediska geografického. </w:t>
      </w:r>
      <w:r w:rsidR="00A8271B">
        <w:t xml:space="preserve">Za </w:t>
      </w:r>
      <w:r w:rsidR="00A8271B" w:rsidRPr="00DD4278">
        <w:rPr>
          <w:b/>
        </w:rPr>
        <w:t>nejméně významný</w:t>
      </w:r>
      <w:r w:rsidR="00A8271B">
        <w:t xml:space="preserve"> dopad uvedení produktové inovace podniky označily </w:t>
      </w:r>
      <w:r w:rsidR="00A8271B" w:rsidRPr="00DD4278">
        <w:rPr>
          <w:b/>
        </w:rPr>
        <w:t>s</w:t>
      </w:r>
      <w:r w:rsidR="009A0274" w:rsidRPr="00DD4278">
        <w:rPr>
          <w:b/>
        </w:rPr>
        <w:t>nížení negativních dopadů</w:t>
      </w:r>
      <w:r w:rsidR="00A8271B" w:rsidRPr="00DD4278">
        <w:rPr>
          <w:b/>
        </w:rPr>
        <w:t xml:space="preserve"> na životní prostředí</w:t>
      </w:r>
      <w:r w:rsidR="002530C7">
        <w:rPr>
          <w:b/>
        </w:rPr>
        <w:t xml:space="preserve">. </w:t>
      </w:r>
      <w:r w:rsidR="002530C7" w:rsidRPr="00CA76B8">
        <w:t>Tuto sku</w:t>
      </w:r>
      <w:r w:rsidR="00F039DC">
        <w:t>tečnost jako hlavní uvedla jen 3,4</w:t>
      </w:r>
      <w:r w:rsidR="002530C7" w:rsidRPr="00CA76B8">
        <w:t> % podniků s produktovou inovací</w:t>
      </w:r>
      <w:r w:rsidR="00A7434E">
        <w:t>,</w:t>
      </w:r>
      <w:r w:rsidR="00F039DC">
        <w:t xml:space="preserve"> </w:t>
      </w:r>
      <w:r w:rsidR="00A7434E">
        <w:t>v</w:t>
      </w:r>
      <w:r w:rsidR="00F039DC">
        <w:t xml:space="preserve"> minulém období 2016–2018 </w:t>
      </w:r>
      <w:r w:rsidR="00A7434E">
        <w:t>se jednalo o</w:t>
      </w:r>
      <w:r w:rsidR="00F039DC">
        <w:t xml:space="preserve"> dvě procenta podniků. </w:t>
      </w:r>
    </w:p>
    <w:p w14:paraId="5A4C5C70" w14:textId="77777777" w:rsidR="006C71C9" w:rsidRDefault="00483771" w:rsidP="00CA76B8">
      <w:pPr>
        <w:spacing w:before="60" w:after="60"/>
        <w:jc w:val="both"/>
      </w:pPr>
      <w:r>
        <w:t xml:space="preserve">Všechny velikostní skupiny podniků </w:t>
      </w:r>
      <w:r w:rsidR="006C71C9">
        <w:t xml:space="preserve">považovaly za nejvýznamnější dopad svých produktových inovací </w:t>
      </w:r>
      <w:r w:rsidR="00E5231C">
        <w:t xml:space="preserve">zvýšení kvality nebo </w:t>
      </w:r>
      <w:r w:rsidR="006C71C9" w:rsidRPr="006C71C9">
        <w:t>jakosti stávajících produktů</w:t>
      </w:r>
      <w:r>
        <w:t>. Střední podniky, na rozdíl od malých a velkých,</w:t>
      </w:r>
      <w:r w:rsidR="006C71C9">
        <w:t xml:space="preserve"> </w:t>
      </w:r>
      <w:r>
        <w:t>považovaly za druhý nejvýznamnější dopad inov</w:t>
      </w:r>
      <w:r w:rsidR="0012312B">
        <w:t>ace</w:t>
      </w:r>
      <w:r>
        <w:t xml:space="preserve"> svých produktů z</w:t>
      </w:r>
      <w:r w:rsidRPr="00843B29">
        <w:t>výšení tržního podílu na stávajících trzích</w:t>
      </w:r>
      <w:r w:rsidR="006C71C9">
        <w:t xml:space="preserve"> rozšíření či </w:t>
      </w:r>
      <w:r>
        <w:t>obměnu</w:t>
      </w:r>
      <w:r w:rsidR="006C71C9" w:rsidRPr="006C71C9">
        <w:t xml:space="preserve"> nabídky produktů ve stávajícím odvětví</w:t>
      </w:r>
      <w:r w:rsidR="006C71C9">
        <w:t>.</w:t>
      </w:r>
      <w:r w:rsidR="00677B2E">
        <w:t xml:space="preserve"> </w:t>
      </w:r>
      <w:r w:rsidR="0012312B">
        <w:t xml:space="preserve">Velké podniky v rámci svých inovačních aktivit spojených s produkty považovaly </w:t>
      </w:r>
      <w:r w:rsidR="009A0274">
        <w:t>snížení negativních d</w:t>
      </w:r>
      <w:r w:rsidR="0012312B">
        <w:t xml:space="preserve">opadů na životní prostředí za významnější dopad než vstup na nové </w:t>
      </w:r>
      <w:r w:rsidR="00374E4D">
        <w:t>geografické trhy.</w:t>
      </w:r>
      <w:r w:rsidR="0012312B">
        <w:t xml:space="preserve"> </w:t>
      </w:r>
      <w:r w:rsidR="009A0274">
        <w:t xml:space="preserve"> </w:t>
      </w:r>
    </w:p>
    <w:p w14:paraId="3E831E90" w14:textId="77777777" w:rsidR="00677B2E" w:rsidRDefault="0012312B" w:rsidP="00CA76B8">
      <w:pPr>
        <w:spacing w:before="60" w:after="60"/>
        <w:jc w:val="both"/>
      </w:pPr>
      <w:r>
        <w:t xml:space="preserve">Jak u </w:t>
      </w:r>
      <w:r w:rsidR="00677B2E">
        <w:t>domácích podniků</w:t>
      </w:r>
      <w:r>
        <w:t xml:space="preserve">, tak i </w:t>
      </w:r>
      <w:r w:rsidR="008C6447">
        <w:t xml:space="preserve">u </w:t>
      </w:r>
      <w:r>
        <w:t>těch pod zahraniční kontrolou, hrála</w:t>
      </w:r>
      <w:r w:rsidR="00677B2E">
        <w:t xml:space="preserve"> u produktových inovací nejvýznamnější</w:t>
      </w:r>
      <w:r>
        <w:t xml:space="preserve"> roli</w:t>
      </w:r>
      <w:r w:rsidR="00677B2E">
        <w:t xml:space="preserve"> kva</w:t>
      </w:r>
      <w:r>
        <w:t>lita stávajících produktů. V hodnocení druhého nejvýznamnějšího dopadu inovací produktů se rozcházejí.</w:t>
      </w:r>
      <w:r w:rsidR="00677B2E">
        <w:t xml:space="preserve"> </w:t>
      </w:r>
      <w:r w:rsidR="006C691B">
        <w:t>Domácí podniky spatřovaly</w:t>
      </w:r>
      <w:r>
        <w:t xml:space="preserve"> jako druhý nejvýznamnější dopad </w:t>
      </w:r>
      <w:r w:rsidR="00773003">
        <w:t>r</w:t>
      </w:r>
      <w:r w:rsidR="00773003" w:rsidRPr="002530C7">
        <w:t xml:space="preserve">ozšíření či </w:t>
      </w:r>
      <w:r w:rsidR="00773003">
        <w:t>obměnu</w:t>
      </w:r>
      <w:r w:rsidR="00773003" w:rsidRPr="002530C7">
        <w:t xml:space="preserve"> nabídky produktů ve stávajícím odvětví</w:t>
      </w:r>
      <w:r w:rsidR="00773003">
        <w:t xml:space="preserve"> (uvedlo 26,2 %), </w:t>
      </w:r>
      <w:r w:rsidR="00677B2E">
        <w:t xml:space="preserve">naopak pro podniky pod zahraniční kontrolou </w:t>
      </w:r>
      <w:r w:rsidR="00410D77">
        <w:t xml:space="preserve">spočíval </w:t>
      </w:r>
      <w:r w:rsidR="00773003">
        <w:t xml:space="preserve">druhý </w:t>
      </w:r>
      <w:r w:rsidR="00677B2E">
        <w:t>nejvýznamnější dopad</w:t>
      </w:r>
      <w:r w:rsidR="00773003">
        <w:t xml:space="preserve"> ve</w:t>
      </w:r>
      <w:r w:rsidR="00677B2E">
        <w:t xml:space="preserve"> </w:t>
      </w:r>
      <w:r w:rsidR="00773003">
        <w:t>z</w:t>
      </w:r>
      <w:r w:rsidR="00773003" w:rsidRPr="00843B29">
        <w:t>výšení tržního podílu na stávajících trzích</w:t>
      </w:r>
      <w:r w:rsidR="00773003">
        <w:t xml:space="preserve"> (uvedlo 26 %).</w:t>
      </w:r>
      <w:r w:rsidR="002809B1">
        <w:t xml:space="preserve"> Snížení negativních dopadů</w:t>
      </w:r>
      <w:r w:rsidR="007C3BE8">
        <w:t xml:space="preserve"> na životní prostředí bylo o jeden procentní bod důležitější pro podniky pod zahraniční kontrolou</w:t>
      </w:r>
      <w:r w:rsidR="008C6447">
        <w:t xml:space="preserve"> (4,</w:t>
      </w:r>
      <w:r w:rsidR="00DA7676">
        <w:t>2</w:t>
      </w:r>
      <w:r w:rsidR="008C6447">
        <w:t> %)</w:t>
      </w:r>
      <w:r w:rsidR="007C3BE8">
        <w:t xml:space="preserve"> než pro domácí podniky (uvedlo 3,1 %).</w:t>
      </w:r>
    </w:p>
    <w:p w14:paraId="4738470A" w14:textId="77777777" w:rsidR="00F42D42" w:rsidRDefault="00F42D42" w:rsidP="00CA76B8">
      <w:pPr>
        <w:spacing w:before="60" w:after="60"/>
        <w:jc w:val="both"/>
      </w:pPr>
      <w:r>
        <w:t xml:space="preserve">Detailnější členění lze </w:t>
      </w:r>
      <w:r w:rsidRPr="00DA7676">
        <w:t>nalézt v tabulkách 2</w:t>
      </w:r>
      <w:r w:rsidR="00DA7676" w:rsidRPr="00DA7676">
        <w:t>3</w:t>
      </w:r>
      <w:r w:rsidRPr="00DA7676">
        <w:t>A</w:t>
      </w:r>
      <w:r w:rsidR="00773003" w:rsidRPr="00DA7676">
        <w:t xml:space="preserve"> a 2</w:t>
      </w:r>
      <w:r w:rsidR="00DA7676" w:rsidRPr="00DA7676">
        <w:t>3</w:t>
      </w:r>
      <w:r w:rsidRPr="00DA7676">
        <w:t>B v tabulkové příloze.</w:t>
      </w:r>
    </w:p>
    <w:p w14:paraId="550A2479" w14:textId="77777777" w:rsidR="0032720A" w:rsidRPr="008E2015" w:rsidRDefault="000216A8" w:rsidP="00EE4B21">
      <w:pPr>
        <w:spacing w:before="120" w:after="60"/>
        <w:ind w:left="851" w:hanging="851"/>
        <w:rPr>
          <w:rFonts w:cs="Arial"/>
          <w:b/>
          <w:sz w:val="18"/>
          <w:szCs w:val="20"/>
        </w:rPr>
      </w:pPr>
      <w:r w:rsidRPr="00CE0FC5">
        <w:rPr>
          <w:rFonts w:cs="Arial"/>
          <w:b/>
          <w:sz w:val="18"/>
          <w:szCs w:val="20"/>
        </w:rPr>
        <w:t>G</w:t>
      </w:r>
      <w:r w:rsidR="00872D43">
        <w:rPr>
          <w:rFonts w:cs="Arial"/>
          <w:b/>
          <w:sz w:val="18"/>
          <w:szCs w:val="20"/>
        </w:rPr>
        <w:t>RAF 23</w:t>
      </w:r>
      <w:r w:rsidRPr="00CE0FC5">
        <w:rPr>
          <w:rFonts w:cs="Arial"/>
          <w:b/>
          <w:sz w:val="18"/>
          <w:szCs w:val="20"/>
        </w:rPr>
        <w:t xml:space="preserve"> </w:t>
      </w:r>
      <w:r w:rsidR="0032720A">
        <w:rPr>
          <w:rFonts w:cs="Arial"/>
          <w:b/>
          <w:sz w:val="18"/>
          <w:szCs w:val="20"/>
        </w:rPr>
        <w:t xml:space="preserve">Nejvýznamnější dopady uvedení produktové inovace </w:t>
      </w:r>
      <w:r w:rsidR="00AE1124">
        <w:rPr>
          <w:rFonts w:cs="Arial"/>
          <w:b/>
          <w:sz w:val="18"/>
          <w:szCs w:val="20"/>
        </w:rPr>
        <w:t>ve vybraných skupinách podniků</w:t>
      </w:r>
      <w:r w:rsidR="0032720A">
        <w:rPr>
          <w:rFonts w:cs="Arial"/>
          <w:b/>
          <w:sz w:val="18"/>
          <w:szCs w:val="20"/>
        </w:rPr>
        <w:t>;</w:t>
      </w:r>
      <w:r w:rsidR="0032720A" w:rsidRPr="0032720A">
        <w:rPr>
          <w:rFonts w:cs="Arial"/>
          <w:b/>
          <w:sz w:val="18"/>
          <w:szCs w:val="20"/>
        </w:rPr>
        <w:t xml:space="preserve"> </w:t>
      </w:r>
      <w:r w:rsidR="00233704">
        <w:rPr>
          <w:rFonts w:cs="Arial"/>
          <w:b/>
          <w:sz w:val="18"/>
          <w:szCs w:val="20"/>
        </w:rPr>
        <w:t>2018–2020</w:t>
      </w:r>
      <w:r w:rsidR="0032720A" w:rsidRPr="008E2015">
        <w:rPr>
          <w:rFonts w:cs="Arial"/>
          <w:b/>
          <w:sz w:val="18"/>
          <w:szCs w:val="20"/>
        </w:rPr>
        <w:t xml:space="preserve"> </w:t>
      </w:r>
      <w:r w:rsidR="00AE1DD9">
        <w:rPr>
          <w:rFonts w:cs="Arial"/>
          <w:b/>
          <w:sz w:val="18"/>
          <w:szCs w:val="20"/>
        </w:rPr>
        <w:t xml:space="preserve">   </w:t>
      </w:r>
      <w:r w:rsidR="0032720A" w:rsidRPr="008E2015">
        <w:rPr>
          <w:rFonts w:cs="Arial"/>
          <w:b/>
          <w:sz w:val="18"/>
          <w:szCs w:val="20"/>
        </w:rPr>
        <w:t>(% z produktově inovujících podniků)</w:t>
      </w:r>
    </w:p>
    <w:p w14:paraId="012607A2" w14:textId="77777777" w:rsidR="000216A8" w:rsidRDefault="00C322CD" w:rsidP="000216A8">
      <w:pPr>
        <w:spacing w:after="120"/>
        <w:ind w:left="1276" w:hanging="1276"/>
        <w:jc w:val="both"/>
        <w:rPr>
          <w:rFonts w:cs="Arial"/>
          <w:b/>
          <w:sz w:val="18"/>
          <w:szCs w:val="20"/>
        </w:rPr>
      </w:pPr>
      <w:r>
        <w:rPr>
          <w:noProof/>
        </w:rPr>
        <w:drawing>
          <wp:inline distT="0" distB="0" distL="0" distR="0" wp14:anchorId="0B46991C" wp14:editId="2E6C8BA8">
            <wp:extent cx="6120000" cy="3600000"/>
            <wp:effectExtent l="0" t="0" r="14605" b="635"/>
            <wp:docPr id="49" name="Graf 49">
              <a:extLst xmlns:a="http://schemas.openxmlformats.org/drawingml/2006/main">
                <a:ext uri="{FF2B5EF4-FFF2-40B4-BE49-F238E27FC236}">
                  <a16:creationId xmlns:a16="http://schemas.microsoft.com/office/drawing/2014/main" id="{00000000-0008-0000-1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FF84E1" w14:textId="77777777" w:rsidR="00277B20" w:rsidRPr="000B26AE" w:rsidRDefault="00277B20" w:rsidP="00277B20">
      <w:pPr>
        <w:spacing w:before="60" w:after="60"/>
        <w:jc w:val="right"/>
        <w:rPr>
          <w:i/>
          <w:sz w:val="18"/>
        </w:rPr>
      </w:pPr>
      <w:r w:rsidRPr="00B2746E">
        <w:rPr>
          <w:i/>
          <w:sz w:val="18"/>
        </w:rPr>
        <w:t>Zdroj: ČSÚ, Šetření o inovačních aktivitách podniků</w:t>
      </w:r>
    </w:p>
    <w:p w14:paraId="279979F7" w14:textId="77777777" w:rsidR="00277B20" w:rsidRPr="00CE0FC5" w:rsidRDefault="00277B20" w:rsidP="000216A8">
      <w:pPr>
        <w:spacing w:after="120"/>
        <w:ind w:left="1276" w:hanging="1276"/>
        <w:jc w:val="both"/>
        <w:rPr>
          <w:rFonts w:cs="Arial"/>
          <w:b/>
          <w:sz w:val="18"/>
          <w:szCs w:val="20"/>
        </w:rPr>
      </w:pPr>
    </w:p>
    <w:p w14:paraId="45E8CFFC" w14:textId="77777777" w:rsidR="00AA59E3" w:rsidRPr="0033205F" w:rsidRDefault="00AA59E3" w:rsidP="00BD0613">
      <w:pPr>
        <w:pStyle w:val="Nadpis3"/>
        <w:pageBreakBefore/>
        <w:rPr>
          <w:rStyle w:val="st"/>
          <w:b w:val="0"/>
          <w:bCs w:val="0"/>
          <w:color w:val="auto"/>
          <w:sz w:val="20"/>
        </w:rPr>
      </w:pPr>
      <w:r>
        <w:rPr>
          <w:rStyle w:val="st"/>
        </w:rPr>
        <w:lastRenderedPageBreak/>
        <w:t>3.2</w:t>
      </w:r>
      <w:r w:rsidRPr="0033205F">
        <w:rPr>
          <w:rStyle w:val="st"/>
        </w:rPr>
        <w:t>.</w:t>
      </w:r>
      <w:r>
        <w:rPr>
          <w:rStyle w:val="st"/>
        </w:rPr>
        <w:t>4</w:t>
      </w:r>
      <w:r w:rsidRPr="0033205F">
        <w:rPr>
          <w:rStyle w:val="st"/>
        </w:rPr>
        <w:t xml:space="preserve"> Podniky s</w:t>
      </w:r>
      <w:r w:rsidR="00B01A65">
        <w:rPr>
          <w:rStyle w:val="st"/>
        </w:rPr>
        <w:t> inovacemi podnikových procesů</w:t>
      </w:r>
    </w:p>
    <w:p w14:paraId="0F7FD12D" w14:textId="77777777" w:rsidR="00CD7C12" w:rsidRPr="00CD7C12" w:rsidRDefault="00CD7C12" w:rsidP="0054323E">
      <w:pPr>
        <w:pStyle w:val="Nadpis4"/>
        <w:spacing w:before="60" w:after="60"/>
        <w:rPr>
          <w:color w:val="009BB4"/>
        </w:rPr>
      </w:pPr>
      <w:r w:rsidRPr="00A1259E">
        <w:rPr>
          <w:rStyle w:val="st"/>
          <w:color w:val="009BB4"/>
        </w:rPr>
        <w:t>3.2.</w:t>
      </w:r>
      <w:r>
        <w:rPr>
          <w:rStyle w:val="st"/>
          <w:color w:val="009BB4"/>
        </w:rPr>
        <w:t>4</w:t>
      </w:r>
      <w:r w:rsidRPr="00A1259E">
        <w:rPr>
          <w:rStyle w:val="st"/>
          <w:color w:val="009BB4"/>
        </w:rPr>
        <w:t xml:space="preserve">.1 </w:t>
      </w:r>
      <w:r w:rsidR="00DB7839">
        <w:rPr>
          <w:rStyle w:val="st"/>
          <w:color w:val="009BB4"/>
        </w:rPr>
        <w:t>Druh inovací podnikových procesů</w:t>
      </w:r>
    </w:p>
    <w:p w14:paraId="3588663E" w14:textId="77777777" w:rsidR="00B51944" w:rsidRPr="00DC5F2B" w:rsidRDefault="00312184" w:rsidP="00BF2DC9">
      <w:pPr>
        <w:spacing w:after="60"/>
        <w:jc w:val="both"/>
      </w:pPr>
      <w:r w:rsidRPr="00E8264F">
        <w:t>Inovac</w:t>
      </w:r>
      <w:r w:rsidR="00FC4BF3">
        <w:t>i</w:t>
      </w:r>
      <w:r w:rsidRPr="00D94457">
        <w:rPr>
          <w:b/>
        </w:rPr>
        <w:t xml:space="preserve"> podnikových procesů</w:t>
      </w:r>
      <w:r w:rsidR="00FC4BF3">
        <w:t xml:space="preserve"> v </w:t>
      </w:r>
      <w:r w:rsidRPr="00E8264F">
        <w:t>období</w:t>
      </w:r>
      <w:r w:rsidR="00FC4BF3">
        <w:t xml:space="preserve"> 2018–2020</w:t>
      </w:r>
      <w:r w:rsidRPr="00D94457">
        <w:rPr>
          <w:b/>
        </w:rPr>
        <w:t xml:space="preserve"> </w:t>
      </w:r>
      <w:r w:rsidR="00146C00">
        <w:t>v Česku</w:t>
      </w:r>
      <w:r w:rsidR="00146C00" w:rsidRPr="00E8264F">
        <w:t xml:space="preserve"> </w:t>
      </w:r>
      <w:r w:rsidR="000E39FA" w:rsidRPr="00E8264F">
        <w:t>zavedlo</w:t>
      </w:r>
      <w:r w:rsidR="00B626F7">
        <w:t xml:space="preserve"> </w:t>
      </w:r>
      <w:r w:rsidR="00017E07">
        <w:t>53,6</w:t>
      </w:r>
      <w:r w:rsidR="00146C00">
        <w:t> </w:t>
      </w:r>
      <w:r w:rsidRPr="00E8264F">
        <w:t>% podniků</w:t>
      </w:r>
      <w:r w:rsidR="00D94457">
        <w:t>. Z hlediska podniku se za nejdůležitější inovaci podnikových procesů považuj</w:t>
      </w:r>
      <w:r w:rsidR="00B626F7">
        <w:t>í inovované činnosti v oblasti</w:t>
      </w:r>
      <w:r w:rsidR="00D94457" w:rsidRPr="00E8264F">
        <w:t xml:space="preserve"> vnitropodnikových </w:t>
      </w:r>
      <w:r w:rsidR="00B626F7" w:rsidRPr="00E8264F">
        <w:t xml:space="preserve">produkčních a obslužných </w:t>
      </w:r>
      <w:r w:rsidR="00D94457" w:rsidRPr="00E8264F">
        <w:t>procesů</w:t>
      </w:r>
      <w:r w:rsidR="00B626F7" w:rsidRPr="00E8264F">
        <w:t xml:space="preserve"> – </w:t>
      </w:r>
      <w:r w:rsidR="00B626F7">
        <w:rPr>
          <w:b/>
        </w:rPr>
        <w:t>inovace</w:t>
      </w:r>
      <w:r w:rsidR="00906B72">
        <w:rPr>
          <w:b/>
        </w:rPr>
        <w:t xml:space="preserve"> vnitřních procesů</w:t>
      </w:r>
      <w:r w:rsidR="006B5B1C">
        <w:t xml:space="preserve">, </w:t>
      </w:r>
      <w:r w:rsidR="009D4A2E">
        <w:t>kter</w:t>
      </w:r>
      <w:r w:rsidR="00FC4BF3">
        <w:t>ou</w:t>
      </w:r>
      <w:r w:rsidR="009D4A2E">
        <w:t xml:space="preserve"> zavedl</w:t>
      </w:r>
      <w:r w:rsidR="00FC4BF3">
        <w:t>o</w:t>
      </w:r>
      <w:r w:rsidR="000E39FA">
        <w:t xml:space="preserve"> </w:t>
      </w:r>
      <w:r w:rsidR="00FC4BF3">
        <w:t>43,8 %</w:t>
      </w:r>
      <w:r w:rsidR="000E39FA">
        <w:t xml:space="preserve"> pod</w:t>
      </w:r>
      <w:r w:rsidR="00FC4BF3">
        <w:t>niků s deseti a více zaměstnanými osobami</w:t>
      </w:r>
      <w:r w:rsidR="000E39FA">
        <w:t xml:space="preserve"> v</w:t>
      </w:r>
      <w:r w:rsidR="00084837">
        <w:t>e</w:t>
      </w:r>
      <w:r w:rsidR="000E39FA">
        <w:t> sledovaných odvětvích.</w:t>
      </w:r>
      <w:r w:rsidR="00D94457">
        <w:t xml:space="preserve"> </w:t>
      </w:r>
      <w:r w:rsidR="000E39FA">
        <w:t xml:space="preserve">Významné změny </w:t>
      </w:r>
      <w:r w:rsidR="002864D7">
        <w:t xml:space="preserve">v oblasti </w:t>
      </w:r>
      <w:r w:rsidR="000E39FA" w:rsidRPr="000E39FA">
        <w:t>spolupráce, organizace či řízení podniku a vnějších vztahů</w:t>
      </w:r>
      <w:r w:rsidR="000E39FA">
        <w:t xml:space="preserve"> – </w:t>
      </w:r>
      <w:r w:rsidR="000E39FA" w:rsidRPr="00E8264F">
        <w:rPr>
          <w:b/>
        </w:rPr>
        <w:t>organizační inovac</w:t>
      </w:r>
      <w:r w:rsidR="00B626F7">
        <w:rPr>
          <w:b/>
        </w:rPr>
        <w:t>e</w:t>
      </w:r>
      <w:r w:rsidR="000E39FA">
        <w:t xml:space="preserve"> </w:t>
      </w:r>
      <w:r w:rsidR="00214F12">
        <w:t>–</w:t>
      </w:r>
      <w:r w:rsidR="000E39FA">
        <w:t xml:space="preserve"> zavedlo</w:t>
      </w:r>
      <w:r w:rsidR="00FC4BF3">
        <w:t xml:space="preserve"> 40,8</w:t>
      </w:r>
      <w:r w:rsidR="00D94457">
        <w:t> % podniků</w:t>
      </w:r>
      <w:r w:rsidR="000E39FA">
        <w:t xml:space="preserve">. Významné </w:t>
      </w:r>
      <w:r w:rsidR="000E39FA" w:rsidRPr="000E39FA">
        <w:t xml:space="preserve">změny v oblasti marketingu a prodeje svých výrobků </w:t>
      </w:r>
      <w:r w:rsidR="000E39FA">
        <w:t xml:space="preserve">či </w:t>
      </w:r>
      <w:r w:rsidR="000E39FA" w:rsidRPr="000E39FA">
        <w:t>služeb</w:t>
      </w:r>
      <w:r w:rsidR="000E39FA">
        <w:t xml:space="preserve"> – </w:t>
      </w:r>
      <w:r w:rsidR="000E39FA" w:rsidRPr="00E8264F">
        <w:rPr>
          <w:b/>
        </w:rPr>
        <w:t>marketingová inovace</w:t>
      </w:r>
      <w:r w:rsidR="000E39FA">
        <w:t xml:space="preserve"> – uskutečnilo </w:t>
      </w:r>
      <w:r w:rsidR="00FC4BF3">
        <w:t>34,8</w:t>
      </w:r>
      <w:r w:rsidR="00146C00">
        <w:t> </w:t>
      </w:r>
      <w:r w:rsidR="00D94457">
        <w:t>%</w:t>
      </w:r>
      <w:r w:rsidR="002864D7">
        <w:t xml:space="preserve"> podniků.</w:t>
      </w:r>
    </w:p>
    <w:p w14:paraId="4CC72985" w14:textId="77777777" w:rsidR="00B51944" w:rsidRDefault="003446EA" w:rsidP="00214F12">
      <w:pPr>
        <w:spacing w:before="120" w:after="60"/>
        <w:ind w:left="851" w:hanging="851"/>
      </w:pPr>
      <w:r w:rsidRPr="00BD52C8">
        <w:rPr>
          <w:rFonts w:cs="Arial"/>
          <w:b/>
          <w:sz w:val="18"/>
          <w:szCs w:val="20"/>
        </w:rPr>
        <w:t>G</w:t>
      </w:r>
      <w:r w:rsidR="00F20738">
        <w:rPr>
          <w:rFonts w:cs="Arial"/>
          <w:b/>
          <w:sz w:val="18"/>
          <w:szCs w:val="20"/>
        </w:rPr>
        <w:t>RAF 24</w:t>
      </w:r>
      <w:r w:rsidR="00504AF2">
        <w:rPr>
          <w:rFonts w:cs="Arial"/>
          <w:b/>
          <w:sz w:val="18"/>
          <w:szCs w:val="20"/>
        </w:rPr>
        <w:t xml:space="preserve"> </w:t>
      </w:r>
      <w:r w:rsidR="000E39FA" w:rsidRPr="000E39FA">
        <w:rPr>
          <w:rFonts w:cs="Arial"/>
          <w:b/>
          <w:sz w:val="18"/>
          <w:szCs w:val="20"/>
        </w:rPr>
        <w:t>Podíl podniků</w:t>
      </w:r>
      <w:r w:rsidR="004E591D">
        <w:rPr>
          <w:rFonts w:cs="Arial"/>
          <w:b/>
          <w:sz w:val="18"/>
          <w:szCs w:val="20"/>
        </w:rPr>
        <w:t>, které zavedly inovované podnikové procesy v dané oblasti v</w:t>
      </w:r>
      <w:r w:rsidR="00084837">
        <w:rPr>
          <w:rFonts w:cs="Arial"/>
          <w:b/>
          <w:sz w:val="18"/>
          <w:szCs w:val="20"/>
        </w:rPr>
        <w:t>e</w:t>
      </w:r>
      <w:r w:rsidR="004E591D">
        <w:rPr>
          <w:rFonts w:cs="Arial"/>
          <w:b/>
          <w:sz w:val="18"/>
          <w:szCs w:val="20"/>
        </w:rPr>
        <w:t xml:space="preserve"> sledovaných </w:t>
      </w:r>
      <w:r w:rsidR="000E39FA" w:rsidRPr="000E39FA">
        <w:rPr>
          <w:rFonts w:cs="Arial"/>
          <w:b/>
          <w:sz w:val="18"/>
          <w:szCs w:val="20"/>
        </w:rPr>
        <w:t>skupin</w:t>
      </w:r>
      <w:r w:rsidR="004E591D">
        <w:rPr>
          <w:rFonts w:cs="Arial"/>
          <w:b/>
          <w:sz w:val="18"/>
          <w:szCs w:val="20"/>
        </w:rPr>
        <w:t>ách podniků</w:t>
      </w:r>
      <w:r w:rsidR="00B51944" w:rsidRPr="00E14E65">
        <w:rPr>
          <w:rFonts w:cs="Arial"/>
          <w:b/>
          <w:sz w:val="18"/>
          <w:szCs w:val="20"/>
        </w:rPr>
        <w:t xml:space="preserve">; </w:t>
      </w:r>
      <w:r w:rsidR="00DC5F2B" w:rsidRPr="00E14E65">
        <w:rPr>
          <w:rFonts w:cs="Arial"/>
          <w:b/>
          <w:sz w:val="18"/>
          <w:szCs w:val="20"/>
        </w:rPr>
        <w:t>201</w:t>
      </w:r>
      <w:r w:rsidR="00AF4F8A">
        <w:rPr>
          <w:rFonts w:cs="Arial"/>
          <w:b/>
          <w:sz w:val="18"/>
          <w:szCs w:val="20"/>
        </w:rPr>
        <w:t>8–2020</w:t>
      </w:r>
      <w:r w:rsidR="004E591D">
        <w:rPr>
          <w:rFonts w:cs="Arial"/>
          <w:b/>
          <w:sz w:val="18"/>
          <w:szCs w:val="20"/>
        </w:rPr>
        <w:t xml:space="preserve"> (%)</w:t>
      </w:r>
    </w:p>
    <w:p w14:paraId="0F90BAB9" w14:textId="77777777" w:rsidR="00B626F7" w:rsidRDefault="0051142B" w:rsidP="00BD52C8">
      <w:pPr>
        <w:jc w:val="both"/>
      </w:pPr>
      <w:r>
        <w:rPr>
          <w:noProof/>
        </w:rPr>
        <w:drawing>
          <wp:inline distT="0" distB="0" distL="0" distR="0" wp14:anchorId="1536869F" wp14:editId="67D74C63">
            <wp:extent cx="6120000" cy="2520000"/>
            <wp:effectExtent l="0" t="0" r="14605" b="13970"/>
            <wp:docPr id="25" name="Graf 25">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57F1CC" w14:textId="77777777" w:rsidR="007F3294" w:rsidRPr="000B26AE" w:rsidRDefault="007F3294" w:rsidP="007F3294">
      <w:pPr>
        <w:spacing w:before="60" w:after="60"/>
        <w:jc w:val="right"/>
        <w:rPr>
          <w:i/>
          <w:sz w:val="18"/>
        </w:rPr>
      </w:pPr>
      <w:r w:rsidRPr="00B2746E">
        <w:rPr>
          <w:i/>
          <w:sz w:val="18"/>
        </w:rPr>
        <w:t>Zdroj: ČSÚ, Šetření o inovačních aktivitách podniků</w:t>
      </w:r>
    </w:p>
    <w:p w14:paraId="4EE3E77D" w14:textId="762CD3B1" w:rsidR="00EE3594" w:rsidRDefault="00EE3594" w:rsidP="00214F12">
      <w:pPr>
        <w:spacing w:before="240" w:after="60"/>
        <w:jc w:val="both"/>
      </w:pPr>
      <w:r>
        <w:t xml:space="preserve">Ve všech </w:t>
      </w:r>
      <w:r w:rsidR="00BD7C40">
        <w:t>sledovaných skupinách</w:t>
      </w:r>
      <w:r w:rsidR="00C53A4C">
        <w:t>,</w:t>
      </w:r>
      <w:r w:rsidR="004E591D">
        <w:t xml:space="preserve"> firmy nejčastěji </w:t>
      </w:r>
      <w:r w:rsidR="00BD7C40">
        <w:t xml:space="preserve">inovovaly své </w:t>
      </w:r>
      <w:r w:rsidR="00C81C3A">
        <w:t>vnitřní procesy</w:t>
      </w:r>
      <w:r w:rsidR="00BD7C40">
        <w:t xml:space="preserve">. U středních podniků inovovala </w:t>
      </w:r>
      <w:r w:rsidR="00C81C3A">
        <w:t xml:space="preserve">vnitřní procesy </w:t>
      </w:r>
      <w:r w:rsidR="00BD7C40">
        <w:t xml:space="preserve">více </w:t>
      </w:r>
      <w:r w:rsidR="00C73CCA">
        <w:t xml:space="preserve">než </w:t>
      </w:r>
      <w:r w:rsidR="00BD7C40">
        <w:t>polovina podniků, ve skupině velkých podniků to byly dvě třetiny.</w:t>
      </w:r>
      <w:r w:rsidR="002746DC">
        <w:t xml:space="preserve"> Obdobné zjištění platí i v případě inovace organizačních činností. Podíl</w:t>
      </w:r>
      <w:r w:rsidR="00647AEC">
        <w:t>y takto inovujících podniků byly</w:t>
      </w:r>
      <w:r w:rsidR="002746DC">
        <w:t xml:space="preserve"> ale o cca 3</w:t>
      </w:r>
      <w:r w:rsidR="00C53A4C">
        <w:t> </w:t>
      </w:r>
      <w:r w:rsidR="002746DC">
        <w:t xml:space="preserve">procentní body </w:t>
      </w:r>
      <w:r w:rsidR="00714523">
        <w:t>nižší</w:t>
      </w:r>
      <w:r w:rsidR="002746DC">
        <w:t xml:space="preserve"> než v případě inovace </w:t>
      </w:r>
      <w:r w:rsidR="00AE362C">
        <w:t>interních</w:t>
      </w:r>
      <w:r w:rsidR="002C2E45">
        <w:t xml:space="preserve"> procesů</w:t>
      </w:r>
      <w:r w:rsidR="002746DC">
        <w:t>.</w:t>
      </w:r>
      <w:r w:rsidR="00714523">
        <w:t xml:space="preserve"> Výjimkou jsou podniky pod zahraniční kontrolou, které oběma zmíněným inovacím věnovaly stejné úsilí</w:t>
      </w:r>
      <w:r w:rsidR="002C2E45">
        <w:t>. Inovaci interních procesů i organizační inovaci zavedlo téměř 56 % z nich</w:t>
      </w:r>
      <w:r w:rsidR="00714523">
        <w:t xml:space="preserve">. </w:t>
      </w:r>
      <w:r w:rsidR="00714523" w:rsidRPr="00714523">
        <w:t>Jistě to souvisí i s vyšším zastoupením velkých podniků u firem pod zahraniční kontrolou, které mají složitější strukturu organizace a složitějš</w:t>
      </w:r>
      <w:r w:rsidR="00714523">
        <w:t>í vazby v rámci skupiny podniků, proto se více věnují i inovaci organizačních činností</w:t>
      </w:r>
      <w:r w:rsidR="009A3423">
        <w:t xml:space="preserve"> než domácí podniky</w:t>
      </w:r>
      <w:r w:rsidR="00714523">
        <w:t xml:space="preserve">. </w:t>
      </w:r>
      <w:r w:rsidR="00647AEC">
        <w:t xml:space="preserve">Ve skupině velkých podniků provedlo </w:t>
      </w:r>
      <w:r w:rsidR="00714523" w:rsidRPr="00714523">
        <w:t>významné změny v oblasti spolupráce, organizace či řízení podniku a vnějších vztahů</w:t>
      </w:r>
      <w:r w:rsidR="00647AEC">
        <w:t xml:space="preserve"> 64,8 % z nich, u středních podniků to byla více než polovina.</w:t>
      </w:r>
    </w:p>
    <w:p w14:paraId="18349216" w14:textId="699E0D10" w:rsidR="00714523" w:rsidRDefault="00714523" w:rsidP="00714523">
      <w:pPr>
        <w:spacing w:before="120" w:after="60"/>
        <w:jc w:val="both"/>
      </w:pPr>
      <w:r>
        <w:t xml:space="preserve">Nejméně intenzivně se ve všech sledovaných skupinách podniků firmy věnovaly inovaci marketingových činností. </w:t>
      </w:r>
      <w:r w:rsidR="00FF6F01">
        <w:t>U žádné skupiny podniků podíl těch, kte</w:t>
      </w:r>
      <w:r w:rsidR="0006451C">
        <w:t>ré</w:t>
      </w:r>
      <w:r w:rsidR="00FF6F01">
        <w:t xml:space="preserve"> inovovaly marketingové činnosti, nepřesáhl hranici 50</w:t>
      </w:r>
      <w:r w:rsidR="00C53A4C">
        <w:t> %</w:t>
      </w:r>
      <w:r w:rsidR="00FF6F01">
        <w:t>.</w:t>
      </w:r>
      <w:r w:rsidR="00647AEC">
        <w:t xml:space="preserve"> Nejvíce se této hranici blížily velké podniky, kde inovovalo marketingové činnosti 47,3 %.</w:t>
      </w:r>
    </w:p>
    <w:p w14:paraId="33D50A25" w14:textId="55CEBA45" w:rsidR="00BD2014" w:rsidRDefault="00214F12" w:rsidP="00FB5CFD">
      <w:pPr>
        <w:spacing w:before="60" w:after="60"/>
        <w:jc w:val="both"/>
        <w:rPr>
          <w:rFonts w:cs="Arial"/>
          <w:b/>
          <w:sz w:val="18"/>
          <w:szCs w:val="20"/>
        </w:rPr>
      </w:pPr>
      <w:r w:rsidRPr="002B0C26">
        <w:t>Podíly jednotlivých</w:t>
      </w:r>
      <w:r>
        <w:t xml:space="preserve"> druhů inovace podnikových procesů</w:t>
      </w:r>
      <w:r w:rsidRPr="00BF2DC9">
        <w:t xml:space="preserve"> jsou do značné míry</w:t>
      </w:r>
      <w:r>
        <w:t xml:space="preserve"> dány</w:t>
      </w:r>
      <w:r w:rsidRPr="00BF2DC9">
        <w:t xml:space="preserve"> </w:t>
      </w:r>
      <w:r>
        <w:t>ekonomickou činností podniku. Ve zpracovatelsk</w:t>
      </w:r>
      <w:r w:rsidR="008D4F54">
        <w:t xml:space="preserve">ém průmyslu je například </w:t>
      </w:r>
      <w:r>
        <w:t>více podniků, které zavedly inovaci v oblasti svých vnitřních procesů, než kolik jich zavedlo marketingovou či or</w:t>
      </w:r>
      <w:r w:rsidR="008D4F54">
        <w:t>ganizační inovaci. V období 2018 až 2020</w:t>
      </w:r>
      <w:r>
        <w:t xml:space="preserve"> zavedlo ve zpracovatelském průmyslu nový nebo podstatně zlepšený způsob výroby, zabezpečení logistických činností či jiných interních činností – inovace</w:t>
      </w:r>
      <w:r w:rsidR="009A3423">
        <w:t xml:space="preserve"> interních procesů</w:t>
      </w:r>
      <w:r>
        <w:t xml:space="preserve"> </w:t>
      </w:r>
      <w:r w:rsidR="00CB4C7E">
        <w:t>–</w:t>
      </w:r>
      <w:r w:rsidR="008D4F54">
        <w:t xml:space="preserve"> 44,8</w:t>
      </w:r>
      <w:r w:rsidR="00CB4C7E">
        <w:t> </w:t>
      </w:r>
      <w:r>
        <w:t>% f</w:t>
      </w:r>
      <w:r w:rsidR="008D4F54">
        <w:t>irem, tj. 81,9</w:t>
      </w:r>
      <w:r>
        <w:t xml:space="preserve"> % z těch co v tomto období provedlo jakékoliv inovace podnikových procesů. </w:t>
      </w:r>
      <w:r w:rsidR="008D4F54">
        <w:t xml:space="preserve">Naopak v informačních a komunikačních činnostech a v peněžnictví a pojišťovnictví se podniky více zaměřily na inovaci organizačních činností než na inovaci </w:t>
      </w:r>
      <w:r w:rsidR="00AE362C">
        <w:t xml:space="preserve">interních </w:t>
      </w:r>
      <w:r w:rsidR="008D4F54">
        <w:t>činností.</w:t>
      </w:r>
      <w:r w:rsidR="00324925">
        <w:t xml:space="preserve"> Inovaci interních procesů zavedlo </w:t>
      </w:r>
      <w:r w:rsidR="00324925" w:rsidRPr="00324925">
        <w:t>v informačních a komunikačních činnostech</w:t>
      </w:r>
      <w:r w:rsidR="00324925">
        <w:t xml:space="preserve"> 61,5 %, kdežto organizační inovaci 63,3 %.  </w:t>
      </w:r>
      <w:r w:rsidR="0027702D">
        <w:t xml:space="preserve">Pokud srovnáme průmysl a služby, tak nezjistíme zásadní rozdíly v pořadí a podílech jednotlivých druhů inovací podnikových procesů. </w:t>
      </w:r>
    </w:p>
    <w:p w14:paraId="0EF2F11B" w14:textId="77777777" w:rsidR="00B51944" w:rsidRPr="00504AF2" w:rsidRDefault="00B51944" w:rsidP="00393F5D">
      <w:pPr>
        <w:spacing w:after="60"/>
        <w:ind w:left="851" w:hanging="851"/>
        <w:rPr>
          <w:rFonts w:cs="Arial"/>
          <w:b/>
          <w:sz w:val="18"/>
          <w:szCs w:val="20"/>
        </w:rPr>
      </w:pPr>
      <w:r w:rsidRPr="00504AF2">
        <w:rPr>
          <w:rFonts w:cs="Arial"/>
          <w:b/>
          <w:sz w:val="18"/>
          <w:szCs w:val="20"/>
        </w:rPr>
        <w:lastRenderedPageBreak/>
        <w:t>G</w:t>
      </w:r>
      <w:r w:rsidR="00F85E69">
        <w:rPr>
          <w:rFonts w:cs="Arial"/>
          <w:b/>
          <w:sz w:val="18"/>
          <w:szCs w:val="20"/>
        </w:rPr>
        <w:t>RAF 25</w:t>
      </w:r>
      <w:r w:rsidR="00504AF2">
        <w:rPr>
          <w:rFonts w:cs="Arial"/>
          <w:b/>
          <w:sz w:val="18"/>
          <w:szCs w:val="20"/>
        </w:rPr>
        <w:t xml:space="preserve"> </w:t>
      </w:r>
      <w:r w:rsidR="00FC67B0" w:rsidRPr="00FC67B0">
        <w:rPr>
          <w:rFonts w:cs="Arial"/>
          <w:b/>
          <w:sz w:val="18"/>
          <w:szCs w:val="20"/>
        </w:rPr>
        <w:t>Podíl podniků, které zavedly inovované podnikové procesy v dané oblasti v</w:t>
      </w:r>
      <w:r w:rsidR="00084837">
        <w:rPr>
          <w:rFonts w:cs="Arial"/>
          <w:b/>
          <w:sz w:val="18"/>
          <w:szCs w:val="20"/>
        </w:rPr>
        <w:t>e</w:t>
      </w:r>
      <w:r w:rsidR="00FC67B0" w:rsidRPr="00FC67B0">
        <w:rPr>
          <w:rFonts w:cs="Arial"/>
          <w:b/>
          <w:sz w:val="18"/>
          <w:szCs w:val="20"/>
        </w:rPr>
        <w:t xml:space="preserve"> sledovaných </w:t>
      </w:r>
      <w:r w:rsidR="00F24469" w:rsidRPr="00504AF2">
        <w:rPr>
          <w:rFonts w:cs="Arial"/>
          <w:b/>
          <w:sz w:val="18"/>
          <w:szCs w:val="20"/>
        </w:rPr>
        <w:t>sekcí</w:t>
      </w:r>
      <w:r w:rsidR="00400042" w:rsidRPr="00504AF2">
        <w:rPr>
          <w:rFonts w:cs="Arial"/>
          <w:b/>
          <w:sz w:val="18"/>
          <w:szCs w:val="20"/>
        </w:rPr>
        <w:t>ch</w:t>
      </w:r>
      <w:r w:rsidR="00F24469" w:rsidRPr="00504AF2">
        <w:rPr>
          <w:rFonts w:cs="Arial"/>
          <w:b/>
          <w:sz w:val="18"/>
          <w:szCs w:val="20"/>
        </w:rPr>
        <w:t xml:space="preserve"> </w:t>
      </w:r>
      <w:r w:rsidR="00D90556">
        <w:rPr>
          <w:rFonts w:cs="Arial"/>
          <w:b/>
          <w:sz w:val="18"/>
          <w:szCs w:val="20"/>
        </w:rPr>
        <w:t xml:space="preserve">    </w:t>
      </w:r>
      <w:r w:rsidR="00F24469" w:rsidRPr="00504AF2">
        <w:rPr>
          <w:rFonts w:cs="Arial"/>
          <w:b/>
          <w:sz w:val="18"/>
          <w:szCs w:val="20"/>
        </w:rPr>
        <w:t>CZ-NACE</w:t>
      </w:r>
      <w:r w:rsidRPr="00504AF2">
        <w:rPr>
          <w:rFonts w:cs="Arial"/>
          <w:b/>
          <w:sz w:val="18"/>
          <w:szCs w:val="20"/>
        </w:rPr>
        <w:t xml:space="preserve">; </w:t>
      </w:r>
      <w:r w:rsidR="00F24469" w:rsidRPr="00504AF2">
        <w:rPr>
          <w:rFonts w:cs="Arial"/>
          <w:b/>
          <w:sz w:val="18"/>
          <w:szCs w:val="20"/>
        </w:rPr>
        <w:t>201</w:t>
      </w:r>
      <w:r w:rsidR="00F85E69">
        <w:rPr>
          <w:rFonts w:cs="Arial"/>
          <w:b/>
          <w:sz w:val="18"/>
          <w:szCs w:val="20"/>
        </w:rPr>
        <w:t>8–2020</w:t>
      </w:r>
    </w:p>
    <w:p w14:paraId="19184D1C" w14:textId="77777777" w:rsidR="00553A7D" w:rsidRPr="008D77FF" w:rsidRDefault="009F1CBD" w:rsidP="008D77FF">
      <w:pPr>
        <w:rPr>
          <w:rFonts w:ascii="Calibri" w:hAnsi="Calibri"/>
          <w:b/>
          <w:color w:val="1F497D"/>
          <w:sz w:val="18"/>
        </w:rPr>
      </w:pPr>
      <w:r>
        <w:rPr>
          <w:noProof/>
        </w:rPr>
        <w:drawing>
          <wp:inline distT="0" distB="0" distL="0" distR="0" wp14:anchorId="499A6EDF" wp14:editId="449C32FC">
            <wp:extent cx="6120000" cy="2520000"/>
            <wp:effectExtent l="0" t="0" r="14605" b="13970"/>
            <wp:docPr id="26" name="Graf 26">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452FCC5" w14:textId="77777777" w:rsidR="001B2D31" w:rsidRDefault="001B2D31" w:rsidP="001B2D31">
      <w:pPr>
        <w:spacing w:before="60" w:after="60"/>
        <w:jc w:val="both"/>
        <w:rPr>
          <w:rFonts w:cs="Arial"/>
          <w:i/>
          <w:sz w:val="18"/>
        </w:rPr>
      </w:pPr>
      <w:r>
        <w:rPr>
          <w:rFonts w:cs="Arial"/>
          <w:i/>
          <w:sz w:val="18"/>
        </w:rPr>
        <w:t xml:space="preserve">POZN.: </w:t>
      </w:r>
      <w:r w:rsidRPr="00210640">
        <w:rPr>
          <w:rFonts w:cs="Arial"/>
          <w:i/>
          <w:sz w:val="18"/>
        </w:rPr>
        <w:t xml:space="preserve">Kompletní přehled všech sledovaných sekcí </w:t>
      </w:r>
      <w:r w:rsidRPr="00E31CE4">
        <w:rPr>
          <w:rFonts w:cs="Arial"/>
          <w:i/>
          <w:sz w:val="18"/>
        </w:rPr>
        <w:t>viz tabulka 2</w:t>
      </w:r>
      <w:r w:rsidR="00E31CE4" w:rsidRPr="00E31CE4">
        <w:rPr>
          <w:rFonts w:cs="Arial"/>
          <w:i/>
          <w:sz w:val="18"/>
        </w:rPr>
        <w:t>4</w:t>
      </w:r>
      <w:r w:rsidRPr="00E31CE4">
        <w:rPr>
          <w:rFonts w:cs="Arial"/>
          <w:i/>
          <w:sz w:val="18"/>
        </w:rPr>
        <w:t>A</w:t>
      </w:r>
      <w:r>
        <w:rPr>
          <w:rFonts w:cs="Arial"/>
          <w:i/>
          <w:sz w:val="18"/>
        </w:rPr>
        <w:t xml:space="preserve"> v tabulkové příloze</w:t>
      </w:r>
      <w:r w:rsidRPr="00210640">
        <w:rPr>
          <w:rFonts w:cs="Arial"/>
          <w:i/>
          <w:sz w:val="18"/>
        </w:rPr>
        <w:t>.</w:t>
      </w:r>
    </w:p>
    <w:p w14:paraId="0EB7E3FE" w14:textId="77777777" w:rsidR="00FB5CFD" w:rsidRPr="00FB5CFD" w:rsidRDefault="00FB5CFD" w:rsidP="00FB5CFD">
      <w:pPr>
        <w:spacing w:before="60" w:after="60"/>
        <w:jc w:val="right"/>
        <w:rPr>
          <w:rStyle w:val="st"/>
          <w:i/>
          <w:sz w:val="18"/>
        </w:rPr>
      </w:pPr>
      <w:r w:rsidRPr="00B2746E">
        <w:rPr>
          <w:i/>
          <w:sz w:val="18"/>
        </w:rPr>
        <w:t>Zdroj: ČSÚ, Šetření o inovačních aktivitách podniků</w:t>
      </w:r>
    </w:p>
    <w:p w14:paraId="3FB23342" w14:textId="53294CBB" w:rsidR="00864A1E" w:rsidRDefault="00864A1E" w:rsidP="00864524">
      <w:pPr>
        <w:pStyle w:val="Nadpis4"/>
        <w:spacing w:before="240" w:after="60"/>
        <w:rPr>
          <w:rStyle w:val="st"/>
          <w:color w:val="009BB4"/>
        </w:rPr>
      </w:pPr>
      <w:r w:rsidRPr="00A1259E">
        <w:rPr>
          <w:rStyle w:val="st"/>
          <w:color w:val="009BB4"/>
        </w:rPr>
        <w:t>3.2.</w:t>
      </w:r>
      <w:r>
        <w:rPr>
          <w:rStyle w:val="st"/>
          <w:color w:val="009BB4"/>
        </w:rPr>
        <w:t>4.2</w:t>
      </w:r>
      <w:r w:rsidRPr="00A1259E">
        <w:rPr>
          <w:rStyle w:val="st"/>
          <w:color w:val="009BB4"/>
        </w:rPr>
        <w:t xml:space="preserve"> </w:t>
      </w:r>
      <w:r w:rsidR="00F44A25">
        <w:rPr>
          <w:rStyle w:val="st"/>
          <w:color w:val="009BB4"/>
        </w:rPr>
        <w:t xml:space="preserve">Inovace v oblasti </w:t>
      </w:r>
      <w:r w:rsidR="00A670C2">
        <w:rPr>
          <w:rStyle w:val="st"/>
          <w:color w:val="009BB4"/>
        </w:rPr>
        <w:t>interních</w:t>
      </w:r>
      <w:r w:rsidR="00E31CE4">
        <w:rPr>
          <w:rStyle w:val="st"/>
          <w:color w:val="009BB4"/>
        </w:rPr>
        <w:t xml:space="preserve"> procesů</w:t>
      </w:r>
    </w:p>
    <w:p w14:paraId="3265365B" w14:textId="49AF6239" w:rsidR="00634D05" w:rsidRDefault="008D77FF" w:rsidP="005E5052">
      <w:pPr>
        <w:spacing w:before="60" w:after="60"/>
        <w:jc w:val="both"/>
      </w:pPr>
      <w:r>
        <w:t>V případě inovac</w:t>
      </w:r>
      <w:r w:rsidR="000E10EA">
        <w:t>e</w:t>
      </w:r>
      <w:r>
        <w:t xml:space="preserve"> </w:t>
      </w:r>
      <w:r w:rsidR="00F44A25">
        <w:t>interních</w:t>
      </w:r>
      <w:r>
        <w:t xml:space="preserve"> procesů jsou p</w:t>
      </w:r>
      <w:r w:rsidR="004123F8">
        <w:t>odíly jednotlivých druhů</w:t>
      </w:r>
      <w:r>
        <w:t xml:space="preserve"> inovací </w:t>
      </w:r>
      <w:r w:rsidR="004123F8" w:rsidRPr="00BF2DC9">
        <w:t>do značné míry</w:t>
      </w:r>
      <w:r w:rsidR="00437CD7">
        <w:t xml:space="preserve"> dány způsobem produkce výrobků a </w:t>
      </w:r>
      <w:r w:rsidR="004123F8" w:rsidRPr="00BF2DC9">
        <w:t>služeb v odvětví,</w:t>
      </w:r>
      <w:r>
        <w:t xml:space="preserve"> kde podniky působí.</w:t>
      </w:r>
      <w:r w:rsidR="003C6D14">
        <w:t xml:space="preserve"> </w:t>
      </w:r>
    </w:p>
    <w:p w14:paraId="6FE3108E" w14:textId="77777777" w:rsidR="00634D05" w:rsidRDefault="003C6D14" w:rsidP="005E5052">
      <w:pPr>
        <w:spacing w:before="60" w:after="60"/>
        <w:jc w:val="both"/>
      </w:pPr>
      <w:r>
        <w:t>Podniky se v </w:t>
      </w:r>
      <w:r w:rsidR="004C4B79">
        <w:t>rámci inovace vnitřních procesů</w:t>
      </w:r>
      <w:r w:rsidR="00F44A25">
        <w:t xml:space="preserve"> </w:t>
      </w:r>
      <w:r>
        <w:t xml:space="preserve">soustředily zejména na </w:t>
      </w:r>
      <w:r w:rsidR="00F44A25">
        <w:t xml:space="preserve">inovace v oblasti </w:t>
      </w:r>
      <w:r w:rsidR="00F44A25" w:rsidRPr="005E5052">
        <w:rPr>
          <w:b/>
        </w:rPr>
        <w:t xml:space="preserve">zavedení nového či </w:t>
      </w:r>
      <w:r w:rsidR="003A09D2" w:rsidRPr="005E5052">
        <w:rPr>
          <w:b/>
        </w:rPr>
        <w:t>podstatně zlepšeného</w:t>
      </w:r>
      <w:r w:rsidR="00F44A25" w:rsidRPr="005E5052">
        <w:rPr>
          <w:b/>
        </w:rPr>
        <w:t xml:space="preserve"> způsobu výroby nebo poskytování služeb</w:t>
      </w:r>
      <w:r w:rsidR="00F44A25">
        <w:t>. Tyto čin</w:t>
      </w:r>
      <w:r w:rsidR="001232F1">
        <w:t>nosti v období 2018 až 2020 v Česku inovovala téměř třetina</w:t>
      </w:r>
      <w:r w:rsidR="00F44A25">
        <w:t xml:space="preserve"> f</w:t>
      </w:r>
      <w:r w:rsidR="001232F1">
        <w:t>irem s deseti a více zaměstnanými osobami</w:t>
      </w:r>
      <w:r w:rsidR="00F44A25" w:rsidRPr="00013AA0">
        <w:t>. V rámci sledovaných</w:t>
      </w:r>
      <w:r w:rsidR="00F44A25">
        <w:t xml:space="preserve"> skupin podniků, se nejvyšší podíl firem, který se těmto inovacím věnoval, nacházel mezi</w:t>
      </w:r>
      <w:r w:rsidR="0096537F">
        <w:t xml:space="preserve"> velkými subjekty, kde inovovala</w:t>
      </w:r>
      <w:r w:rsidR="00F44A25">
        <w:t xml:space="preserve"> způsob své výroby či poskytování služeb </w:t>
      </w:r>
      <w:r w:rsidR="0096537F">
        <w:t>více než polovina firem oproti 26,1</w:t>
      </w:r>
      <w:r w:rsidR="00634D05">
        <w:t xml:space="preserve"> % v rámci malých podniků. </w:t>
      </w:r>
      <w:r w:rsidR="00B8153B">
        <w:t>Intenzivněji</w:t>
      </w:r>
      <w:r w:rsidR="0096537F">
        <w:t xml:space="preserve"> se inovaci výroby nebo poskytování služeb věnovaly podniky pod zahraniční kontrolou (40 %) než domácí podniky (27,9 %).</w:t>
      </w:r>
      <w:r w:rsidR="00013AA0">
        <w:t xml:space="preserve"> Svou roli hraje vyšší zastoupení velkých podniků u podniků pod zahraniční kontrolou</w:t>
      </w:r>
      <w:r w:rsidR="00444C12">
        <w:rPr>
          <w:rStyle w:val="Znakapoznpodarou"/>
        </w:rPr>
        <w:footnoteReference w:id="1"/>
      </w:r>
      <w:r w:rsidR="00013AA0">
        <w:t xml:space="preserve">. </w:t>
      </w:r>
    </w:p>
    <w:p w14:paraId="74FF0D12" w14:textId="56E592C8" w:rsidR="004123F8" w:rsidRDefault="008D77FF" w:rsidP="003A09D2">
      <w:pPr>
        <w:spacing w:before="120" w:after="60"/>
        <w:ind w:left="851" w:hanging="851"/>
      </w:pPr>
      <w:r>
        <w:rPr>
          <w:rFonts w:cs="Arial"/>
          <w:b/>
          <w:sz w:val="18"/>
          <w:szCs w:val="20"/>
        </w:rPr>
        <w:t>G</w:t>
      </w:r>
      <w:r w:rsidR="00E34191">
        <w:rPr>
          <w:rFonts w:cs="Arial"/>
          <w:b/>
          <w:sz w:val="18"/>
          <w:szCs w:val="20"/>
        </w:rPr>
        <w:t>RAF 26</w:t>
      </w:r>
      <w:r>
        <w:rPr>
          <w:rFonts w:cs="Arial"/>
          <w:b/>
          <w:sz w:val="18"/>
          <w:szCs w:val="20"/>
        </w:rPr>
        <w:t xml:space="preserve"> </w:t>
      </w:r>
      <w:r w:rsidR="007A46D0">
        <w:rPr>
          <w:rFonts w:cs="Arial"/>
          <w:b/>
          <w:sz w:val="18"/>
          <w:szCs w:val="20"/>
        </w:rPr>
        <w:t xml:space="preserve">Podíl </w:t>
      </w:r>
      <w:r w:rsidR="007A46D0" w:rsidRPr="007A46D0">
        <w:rPr>
          <w:rFonts w:cs="Arial"/>
          <w:b/>
          <w:sz w:val="18"/>
          <w:szCs w:val="20"/>
        </w:rPr>
        <w:t xml:space="preserve">podniků, které zavedly </w:t>
      </w:r>
      <w:r w:rsidR="007A46D0">
        <w:rPr>
          <w:rFonts w:cs="Arial"/>
          <w:b/>
          <w:sz w:val="18"/>
          <w:szCs w:val="20"/>
        </w:rPr>
        <w:t xml:space="preserve">inovace </w:t>
      </w:r>
      <w:r w:rsidR="00A670C2">
        <w:rPr>
          <w:rFonts w:cs="Arial"/>
          <w:b/>
          <w:sz w:val="18"/>
          <w:szCs w:val="20"/>
        </w:rPr>
        <w:t xml:space="preserve">interních </w:t>
      </w:r>
      <w:r w:rsidR="007A46D0">
        <w:rPr>
          <w:rFonts w:cs="Arial"/>
          <w:b/>
          <w:sz w:val="18"/>
          <w:szCs w:val="20"/>
        </w:rPr>
        <w:t xml:space="preserve">procesů </w:t>
      </w:r>
      <w:r w:rsidR="007A46D0" w:rsidRPr="007A46D0">
        <w:rPr>
          <w:rFonts w:cs="Arial"/>
          <w:b/>
          <w:sz w:val="18"/>
          <w:szCs w:val="20"/>
        </w:rPr>
        <w:t>v dané oblasti v</w:t>
      </w:r>
      <w:r w:rsidR="00084837">
        <w:rPr>
          <w:rFonts w:cs="Arial"/>
          <w:b/>
          <w:sz w:val="18"/>
          <w:szCs w:val="20"/>
        </w:rPr>
        <w:t>e</w:t>
      </w:r>
      <w:r w:rsidR="007A46D0" w:rsidRPr="007A46D0">
        <w:rPr>
          <w:rFonts w:cs="Arial"/>
          <w:b/>
          <w:sz w:val="18"/>
          <w:szCs w:val="20"/>
        </w:rPr>
        <w:t xml:space="preserve"> sledovaných skupinách</w:t>
      </w:r>
      <w:r w:rsidR="007A46D0">
        <w:rPr>
          <w:rFonts w:cs="Arial"/>
          <w:b/>
          <w:sz w:val="18"/>
          <w:szCs w:val="20"/>
        </w:rPr>
        <w:t xml:space="preserve"> podniků</w:t>
      </w:r>
      <w:r w:rsidRPr="00E14E65">
        <w:rPr>
          <w:rFonts w:cs="Arial"/>
          <w:b/>
          <w:sz w:val="18"/>
          <w:szCs w:val="20"/>
        </w:rPr>
        <w:t>; 201</w:t>
      </w:r>
      <w:r w:rsidR="00E34191">
        <w:rPr>
          <w:rFonts w:cs="Arial"/>
          <w:b/>
          <w:sz w:val="18"/>
          <w:szCs w:val="20"/>
        </w:rPr>
        <w:t>8–2020</w:t>
      </w:r>
      <w:r w:rsidRPr="00E14E65">
        <w:rPr>
          <w:rFonts w:cs="Arial"/>
          <w:b/>
          <w:sz w:val="18"/>
          <w:szCs w:val="20"/>
        </w:rPr>
        <w:tab/>
      </w:r>
    </w:p>
    <w:p w14:paraId="77A5648C" w14:textId="77777777" w:rsidR="00823845" w:rsidRDefault="0047361C" w:rsidP="00E4383A">
      <w:pPr>
        <w:jc w:val="right"/>
      </w:pPr>
      <w:r>
        <w:rPr>
          <w:noProof/>
        </w:rPr>
        <w:drawing>
          <wp:inline distT="0" distB="0" distL="0" distR="0" wp14:anchorId="375CBC72" wp14:editId="7BB64584">
            <wp:extent cx="6120000" cy="2520000"/>
            <wp:effectExtent l="0" t="0" r="14605" b="13970"/>
            <wp:docPr id="38" name="Graf 38">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E4383A" w:rsidRPr="00B2746E">
        <w:rPr>
          <w:i/>
          <w:sz w:val="18"/>
        </w:rPr>
        <w:t>Zdroj: ČSÚ, Šetření o inovačních aktivitách podniků</w:t>
      </w:r>
    </w:p>
    <w:p w14:paraId="1F0F3630" w14:textId="77777777" w:rsidR="00043B14" w:rsidRDefault="007A46D0" w:rsidP="00634D05">
      <w:pPr>
        <w:spacing w:before="120" w:after="120"/>
        <w:jc w:val="both"/>
      </w:pPr>
      <w:r>
        <w:lastRenderedPageBreak/>
        <w:t>V</w:t>
      </w:r>
      <w:r w:rsidR="00013AA0">
        <w:t xml:space="preserve"> období 2018 až 2020</w:t>
      </w:r>
      <w:r w:rsidRPr="007A46D0">
        <w:t xml:space="preserve"> </w:t>
      </w:r>
      <w:r w:rsidR="00721C73">
        <w:t>téměř 30 %</w:t>
      </w:r>
      <w:r>
        <w:t xml:space="preserve"> firem </w:t>
      </w:r>
      <w:r w:rsidRPr="007A46D0">
        <w:t>v</w:t>
      </w:r>
      <w:r w:rsidR="00043B14">
        <w:t> </w:t>
      </w:r>
      <w:r w:rsidRPr="007A46D0">
        <w:t>Česku</w:t>
      </w:r>
      <w:r w:rsidR="00043B14">
        <w:t xml:space="preserve"> zavedl</w:t>
      </w:r>
      <w:r w:rsidR="00721C73">
        <w:t>o</w:t>
      </w:r>
      <w:r w:rsidR="00043B14">
        <w:t xml:space="preserve"> inovaci v oblasti </w:t>
      </w:r>
      <w:r w:rsidR="00043B14" w:rsidRPr="005E5052">
        <w:rPr>
          <w:b/>
        </w:rPr>
        <w:t xml:space="preserve">zpracování podnikových informací či </w:t>
      </w:r>
      <w:r w:rsidR="00721C73">
        <w:rPr>
          <w:b/>
        </w:rPr>
        <w:t xml:space="preserve">interní </w:t>
      </w:r>
      <w:r w:rsidR="00043B14" w:rsidRPr="005E5052">
        <w:rPr>
          <w:b/>
        </w:rPr>
        <w:t>komunikace podniku</w:t>
      </w:r>
      <w:r w:rsidR="00043B14">
        <w:t xml:space="preserve">. </w:t>
      </w:r>
      <w:r w:rsidR="00E22904">
        <w:t>Jedná se</w:t>
      </w:r>
      <w:r w:rsidR="00043B14">
        <w:t xml:space="preserve"> například o činnosti jako je zavedení nového informačního systému či lepší zabezpečení stávajícího, nový či podstatně zlepšený způsob zpracování firemních dat nebo</w:t>
      </w:r>
      <w:r w:rsidR="00655DE1">
        <w:t xml:space="preserve"> nový způsob</w:t>
      </w:r>
      <w:r w:rsidR="005E5052">
        <w:t xml:space="preserve"> vnitrofiremní komunikace. </w:t>
      </w:r>
      <w:r w:rsidR="00043B14">
        <w:t xml:space="preserve">I v tomto případě </w:t>
      </w:r>
      <w:r w:rsidRPr="007A46D0">
        <w:t>se nejvyšší podíl firem, který se těmto inovacím věnoval, nacházel mezi velkými subjekty</w:t>
      </w:r>
      <w:r w:rsidR="00043B14">
        <w:t>. N</w:t>
      </w:r>
      <w:r w:rsidR="00043B14" w:rsidRPr="00043B14">
        <w:t>ový nebo podstatně zlepšený způsob zpracování podnikových informací či komunikace uvnitř podniku</w:t>
      </w:r>
      <w:r w:rsidR="006D5653">
        <w:t xml:space="preserve"> zavedla více než polovina</w:t>
      </w:r>
      <w:r w:rsidR="00043B14">
        <w:t xml:space="preserve"> velkých firem </w:t>
      </w:r>
      <w:r w:rsidR="006D5653">
        <w:t>oproti čtvrtině</w:t>
      </w:r>
      <w:r w:rsidRPr="007A46D0">
        <w:t xml:space="preserve"> v rámci malých podniků. </w:t>
      </w:r>
      <w:r w:rsidR="006D5653">
        <w:t xml:space="preserve">Střední podniky se inovaci </w:t>
      </w:r>
      <w:r w:rsidR="006D5653" w:rsidRPr="006D5653">
        <w:t xml:space="preserve">podnikových informací či komunikace uvnitř podniku </w:t>
      </w:r>
      <w:r w:rsidR="006D5653">
        <w:t xml:space="preserve">věnovaly intenzivněji (40,9 %) než inovaci výroby nebo poskytování služeb (38,8 %). </w:t>
      </w:r>
      <w:r w:rsidR="00D06814">
        <w:t>Stejně tak i v</w:t>
      </w:r>
      <w:r w:rsidR="00043B14">
        <w:t> případě podniků pod z</w:t>
      </w:r>
      <w:r w:rsidR="00D06814">
        <w:t xml:space="preserve">ahraniční kontrolou jde </w:t>
      </w:r>
      <w:r w:rsidR="00043B14">
        <w:t>o nejčastěji zavedenou inovaci v oblasti vnitropodniko</w:t>
      </w:r>
      <w:r w:rsidR="00E870DD">
        <w:t>vých procesů. Učinilo zde tak 44,1 % v porovnání se 26,5</w:t>
      </w:r>
      <w:r w:rsidR="00043B14">
        <w:t> % v domácích podnicích.</w:t>
      </w:r>
    </w:p>
    <w:p w14:paraId="259E957F" w14:textId="64C24538" w:rsidR="00E00057" w:rsidRDefault="00634D05" w:rsidP="00634D05">
      <w:pPr>
        <w:spacing w:before="120" w:after="120"/>
        <w:jc w:val="both"/>
      </w:pPr>
      <w:r>
        <w:t xml:space="preserve">Menší </w:t>
      </w:r>
      <w:r w:rsidR="00205FB4">
        <w:t>podíl firem se soustředil</w:t>
      </w:r>
      <w:r w:rsidR="005708CA">
        <w:t xml:space="preserve"> na</w:t>
      </w:r>
      <w:r w:rsidR="00205FB4">
        <w:t xml:space="preserve"> inovace</w:t>
      </w:r>
      <w:r w:rsidR="008A315B">
        <w:t xml:space="preserve"> </w:t>
      </w:r>
      <w:r w:rsidR="008A315B">
        <w:t xml:space="preserve">v oblasti </w:t>
      </w:r>
      <w:r w:rsidR="008A315B" w:rsidRPr="005E5052">
        <w:rPr>
          <w:b/>
        </w:rPr>
        <w:t>administrativy či účetnictví podniku</w:t>
      </w:r>
      <w:r w:rsidR="008A315B">
        <w:rPr>
          <w:b/>
        </w:rPr>
        <w:t xml:space="preserve">. </w:t>
      </w:r>
      <w:r w:rsidR="008A315B" w:rsidRPr="005E5052">
        <w:t>Činnos</w:t>
      </w:r>
      <w:r w:rsidR="008A315B">
        <w:t>ti v této oblasti inovovala necelá čtvrtina (23,7 %)</w:t>
      </w:r>
      <w:r w:rsidR="008A315B" w:rsidRPr="005E5052">
        <w:t xml:space="preserve"> f</w:t>
      </w:r>
      <w:r w:rsidR="008A315B">
        <w:t>irem s deseti a více zaměstnanými osobami</w:t>
      </w:r>
      <w:r w:rsidR="008A315B" w:rsidRPr="005E5052">
        <w:t>.</w:t>
      </w:r>
      <w:r w:rsidR="008A315B">
        <w:t xml:space="preserve"> </w:t>
      </w:r>
      <w:r w:rsidR="00205FB4">
        <w:t>Nejméně se podniky věnovaly zavádění</w:t>
      </w:r>
      <w:r w:rsidR="00E00057">
        <w:t xml:space="preserve"> inovací</w:t>
      </w:r>
      <w:r w:rsidR="008A315B">
        <w:t>,</w:t>
      </w:r>
      <w:r w:rsidR="00E00057">
        <w:t xml:space="preserve"> </w:t>
      </w:r>
      <w:r w:rsidR="008A315B">
        <w:t>které se týkaly n</w:t>
      </w:r>
      <w:r w:rsidR="008A315B" w:rsidRPr="00E00057">
        <w:t>ový</w:t>
      </w:r>
      <w:r w:rsidR="008A315B">
        <w:t>ch</w:t>
      </w:r>
      <w:r w:rsidR="008A315B" w:rsidRPr="00E00057">
        <w:t xml:space="preserve"> nebo podstatně zlepšený</w:t>
      </w:r>
      <w:r w:rsidR="008A315B">
        <w:t>ch</w:t>
      </w:r>
      <w:r w:rsidR="008A315B" w:rsidRPr="00E00057">
        <w:t xml:space="preserve"> způsob</w:t>
      </w:r>
      <w:r w:rsidR="008A315B">
        <w:t>ů</w:t>
      </w:r>
      <w:r w:rsidR="008A315B" w:rsidRPr="00E00057">
        <w:t xml:space="preserve"> </w:t>
      </w:r>
      <w:r w:rsidR="008A315B" w:rsidRPr="005E5052">
        <w:rPr>
          <w:b/>
        </w:rPr>
        <w:t>logistických činností</w:t>
      </w:r>
      <w:r w:rsidR="008A315B" w:rsidRPr="00E00057">
        <w:t xml:space="preserve"> </w:t>
      </w:r>
      <w:r w:rsidR="008A315B">
        <w:t xml:space="preserve">jako je </w:t>
      </w:r>
      <w:r w:rsidR="008A315B" w:rsidRPr="00E00057">
        <w:t>např. skladování</w:t>
      </w:r>
      <w:r w:rsidR="008A315B">
        <w:t xml:space="preserve"> či </w:t>
      </w:r>
      <w:r w:rsidR="008A315B" w:rsidRPr="00E00057">
        <w:t>distribuce</w:t>
      </w:r>
      <w:r w:rsidR="008A315B">
        <w:t>. Tyto činnosti inovovala přibližně pětina podniků.</w:t>
      </w:r>
      <w:r>
        <w:t xml:space="preserve"> </w:t>
      </w:r>
    </w:p>
    <w:p w14:paraId="4FD9FC9B" w14:textId="55A3FFC3" w:rsidR="00663965" w:rsidRPr="00504AF2" w:rsidRDefault="00663965" w:rsidP="00796AEC">
      <w:pPr>
        <w:spacing w:after="60"/>
        <w:ind w:left="851" w:hanging="851"/>
        <w:rPr>
          <w:rFonts w:cs="Arial"/>
          <w:b/>
          <w:sz w:val="18"/>
          <w:szCs w:val="20"/>
        </w:rPr>
      </w:pPr>
      <w:r w:rsidRPr="00504AF2">
        <w:rPr>
          <w:rFonts w:cs="Arial"/>
          <w:b/>
          <w:sz w:val="18"/>
          <w:szCs w:val="20"/>
        </w:rPr>
        <w:t>G</w:t>
      </w:r>
      <w:r w:rsidR="00B478DF">
        <w:rPr>
          <w:rFonts w:cs="Arial"/>
          <w:b/>
          <w:sz w:val="18"/>
          <w:szCs w:val="20"/>
        </w:rPr>
        <w:t>RAF 27</w:t>
      </w:r>
      <w:r>
        <w:rPr>
          <w:rFonts w:cs="Arial"/>
          <w:b/>
          <w:sz w:val="18"/>
          <w:szCs w:val="20"/>
        </w:rPr>
        <w:t xml:space="preserve"> </w:t>
      </w:r>
      <w:r w:rsidR="007A1A65" w:rsidRPr="007A1A65">
        <w:rPr>
          <w:rFonts w:cs="Arial"/>
          <w:b/>
          <w:sz w:val="18"/>
          <w:szCs w:val="20"/>
        </w:rPr>
        <w:t xml:space="preserve">Podíl podniků, které zavedly inovace </w:t>
      </w:r>
      <w:r w:rsidR="00A670C2">
        <w:rPr>
          <w:rFonts w:cs="Arial"/>
          <w:b/>
          <w:sz w:val="18"/>
          <w:szCs w:val="20"/>
        </w:rPr>
        <w:t>interních</w:t>
      </w:r>
      <w:r w:rsidR="007A1A65" w:rsidRPr="007A1A65">
        <w:rPr>
          <w:rFonts w:cs="Arial"/>
          <w:b/>
          <w:sz w:val="18"/>
          <w:szCs w:val="20"/>
        </w:rPr>
        <w:t xml:space="preserve"> procesů v dané oblasti </w:t>
      </w:r>
      <w:r w:rsidRPr="00504AF2">
        <w:rPr>
          <w:rFonts w:cs="Arial"/>
          <w:b/>
          <w:sz w:val="18"/>
          <w:szCs w:val="20"/>
        </w:rPr>
        <w:t>v sekcích CZ-NACE; 201</w:t>
      </w:r>
      <w:r w:rsidR="00B478DF">
        <w:rPr>
          <w:rFonts w:cs="Arial"/>
          <w:b/>
          <w:sz w:val="18"/>
          <w:szCs w:val="20"/>
        </w:rPr>
        <w:t>8–2020</w:t>
      </w:r>
    </w:p>
    <w:p w14:paraId="78BCAD7B" w14:textId="77777777" w:rsidR="00620647" w:rsidRDefault="005073CC" w:rsidP="004123F8">
      <w:r>
        <w:rPr>
          <w:noProof/>
        </w:rPr>
        <w:drawing>
          <wp:inline distT="0" distB="0" distL="0" distR="0" wp14:anchorId="1A95CC92" wp14:editId="7FD5BB00">
            <wp:extent cx="6120000" cy="2643825"/>
            <wp:effectExtent l="0" t="0" r="14605" b="4445"/>
            <wp:docPr id="41" name="Graf 41">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9584C74" w14:textId="77777777" w:rsidR="00E4383A" w:rsidRDefault="00E4383A" w:rsidP="00E4383A">
      <w:pPr>
        <w:jc w:val="right"/>
      </w:pPr>
      <w:r w:rsidRPr="00B2746E">
        <w:rPr>
          <w:i/>
          <w:sz w:val="18"/>
        </w:rPr>
        <w:t>Zdroj: ČSÚ, Šetření o inovačních aktivitách podniků</w:t>
      </w:r>
    </w:p>
    <w:p w14:paraId="4B79F93F" w14:textId="77777777" w:rsidR="00EE27A4" w:rsidRDefault="00EE27A4" w:rsidP="004123F8"/>
    <w:p w14:paraId="215BD083" w14:textId="77777777" w:rsidR="00C73D12" w:rsidRPr="00A15088" w:rsidRDefault="003822AB" w:rsidP="00C32936">
      <w:pPr>
        <w:jc w:val="both"/>
      </w:pPr>
      <w:r w:rsidRPr="00A15088">
        <w:t xml:space="preserve">Mezi </w:t>
      </w:r>
      <w:r w:rsidR="00C73D12" w:rsidRPr="00A15088">
        <w:t>firmami</w:t>
      </w:r>
      <w:r w:rsidRPr="00A15088">
        <w:t xml:space="preserve"> v průmyslu a ve službách je </w:t>
      </w:r>
      <w:r w:rsidR="00C73D12" w:rsidRPr="00A15088">
        <w:t>v</w:t>
      </w:r>
      <w:r w:rsidRPr="00A15088">
        <w:t xml:space="preserve"> zavádění</w:t>
      </w:r>
      <w:r w:rsidR="00C73D12" w:rsidRPr="00A15088">
        <w:t xml:space="preserve"> jednotlivých druhů</w:t>
      </w:r>
      <w:r w:rsidR="004C4B79">
        <w:t xml:space="preserve"> inovace vnitřních procesů</w:t>
      </w:r>
      <w:r w:rsidRPr="00A15088">
        <w:t xml:space="preserve"> </w:t>
      </w:r>
      <w:r w:rsidR="00C73D12" w:rsidRPr="00A15088">
        <w:t xml:space="preserve">zásadní </w:t>
      </w:r>
      <w:r w:rsidRPr="00A15088">
        <w:t>rozdíl</w:t>
      </w:r>
      <w:r w:rsidR="00C73D12" w:rsidRPr="00A15088">
        <w:t xml:space="preserve">. </w:t>
      </w:r>
      <w:r w:rsidR="00DB2894" w:rsidRPr="00A15088">
        <w:t>Podniky v průmyslu cílily své inovační činnosti na výrobu nebo</w:t>
      </w:r>
      <w:r w:rsidR="00CB7DC2">
        <w:t xml:space="preserve"> poskytování služeb (uvedlo 33,2</w:t>
      </w:r>
      <w:r w:rsidR="00DB2894" w:rsidRPr="00A15088">
        <w:t> % z celkového počtu podniků v průmyslu). Pro podniky ve službách to byla inovace spojená se zprac</w:t>
      </w:r>
      <w:r w:rsidR="00CB7DC2">
        <w:t>ováním podnikových informací (31,8</w:t>
      </w:r>
      <w:r w:rsidR="00C260B7" w:rsidRPr="00A15088">
        <w:t> </w:t>
      </w:r>
      <w:r w:rsidR="00DB2894" w:rsidRPr="00A15088">
        <w:t>%).</w:t>
      </w:r>
      <w:r w:rsidR="00C73D12" w:rsidRPr="00A15088">
        <w:t xml:space="preserve"> </w:t>
      </w:r>
    </w:p>
    <w:p w14:paraId="5A5AF746" w14:textId="61015EAB" w:rsidR="007157C6" w:rsidRDefault="00C73D12" w:rsidP="00A15088">
      <w:pPr>
        <w:spacing w:before="60" w:after="60"/>
        <w:jc w:val="both"/>
      </w:pPr>
      <w:r w:rsidRPr="00A15088">
        <w:t xml:space="preserve">Ve zpracovatelském průmyslu zavedla nový nebo podstatně zlepšený způsob výroby </w:t>
      </w:r>
      <w:r w:rsidR="00EF1662">
        <w:t>nebo poskytování služeb více než třetina</w:t>
      </w:r>
      <w:r w:rsidRPr="00A15088">
        <w:t xml:space="preserve"> firem.</w:t>
      </w:r>
      <w:r w:rsidR="00EF1662">
        <w:t xml:space="preserve"> V petrochemickém a chemickém</w:t>
      </w:r>
      <w:r>
        <w:t xml:space="preserve"> průmyslu tento druh inovace zavedla polovina podniků. </w:t>
      </w:r>
      <w:r w:rsidR="00EF1662">
        <w:t>Firmy v chemickém průmyslu</w:t>
      </w:r>
      <w:r w:rsidR="007157C6">
        <w:t xml:space="preserve"> také nejvíce ze všech odvětví zpracovatelského průmyslu zavedly nový způsob zpracován</w:t>
      </w:r>
      <w:r w:rsidR="00EF1662">
        <w:t>í podnikových informací</w:t>
      </w:r>
      <w:r w:rsidR="00B95656">
        <w:t>,</w:t>
      </w:r>
      <w:r w:rsidR="00EF1662">
        <w:t xml:space="preserve"> </w:t>
      </w:r>
      <w:r w:rsidR="00B95656">
        <w:t>u</w:t>
      </w:r>
      <w:r w:rsidR="00EF1662">
        <w:t>činilo tak 44,4</w:t>
      </w:r>
      <w:r w:rsidR="001B3422">
        <w:t> %</w:t>
      </w:r>
      <w:r w:rsidR="007157C6">
        <w:t xml:space="preserve"> podniků.</w:t>
      </w:r>
      <w:r w:rsidR="00A15088">
        <w:t xml:space="preserve"> Detailnější</w:t>
      </w:r>
      <w:r w:rsidR="00EF1662">
        <w:t xml:space="preserve"> členění lze nalézt </w:t>
      </w:r>
      <w:r w:rsidR="00EF1662" w:rsidRPr="00CE4EF1">
        <w:t>v tabulce 2</w:t>
      </w:r>
      <w:r w:rsidR="00CE4EF1" w:rsidRPr="00CE4EF1">
        <w:t>5</w:t>
      </w:r>
      <w:r w:rsidR="00A15088" w:rsidRPr="00CE4EF1">
        <w:t>B</w:t>
      </w:r>
      <w:r w:rsidR="00A15088">
        <w:t xml:space="preserve"> v tabulkové příloze. </w:t>
      </w:r>
    </w:p>
    <w:p w14:paraId="6ECD0F6B" w14:textId="77777777" w:rsidR="00EE27A4" w:rsidRPr="004123F8" w:rsidRDefault="007157C6" w:rsidP="00A15088">
      <w:pPr>
        <w:spacing w:before="60" w:after="60"/>
        <w:jc w:val="both"/>
      </w:pPr>
      <w:r>
        <w:t xml:space="preserve">Ve všech sledovaných </w:t>
      </w:r>
      <w:r w:rsidR="00A15088">
        <w:t>odvětvích</w:t>
      </w:r>
      <w:r>
        <w:t xml:space="preserve"> služeb se firmy nejvíce zaměřily na inovaci zpracování podnikových informací. V případě informačních a komunikačních činností </w:t>
      </w:r>
      <w:r w:rsidR="00EF1662">
        <w:t>tuto inovaci zavedlo 55,7 %</w:t>
      </w:r>
      <w:r w:rsidR="00A15088">
        <w:t xml:space="preserve"> podniků.</w:t>
      </w:r>
      <w:r w:rsidR="00EF1662">
        <w:t xml:space="preserve"> Naopak nejméně firmy působící ve službách inovovaly logistické činnosti, například v peněžnictví a pojišťovnictví tak učinila méně než desetina podniků.</w:t>
      </w:r>
    </w:p>
    <w:p w14:paraId="4BD577A7" w14:textId="25E91845" w:rsidR="00864A1E" w:rsidRDefault="00864A1E" w:rsidP="00914884">
      <w:pPr>
        <w:pStyle w:val="Nadpis4"/>
        <w:pageBreakBefore/>
        <w:spacing w:before="240"/>
        <w:rPr>
          <w:rStyle w:val="st"/>
          <w:b w:val="0"/>
          <w:bCs w:val="0"/>
          <w:iCs w:val="0"/>
          <w:color w:val="009BB4"/>
        </w:rPr>
      </w:pPr>
      <w:r w:rsidRPr="00A1259E">
        <w:rPr>
          <w:rStyle w:val="st"/>
          <w:color w:val="009BB4"/>
        </w:rPr>
        <w:lastRenderedPageBreak/>
        <w:t>3.2.</w:t>
      </w:r>
      <w:r>
        <w:rPr>
          <w:rStyle w:val="st"/>
          <w:color w:val="009BB4"/>
        </w:rPr>
        <w:t>4.3</w:t>
      </w:r>
      <w:r w:rsidRPr="00A1259E">
        <w:rPr>
          <w:rStyle w:val="st"/>
          <w:color w:val="009BB4"/>
        </w:rPr>
        <w:t xml:space="preserve"> </w:t>
      </w:r>
      <w:r w:rsidR="00C8549F">
        <w:rPr>
          <w:rStyle w:val="st"/>
          <w:color w:val="009BB4"/>
        </w:rPr>
        <w:t>Inovace v oblasti marketingu a prodeje</w:t>
      </w:r>
    </w:p>
    <w:p w14:paraId="575C1E34" w14:textId="77777777" w:rsidR="00510BB8" w:rsidRDefault="00CC5E9B" w:rsidP="00510BB8">
      <w:pPr>
        <w:spacing w:before="60" w:after="60"/>
        <w:jc w:val="both"/>
      </w:pPr>
      <w:r>
        <w:t xml:space="preserve">V rámci </w:t>
      </w:r>
      <w:r w:rsidR="00C8549F">
        <w:t xml:space="preserve">sledovaných inovací v oblasti marketingu a prodeje nejvíce podniků zavedlo nový způsob </w:t>
      </w:r>
      <w:r w:rsidR="00C8549F" w:rsidRPr="00457118">
        <w:rPr>
          <w:b/>
        </w:rPr>
        <w:t>propagace</w:t>
      </w:r>
      <w:r w:rsidR="009125C2">
        <w:rPr>
          <w:b/>
        </w:rPr>
        <w:t xml:space="preserve"> nebo reklamy</w:t>
      </w:r>
      <w:r w:rsidR="00C8549F" w:rsidRPr="00457118">
        <w:rPr>
          <w:b/>
        </w:rPr>
        <w:t xml:space="preserve"> </w:t>
      </w:r>
      <w:r w:rsidR="009125C2">
        <w:t>nabízených produktů</w:t>
      </w:r>
      <w:r w:rsidR="009E0A02">
        <w:t>. Tento druh inovace</w:t>
      </w:r>
      <w:r w:rsidR="00510BB8">
        <w:t xml:space="preserve">, kam patří například zavedení propagace přes sociální sítě, internetové či cílené reklamy, nové značky či prodeje přes webové stránky nebo aplikace na mobilním telefonu, </w:t>
      </w:r>
      <w:r w:rsidR="009E0A02">
        <w:t>zavedl</w:t>
      </w:r>
      <w:r w:rsidR="009125C2">
        <w:t>o</w:t>
      </w:r>
      <w:r w:rsidR="009E0A02">
        <w:t xml:space="preserve"> </w:t>
      </w:r>
      <w:r w:rsidR="007E6EF8">
        <w:t>v</w:t>
      </w:r>
      <w:r w:rsidR="009125C2">
        <w:t>e sledovaném období 22,6 %</w:t>
      </w:r>
      <w:r w:rsidR="007E6EF8">
        <w:t xml:space="preserve"> firem.</w:t>
      </w:r>
    </w:p>
    <w:p w14:paraId="03FF973F" w14:textId="77777777" w:rsidR="00510BB8" w:rsidRDefault="00510BB8" w:rsidP="00510BB8">
      <w:pPr>
        <w:spacing w:before="60" w:after="60"/>
        <w:jc w:val="both"/>
      </w:pPr>
      <w:r>
        <w:t>P</w:t>
      </w:r>
      <w:r w:rsidR="00C8549F">
        <w:t>odíl firem</w:t>
      </w:r>
      <w:r w:rsidR="009125C2">
        <w:t>, které</w:t>
      </w:r>
      <w:r>
        <w:t xml:space="preserve"> se </w:t>
      </w:r>
      <w:r w:rsidR="00C8549F">
        <w:t>v</w:t>
      </w:r>
      <w:r w:rsidR="009125C2">
        <w:t>ěnovaly inovacím v oblasti</w:t>
      </w:r>
      <w:r w:rsidR="00C8549F">
        <w:t xml:space="preserve"> </w:t>
      </w:r>
      <w:r w:rsidR="00C8549F" w:rsidRPr="00457118">
        <w:rPr>
          <w:b/>
        </w:rPr>
        <w:t>cenové strategie</w:t>
      </w:r>
      <w:r w:rsidR="009125C2">
        <w:rPr>
          <w:b/>
        </w:rPr>
        <w:t>,</w:t>
      </w:r>
      <w:r>
        <w:rPr>
          <w:b/>
        </w:rPr>
        <w:t xml:space="preserve"> </w:t>
      </w:r>
      <w:r w:rsidR="009125C2">
        <w:t xml:space="preserve">byl </w:t>
      </w:r>
      <w:r w:rsidR="00F32BE9">
        <w:t>15%</w:t>
      </w:r>
      <w:r>
        <w:t xml:space="preserve">. </w:t>
      </w:r>
      <w:r w:rsidR="009125C2">
        <w:t>Podíly zbývajících druhů marketingové inovace jsou již vyrovnané blízko hodnoty 12</w:t>
      </w:r>
      <w:r w:rsidR="00F32BE9">
        <w:t> %</w:t>
      </w:r>
      <w:r w:rsidR="009125C2">
        <w:t xml:space="preserve">. </w:t>
      </w:r>
      <w:r w:rsidR="00F32BE9">
        <w:t>Významnější jsou všechny marketingové inovace u</w:t>
      </w:r>
      <w:r>
        <w:t xml:space="preserve"> velkých podniků</w:t>
      </w:r>
      <w:r w:rsidR="00F32BE9">
        <w:t xml:space="preserve">, kdy inovaci v oblasti propagace nebo reklamy zavedlo 31 % podniků, </w:t>
      </w:r>
      <w:r>
        <w:t xml:space="preserve">inovaci v oblasti </w:t>
      </w:r>
      <w:r w:rsidR="00FC4559">
        <w:t xml:space="preserve">významné estetické změny </w:t>
      </w:r>
      <w:r>
        <w:t>designu</w:t>
      </w:r>
      <w:r w:rsidR="00FC4559">
        <w:t xml:space="preserve"> </w:t>
      </w:r>
      <w:r w:rsidR="009125C2">
        <w:t xml:space="preserve">produktu </w:t>
      </w:r>
      <w:r w:rsidR="00F53796">
        <w:t>21,7 %</w:t>
      </w:r>
      <w:r>
        <w:t xml:space="preserve"> podniků</w:t>
      </w:r>
      <w:r w:rsidR="00F32BE9">
        <w:t>,</w:t>
      </w:r>
      <w:r>
        <w:t xml:space="preserve"> </w:t>
      </w:r>
      <w:r w:rsidR="00FC4559">
        <w:t xml:space="preserve">inovace v oblasti </w:t>
      </w:r>
      <w:r w:rsidR="009125C2">
        <w:t>cenové strategie 20,6</w:t>
      </w:r>
      <w:r w:rsidR="00A84596">
        <w:t> </w:t>
      </w:r>
      <w:r w:rsidR="009125C2">
        <w:t>%</w:t>
      </w:r>
      <w:r w:rsidR="00F32BE9">
        <w:t>, Balení produktu inovovalo 19</w:t>
      </w:r>
      <w:r w:rsidR="00232351">
        <w:t>,3 % a způsob prodeje 17,9</w:t>
      </w:r>
      <w:r w:rsidR="00F32BE9">
        <w:t> % velkých podniků.</w:t>
      </w:r>
    </w:p>
    <w:p w14:paraId="7F5A0401" w14:textId="77777777" w:rsidR="00C32936" w:rsidRDefault="00FF084B" w:rsidP="00C8549F">
      <w:pPr>
        <w:spacing w:before="60" w:after="60"/>
        <w:jc w:val="both"/>
      </w:pPr>
      <w:r w:rsidRPr="00CE4EF1">
        <w:t>Odvětvové členění je uvedeno v příslušných tabulkách 2</w:t>
      </w:r>
      <w:r w:rsidR="00CE4EF1" w:rsidRPr="00CE4EF1">
        <w:t>6</w:t>
      </w:r>
      <w:r w:rsidRPr="00CE4EF1">
        <w:t>A</w:t>
      </w:r>
      <w:r w:rsidR="00C53131" w:rsidRPr="00CE4EF1">
        <w:t xml:space="preserve"> a </w:t>
      </w:r>
      <w:r w:rsidRPr="00CE4EF1">
        <w:t>2</w:t>
      </w:r>
      <w:r w:rsidR="00CE4EF1" w:rsidRPr="00CE4EF1">
        <w:t>6</w:t>
      </w:r>
      <w:r w:rsidRPr="00CE4EF1">
        <w:t>B</w:t>
      </w:r>
      <w:r w:rsidR="001277C1" w:rsidRPr="00CE4EF1">
        <w:t xml:space="preserve"> v tabulkové příloze</w:t>
      </w:r>
      <w:r w:rsidRPr="00CE4EF1">
        <w:t>.</w:t>
      </w:r>
    </w:p>
    <w:p w14:paraId="3B589C70" w14:textId="77777777" w:rsidR="00C32936" w:rsidRDefault="00C32936" w:rsidP="00457118">
      <w:pPr>
        <w:ind w:left="851" w:hanging="851"/>
      </w:pPr>
      <w:r>
        <w:rPr>
          <w:rFonts w:cs="Arial"/>
          <w:b/>
          <w:sz w:val="18"/>
          <w:szCs w:val="20"/>
        </w:rPr>
        <w:t>G</w:t>
      </w:r>
      <w:r w:rsidR="00717034">
        <w:rPr>
          <w:rFonts w:cs="Arial"/>
          <w:b/>
          <w:sz w:val="18"/>
          <w:szCs w:val="20"/>
        </w:rPr>
        <w:t>RAF 28</w:t>
      </w:r>
      <w:r w:rsidR="00EA7285">
        <w:rPr>
          <w:rFonts w:cs="Arial"/>
          <w:b/>
          <w:sz w:val="18"/>
          <w:szCs w:val="20"/>
        </w:rPr>
        <w:t xml:space="preserve"> </w:t>
      </w:r>
      <w:r w:rsidR="00FC4559">
        <w:rPr>
          <w:rFonts w:cs="Arial"/>
          <w:b/>
          <w:sz w:val="18"/>
          <w:szCs w:val="20"/>
        </w:rPr>
        <w:t xml:space="preserve">Podíl </w:t>
      </w:r>
      <w:r w:rsidR="00FC4559" w:rsidRPr="007A46D0">
        <w:rPr>
          <w:rFonts w:cs="Arial"/>
          <w:b/>
          <w:sz w:val="18"/>
          <w:szCs w:val="20"/>
        </w:rPr>
        <w:t xml:space="preserve">podniků, které zavedly </w:t>
      </w:r>
      <w:r w:rsidR="00FC4559">
        <w:rPr>
          <w:rFonts w:cs="Arial"/>
          <w:b/>
          <w:sz w:val="18"/>
          <w:szCs w:val="20"/>
        </w:rPr>
        <w:t xml:space="preserve">marketingové inovace </w:t>
      </w:r>
      <w:r w:rsidR="00FC4559" w:rsidRPr="007A46D0">
        <w:rPr>
          <w:rFonts w:cs="Arial"/>
          <w:b/>
          <w:sz w:val="18"/>
          <w:szCs w:val="20"/>
        </w:rPr>
        <w:t>v dané oblasti v</w:t>
      </w:r>
      <w:r w:rsidR="00084837">
        <w:rPr>
          <w:rFonts w:cs="Arial"/>
          <w:b/>
          <w:sz w:val="18"/>
          <w:szCs w:val="20"/>
        </w:rPr>
        <w:t>e</w:t>
      </w:r>
      <w:r w:rsidR="00FC4559" w:rsidRPr="007A46D0">
        <w:rPr>
          <w:rFonts w:cs="Arial"/>
          <w:b/>
          <w:sz w:val="18"/>
          <w:szCs w:val="20"/>
        </w:rPr>
        <w:t xml:space="preserve"> sledovaných skupinách</w:t>
      </w:r>
      <w:r w:rsidR="00FC4559">
        <w:rPr>
          <w:rFonts w:cs="Arial"/>
          <w:b/>
          <w:sz w:val="18"/>
          <w:szCs w:val="20"/>
        </w:rPr>
        <w:t xml:space="preserve"> podniků</w:t>
      </w:r>
      <w:r w:rsidRPr="00E14E65">
        <w:rPr>
          <w:rFonts w:cs="Arial"/>
          <w:b/>
          <w:sz w:val="18"/>
          <w:szCs w:val="20"/>
        </w:rPr>
        <w:t>; 201</w:t>
      </w:r>
      <w:r w:rsidR="00AE784A">
        <w:rPr>
          <w:rFonts w:cs="Arial"/>
          <w:b/>
          <w:sz w:val="18"/>
          <w:szCs w:val="20"/>
        </w:rPr>
        <w:t>8–2020</w:t>
      </w:r>
      <w:r w:rsidRPr="00E14E65">
        <w:rPr>
          <w:rFonts w:cs="Arial"/>
          <w:b/>
          <w:sz w:val="18"/>
          <w:szCs w:val="20"/>
        </w:rPr>
        <w:tab/>
      </w:r>
    </w:p>
    <w:p w14:paraId="51765B1D" w14:textId="77777777" w:rsidR="00FC4559" w:rsidRDefault="00AE784A" w:rsidP="00C32936">
      <w:r>
        <w:rPr>
          <w:noProof/>
        </w:rPr>
        <w:drawing>
          <wp:inline distT="0" distB="0" distL="0" distR="0" wp14:anchorId="4573F785" wp14:editId="0CEB815C">
            <wp:extent cx="6120000" cy="2448000"/>
            <wp:effectExtent l="0" t="0" r="14605" b="9525"/>
            <wp:docPr id="42" name="Graf 42">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4924CFD" w14:textId="77777777" w:rsidR="00A84596" w:rsidRDefault="00A84596" w:rsidP="00A84596">
      <w:pPr>
        <w:jc w:val="right"/>
      </w:pPr>
      <w:r w:rsidRPr="00B2746E">
        <w:rPr>
          <w:i/>
          <w:sz w:val="18"/>
        </w:rPr>
        <w:t>Zdroj: ČSÚ, Šetření o inovačních aktivitách podniků</w:t>
      </w:r>
    </w:p>
    <w:p w14:paraId="3BA05D80" w14:textId="3512A031" w:rsidR="00864A1E" w:rsidRDefault="00864A1E" w:rsidP="00EA7285">
      <w:pPr>
        <w:pStyle w:val="Nadpis4"/>
        <w:spacing w:before="240"/>
        <w:rPr>
          <w:rStyle w:val="st"/>
          <w:color w:val="009BB4"/>
        </w:rPr>
      </w:pPr>
      <w:r w:rsidRPr="00A1259E">
        <w:rPr>
          <w:rStyle w:val="st"/>
          <w:color w:val="009BB4"/>
        </w:rPr>
        <w:t>3.2.</w:t>
      </w:r>
      <w:r>
        <w:rPr>
          <w:rStyle w:val="st"/>
          <w:color w:val="009BB4"/>
        </w:rPr>
        <w:t>4.4</w:t>
      </w:r>
      <w:r w:rsidRPr="00A1259E">
        <w:rPr>
          <w:rStyle w:val="st"/>
          <w:color w:val="009BB4"/>
        </w:rPr>
        <w:t xml:space="preserve"> </w:t>
      </w:r>
      <w:r w:rsidR="00FC4559" w:rsidRPr="00FC4559">
        <w:rPr>
          <w:rStyle w:val="st"/>
          <w:color w:val="009BB4"/>
        </w:rPr>
        <w:t xml:space="preserve">Inovace v oblasti </w:t>
      </w:r>
      <w:r w:rsidR="00FC4559">
        <w:rPr>
          <w:rStyle w:val="st"/>
          <w:color w:val="009BB4"/>
        </w:rPr>
        <w:t>organizace podniku a vnějších vztahů</w:t>
      </w:r>
    </w:p>
    <w:p w14:paraId="122FDE4E" w14:textId="77777777" w:rsidR="00922427" w:rsidRDefault="002217E7" w:rsidP="00EF0C14">
      <w:pPr>
        <w:spacing w:before="60" w:after="60"/>
        <w:jc w:val="both"/>
      </w:pPr>
      <w:r w:rsidRPr="00635B54">
        <w:t>Pokud se podnik věnoval inovaci organizace podniku a vnějších vztahů, tak nejčastěji zavedl nový či podstatně zlepšený způsob</w:t>
      </w:r>
      <w:r w:rsidRPr="00635B54">
        <w:rPr>
          <w:b/>
        </w:rPr>
        <w:t xml:space="preserve"> or</w:t>
      </w:r>
      <w:r w:rsidR="00791C03" w:rsidRPr="00635B54">
        <w:rPr>
          <w:b/>
        </w:rPr>
        <w:t>ganizace a řízení ostatních podnikových činností</w:t>
      </w:r>
      <w:r w:rsidRPr="00635B54">
        <w:t>. T</w:t>
      </w:r>
      <w:r w:rsidR="00922427" w:rsidRPr="00635B54">
        <w:t xml:space="preserve">ento </w:t>
      </w:r>
      <w:r w:rsidRPr="00635B54">
        <w:t>druh inovace</w:t>
      </w:r>
      <w:r w:rsidR="00862860" w:rsidRPr="00635B54">
        <w:t>,</w:t>
      </w:r>
      <w:r w:rsidR="00922427" w:rsidRPr="00635B54">
        <w:t xml:space="preserve"> </w:t>
      </w:r>
      <w:r w:rsidR="007E6EF8" w:rsidRPr="00635B54">
        <w:t>zahrnuj</w:t>
      </w:r>
      <w:r w:rsidR="00922427" w:rsidRPr="00635B54">
        <w:t xml:space="preserve">ící </w:t>
      </w:r>
      <w:r w:rsidR="007E6EF8" w:rsidRPr="00635B54">
        <w:t>například</w:t>
      </w:r>
      <w:r w:rsidR="00635B54" w:rsidRPr="00635B54">
        <w:t xml:space="preserve"> řízení kvality, řízení toků znalostí</w:t>
      </w:r>
      <w:r w:rsidR="00862860" w:rsidRPr="00635B54">
        <w:t>,</w:t>
      </w:r>
      <w:r w:rsidR="00635B54" w:rsidRPr="00635B54">
        <w:t xml:space="preserve"> zavedl</w:t>
      </w:r>
      <w:r w:rsidR="00581B8A">
        <w:t xml:space="preserve">o 23,4 % </w:t>
      </w:r>
      <w:r w:rsidRPr="00635B54">
        <w:t>podniků.</w:t>
      </w:r>
      <w:r>
        <w:t xml:space="preserve"> </w:t>
      </w:r>
    </w:p>
    <w:p w14:paraId="517011E7" w14:textId="77777777" w:rsidR="00C32936" w:rsidRPr="00C32936" w:rsidRDefault="00C32936" w:rsidP="00F50BB7">
      <w:pPr>
        <w:ind w:left="851" w:hanging="851"/>
      </w:pPr>
      <w:r>
        <w:rPr>
          <w:rFonts w:cs="Arial"/>
          <w:b/>
          <w:sz w:val="18"/>
          <w:szCs w:val="20"/>
        </w:rPr>
        <w:t>G</w:t>
      </w:r>
      <w:r w:rsidR="00717034">
        <w:rPr>
          <w:rFonts w:cs="Arial"/>
          <w:b/>
          <w:sz w:val="18"/>
          <w:szCs w:val="20"/>
        </w:rPr>
        <w:t>RAF 29</w:t>
      </w:r>
      <w:r w:rsidR="00EA7285">
        <w:rPr>
          <w:rFonts w:cs="Arial"/>
          <w:b/>
          <w:sz w:val="18"/>
          <w:szCs w:val="20"/>
        </w:rPr>
        <w:t xml:space="preserve"> </w:t>
      </w:r>
      <w:r w:rsidR="007279CC">
        <w:rPr>
          <w:rFonts w:cs="Arial"/>
          <w:b/>
          <w:sz w:val="18"/>
          <w:szCs w:val="20"/>
        </w:rPr>
        <w:t xml:space="preserve">Podíl </w:t>
      </w:r>
      <w:r w:rsidR="007279CC" w:rsidRPr="007A46D0">
        <w:rPr>
          <w:rFonts w:cs="Arial"/>
          <w:b/>
          <w:sz w:val="18"/>
          <w:szCs w:val="20"/>
        </w:rPr>
        <w:t xml:space="preserve">podniků, které zavedly </w:t>
      </w:r>
      <w:r w:rsidR="00172FBE">
        <w:rPr>
          <w:rFonts w:cs="Arial"/>
          <w:b/>
          <w:sz w:val="18"/>
          <w:szCs w:val="20"/>
        </w:rPr>
        <w:t>organizační</w:t>
      </w:r>
      <w:r w:rsidR="007279CC">
        <w:rPr>
          <w:rFonts w:cs="Arial"/>
          <w:b/>
          <w:sz w:val="18"/>
          <w:szCs w:val="20"/>
        </w:rPr>
        <w:t xml:space="preserve"> inovace </w:t>
      </w:r>
      <w:r w:rsidR="007279CC" w:rsidRPr="007A46D0">
        <w:rPr>
          <w:rFonts w:cs="Arial"/>
          <w:b/>
          <w:sz w:val="18"/>
          <w:szCs w:val="20"/>
        </w:rPr>
        <w:t>v dané oblasti v</w:t>
      </w:r>
      <w:r w:rsidR="00084837">
        <w:rPr>
          <w:rFonts w:cs="Arial"/>
          <w:b/>
          <w:sz w:val="18"/>
          <w:szCs w:val="20"/>
        </w:rPr>
        <w:t>e</w:t>
      </w:r>
      <w:r w:rsidR="007279CC" w:rsidRPr="007A46D0">
        <w:rPr>
          <w:rFonts w:cs="Arial"/>
          <w:b/>
          <w:sz w:val="18"/>
          <w:szCs w:val="20"/>
        </w:rPr>
        <w:t xml:space="preserve"> sledovaných skupinách</w:t>
      </w:r>
      <w:r w:rsidR="007279CC">
        <w:rPr>
          <w:rFonts w:cs="Arial"/>
          <w:b/>
          <w:sz w:val="18"/>
          <w:szCs w:val="20"/>
        </w:rPr>
        <w:t xml:space="preserve"> podniků</w:t>
      </w:r>
      <w:r w:rsidRPr="00E14E65">
        <w:rPr>
          <w:rFonts w:cs="Arial"/>
          <w:b/>
          <w:sz w:val="18"/>
          <w:szCs w:val="20"/>
        </w:rPr>
        <w:t>; 201</w:t>
      </w:r>
      <w:r w:rsidR="00717034">
        <w:rPr>
          <w:rFonts w:cs="Arial"/>
          <w:b/>
          <w:sz w:val="18"/>
          <w:szCs w:val="20"/>
        </w:rPr>
        <w:t>8–2020</w:t>
      </w:r>
      <w:r w:rsidRPr="00E14E65">
        <w:rPr>
          <w:rFonts w:cs="Arial"/>
          <w:b/>
          <w:sz w:val="18"/>
          <w:szCs w:val="20"/>
        </w:rPr>
        <w:tab/>
      </w:r>
    </w:p>
    <w:p w14:paraId="536BB444" w14:textId="77777777" w:rsidR="00172FBE" w:rsidRDefault="00DA01A1" w:rsidP="007279CC">
      <w:pPr>
        <w:spacing w:before="60" w:after="60"/>
        <w:jc w:val="both"/>
      </w:pPr>
      <w:r>
        <w:rPr>
          <w:noProof/>
        </w:rPr>
        <w:drawing>
          <wp:inline distT="0" distB="0" distL="0" distR="0" wp14:anchorId="41CE6A4F" wp14:editId="26D121E8">
            <wp:extent cx="6120000" cy="2448000"/>
            <wp:effectExtent l="0" t="0" r="14605" b="9525"/>
            <wp:docPr id="52" name="Graf 52">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5EF7D60" w14:textId="77777777" w:rsidR="00A84596" w:rsidRDefault="00A84596" w:rsidP="00A84596">
      <w:pPr>
        <w:jc w:val="right"/>
      </w:pPr>
      <w:r w:rsidRPr="00B2746E">
        <w:rPr>
          <w:i/>
          <w:sz w:val="18"/>
        </w:rPr>
        <w:t>Zdroj: ČSÚ, Šetření o inovačních aktivitách podniků</w:t>
      </w:r>
    </w:p>
    <w:p w14:paraId="2FA9C290" w14:textId="77777777" w:rsidR="00F50BB7" w:rsidRDefault="00417701" w:rsidP="00417701">
      <w:pPr>
        <w:spacing w:before="120" w:after="60"/>
        <w:jc w:val="both"/>
      </w:pPr>
      <w:r>
        <w:lastRenderedPageBreak/>
        <w:t>Menší podíl</w:t>
      </w:r>
      <w:r w:rsidR="00F50BB7">
        <w:t xml:space="preserve"> podniků</w:t>
      </w:r>
      <w:r>
        <w:t xml:space="preserve"> (21,2 %)</w:t>
      </w:r>
      <w:r w:rsidR="00F50BB7">
        <w:t xml:space="preserve"> </w:t>
      </w:r>
      <w:r>
        <w:t xml:space="preserve">nově </w:t>
      </w:r>
      <w:proofErr w:type="spellStart"/>
      <w:r>
        <w:t>outsourcoval</w:t>
      </w:r>
      <w:proofErr w:type="spellEnd"/>
      <w:r>
        <w:t xml:space="preserve"> své podnikové procesy nebo jejich části jinému subjektu.</w:t>
      </w:r>
      <w:r w:rsidR="00B72769">
        <w:t xml:space="preserve"> </w:t>
      </w:r>
      <w:r>
        <w:t>Nejméně se podniky věnovaly inovaci v oblasti spolupráce s jinými subjekty.</w:t>
      </w:r>
      <w:r w:rsidR="009D672D">
        <w:t xml:space="preserve"> Tento druh inovace zavedla méně</w:t>
      </w:r>
      <w:r>
        <w:t xml:space="preserve"> než desetina firem.</w:t>
      </w:r>
    </w:p>
    <w:p w14:paraId="1E99DD5D" w14:textId="77777777" w:rsidR="00417701" w:rsidRDefault="00417701" w:rsidP="00417701">
      <w:pPr>
        <w:spacing w:before="120" w:after="60"/>
        <w:jc w:val="both"/>
      </w:pPr>
      <w:r>
        <w:t xml:space="preserve">Velké podniky se v rámci organizační inovace více než malé a střední soustředily také na inovaci v oblasti lidských zdrojů. Tento druh inovace zavedlo rovných 42 % </w:t>
      </w:r>
      <w:r w:rsidR="00234B1E">
        <w:t xml:space="preserve">velkých </w:t>
      </w:r>
      <w:r>
        <w:t>podniků. Podniky pod zahraniční kontrolou výrazně více než domácí využily nově outsourcingu pro své podnikové procesy. Pro zahraniční podniky byl tento druh inov</w:t>
      </w:r>
      <w:r w:rsidR="00A9231F">
        <w:t>ace vůbec nejvýznamnější</w:t>
      </w:r>
      <w:r w:rsidR="0085195D">
        <w:t xml:space="preserve"> z organizačních inovací</w:t>
      </w:r>
      <w:r w:rsidR="00234B1E">
        <w:t>,</w:t>
      </w:r>
      <w:r w:rsidR="0085195D">
        <w:t xml:space="preserve"> </w:t>
      </w:r>
      <w:r w:rsidR="00234B1E">
        <w:t>z</w:t>
      </w:r>
      <w:r w:rsidR="00A9231F">
        <w:t>avedlo ji 34,9 % z</w:t>
      </w:r>
      <w:r w:rsidR="0085195D">
        <w:t xml:space="preserve"> nich. </w:t>
      </w:r>
    </w:p>
    <w:p w14:paraId="0FCE0477" w14:textId="77777777" w:rsidR="00CD075C" w:rsidRDefault="00CD075C" w:rsidP="00CD075C">
      <w:pPr>
        <w:spacing w:before="60" w:after="60"/>
        <w:jc w:val="both"/>
      </w:pPr>
      <w:r w:rsidRPr="00581B8A">
        <w:t>Odvětvové členění je uv</w:t>
      </w:r>
      <w:r w:rsidR="00DB2D67" w:rsidRPr="00581B8A">
        <w:t>edeno v příslušných tabulkách 2</w:t>
      </w:r>
      <w:r w:rsidR="00581B8A" w:rsidRPr="00581B8A">
        <w:t>7</w:t>
      </w:r>
      <w:r w:rsidR="00DB2D67" w:rsidRPr="00581B8A">
        <w:t>A a 2</w:t>
      </w:r>
      <w:r w:rsidR="00581B8A" w:rsidRPr="00581B8A">
        <w:t>7</w:t>
      </w:r>
      <w:r w:rsidRPr="00581B8A">
        <w:t>B</w:t>
      </w:r>
      <w:r w:rsidR="00862860" w:rsidRPr="00581B8A">
        <w:t xml:space="preserve"> v</w:t>
      </w:r>
      <w:r w:rsidRPr="00581B8A">
        <w:t xml:space="preserve"> tabulkové přílo</w:t>
      </w:r>
      <w:r w:rsidR="00862860" w:rsidRPr="00581B8A">
        <w:t>ze</w:t>
      </w:r>
      <w:r w:rsidRPr="00581B8A">
        <w:t>.</w:t>
      </w:r>
    </w:p>
    <w:p w14:paraId="6D8E0E3D" w14:textId="77777777" w:rsidR="00864A1E" w:rsidRDefault="00864A1E" w:rsidP="00CA37E1">
      <w:pPr>
        <w:pStyle w:val="Nadpis4"/>
        <w:spacing w:before="240"/>
        <w:rPr>
          <w:rStyle w:val="st"/>
          <w:color w:val="009BB4"/>
        </w:rPr>
      </w:pPr>
      <w:r w:rsidRPr="00A1259E">
        <w:rPr>
          <w:rStyle w:val="st"/>
          <w:color w:val="009BB4"/>
        </w:rPr>
        <w:t>3.2.</w:t>
      </w:r>
      <w:r>
        <w:rPr>
          <w:rStyle w:val="st"/>
          <w:color w:val="009BB4"/>
        </w:rPr>
        <w:t>4.5</w:t>
      </w:r>
      <w:r w:rsidRPr="00A1259E">
        <w:rPr>
          <w:rStyle w:val="st"/>
          <w:color w:val="009BB4"/>
        </w:rPr>
        <w:t xml:space="preserve"> </w:t>
      </w:r>
      <w:r w:rsidR="00172FBE" w:rsidRPr="00172FBE">
        <w:rPr>
          <w:rStyle w:val="st"/>
          <w:color w:val="009BB4"/>
        </w:rPr>
        <w:t>Původce inovací</w:t>
      </w:r>
      <w:r w:rsidR="00172FBE">
        <w:rPr>
          <w:rStyle w:val="st"/>
          <w:color w:val="009BB4"/>
        </w:rPr>
        <w:t xml:space="preserve"> podnikových procesů</w:t>
      </w:r>
    </w:p>
    <w:p w14:paraId="7DC51F29" w14:textId="77777777" w:rsidR="00172FBE" w:rsidRDefault="00A8283C" w:rsidP="00172FBE">
      <w:pPr>
        <w:spacing w:before="60" w:after="60"/>
        <w:jc w:val="both"/>
      </w:pPr>
      <w:r>
        <w:t>V</w:t>
      </w:r>
      <w:r w:rsidR="00172FBE">
        <w:t xml:space="preserve"> rámci inovací podnikových procesů </w:t>
      </w:r>
      <w:r w:rsidR="00094DBA">
        <w:t>se</w:t>
      </w:r>
      <w:r>
        <w:t xml:space="preserve"> také</w:t>
      </w:r>
      <w:r w:rsidR="00094DBA">
        <w:t xml:space="preserve"> zjišťovalo, </w:t>
      </w:r>
      <w:r w:rsidR="00172FBE">
        <w:t>kdo</w:t>
      </w:r>
      <w:r w:rsidR="00094DBA">
        <w:t xml:space="preserve"> je </w:t>
      </w:r>
      <w:r w:rsidR="00172FBE" w:rsidRPr="009901E7">
        <w:rPr>
          <w:b/>
        </w:rPr>
        <w:t>vyvíjel</w:t>
      </w:r>
      <w:r w:rsidR="00094DBA">
        <w:rPr>
          <w:b/>
        </w:rPr>
        <w:t>.</w:t>
      </w:r>
      <w:r w:rsidR="00172FBE">
        <w:t xml:space="preserve"> </w:t>
      </w:r>
      <w:r w:rsidR="00094DBA">
        <w:t>Procesní inovace mohla</w:t>
      </w:r>
      <w:r w:rsidR="006347D1">
        <w:t xml:space="preserve"> být</w:t>
      </w:r>
      <w:r w:rsidR="00094DBA">
        <w:t xml:space="preserve"> </w:t>
      </w:r>
      <w:r w:rsidR="006347D1">
        <w:t xml:space="preserve">stejně jako v případě produktové inovace </w:t>
      </w:r>
      <w:r w:rsidR="00172FBE" w:rsidRPr="00D1176D">
        <w:t>vyvinuta podnikem</w:t>
      </w:r>
      <w:r w:rsidR="00172FBE">
        <w:t xml:space="preserve"> ve vlastní režii</w:t>
      </w:r>
      <w:r w:rsidR="00172FBE" w:rsidRPr="00D1176D">
        <w:t>, ve spolupráci s jiným subjektem, jiným subjektem</w:t>
      </w:r>
      <w:r w:rsidR="00172FBE">
        <w:t xml:space="preserve"> na základě zadání či šlo o „pouhou“ úpravu </w:t>
      </w:r>
      <w:r w:rsidR="00172FBE" w:rsidRPr="00011387">
        <w:t>(napodob</w:t>
      </w:r>
      <w:r w:rsidR="00172FBE">
        <w:t xml:space="preserve">ení či přizpůsobení) </w:t>
      </w:r>
      <w:r w:rsidR="00094DBA">
        <w:t xml:space="preserve">již existující inovace </w:t>
      </w:r>
      <w:r w:rsidR="00172FBE" w:rsidRPr="00011387">
        <w:t>jiného subjektu</w:t>
      </w:r>
      <w:r w:rsidR="00172FBE">
        <w:t xml:space="preserve">. Jelikož </w:t>
      </w:r>
      <w:r w:rsidR="00094DBA">
        <w:t xml:space="preserve">většina firem </w:t>
      </w:r>
      <w:r w:rsidR="00172FBE">
        <w:t xml:space="preserve">během sledovaného období </w:t>
      </w:r>
      <w:r w:rsidR="00094DBA">
        <w:t xml:space="preserve">zavedla inovované podnikové procesy v několika oblastech, </w:t>
      </w:r>
      <w:r w:rsidR="00172FBE">
        <w:t>součet odpovědí za jednotlivé kategorie může být vyšší než 100 %.</w:t>
      </w:r>
    </w:p>
    <w:p w14:paraId="0E496268" w14:textId="77777777" w:rsidR="00094DBA" w:rsidRDefault="00687116" w:rsidP="00581B8A">
      <w:pPr>
        <w:spacing w:before="60" w:after="240"/>
        <w:jc w:val="both"/>
      </w:pPr>
      <w:r>
        <w:t xml:space="preserve">Stejně jako u produktové inovace, tak i v případě </w:t>
      </w:r>
      <w:r w:rsidR="00176EDF">
        <w:t>inovace podnikových procesů</w:t>
      </w:r>
      <w:r w:rsidR="00094DBA">
        <w:t>, nejvíce podniků uvedlo, že je vyvíjelo a zavedlo</w:t>
      </w:r>
      <w:r>
        <w:t xml:space="preserve"> </w:t>
      </w:r>
      <w:r w:rsidR="00B51944" w:rsidRPr="009B4A2C">
        <w:t xml:space="preserve">ve </w:t>
      </w:r>
      <w:r w:rsidR="00B51944" w:rsidRPr="00953087">
        <w:rPr>
          <w:b/>
        </w:rPr>
        <w:t>vlastní režii</w:t>
      </w:r>
      <w:r w:rsidR="00B51944" w:rsidRPr="005739C6">
        <w:t xml:space="preserve">. </w:t>
      </w:r>
      <w:r w:rsidR="005D3B23" w:rsidRPr="005D3B23">
        <w:t>Učinilo tak 72,9</w:t>
      </w:r>
      <w:r w:rsidR="00094DBA" w:rsidRPr="005D3B23">
        <w:t> % podniků</w:t>
      </w:r>
      <w:r w:rsidR="005A2F8A">
        <w:t xml:space="preserve"> s deseti a více zaměstnanými osobami</w:t>
      </w:r>
      <w:r w:rsidR="00094DBA" w:rsidRPr="00CF7C03">
        <w:t xml:space="preserve"> v</w:t>
      </w:r>
      <w:r w:rsidR="003E2878">
        <w:t>e</w:t>
      </w:r>
      <w:r w:rsidR="00094DBA" w:rsidRPr="00CF7C03">
        <w:t> sledovaných odvětvích, které</w:t>
      </w:r>
      <w:r w:rsidR="00094DBA">
        <w:rPr>
          <w:b/>
        </w:rPr>
        <w:t xml:space="preserve"> </w:t>
      </w:r>
      <w:r w:rsidR="005D3B23">
        <w:t>v období 2018–2020</w:t>
      </w:r>
      <w:r w:rsidR="00094DBA">
        <w:t xml:space="preserve"> zavedly alespoň jednu </w:t>
      </w:r>
      <w:r w:rsidR="008E0E12">
        <w:t>inovaci podnikových procesů</w:t>
      </w:r>
      <w:r w:rsidR="008E0E12" w:rsidRPr="009E10D5">
        <w:t>.</w:t>
      </w:r>
      <w:r w:rsidR="00094DBA" w:rsidRPr="009E10D5">
        <w:t xml:space="preserve"> </w:t>
      </w:r>
      <w:r w:rsidR="008E0E12" w:rsidRPr="009E10D5">
        <w:t>Opět tak č</w:t>
      </w:r>
      <w:r w:rsidR="00094DBA" w:rsidRPr="009E10D5">
        <w:t>astěji činily domácí</w:t>
      </w:r>
      <w:r w:rsidR="00094DBA">
        <w:t xml:space="preserve"> podniky v porovnání s podniky pod zahranič</w:t>
      </w:r>
      <w:r w:rsidR="0098313C">
        <w:t>ní kontrolou</w:t>
      </w:r>
      <w:r w:rsidR="00094DBA">
        <w:t>.</w:t>
      </w:r>
      <w:r w:rsidR="008E0E12">
        <w:t xml:space="preserve"> </w:t>
      </w:r>
    </w:p>
    <w:p w14:paraId="3050E2A9" w14:textId="77777777" w:rsidR="004D0A65" w:rsidRDefault="00B51944" w:rsidP="00953087">
      <w:pPr>
        <w:spacing w:after="60"/>
        <w:ind w:left="1134" w:hanging="1134"/>
      </w:pPr>
      <w:r w:rsidRPr="005739C6">
        <w:rPr>
          <w:rFonts w:cs="Arial"/>
          <w:b/>
          <w:sz w:val="18"/>
          <w:szCs w:val="20"/>
        </w:rPr>
        <w:t>G</w:t>
      </w:r>
      <w:r w:rsidR="005B61E9">
        <w:rPr>
          <w:rFonts w:cs="Arial"/>
          <w:b/>
          <w:sz w:val="18"/>
          <w:szCs w:val="20"/>
        </w:rPr>
        <w:t>RAF 30</w:t>
      </w:r>
      <w:r w:rsidRPr="005739C6">
        <w:rPr>
          <w:rFonts w:cs="Arial"/>
          <w:b/>
          <w:sz w:val="18"/>
          <w:szCs w:val="20"/>
        </w:rPr>
        <w:t xml:space="preserve"> </w:t>
      </w:r>
      <w:r w:rsidR="008E0E12" w:rsidRPr="008E0E12">
        <w:rPr>
          <w:rFonts w:cs="Arial"/>
          <w:b/>
          <w:sz w:val="18"/>
          <w:szCs w:val="20"/>
        </w:rPr>
        <w:t xml:space="preserve">Způsob vývoje inovovaných </w:t>
      </w:r>
      <w:r w:rsidR="008E0E12">
        <w:rPr>
          <w:rFonts w:cs="Arial"/>
          <w:b/>
          <w:sz w:val="18"/>
          <w:szCs w:val="20"/>
        </w:rPr>
        <w:t xml:space="preserve">podnikových procesů </w:t>
      </w:r>
      <w:r w:rsidR="008E0E12" w:rsidRPr="008E0E12">
        <w:rPr>
          <w:rFonts w:cs="Arial"/>
          <w:b/>
          <w:sz w:val="18"/>
          <w:szCs w:val="20"/>
        </w:rPr>
        <w:t>ve vybraných skupinách podniků</w:t>
      </w:r>
      <w:r w:rsidR="008E0E12">
        <w:rPr>
          <w:rFonts w:cs="Arial"/>
          <w:b/>
          <w:sz w:val="18"/>
          <w:szCs w:val="20"/>
        </w:rPr>
        <w:t xml:space="preserve"> (%)*</w:t>
      </w:r>
      <w:r w:rsidR="00D95CEF">
        <w:rPr>
          <w:rFonts w:cs="Arial"/>
          <w:b/>
          <w:sz w:val="18"/>
          <w:szCs w:val="20"/>
        </w:rPr>
        <w:t>; 2018–2020</w:t>
      </w:r>
      <w:r w:rsidR="008E0E12" w:rsidRPr="008E0E12">
        <w:rPr>
          <w:rFonts w:cs="Arial"/>
          <w:b/>
          <w:sz w:val="18"/>
          <w:szCs w:val="20"/>
        </w:rPr>
        <w:t xml:space="preserve"> </w:t>
      </w:r>
    </w:p>
    <w:p w14:paraId="2A142DAF" w14:textId="77777777" w:rsidR="00172FBE" w:rsidRDefault="005A0F83" w:rsidP="00E11AF4">
      <w:pPr>
        <w:spacing w:after="60"/>
        <w:jc w:val="both"/>
      </w:pPr>
      <w:r>
        <w:rPr>
          <w:noProof/>
        </w:rPr>
        <w:drawing>
          <wp:inline distT="0" distB="0" distL="0" distR="0" wp14:anchorId="400E8684" wp14:editId="084B4980">
            <wp:extent cx="6120000" cy="2718075"/>
            <wp:effectExtent l="0" t="0" r="14605" b="6350"/>
            <wp:docPr id="5" name="Graf 5">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3296691" w14:textId="77777777" w:rsidR="004E6E16" w:rsidRDefault="004E6E16" w:rsidP="003E2878">
      <w:pPr>
        <w:spacing w:before="60" w:after="120"/>
        <w:jc w:val="both"/>
        <w:rPr>
          <w:i/>
          <w:sz w:val="18"/>
        </w:rPr>
      </w:pPr>
      <w:r w:rsidRPr="00BB0DBA">
        <w:rPr>
          <w:i/>
          <w:sz w:val="18"/>
        </w:rPr>
        <w:t>*Podíl podniků</w:t>
      </w:r>
      <w:r>
        <w:rPr>
          <w:i/>
          <w:sz w:val="18"/>
        </w:rPr>
        <w:t xml:space="preserve"> s</w:t>
      </w:r>
      <w:r w:rsidR="003C0EB4">
        <w:rPr>
          <w:i/>
          <w:sz w:val="18"/>
        </w:rPr>
        <w:t xml:space="preserve"> inovací podnikových procesů </w:t>
      </w:r>
      <w:r w:rsidRPr="00BB0DBA">
        <w:rPr>
          <w:i/>
          <w:sz w:val="18"/>
        </w:rPr>
        <w:t>v dané skupině, které uvedly</w:t>
      </w:r>
      <w:r>
        <w:rPr>
          <w:i/>
          <w:sz w:val="18"/>
        </w:rPr>
        <w:t xml:space="preserve"> daný způsob vývoje </w:t>
      </w:r>
      <w:r w:rsidR="003C0EB4">
        <w:rPr>
          <w:i/>
          <w:sz w:val="18"/>
        </w:rPr>
        <w:t xml:space="preserve">či zavádění </w:t>
      </w:r>
      <w:r>
        <w:rPr>
          <w:i/>
          <w:sz w:val="18"/>
        </w:rPr>
        <w:t xml:space="preserve">nových či podstatně zlepšených </w:t>
      </w:r>
      <w:r w:rsidR="003C0EB4">
        <w:rPr>
          <w:i/>
          <w:sz w:val="18"/>
        </w:rPr>
        <w:t>činností v rámci sledovaných podnikových oblastí</w:t>
      </w:r>
      <w:r>
        <w:rPr>
          <w:i/>
          <w:sz w:val="18"/>
        </w:rPr>
        <w:t>. Podniky mohly uvést více jak jeden způsob.</w:t>
      </w:r>
    </w:p>
    <w:p w14:paraId="4650BA44" w14:textId="77777777" w:rsidR="00A84596" w:rsidRDefault="00A84596" w:rsidP="00A84596">
      <w:pPr>
        <w:spacing w:before="60" w:after="60"/>
        <w:jc w:val="right"/>
      </w:pPr>
      <w:r w:rsidRPr="00B2746E">
        <w:rPr>
          <w:i/>
          <w:sz w:val="18"/>
        </w:rPr>
        <w:t>Zdroj: ČSÚ, Šetření o inovačních aktivitách podniků</w:t>
      </w:r>
    </w:p>
    <w:p w14:paraId="2206AAA1" w14:textId="77777777" w:rsidR="0025480C" w:rsidRDefault="00531B84" w:rsidP="00A84596">
      <w:pPr>
        <w:spacing w:before="120" w:after="60"/>
        <w:jc w:val="both"/>
      </w:pPr>
      <w:r>
        <w:t xml:space="preserve">S jinými subjekty spolupracovala </w:t>
      </w:r>
      <w:r w:rsidR="0098313C">
        <w:t>třetina</w:t>
      </w:r>
      <w:r w:rsidR="008E0E12">
        <w:t xml:space="preserve"> podniků</w:t>
      </w:r>
      <w:r w:rsidR="00AD64B3">
        <w:t>, které v</w:t>
      </w:r>
      <w:r w:rsidR="007A7F3F">
        <w:t>e</w:t>
      </w:r>
      <w:r w:rsidR="00AD64B3">
        <w:t> sledovaném období zavedl</w:t>
      </w:r>
      <w:r w:rsidR="003E2878">
        <w:t>y</w:t>
      </w:r>
      <w:r w:rsidR="00AD64B3">
        <w:t xml:space="preserve"> inovaci v oblasti svých podnikových procesů.</w:t>
      </w:r>
      <w:r w:rsidR="008E0E12">
        <w:t xml:space="preserve"> </w:t>
      </w:r>
      <w:r w:rsidR="0098313C">
        <w:t>Častěji podniky spolupracovaly</w:t>
      </w:r>
      <w:r w:rsidR="00AD64B3">
        <w:t xml:space="preserve"> </w:t>
      </w:r>
      <w:r w:rsidR="008E0E12">
        <w:t>v rámci podnikové skupiny než s</w:t>
      </w:r>
      <w:r w:rsidR="00AD64B3">
        <w:t xml:space="preserve">e subjekty </w:t>
      </w:r>
      <w:r w:rsidR="008E0E12">
        <w:t>mimo podnikovou skupin</w:t>
      </w:r>
      <w:r w:rsidR="00C12206">
        <w:t>u. U podniků pod zahraniční kontrolou probíhal vývoj inovovaných podnikových procesů častěji ve spolupráci s jinými podniky v rámci podnikové skupiny (uvedlo 57,8 %) než ve vlastní režii (54,1 %).</w:t>
      </w:r>
      <w:r w:rsidR="00001248">
        <w:t xml:space="preserve"> U velkých podniků spolupracovala</w:t>
      </w:r>
      <w:r w:rsidR="00221DAD">
        <w:t xml:space="preserve"> na inovací podnikových procesů</w:t>
      </w:r>
      <w:r w:rsidR="00001248">
        <w:t xml:space="preserve"> v rámci podnikové skupiny více než polovina z nich. </w:t>
      </w:r>
    </w:p>
    <w:p w14:paraId="74CCB9DA" w14:textId="77777777" w:rsidR="0025480C" w:rsidRDefault="008E0E12" w:rsidP="00F46950">
      <w:pPr>
        <w:spacing w:before="60" w:after="60"/>
        <w:jc w:val="both"/>
      </w:pPr>
      <w:r>
        <w:t>Při inovačních činnostech spojených s podnikovými procesy</w:t>
      </w:r>
      <w:r w:rsidRPr="009B4A2C">
        <w:t xml:space="preserve"> podniky nejméně využily služeb</w:t>
      </w:r>
      <w:r w:rsidR="00AD64B3">
        <w:t xml:space="preserve"> </w:t>
      </w:r>
      <w:r w:rsidRPr="009B4A2C">
        <w:t>vys</w:t>
      </w:r>
      <w:r>
        <w:t>okých škol a výzkumných organizací</w:t>
      </w:r>
      <w:r w:rsidRPr="009B4A2C">
        <w:t>, a to jak ve formě spolupráce, tak</w:t>
      </w:r>
      <w:r>
        <w:t xml:space="preserve"> v podobě vývoje na zakázku</w:t>
      </w:r>
      <w:r w:rsidRPr="009B4A2C">
        <w:t>.</w:t>
      </w:r>
      <w:r>
        <w:t xml:space="preserve"> S</w:t>
      </w:r>
      <w:r w:rsidR="00AD64B3">
        <w:t> </w:t>
      </w:r>
      <w:r w:rsidR="00AD64B3" w:rsidRPr="00953087">
        <w:rPr>
          <w:b/>
        </w:rPr>
        <w:t xml:space="preserve">veřejnými </w:t>
      </w:r>
      <w:r w:rsidRPr="00953087">
        <w:rPr>
          <w:b/>
        </w:rPr>
        <w:t xml:space="preserve">vysokými školami </w:t>
      </w:r>
      <w:r w:rsidR="00AD64B3" w:rsidRPr="00953087">
        <w:rPr>
          <w:b/>
        </w:rPr>
        <w:t xml:space="preserve">nebo </w:t>
      </w:r>
      <w:r w:rsidRPr="00953087">
        <w:rPr>
          <w:b/>
        </w:rPr>
        <w:t>výzkumnými organizacemi</w:t>
      </w:r>
      <w:r>
        <w:t xml:space="preserve"> spolupracoval</w:t>
      </w:r>
      <w:r w:rsidR="0025480C">
        <w:t>o</w:t>
      </w:r>
      <w:r>
        <w:t xml:space="preserve"> na inovacích</w:t>
      </w:r>
      <w:r w:rsidR="00232D0C">
        <w:t xml:space="preserve"> pouze</w:t>
      </w:r>
      <w:r w:rsidR="00D5723E">
        <w:t xml:space="preserve"> 3,1</w:t>
      </w:r>
      <w:r w:rsidR="0025480C">
        <w:t> % firem, které inovovaly své podnikové procesy. Tento podíl</w:t>
      </w:r>
      <w:r w:rsidR="00D5723E">
        <w:t xml:space="preserve"> byl vyšší u velkých podniků (8,5</w:t>
      </w:r>
      <w:r w:rsidR="0025480C">
        <w:t xml:space="preserve"> %) než u malých či středních. </w:t>
      </w:r>
    </w:p>
    <w:p w14:paraId="6D02D874" w14:textId="77777777" w:rsidR="00AD64B3" w:rsidRPr="003060E9" w:rsidRDefault="00AD64B3" w:rsidP="00953087">
      <w:pPr>
        <w:spacing w:before="60" w:after="60"/>
        <w:jc w:val="both"/>
      </w:pPr>
      <w:r w:rsidRPr="009901E7">
        <w:rPr>
          <w:b/>
        </w:rPr>
        <w:lastRenderedPageBreak/>
        <w:t>Adaptaci produktů</w:t>
      </w:r>
      <w:r>
        <w:t xml:space="preserve"> vyvinutých jinými subjekty využilo pro své </w:t>
      </w:r>
      <w:r w:rsidR="00232D0C">
        <w:t>inovace podnikových procesů 3,6</w:t>
      </w:r>
      <w:r w:rsidR="0025480C">
        <w:t> </w:t>
      </w:r>
      <w:r>
        <w:t xml:space="preserve">% podniků </w:t>
      </w:r>
      <w:r w:rsidR="00232D0C">
        <w:t>aktivních v této oblasti a 7,3</w:t>
      </w:r>
      <w:r w:rsidR="0025480C">
        <w:t> % firem zada</w:t>
      </w:r>
      <w:r w:rsidR="008B6AC1">
        <w:t>lo</w:t>
      </w:r>
      <w:r w:rsidR="0025480C">
        <w:t xml:space="preserve"> vývoj a implementaci inovovaného procesu plně </w:t>
      </w:r>
      <w:r w:rsidRPr="00953087">
        <w:t>externímu subjektu</w:t>
      </w:r>
      <w:r w:rsidRPr="0025480C">
        <w:t>.</w:t>
      </w:r>
      <w:r>
        <w:t xml:space="preserve"> </w:t>
      </w:r>
    </w:p>
    <w:p w14:paraId="2136C883" w14:textId="63076438" w:rsidR="003E2878" w:rsidRDefault="009D5A38" w:rsidP="00F46950">
      <w:pPr>
        <w:spacing w:before="60" w:after="60"/>
        <w:jc w:val="both"/>
      </w:pPr>
      <w:r>
        <w:t xml:space="preserve">Vývoj </w:t>
      </w:r>
      <w:r w:rsidR="004D0A65" w:rsidRPr="009B4A2C">
        <w:t>inovace</w:t>
      </w:r>
      <w:r>
        <w:t xml:space="preserve"> podnikových procesů</w:t>
      </w:r>
      <w:r w:rsidR="004D0A65" w:rsidRPr="009B4A2C">
        <w:t xml:space="preserve"> u velkých podniků byl prováděn zejména </w:t>
      </w:r>
      <w:r w:rsidR="004D0A65">
        <w:t>ve vlastní režii a</w:t>
      </w:r>
      <w:r w:rsidR="004D0A65" w:rsidRPr="009B4A2C">
        <w:t xml:space="preserve"> ve spolupráci s podniky v rámci podnikové skupiny</w:t>
      </w:r>
      <w:r w:rsidR="0025480C">
        <w:t>.</w:t>
      </w:r>
      <w:r w:rsidR="004D0A65" w:rsidRPr="009B4A2C">
        <w:t xml:space="preserve"> Domácí </w:t>
      </w:r>
      <w:r w:rsidR="003845F5">
        <w:t>firmy</w:t>
      </w:r>
      <w:r w:rsidR="003845F5" w:rsidRPr="009B4A2C">
        <w:t xml:space="preserve"> </w:t>
      </w:r>
      <w:r w:rsidR="004D0A65" w:rsidRPr="009B4A2C">
        <w:t>při vývoji procesních inovací</w:t>
      </w:r>
      <w:r w:rsidR="007A7532">
        <w:t xml:space="preserve"> výrazně</w:t>
      </w:r>
      <w:r w:rsidR="004D0A65" w:rsidRPr="009B4A2C">
        <w:t xml:space="preserve"> spoléhaly na své vlastní</w:t>
      </w:r>
      <w:r>
        <w:t xml:space="preserve"> zdroje </w:t>
      </w:r>
      <w:r w:rsidR="004D0A65">
        <w:t>a málo spolupracovaly s</w:t>
      </w:r>
      <w:r w:rsidR="002F1C8F">
        <w:t> jinými podniky. Naopak podniky</w:t>
      </w:r>
      <w:r w:rsidR="004D0A65" w:rsidRPr="009B4A2C">
        <w:t xml:space="preserve"> pod zahraniční kontrolou </w:t>
      </w:r>
      <w:r w:rsidR="002F1C8F">
        <w:t>vyvíjely inovaci podnikových procesů zejména ve spolupráci</w:t>
      </w:r>
      <w:r w:rsidR="004D0A65" w:rsidRPr="009B4A2C">
        <w:t xml:space="preserve"> s </w:t>
      </w:r>
      <w:r w:rsidR="004D0A65">
        <w:t>podnik</w:t>
      </w:r>
      <w:r w:rsidR="006B1C05">
        <w:t>y</w:t>
      </w:r>
      <w:r w:rsidR="004D0A65">
        <w:t xml:space="preserve"> v</w:t>
      </w:r>
      <w:r w:rsidR="006B1C05">
        <w:t xml:space="preserve"> rámci</w:t>
      </w:r>
      <w:r w:rsidR="004D0A65">
        <w:t> podnikové skupin</w:t>
      </w:r>
      <w:r w:rsidR="006B1C05">
        <w:t>y</w:t>
      </w:r>
      <w:r w:rsidR="003E2878">
        <w:t>.</w:t>
      </w:r>
    </w:p>
    <w:p w14:paraId="4DB7127F" w14:textId="77777777" w:rsidR="000B713C" w:rsidRDefault="003E2878" w:rsidP="00F46950">
      <w:pPr>
        <w:spacing w:before="60" w:after="60"/>
        <w:jc w:val="both"/>
      </w:pPr>
      <w:r>
        <w:t xml:space="preserve">Odvětvové </w:t>
      </w:r>
      <w:r w:rsidRPr="005E2CDB">
        <w:t>členění je uv</w:t>
      </w:r>
      <w:r w:rsidR="00672442" w:rsidRPr="005E2CDB">
        <w:t>edeno v příslušných tabulkách 2</w:t>
      </w:r>
      <w:r w:rsidR="005E2CDB" w:rsidRPr="005E2CDB">
        <w:t>8</w:t>
      </w:r>
      <w:r w:rsidR="00672442" w:rsidRPr="005E2CDB">
        <w:t>A a 2</w:t>
      </w:r>
      <w:r w:rsidR="005E2CDB" w:rsidRPr="005E2CDB">
        <w:t>8</w:t>
      </w:r>
      <w:r w:rsidRPr="005E2CDB">
        <w:t>B</w:t>
      </w:r>
      <w:r w:rsidR="0047726D" w:rsidRPr="005E2CDB">
        <w:t xml:space="preserve"> v </w:t>
      </w:r>
      <w:r w:rsidRPr="005E2CDB">
        <w:t>tabulkové</w:t>
      </w:r>
      <w:r>
        <w:t xml:space="preserve"> přílo</w:t>
      </w:r>
      <w:r w:rsidR="0047726D">
        <w:t>ze</w:t>
      </w:r>
      <w:r>
        <w:t>.</w:t>
      </w:r>
    </w:p>
    <w:p w14:paraId="034D61DD" w14:textId="77777777" w:rsidR="00E17EE3" w:rsidRDefault="00E17EE3" w:rsidP="00F46950">
      <w:pPr>
        <w:spacing w:before="60" w:after="60"/>
        <w:jc w:val="both"/>
      </w:pPr>
    </w:p>
    <w:p w14:paraId="4AB018F3" w14:textId="77777777" w:rsidR="00B36B2F" w:rsidRPr="0033205F" w:rsidRDefault="00B36B2F" w:rsidP="00BC2A09">
      <w:pPr>
        <w:pStyle w:val="Nadpis3"/>
        <w:pageBreakBefore/>
        <w:spacing w:before="240"/>
        <w:rPr>
          <w:rStyle w:val="st"/>
          <w:b w:val="0"/>
          <w:bCs w:val="0"/>
          <w:color w:val="auto"/>
          <w:sz w:val="20"/>
        </w:rPr>
      </w:pPr>
      <w:r>
        <w:rPr>
          <w:rStyle w:val="st"/>
        </w:rPr>
        <w:lastRenderedPageBreak/>
        <w:t>3.2</w:t>
      </w:r>
      <w:r w:rsidRPr="0033205F">
        <w:rPr>
          <w:rStyle w:val="st"/>
        </w:rPr>
        <w:t>.</w:t>
      </w:r>
      <w:r w:rsidR="00160D8D">
        <w:rPr>
          <w:rStyle w:val="st"/>
        </w:rPr>
        <w:t>5</w:t>
      </w:r>
      <w:r w:rsidRPr="0033205F">
        <w:rPr>
          <w:rStyle w:val="st"/>
        </w:rPr>
        <w:t xml:space="preserve"> </w:t>
      </w:r>
      <w:r>
        <w:rPr>
          <w:rStyle w:val="st"/>
        </w:rPr>
        <w:t>Nákl</w:t>
      </w:r>
      <w:r w:rsidR="00975F10">
        <w:rPr>
          <w:rStyle w:val="st"/>
        </w:rPr>
        <w:t>ady na inovační činnosti</w:t>
      </w:r>
    </w:p>
    <w:p w14:paraId="60BA0EED" w14:textId="77777777" w:rsidR="00795134" w:rsidRDefault="003A7FE1" w:rsidP="003A7FE1">
      <w:pPr>
        <w:spacing w:after="60"/>
        <w:jc w:val="both"/>
      </w:pPr>
      <w:r w:rsidRPr="003A7FE1">
        <w:t xml:space="preserve">Inovační výkonnost je přímo ovlivňována výší investic do </w:t>
      </w:r>
      <w:r w:rsidR="00946131">
        <w:t>t</w:t>
      </w:r>
      <w:r w:rsidR="00F71448">
        <w:t>éto oblasti. Podniky v roce 2020</w:t>
      </w:r>
      <w:r w:rsidR="00946131">
        <w:t xml:space="preserve"> investovaly do svých inovačních aktivit </w:t>
      </w:r>
      <w:r w:rsidR="00F71448">
        <w:rPr>
          <w:b/>
        </w:rPr>
        <w:t>rekordních</w:t>
      </w:r>
      <w:r w:rsidR="00946131" w:rsidRPr="00761D2F">
        <w:rPr>
          <w:b/>
        </w:rPr>
        <w:t xml:space="preserve"> </w:t>
      </w:r>
      <w:r w:rsidR="00F71448">
        <w:rPr>
          <w:b/>
        </w:rPr>
        <w:t>267</w:t>
      </w:r>
      <w:r w:rsidR="00946131" w:rsidRPr="00761D2F">
        <w:rPr>
          <w:b/>
        </w:rPr>
        <w:t xml:space="preserve"> mld. Kč</w:t>
      </w:r>
      <w:r w:rsidR="009C512D">
        <w:rPr>
          <w:b/>
        </w:rPr>
        <w:t>.</w:t>
      </w:r>
      <w:r w:rsidR="009C512D">
        <w:t xml:space="preserve"> Tyto výdaje firem na </w:t>
      </w:r>
      <w:r w:rsidR="00F71448">
        <w:t>inovační činnosti se rovnaly 3,7</w:t>
      </w:r>
      <w:r w:rsidR="009C512D">
        <w:t> % jejich tržeb – jde o tzv</w:t>
      </w:r>
      <w:r w:rsidR="00C07B44">
        <w:t>. intenzitu inovačních činností</w:t>
      </w:r>
      <w:r w:rsidR="0019689E">
        <w:t>.</w:t>
      </w:r>
    </w:p>
    <w:p w14:paraId="5CDB731C" w14:textId="0D974688" w:rsidR="00795134" w:rsidRDefault="00D25455" w:rsidP="00535D2B">
      <w:pPr>
        <w:spacing w:after="60"/>
        <w:jc w:val="both"/>
      </w:pPr>
      <w:r>
        <w:t>D</w:t>
      </w:r>
      <w:r w:rsidR="009C512D">
        <w:t xml:space="preserve">o </w:t>
      </w:r>
      <w:r w:rsidR="00946131" w:rsidRPr="003A7FE1">
        <w:t xml:space="preserve">inovačních aktivit </w:t>
      </w:r>
      <w:r w:rsidR="00946131">
        <w:t xml:space="preserve">dlouhodobě </w:t>
      </w:r>
      <w:r w:rsidR="00CB2215">
        <w:t xml:space="preserve">nejvíce </w:t>
      </w:r>
      <w:r w:rsidR="00946131" w:rsidRPr="003A7FE1">
        <w:t>investují velké firmy</w:t>
      </w:r>
      <w:r w:rsidR="00675E39">
        <w:t xml:space="preserve">. V roce 2020 </w:t>
      </w:r>
      <w:r w:rsidR="00694570">
        <w:t>se jednalo o</w:t>
      </w:r>
      <w:r w:rsidR="00675E39">
        <w:t xml:space="preserve"> 174</w:t>
      </w:r>
      <w:r w:rsidR="0019689E">
        <w:t> mld. </w:t>
      </w:r>
      <w:r w:rsidR="00946131">
        <w:t>Kč</w:t>
      </w:r>
      <w:r>
        <w:t>,</w:t>
      </w:r>
      <w:r w:rsidR="00946131">
        <w:t xml:space="preserve"> tj. téměř dvě třetiny z výše uvedených celkových výdajů na inovace pod</w:t>
      </w:r>
      <w:r w:rsidR="00675E39">
        <w:t>niků s deseti a více zaměstnanými osobami</w:t>
      </w:r>
      <w:r w:rsidR="00946131">
        <w:t xml:space="preserve">. </w:t>
      </w:r>
      <w:r w:rsidR="009C512D">
        <w:t>Pokud vztáhneme tyto investice k </w:t>
      </w:r>
      <w:r w:rsidR="00675E39">
        <w:t>celkovým tržbám, tak v roce 2020</w:t>
      </w:r>
      <w:r w:rsidR="009C512D">
        <w:t xml:space="preserve"> </w:t>
      </w:r>
      <w:r w:rsidR="009C512D" w:rsidRPr="00761D2F">
        <w:rPr>
          <w:b/>
        </w:rPr>
        <w:t>intenzita inovačních aktivit</w:t>
      </w:r>
      <w:r w:rsidR="00675E39">
        <w:t xml:space="preserve"> byla nejvyšší u středních</w:t>
      </w:r>
      <w:r w:rsidR="009C512D">
        <w:t xml:space="preserve"> firem, </w:t>
      </w:r>
      <w:r w:rsidR="00675E39">
        <w:t>které do inovací investovaly 4,1</w:t>
      </w:r>
      <w:r w:rsidR="009C512D">
        <w:t> % z jejich c</w:t>
      </w:r>
      <w:r w:rsidR="00675E39">
        <w:t>elkových tržeb v porovnání s 3,5</w:t>
      </w:r>
      <w:r w:rsidR="009C512D">
        <w:t xml:space="preserve"> % u firem velkých. Podrobnější srovnání lze </w:t>
      </w:r>
      <w:r w:rsidR="009C512D" w:rsidRPr="005E2CDB">
        <w:t xml:space="preserve">najít v tabulkách </w:t>
      </w:r>
      <w:r w:rsidR="00675E39" w:rsidRPr="005E2CDB">
        <w:t>3</w:t>
      </w:r>
      <w:r w:rsidR="005E2CDB" w:rsidRPr="005E2CDB">
        <w:t>1</w:t>
      </w:r>
      <w:r w:rsidR="00761D2F" w:rsidRPr="005E2CDB">
        <w:t>A</w:t>
      </w:r>
      <w:r w:rsidR="00675E39" w:rsidRPr="005E2CDB">
        <w:t xml:space="preserve"> a 3</w:t>
      </w:r>
      <w:r w:rsidR="005E2CDB" w:rsidRPr="005E2CDB">
        <w:t>1</w:t>
      </w:r>
      <w:r w:rsidR="00EB4211" w:rsidRPr="005E2CDB">
        <w:t>B</w:t>
      </w:r>
      <w:r w:rsidR="0019689E" w:rsidRPr="005E2CDB">
        <w:t xml:space="preserve"> v tabulkové</w:t>
      </w:r>
      <w:r w:rsidR="0019689E">
        <w:t xml:space="preserve"> příloze</w:t>
      </w:r>
      <w:r w:rsidR="009C512D">
        <w:t>.</w:t>
      </w:r>
      <w:r w:rsidR="00CB2215">
        <w:t xml:space="preserve"> </w:t>
      </w:r>
      <w:r w:rsidR="00535D2B" w:rsidRPr="00535D2B">
        <w:t xml:space="preserve">Střední podniky vynaložily na své inovace </w:t>
      </w:r>
      <w:r w:rsidR="004026BE">
        <w:t>60,4</w:t>
      </w:r>
      <w:r w:rsidR="007C69D1">
        <w:t xml:space="preserve"> </w:t>
      </w:r>
      <w:r w:rsidR="00535D2B" w:rsidRPr="00535D2B">
        <w:t>mld. Kč (</w:t>
      </w:r>
      <w:r w:rsidR="004026BE">
        <w:t xml:space="preserve">téměř </w:t>
      </w:r>
      <w:r w:rsidR="00795134">
        <w:t xml:space="preserve">čtvrtinu </w:t>
      </w:r>
      <w:r w:rsidR="004D2A08">
        <w:t>z celkov</w:t>
      </w:r>
      <w:r w:rsidR="007C69D1">
        <w:t>ých nákladů na inovační činnosti</w:t>
      </w:r>
      <w:r w:rsidR="00535D2B" w:rsidRPr="00535D2B">
        <w:t>)</w:t>
      </w:r>
      <w:r>
        <w:t xml:space="preserve"> </w:t>
      </w:r>
      <w:r w:rsidR="003D70EC">
        <w:t>a</w:t>
      </w:r>
      <w:r w:rsidR="00535D2B" w:rsidRPr="00535D2B">
        <w:t xml:space="preserve"> </w:t>
      </w:r>
      <w:r w:rsidR="003D70EC">
        <w:t>m</w:t>
      </w:r>
      <w:r w:rsidR="00535D2B" w:rsidRPr="00535D2B">
        <w:t xml:space="preserve">alé podniky </w:t>
      </w:r>
      <w:r w:rsidR="007C69D1">
        <w:t>investovaly za zavádění inovací</w:t>
      </w:r>
      <w:r w:rsidR="00795134">
        <w:t xml:space="preserve"> zbylých</w:t>
      </w:r>
      <w:r w:rsidR="007C69D1">
        <w:t xml:space="preserve"> </w:t>
      </w:r>
      <w:r w:rsidR="00970CA8">
        <w:t>32,4</w:t>
      </w:r>
      <w:r w:rsidR="00535D2B" w:rsidRPr="00535D2B">
        <w:t> mld. Kč</w:t>
      </w:r>
      <w:r w:rsidR="00795134">
        <w:t>.</w:t>
      </w:r>
      <w:r w:rsidR="00253360">
        <w:t xml:space="preserve"> </w:t>
      </w:r>
    </w:p>
    <w:p w14:paraId="69DBF148" w14:textId="77777777" w:rsidR="00535D2B" w:rsidRDefault="007C69D1" w:rsidP="00535D2B">
      <w:pPr>
        <w:spacing w:after="60"/>
        <w:jc w:val="both"/>
      </w:pPr>
      <w:r>
        <w:t>Inovující podniky pod zahraniční kontrolou</w:t>
      </w:r>
      <w:r w:rsidR="00535D2B" w:rsidRPr="00535D2B">
        <w:t xml:space="preserve"> </w:t>
      </w:r>
      <w:r>
        <w:t xml:space="preserve">vydaly na inovační činnosti </w:t>
      </w:r>
      <w:r w:rsidR="004D2A08">
        <w:t>téměř dva</w:t>
      </w:r>
      <w:r w:rsidR="00253360">
        <w:t xml:space="preserve">krát </w:t>
      </w:r>
      <w:r w:rsidR="00535D2B" w:rsidRPr="00535D2B">
        <w:t>více</w:t>
      </w:r>
      <w:r w:rsidR="00795134">
        <w:t xml:space="preserve"> </w:t>
      </w:r>
      <w:r w:rsidR="009C512D">
        <w:t>finančních</w:t>
      </w:r>
      <w:r w:rsidR="00795134">
        <w:t xml:space="preserve"> prostředků</w:t>
      </w:r>
      <w:r w:rsidR="00535D2B" w:rsidRPr="00535D2B">
        <w:t xml:space="preserve"> než </w:t>
      </w:r>
      <w:r w:rsidR="00CB2215">
        <w:t xml:space="preserve">inovující </w:t>
      </w:r>
      <w:r w:rsidR="00795134">
        <w:t xml:space="preserve">podniky </w:t>
      </w:r>
      <w:r w:rsidR="00535D2B" w:rsidRPr="00535D2B">
        <w:t>domácí.</w:t>
      </w:r>
      <w:r w:rsidR="009C512D">
        <w:t xml:space="preserve"> A i ve vztahu k jejich celkovým tržbám do inovací investují více zahraniční firmy. </w:t>
      </w:r>
    </w:p>
    <w:p w14:paraId="35C43784" w14:textId="77777777" w:rsidR="00361836" w:rsidRPr="00535D2B" w:rsidRDefault="005E2CDB" w:rsidP="001A7DC2">
      <w:pPr>
        <w:spacing w:after="120"/>
        <w:jc w:val="both"/>
      </w:pPr>
      <w:r>
        <w:rPr>
          <w:b/>
        </w:rPr>
        <w:t>Celkové i</w:t>
      </w:r>
      <w:r w:rsidR="00361836" w:rsidRPr="007D106C">
        <w:rPr>
          <w:b/>
        </w:rPr>
        <w:t>nvestice do výzkumu a výv</w:t>
      </w:r>
      <w:r w:rsidR="00922FB6" w:rsidRPr="007D106C">
        <w:rPr>
          <w:b/>
        </w:rPr>
        <w:t>oje</w:t>
      </w:r>
      <w:r w:rsidR="00922FB6">
        <w:t xml:space="preserve"> souvisejícího s </w:t>
      </w:r>
      <w:r w:rsidR="00361836">
        <w:t>inovacemi, jak prováděného uvnitř podniku</w:t>
      </w:r>
      <w:r w:rsidR="000B2909">
        <w:rPr>
          <w:rStyle w:val="Znakapoznpodarou"/>
        </w:rPr>
        <w:footnoteReference w:id="2"/>
      </w:r>
      <w:r w:rsidR="00E513B0">
        <w:t>,</w:t>
      </w:r>
      <w:r w:rsidR="00361836">
        <w:t xml:space="preserve"> tak nakoupeného od externíc</w:t>
      </w:r>
      <w:r w:rsidR="002F2AB6">
        <w:t>h dodavatelů, dosáhly v roce 2020</w:t>
      </w:r>
      <w:r w:rsidR="00361836">
        <w:t xml:space="preserve"> částky </w:t>
      </w:r>
      <w:r w:rsidR="000E1F64">
        <w:rPr>
          <w:b/>
        </w:rPr>
        <w:t>96,5</w:t>
      </w:r>
      <w:r w:rsidR="00361836" w:rsidRPr="007D106C">
        <w:rPr>
          <w:b/>
        </w:rPr>
        <w:t xml:space="preserve"> </w:t>
      </w:r>
      <w:r w:rsidR="008F414A" w:rsidRPr="007D106C">
        <w:rPr>
          <w:b/>
        </w:rPr>
        <w:t>mld. Kč</w:t>
      </w:r>
      <w:r w:rsidR="008F414A">
        <w:t>, což představuje podíl 36</w:t>
      </w:r>
      <w:r w:rsidR="00361836">
        <w:t> </w:t>
      </w:r>
      <w:r w:rsidR="00922FB6">
        <w:t>% celkových nákladů na inovační činnosti</w:t>
      </w:r>
      <w:r w:rsidR="00361836">
        <w:t xml:space="preserve">. </w:t>
      </w:r>
      <w:r w:rsidR="001B2CB1">
        <w:t>Spolu s pořízením ostatních externích znalostí</w:t>
      </w:r>
      <w:r w:rsidR="00C81E0D">
        <w:t xml:space="preserve"> tyto výdaje </w:t>
      </w:r>
      <w:r w:rsidR="000E1F64">
        <w:t>na inovační činnosti dosáhly 109</w:t>
      </w:r>
      <w:r w:rsidR="008421A4">
        <w:t> </w:t>
      </w:r>
      <w:r w:rsidR="00C81E0D">
        <w:t>mld. Kč. Jde o tzv. výdaje do znalostní b</w:t>
      </w:r>
      <w:r w:rsidR="000E1F64">
        <w:t>áze, které se tak podílely ze 41</w:t>
      </w:r>
      <w:r w:rsidR="00C81E0D">
        <w:t> % na celkových nákladech na inovační činnosti firem v České republice</w:t>
      </w:r>
      <w:r w:rsidR="00D25455">
        <w:t>.</w:t>
      </w:r>
    </w:p>
    <w:p w14:paraId="43928D0F" w14:textId="77777777" w:rsidR="009C512D" w:rsidRPr="008F3892" w:rsidRDefault="009C512D" w:rsidP="009C512D">
      <w:pPr>
        <w:spacing w:after="60"/>
        <w:ind w:left="1134" w:hanging="1134"/>
        <w:rPr>
          <w:rFonts w:cs="Arial"/>
          <w:b/>
          <w:sz w:val="18"/>
          <w:szCs w:val="20"/>
        </w:rPr>
      </w:pPr>
      <w:r w:rsidRPr="008F3892">
        <w:rPr>
          <w:rFonts w:cs="Arial"/>
          <w:b/>
          <w:sz w:val="18"/>
          <w:szCs w:val="20"/>
        </w:rPr>
        <w:t>G</w:t>
      </w:r>
      <w:r w:rsidR="00F71448">
        <w:rPr>
          <w:rFonts w:cs="Arial"/>
          <w:b/>
          <w:sz w:val="18"/>
          <w:szCs w:val="20"/>
        </w:rPr>
        <w:t>RAF 31</w:t>
      </w:r>
      <w:r w:rsidRPr="008F3892">
        <w:rPr>
          <w:rFonts w:cs="Arial"/>
          <w:b/>
          <w:sz w:val="18"/>
          <w:szCs w:val="20"/>
        </w:rPr>
        <w:t xml:space="preserve"> Náklady na inovační činnosti </w:t>
      </w:r>
      <w:r>
        <w:rPr>
          <w:rFonts w:cs="Arial"/>
          <w:b/>
          <w:sz w:val="18"/>
          <w:szCs w:val="20"/>
        </w:rPr>
        <w:t>v</w:t>
      </w:r>
      <w:r w:rsidR="00084837">
        <w:rPr>
          <w:rFonts w:cs="Arial"/>
          <w:b/>
          <w:sz w:val="18"/>
          <w:szCs w:val="20"/>
        </w:rPr>
        <w:t>e</w:t>
      </w:r>
      <w:r>
        <w:rPr>
          <w:rFonts w:cs="Arial"/>
          <w:b/>
          <w:sz w:val="18"/>
          <w:szCs w:val="20"/>
        </w:rPr>
        <w:t> sledovaných skupinách podniků (</w:t>
      </w:r>
      <w:r w:rsidRPr="008F3892">
        <w:rPr>
          <w:rFonts w:cs="Arial"/>
          <w:b/>
          <w:sz w:val="18"/>
          <w:szCs w:val="20"/>
        </w:rPr>
        <w:t>mld. Kč</w:t>
      </w:r>
      <w:r>
        <w:rPr>
          <w:rFonts w:cs="Arial"/>
          <w:b/>
          <w:sz w:val="18"/>
          <w:szCs w:val="20"/>
        </w:rPr>
        <w:t>)</w:t>
      </w:r>
      <w:r w:rsidR="00F71448">
        <w:rPr>
          <w:rFonts w:cs="Arial"/>
          <w:b/>
          <w:sz w:val="18"/>
          <w:szCs w:val="20"/>
        </w:rPr>
        <w:t>; 2020</w:t>
      </w:r>
    </w:p>
    <w:p w14:paraId="683A4493" w14:textId="77777777" w:rsidR="009C512D" w:rsidRPr="00991AFC" w:rsidRDefault="00B076B6" w:rsidP="009C512D">
      <w:pPr>
        <w:ind w:left="851" w:hanging="851"/>
        <w:rPr>
          <w:rFonts w:ascii="Calibri" w:hAnsi="Calibri"/>
          <w:b/>
          <w:sz w:val="18"/>
        </w:rPr>
      </w:pPr>
      <w:r>
        <w:rPr>
          <w:noProof/>
        </w:rPr>
        <w:drawing>
          <wp:inline distT="0" distB="0" distL="0" distR="0" wp14:anchorId="4B4F7B48" wp14:editId="43395372">
            <wp:extent cx="6120000" cy="2700000"/>
            <wp:effectExtent l="0" t="0" r="14605" b="5715"/>
            <wp:docPr id="7" name="Graf 7">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E65AA39" w14:textId="77777777" w:rsidR="00A84596" w:rsidRDefault="00A84596" w:rsidP="00A84596">
      <w:pPr>
        <w:spacing w:before="60" w:after="60"/>
        <w:jc w:val="right"/>
      </w:pPr>
      <w:r w:rsidRPr="00B2746E">
        <w:rPr>
          <w:i/>
          <w:sz w:val="18"/>
        </w:rPr>
        <w:t>Zdroj: ČSÚ, Šetření o inovačních aktivitách podniků</w:t>
      </w:r>
    </w:p>
    <w:p w14:paraId="3D4018FC" w14:textId="77777777" w:rsidR="00535D2B" w:rsidRDefault="00F372F9" w:rsidP="0031447E">
      <w:pPr>
        <w:spacing w:before="120" w:after="60"/>
        <w:jc w:val="both"/>
      </w:pPr>
      <w:r>
        <w:t xml:space="preserve">Převážná část nákladů na inovační činnosti byla </w:t>
      </w:r>
      <w:r w:rsidR="00535D2B" w:rsidRPr="003951A0">
        <w:t>vynaložena podniky v</w:t>
      </w:r>
      <w:r w:rsidR="003A51EA">
        <w:t> průmyslových odvětvích</w:t>
      </w:r>
      <w:r>
        <w:t xml:space="preserve">, nejvíce ve </w:t>
      </w:r>
      <w:r w:rsidRPr="00CA30E3">
        <w:rPr>
          <w:b/>
        </w:rPr>
        <w:t>zpracovatelském průmyslu</w:t>
      </w:r>
      <w:r>
        <w:t xml:space="preserve">, kde </w:t>
      </w:r>
      <w:r w:rsidR="00535D2B" w:rsidRPr="003951A0">
        <w:t xml:space="preserve">dosáhly </w:t>
      </w:r>
      <w:r w:rsidR="003A51EA">
        <w:t>náklady</w:t>
      </w:r>
      <w:r>
        <w:t xml:space="preserve"> na </w:t>
      </w:r>
      <w:r w:rsidR="00281CA1">
        <w:t>inovace</w:t>
      </w:r>
      <w:r>
        <w:t xml:space="preserve"> výše</w:t>
      </w:r>
      <w:r w:rsidR="003A51EA">
        <w:t xml:space="preserve"> </w:t>
      </w:r>
      <w:r w:rsidR="00317F87">
        <w:rPr>
          <w:b/>
        </w:rPr>
        <w:t>168</w:t>
      </w:r>
      <w:r w:rsidR="003A51EA" w:rsidRPr="00CA30E3">
        <w:rPr>
          <w:b/>
        </w:rPr>
        <w:t xml:space="preserve"> mld. Kč</w:t>
      </w:r>
      <w:r w:rsidR="003A51EA">
        <w:t xml:space="preserve">, což odpovídá </w:t>
      </w:r>
      <w:r w:rsidR="00281CA1">
        <w:t xml:space="preserve">podílu </w:t>
      </w:r>
      <w:r w:rsidR="00317F87">
        <w:t>63</w:t>
      </w:r>
      <w:r w:rsidR="00281CA1" w:rsidRPr="00AA4641">
        <w:t> </w:t>
      </w:r>
      <w:r w:rsidR="00535D2B" w:rsidRPr="00AA4641">
        <w:t>%</w:t>
      </w:r>
      <w:r w:rsidR="00535D2B" w:rsidRPr="003951A0">
        <w:t xml:space="preserve"> </w:t>
      </w:r>
      <w:r>
        <w:t>nákladů na inovační činnosti</w:t>
      </w:r>
      <w:r w:rsidR="00E72E6D">
        <w:t xml:space="preserve"> ve všech podnicích</w:t>
      </w:r>
      <w:r>
        <w:t>.</w:t>
      </w:r>
      <w:r w:rsidR="00535D2B" w:rsidRPr="003951A0">
        <w:t xml:space="preserve"> </w:t>
      </w:r>
      <w:r w:rsidR="00E31E16">
        <w:t xml:space="preserve">Investice do vnitropodnikového </w:t>
      </w:r>
      <w:proofErr w:type="spellStart"/>
      <w:r w:rsidR="00E31E16">
        <w:t>VaV</w:t>
      </w:r>
      <w:proofErr w:type="spellEnd"/>
      <w:r w:rsidR="00E31E16">
        <w:t xml:space="preserve"> a nákupu služeb </w:t>
      </w:r>
      <w:proofErr w:type="spellStart"/>
      <w:r w:rsidR="00E31E16">
        <w:t>VaV</w:t>
      </w:r>
      <w:proofErr w:type="spellEnd"/>
      <w:r w:rsidR="00E31E16">
        <w:t xml:space="preserve"> v</w:t>
      </w:r>
      <w:r w:rsidR="00281CA1">
        <w:t>e zpracovatelském</w:t>
      </w:r>
      <w:r w:rsidR="00E31E16">
        <w:t xml:space="preserve"> průmyslu dosáhly </w:t>
      </w:r>
      <w:r w:rsidR="00317F87">
        <w:t>34</w:t>
      </w:r>
      <w:r w:rsidR="003E2E12">
        <w:t> </w:t>
      </w:r>
      <w:r w:rsidR="00E31E16">
        <w:t>mld. Kč.</w:t>
      </w:r>
    </w:p>
    <w:p w14:paraId="5F0B51F0" w14:textId="086B7822" w:rsidR="00E81251" w:rsidRDefault="003E2E12" w:rsidP="00EB4211">
      <w:pPr>
        <w:spacing w:before="60" w:after="60"/>
        <w:jc w:val="both"/>
      </w:pPr>
      <w:r>
        <w:t>V odvět</w:t>
      </w:r>
      <w:r w:rsidR="00281CA1">
        <w:t xml:space="preserve">ví </w:t>
      </w:r>
      <w:r w:rsidR="00281CA1" w:rsidRPr="0031447E">
        <w:rPr>
          <w:b/>
        </w:rPr>
        <w:t>služeb</w:t>
      </w:r>
      <w:r w:rsidR="00281CA1">
        <w:t xml:space="preserve"> investovaly podniky do</w:t>
      </w:r>
      <w:r w:rsidR="00346958">
        <w:t xml:space="preserve"> zavádění inovací 92,6 mld. Kč, což odpovídá 34,7</w:t>
      </w:r>
      <w:r w:rsidR="00D11CDE">
        <w:t> </w:t>
      </w:r>
      <w:r>
        <w:t>% celk</w:t>
      </w:r>
      <w:r w:rsidR="00544F4C">
        <w:t xml:space="preserve">ových nákladů na </w:t>
      </w:r>
      <w:r>
        <w:t>inovace</w:t>
      </w:r>
      <w:r w:rsidR="00963A74">
        <w:t xml:space="preserve"> ve všech podnicích</w:t>
      </w:r>
      <w:r>
        <w:t>.</w:t>
      </w:r>
      <w:r w:rsidR="00346958">
        <w:t xml:space="preserve"> </w:t>
      </w:r>
      <w:r w:rsidR="007002D9">
        <w:t xml:space="preserve">Nejvíce do inovací investovaly podniky </w:t>
      </w:r>
      <w:r w:rsidR="007002D9" w:rsidRPr="007002D9">
        <w:t>v sekci informačních a komunikačních činností</w:t>
      </w:r>
      <w:r w:rsidR="007002D9">
        <w:t xml:space="preserve"> (35,4 mld. Kč).</w:t>
      </w:r>
      <w:r w:rsidR="003628BE">
        <w:t xml:space="preserve"> V poměru k tržbám vynaložily na inovace 9,9 % svých tržeb. Ještě vyšší podíl byl zjištěn u inovujících podniků</w:t>
      </w:r>
      <w:r w:rsidR="003628BE" w:rsidRPr="003628BE">
        <w:t xml:space="preserve"> s převažující ekonomickou činností v oblasti poskytování vědeckých a technických činnosti (12,9 %). V tomto případě však jde často o specifické subjekty, které logicky, v rámci své ekonomické činnosti, investují značné prostředky do výzkumu a vývoje.</w:t>
      </w:r>
      <w:r w:rsidR="003628BE">
        <w:t xml:space="preserve"> Podniky v odvětví služeb </w:t>
      </w:r>
      <w:r w:rsidR="003628BE">
        <w:lastRenderedPageBreak/>
        <w:t xml:space="preserve">utratily na </w:t>
      </w:r>
      <w:r w:rsidR="003628BE" w:rsidRPr="003628BE">
        <w:t xml:space="preserve">vnitropodnikový </w:t>
      </w:r>
      <w:proofErr w:type="spellStart"/>
      <w:r w:rsidR="003628BE" w:rsidRPr="003628BE">
        <w:t>VaV</w:t>
      </w:r>
      <w:proofErr w:type="spellEnd"/>
      <w:r w:rsidR="003628BE" w:rsidRPr="003628BE">
        <w:t xml:space="preserve"> a nákup služeb </w:t>
      </w:r>
      <w:proofErr w:type="spellStart"/>
      <w:r w:rsidR="003628BE" w:rsidRPr="003628BE">
        <w:t>VaV</w:t>
      </w:r>
      <w:proofErr w:type="spellEnd"/>
      <w:r w:rsidR="003628BE">
        <w:t xml:space="preserve"> </w:t>
      </w:r>
      <w:r w:rsidR="00346958">
        <w:t>37,9</w:t>
      </w:r>
      <w:r w:rsidR="007762B1">
        <w:t> </w:t>
      </w:r>
      <w:r w:rsidR="00675FEA">
        <w:t>mld.</w:t>
      </w:r>
      <w:r w:rsidR="007762B1">
        <w:t> </w:t>
      </w:r>
      <w:r w:rsidR="00675FEA">
        <w:t>Kč</w:t>
      </w:r>
      <w:r w:rsidR="003628BE">
        <w:t>. T</w:t>
      </w:r>
      <w:r w:rsidR="00D54225">
        <w:t xml:space="preserve">éměř </w:t>
      </w:r>
      <w:r w:rsidR="00544F4C">
        <w:t>polovin</w:t>
      </w:r>
      <w:r w:rsidR="003628BE">
        <w:t xml:space="preserve">u (17 mld. Kč) pak utratily </w:t>
      </w:r>
      <w:r w:rsidR="00675FEA">
        <w:t xml:space="preserve">podniky v sekci informačních a komunikačních činností. </w:t>
      </w:r>
      <w:r w:rsidR="00E81251" w:rsidRPr="00E81251">
        <w:t>Blíže viz tabulka 31A v tabulkové příloze.</w:t>
      </w:r>
    </w:p>
    <w:p w14:paraId="50534E96" w14:textId="77777777" w:rsidR="00C73568" w:rsidRDefault="00433C4C" w:rsidP="00EB4211">
      <w:pPr>
        <w:spacing w:before="60" w:after="60"/>
        <w:jc w:val="both"/>
      </w:pPr>
      <w:r w:rsidRPr="00262367">
        <w:t xml:space="preserve">Ve </w:t>
      </w:r>
      <w:r w:rsidRPr="00C73568">
        <w:rPr>
          <w:b/>
        </w:rPr>
        <w:t>zpracovatelském průmyslu</w:t>
      </w:r>
      <w:r>
        <w:t xml:space="preserve"> </w:t>
      </w:r>
      <w:r w:rsidR="0091164E">
        <w:t xml:space="preserve">investovaly </w:t>
      </w:r>
      <w:r>
        <w:t>nejvíce do zavádění inovovaných produktů a podnikových procesů podniky v automobil</w:t>
      </w:r>
      <w:r w:rsidR="00957F5C">
        <w:t>ovém průmyslu, které v roce 2020 vynaložily částku 69</w:t>
      </w:r>
      <w:r w:rsidR="007762B1">
        <w:t> </w:t>
      </w:r>
      <w:r>
        <w:t>mld.</w:t>
      </w:r>
      <w:r w:rsidR="007762B1">
        <w:t> </w:t>
      </w:r>
      <w:r>
        <w:t xml:space="preserve">Kč, což odpovídá </w:t>
      </w:r>
      <w:r w:rsidR="00957F5C">
        <w:t>41% podílu</w:t>
      </w:r>
      <w:r w:rsidR="00C81E0D">
        <w:t xml:space="preserve"> z </w:t>
      </w:r>
      <w:r>
        <w:t xml:space="preserve">celkových nákladů na inovační činnosti </w:t>
      </w:r>
      <w:r w:rsidR="00C81E0D">
        <w:t xml:space="preserve">vynaložených podniky </w:t>
      </w:r>
      <w:r>
        <w:t>ve zpracovatelském průmyslu.</w:t>
      </w:r>
      <w:r w:rsidR="00C73568">
        <w:t xml:space="preserve"> Oproti roku 2018 </w:t>
      </w:r>
      <w:r w:rsidR="00957F5C">
        <w:t xml:space="preserve">náklady na inovační činnosti v automobilovém průmyslu narostly téměř trojnásobně. Vysoké investice v automobilovém průmyslu v roce 2020 </w:t>
      </w:r>
      <w:r w:rsidR="0091164E">
        <w:t xml:space="preserve">pravděpodobně </w:t>
      </w:r>
      <w:r w:rsidR="00957F5C">
        <w:t xml:space="preserve">souvisí se zaváděním </w:t>
      </w:r>
      <w:proofErr w:type="spellStart"/>
      <w:r w:rsidR="00957F5C">
        <w:t>elekromobility</w:t>
      </w:r>
      <w:proofErr w:type="spellEnd"/>
      <w:r w:rsidR="004B0EC2">
        <w:t xml:space="preserve">. </w:t>
      </w:r>
      <w:r>
        <w:t xml:space="preserve">V případě výdajů na vnitropodnikový </w:t>
      </w:r>
      <w:proofErr w:type="spellStart"/>
      <w:r>
        <w:t>VaV</w:t>
      </w:r>
      <w:proofErr w:type="spellEnd"/>
      <w:r>
        <w:t xml:space="preserve"> a nákup služeb </w:t>
      </w:r>
      <w:proofErr w:type="spellStart"/>
      <w:r>
        <w:t>VaV</w:t>
      </w:r>
      <w:proofErr w:type="spellEnd"/>
      <w:r>
        <w:t xml:space="preserve"> </w:t>
      </w:r>
      <w:r w:rsidR="00957F5C">
        <w:t xml:space="preserve">vydaly firmy v automobilovém průmyslu </w:t>
      </w:r>
      <w:r w:rsidR="003E223D">
        <w:t xml:space="preserve">46 % z celkových </w:t>
      </w:r>
      <w:r>
        <w:t xml:space="preserve">nákladů na tyto činnosti ve zpracovatelském průmyslu. </w:t>
      </w:r>
    </w:p>
    <w:p w14:paraId="26FAA7A3" w14:textId="77777777" w:rsidR="00535D2B" w:rsidRDefault="004C3C3D" w:rsidP="00EB4211">
      <w:pPr>
        <w:spacing w:before="60" w:after="60"/>
        <w:jc w:val="both"/>
      </w:pPr>
      <w:r>
        <w:t xml:space="preserve">Ve vztahu k celkovým tržbám investovaly v rámci odvětví zpracovatelského průmyslu do inovací nejvíce podniky </w:t>
      </w:r>
      <w:r w:rsidRPr="004C3C3D">
        <w:t>ve výrobě ostatních dopravních prostředků a zařízení</w:t>
      </w:r>
      <w:r w:rsidR="004B0EC2">
        <w:t xml:space="preserve"> (9,6 %), nejméně pak v elektronickém průmyslu (1,6 %).</w:t>
      </w:r>
      <w:r>
        <w:t xml:space="preserve"> </w:t>
      </w:r>
    </w:p>
    <w:p w14:paraId="78FDD534" w14:textId="70531914" w:rsidR="00317733" w:rsidRPr="000F5AB2" w:rsidRDefault="002D2224" w:rsidP="000F5AB2">
      <w:pPr>
        <w:spacing w:before="60" w:after="120"/>
        <w:jc w:val="both"/>
      </w:pPr>
      <w:r>
        <w:t>V ostatních odvětvích zpracovatelského průmyslu již výše nákladů na inovační činnosti nepřesáhla v roce 2020 hranici 20 mld. Kč.</w:t>
      </w:r>
      <w:r w:rsidR="00697495">
        <w:t xml:space="preserve"> Více než 10 mld. Kč</w:t>
      </w:r>
      <w:r w:rsidR="00357803">
        <w:t xml:space="preserve"> pak</w:t>
      </w:r>
      <w:r w:rsidR="00697495">
        <w:t xml:space="preserve"> investovali do </w:t>
      </w:r>
      <w:r w:rsidR="007E5C13">
        <w:t xml:space="preserve">inovací </w:t>
      </w:r>
      <w:r w:rsidR="00697495">
        <w:t xml:space="preserve">firmy v hutnickém, elektrotechnickém a strojírenském průmyslu. </w:t>
      </w:r>
      <w:r w:rsidR="00646D63">
        <w:t>V rámci celkových nákladů na inovační činnosti měly nejvyšší podíl výzkumu a vývoje</w:t>
      </w:r>
      <w:r w:rsidR="005E3B1A">
        <w:t xml:space="preserve"> (vlastního a nakoupeného)</w:t>
      </w:r>
      <w:r w:rsidR="00646D63">
        <w:t xml:space="preserve"> firmy v</w:t>
      </w:r>
      <w:r w:rsidR="000F5AB2">
        <w:t xml:space="preserve"> elektronickém průmyslu (71 %) a v </w:t>
      </w:r>
      <w:r w:rsidR="00646D63">
        <w:t>odvětví výroby</w:t>
      </w:r>
      <w:r w:rsidR="00646D63" w:rsidRPr="004C3C3D">
        <w:t xml:space="preserve"> ostatních dopravních prostředků a zařízení</w:t>
      </w:r>
      <w:r w:rsidR="00646D63">
        <w:t xml:space="preserve"> (63 </w:t>
      </w:r>
      <w:r w:rsidR="005E3B1A">
        <w:t>%), kam se řadí i technologicky náročná výroba letadel.</w:t>
      </w:r>
      <w:r w:rsidR="00646D63">
        <w:t xml:space="preserve"> </w:t>
      </w:r>
      <w:r w:rsidR="000F5AB2">
        <w:t>Blíže viz následující graf.</w:t>
      </w:r>
    </w:p>
    <w:p w14:paraId="3CE9268C" w14:textId="77777777" w:rsidR="00535D2B" w:rsidRPr="00BE2FB5" w:rsidRDefault="00535D2B" w:rsidP="003951A0">
      <w:pPr>
        <w:spacing w:after="60"/>
        <w:rPr>
          <w:rFonts w:cs="Arial"/>
          <w:b/>
          <w:sz w:val="18"/>
          <w:szCs w:val="20"/>
        </w:rPr>
      </w:pPr>
      <w:r w:rsidRPr="00BE2FB5">
        <w:rPr>
          <w:rFonts w:cs="Arial"/>
          <w:b/>
          <w:sz w:val="18"/>
          <w:szCs w:val="20"/>
        </w:rPr>
        <w:t>G</w:t>
      </w:r>
      <w:r w:rsidR="00EA04B6">
        <w:rPr>
          <w:rFonts w:cs="Arial"/>
          <w:b/>
          <w:sz w:val="18"/>
          <w:szCs w:val="20"/>
        </w:rPr>
        <w:t>RA</w:t>
      </w:r>
      <w:r w:rsidR="00933E6E">
        <w:rPr>
          <w:rFonts w:cs="Arial"/>
          <w:b/>
          <w:sz w:val="18"/>
          <w:szCs w:val="20"/>
        </w:rPr>
        <w:t>F 3</w:t>
      </w:r>
      <w:r w:rsidR="0053193F">
        <w:rPr>
          <w:rFonts w:cs="Arial"/>
          <w:b/>
          <w:sz w:val="18"/>
          <w:szCs w:val="20"/>
        </w:rPr>
        <w:t>2</w:t>
      </w:r>
      <w:r w:rsidR="00BE2FB5" w:rsidRPr="00BE2FB5">
        <w:rPr>
          <w:rFonts w:cs="Arial"/>
          <w:b/>
          <w:sz w:val="18"/>
          <w:szCs w:val="20"/>
        </w:rPr>
        <w:t xml:space="preserve"> Náklady na inovační činnosti</w:t>
      </w:r>
      <w:r w:rsidR="001F2E21" w:rsidRPr="00BE2FB5">
        <w:rPr>
          <w:rFonts w:cs="Arial"/>
          <w:b/>
          <w:sz w:val="18"/>
          <w:szCs w:val="20"/>
        </w:rPr>
        <w:t xml:space="preserve"> ve</w:t>
      </w:r>
      <w:r w:rsidR="00433C4C">
        <w:rPr>
          <w:rFonts w:cs="Arial"/>
          <w:b/>
          <w:sz w:val="18"/>
          <w:szCs w:val="20"/>
        </w:rPr>
        <w:t xml:space="preserve"> zpracovatelském průmyslu</w:t>
      </w:r>
      <w:r w:rsidR="00BA5C78" w:rsidRPr="00BE2FB5">
        <w:rPr>
          <w:rFonts w:cs="Arial"/>
          <w:b/>
          <w:sz w:val="18"/>
          <w:szCs w:val="20"/>
        </w:rPr>
        <w:t xml:space="preserve"> </w:t>
      </w:r>
      <w:r w:rsidR="00EA04B6">
        <w:rPr>
          <w:rFonts w:cs="Arial"/>
          <w:b/>
          <w:sz w:val="18"/>
          <w:szCs w:val="20"/>
        </w:rPr>
        <w:t>(</w:t>
      </w:r>
      <w:r w:rsidR="00BA5C78" w:rsidRPr="00BE2FB5">
        <w:rPr>
          <w:rFonts w:cs="Arial"/>
          <w:b/>
          <w:sz w:val="18"/>
          <w:szCs w:val="20"/>
        </w:rPr>
        <w:t>mld. Kč</w:t>
      </w:r>
      <w:r w:rsidR="00EA04B6">
        <w:rPr>
          <w:rFonts w:cs="Arial"/>
          <w:b/>
          <w:sz w:val="18"/>
          <w:szCs w:val="20"/>
        </w:rPr>
        <w:t>)</w:t>
      </w:r>
      <w:r w:rsidR="00933E6E">
        <w:rPr>
          <w:rFonts w:cs="Arial"/>
          <w:b/>
          <w:sz w:val="18"/>
          <w:szCs w:val="20"/>
        </w:rPr>
        <w:t>; 2020</w:t>
      </w:r>
    </w:p>
    <w:p w14:paraId="5778B009" w14:textId="77777777" w:rsidR="00535D2B" w:rsidRDefault="00DF7F7E" w:rsidP="00535D2B">
      <w:pPr>
        <w:rPr>
          <w:rFonts w:ascii="Calibri" w:hAnsi="Calibri"/>
        </w:rPr>
      </w:pPr>
      <w:r>
        <w:rPr>
          <w:noProof/>
        </w:rPr>
        <w:drawing>
          <wp:inline distT="0" distB="0" distL="0" distR="0" wp14:anchorId="09431189" wp14:editId="6D04756E">
            <wp:extent cx="6120000" cy="4320000"/>
            <wp:effectExtent l="0" t="0" r="14605" b="4445"/>
            <wp:docPr id="21" name="Graf 21">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C0627AE" w14:textId="77777777" w:rsidR="000453BB" w:rsidRDefault="000453BB" w:rsidP="000453BB">
      <w:pPr>
        <w:spacing w:before="60" w:after="60"/>
        <w:jc w:val="right"/>
      </w:pPr>
      <w:r w:rsidRPr="00B2746E">
        <w:rPr>
          <w:i/>
          <w:sz w:val="18"/>
        </w:rPr>
        <w:t>Zdroj: ČSÚ, Šetření o inovačních aktivitách podniků</w:t>
      </w:r>
    </w:p>
    <w:p w14:paraId="232D12F5" w14:textId="77777777" w:rsidR="0053193F" w:rsidRDefault="0053193F" w:rsidP="0053193F">
      <w:pPr>
        <w:spacing w:before="120" w:after="60"/>
        <w:jc w:val="both"/>
      </w:pPr>
      <w:r w:rsidRPr="003A7FE1">
        <w:t xml:space="preserve">Ve struktuře nákladů na inovace hrají dlouhodobě nejvýznamnější úlohu investice do </w:t>
      </w:r>
      <w:r w:rsidRPr="007B550E">
        <w:rPr>
          <w:b/>
        </w:rPr>
        <w:t xml:space="preserve">pořízení </w:t>
      </w:r>
      <w:r>
        <w:rPr>
          <w:b/>
        </w:rPr>
        <w:t xml:space="preserve">budov, </w:t>
      </w:r>
      <w:r w:rsidRPr="007B550E">
        <w:rPr>
          <w:b/>
        </w:rPr>
        <w:t xml:space="preserve">strojů, zařízení </w:t>
      </w:r>
      <w:r>
        <w:rPr>
          <w:b/>
        </w:rPr>
        <w:t>či</w:t>
      </w:r>
      <w:r w:rsidRPr="007B550E">
        <w:rPr>
          <w:b/>
        </w:rPr>
        <w:t xml:space="preserve"> softwaru</w:t>
      </w:r>
      <w:r w:rsidRPr="003A7FE1">
        <w:t xml:space="preserve">, které </w:t>
      </w:r>
      <w:r>
        <w:t xml:space="preserve">v roce 2020 </w:t>
      </w:r>
      <w:r w:rsidRPr="003A7FE1">
        <w:t>tvoř</w:t>
      </w:r>
      <w:r>
        <w:t>ily</w:t>
      </w:r>
      <w:r w:rsidRPr="003A7FE1">
        <w:t xml:space="preserve"> přes polovinu celkových nákladů na inovace. To do značné míry naznačuje adaptabilní charakter inovací, kdy podniky v</w:t>
      </w:r>
      <w:r>
        <w:t> </w:t>
      </w:r>
      <w:r w:rsidRPr="003A7FE1">
        <w:t>Č</w:t>
      </w:r>
      <w:r>
        <w:t xml:space="preserve">esku </w:t>
      </w:r>
      <w:r w:rsidRPr="003A7FE1">
        <w:t xml:space="preserve">spíše přejímají vyspělé technologie a výrobní procesy a zavádějí je ve svých výrobách. </w:t>
      </w:r>
    </w:p>
    <w:p w14:paraId="133D0531" w14:textId="77777777" w:rsidR="0053193F" w:rsidRDefault="0053193F" w:rsidP="0053193F">
      <w:pPr>
        <w:spacing w:before="60" w:after="60"/>
        <w:jc w:val="both"/>
      </w:pPr>
      <w:r w:rsidRPr="001A7DC2">
        <w:lastRenderedPageBreak/>
        <w:t xml:space="preserve">Druhou nejvýznamnější nákladovou položkou jsou výdaje na </w:t>
      </w:r>
      <w:r>
        <w:rPr>
          <w:b/>
        </w:rPr>
        <w:t>výzkum a vývoj prováděný uvnitř podniku</w:t>
      </w:r>
      <w:r>
        <w:t xml:space="preserve">. Na vlastní </w:t>
      </w:r>
      <w:proofErr w:type="spellStart"/>
      <w:r>
        <w:t>VaV</w:t>
      </w:r>
      <w:proofErr w:type="spellEnd"/>
      <w:r>
        <w:t xml:space="preserve"> </w:t>
      </w:r>
      <w:r w:rsidRPr="001A7DC2">
        <w:t>vynaložily</w:t>
      </w:r>
      <w:r>
        <w:t xml:space="preserve"> v roce 2020 inovující firmy 68,4 mld. Kč, tj. čtvrtinu z jejich celkových nákladů na inovační aktivity. Výzkum a vývoj provádělo 46 % inovačních podniků s tím, že cca polovina (54,1 %) se mu v období 2018 až 2020 věnovala soustavně zbytek příležitostně. Inovující podniky vynaložily dalších 28 </w:t>
      </w:r>
      <w:r w:rsidR="00656E76">
        <w:t>mld. </w:t>
      </w:r>
      <w:r>
        <w:t>Kč na nákup služeb výzkumu a vývoje provedeného pro ně na zakázku jinými subjekty. Většina těchto nákladů (24,6 mld. Kč) šla na vrub firem pod zahraniční kontrolou.</w:t>
      </w:r>
    </w:p>
    <w:p w14:paraId="26FCE785" w14:textId="77777777" w:rsidR="0053193F" w:rsidRPr="00317733" w:rsidRDefault="0053193F" w:rsidP="0053193F">
      <w:pPr>
        <w:spacing w:before="60" w:after="60"/>
        <w:jc w:val="both"/>
      </w:pPr>
      <w:r>
        <w:t xml:space="preserve">V roce 2020 vložily inovující firmy 12,6 mld. Kč i do nákupu dalších </w:t>
      </w:r>
      <w:r w:rsidRPr="00FF3F47">
        <w:rPr>
          <w:b/>
        </w:rPr>
        <w:t>externích znalostí</w:t>
      </w:r>
      <w:r>
        <w:t xml:space="preserve"> pro jejich inovační činnosti. Jde především o náklady </w:t>
      </w:r>
      <w:r w:rsidRPr="00082931">
        <w:t>na předměty duševního vlastnictví zahrnující zaplacené licenční poplatky či nákup know-how, patentů, průmyslových vzorů</w:t>
      </w:r>
      <w:r>
        <w:t xml:space="preserve"> či </w:t>
      </w:r>
      <w:r w:rsidRPr="00082931">
        <w:t>ochranných známek</w:t>
      </w:r>
      <w:r>
        <w:t xml:space="preserve"> pro potřeby zavedení jejich inovací. </w:t>
      </w:r>
    </w:p>
    <w:p w14:paraId="4F4A8E11" w14:textId="77777777" w:rsidR="0053193F" w:rsidRDefault="0053193F" w:rsidP="0053193F">
      <w:pPr>
        <w:spacing w:before="120" w:after="60"/>
        <w:rPr>
          <w:rFonts w:cs="Arial"/>
          <w:b/>
          <w:sz w:val="18"/>
          <w:szCs w:val="20"/>
        </w:rPr>
      </w:pPr>
      <w:r w:rsidRPr="00B719B0">
        <w:rPr>
          <w:rFonts w:cs="Arial"/>
          <w:b/>
          <w:sz w:val="18"/>
          <w:szCs w:val="20"/>
        </w:rPr>
        <w:t>G</w:t>
      </w:r>
      <w:r>
        <w:rPr>
          <w:rFonts w:cs="Arial"/>
          <w:b/>
          <w:sz w:val="18"/>
          <w:szCs w:val="20"/>
        </w:rPr>
        <w:t>RAF 33 Struktura nákladů na inovační činnosti</w:t>
      </w:r>
      <w:r w:rsidRPr="00B719B0">
        <w:rPr>
          <w:rFonts w:cs="Arial"/>
          <w:b/>
          <w:sz w:val="18"/>
          <w:szCs w:val="20"/>
        </w:rPr>
        <w:t xml:space="preserve"> </w:t>
      </w:r>
      <w:r>
        <w:rPr>
          <w:rFonts w:cs="Arial"/>
          <w:b/>
          <w:sz w:val="18"/>
          <w:szCs w:val="20"/>
        </w:rPr>
        <w:t>ve sledovaných skupinách podniků (v %); 2020</w:t>
      </w:r>
    </w:p>
    <w:p w14:paraId="7A38F737" w14:textId="77777777" w:rsidR="0053193F" w:rsidRPr="00B719B0" w:rsidRDefault="0053193F" w:rsidP="0053193F">
      <w:pPr>
        <w:spacing w:after="60"/>
        <w:rPr>
          <w:rFonts w:cs="Arial"/>
          <w:b/>
          <w:sz w:val="18"/>
          <w:szCs w:val="20"/>
        </w:rPr>
      </w:pPr>
      <w:r>
        <w:rPr>
          <w:noProof/>
        </w:rPr>
        <w:drawing>
          <wp:inline distT="0" distB="0" distL="0" distR="0" wp14:anchorId="5F19F3CC" wp14:editId="01AAB640">
            <wp:extent cx="6120000" cy="2700000"/>
            <wp:effectExtent l="0" t="0" r="14605" b="5715"/>
            <wp:docPr id="6" name="Graf 6">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670FF66" w14:textId="77777777" w:rsidR="0053193F" w:rsidRDefault="0053193F" w:rsidP="0053193F">
      <w:pPr>
        <w:spacing w:before="60" w:after="60"/>
        <w:jc w:val="right"/>
      </w:pPr>
      <w:r w:rsidRPr="00B2746E">
        <w:rPr>
          <w:i/>
          <w:sz w:val="18"/>
        </w:rPr>
        <w:t>Zdroj: ČSÚ, Šetření o inovačních aktivitách podniků</w:t>
      </w:r>
    </w:p>
    <w:p w14:paraId="6802E729" w14:textId="77777777" w:rsidR="00736A2D" w:rsidRDefault="004A43A4" w:rsidP="0033151A">
      <w:pPr>
        <w:spacing w:before="120" w:after="60"/>
        <w:jc w:val="both"/>
      </w:pPr>
      <w:r w:rsidRPr="009B23B3">
        <w:t xml:space="preserve">Firmy </w:t>
      </w:r>
      <w:r w:rsidR="00DC14C1">
        <w:t xml:space="preserve">byly </w:t>
      </w:r>
      <w:r w:rsidRPr="009B23B3">
        <w:t>také dotazovány, na jaké technologické úrovni pořídily své stroje, zařízení a software.</w:t>
      </w:r>
      <w:r w:rsidR="0033151A">
        <w:t xml:space="preserve"> </w:t>
      </w:r>
      <w:r w:rsidR="0033151A" w:rsidRPr="0033151A">
        <w:t xml:space="preserve">Podnik </w:t>
      </w:r>
      <w:r w:rsidR="0033151A">
        <w:t>tak mohl pořídit</w:t>
      </w:r>
      <w:r w:rsidR="0033151A" w:rsidRPr="0033151A">
        <w:t xml:space="preserve"> stejnou nebo zlepšenou technologii již dříve používanou v</w:t>
      </w:r>
      <w:r w:rsidR="0033151A">
        <w:t> </w:t>
      </w:r>
      <w:r w:rsidR="0033151A" w:rsidRPr="0033151A">
        <w:t>podniku</w:t>
      </w:r>
      <w:r w:rsidR="0033151A">
        <w:t xml:space="preserve"> nebo zcela novou technologii zatím v podniku nepoužívanou. Stroje, zařízení a software na stejné technologické úrovní pořídila v období 2018–2020 téměř polovina podniků, konkrétně </w:t>
      </w:r>
      <w:r w:rsidR="009B23B3">
        <w:t>48,9 %</w:t>
      </w:r>
      <w:r w:rsidR="0033151A">
        <w:rPr>
          <w:rStyle w:val="Odkaznakoment"/>
        </w:rPr>
        <w:t>.</w:t>
      </w:r>
      <w:r w:rsidR="009B23B3" w:rsidRPr="009B23B3">
        <w:t xml:space="preserve"> </w:t>
      </w:r>
      <w:r w:rsidR="009B23B3">
        <w:rPr>
          <w:rStyle w:val="st"/>
        </w:rPr>
        <w:t xml:space="preserve">Pouze 19,7 % uvedlo, že pořídily </w:t>
      </w:r>
      <w:r w:rsidR="009B23B3" w:rsidRPr="009B23B3">
        <w:t>stroje, zařízení a software</w:t>
      </w:r>
      <w:r w:rsidR="009B23B3">
        <w:t xml:space="preserve"> založené na zcela nové technologii dříve v podniku nepoužívané.</w:t>
      </w:r>
      <w:r w:rsidR="00A30068">
        <w:t xml:space="preserve"> Firmy mohly </w:t>
      </w:r>
      <w:r w:rsidR="00435BCA">
        <w:t xml:space="preserve">pro svůj provoz </w:t>
      </w:r>
      <w:r w:rsidR="00A30068">
        <w:t>pořídit více druhů technologií, tzn., jak stávají úrovně, tak zcela nové</w:t>
      </w:r>
      <w:r w:rsidR="00435BCA">
        <w:t>, což</w:t>
      </w:r>
      <w:r w:rsidR="00A30068">
        <w:t xml:space="preserve"> uči</w:t>
      </w:r>
      <w:r w:rsidR="00435BCA">
        <w:t>ni</w:t>
      </w:r>
      <w:r w:rsidR="00A30068">
        <w:t xml:space="preserve">lo 15,3 % všech podniků. </w:t>
      </w:r>
    </w:p>
    <w:p w14:paraId="526AFA84" w14:textId="77777777" w:rsidR="002D5E16" w:rsidRDefault="00736A2D" w:rsidP="009B23B3">
      <w:pPr>
        <w:spacing w:before="60" w:after="60"/>
        <w:jc w:val="both"/>
      </w:pPr>
      <w:r>
        <w:t>Pokud malé podniky nakoupily zcela novou technologii dříve v podniku nepoužívanou v 15,7 %, tak v případě velkých podniků tento podíl dosáhl 41 %.</w:t>
      </w:r>
      <w:r w:rsidR="00A30068">
        <w:t xml:space="preserve"> </w:t>
      </w:r>
      <w:r w:rsidR="002D5E16">
        <w:t>Více nakoupily zcela nové technologie podniky pod zahraniční kontrolou (27,2 %) než domácí podniky (18 %). Roli opět hraje poměrné zastoupení velkých podniků v obou kategoriích.</w:t>
      </w:r>
    </w:p>
    <w:p w14:paraId="6D1985FF" w14:textId="77777777" w:rsidR="0031345A" w:rsidRDefault="002D5E16" w:rsidP="009B23B3">
      <w:pPr>
        <w:spacing w:before="60" w:after="60"/>
        <w:jc w:val="both"/>
        <w:rPr>
          <w:rStyle w:val="st"/>
          <w:rFonts w:eastAsia="MS Gothic"/>
          <w:b/>
          <w:bCs/>
          <w:color w:val="009BB4"/>
          <w:sz w:val="24"/>
        </w:rPr>
      </w:pPr>
      <w:r w:rsidRPr="00B6189F">
        <w:t>Blíže vi</w:t>
      </w:r>
      <w:r w:rsidR="00054FEA">
        <w:t>z</w:t>
      </w:r>
      <w:r w:rsidRPr="00B6189F">
        <w:t xml:space="preserve"> tabulky 3</w:t>
      </w:r>
      <w:r w:rsidR="00B6189F" w:rsidRPr="00B6189F">
        <w:t>3</w:t>
      </w:r>
      <w:r w:rsidRPr="00B6189F">
        <w:t>A a 3</w:t>
      </w:r>
      <w:r w:rsidR="00B6189F" w:rsidRPr="00B6189F">
        <w:t>3</w:t>
      </w:r>
      <w:r w:rsidRPr="00B6189F">
        <w:t>B.</w:t>
      </w:r>
      <w:r w:rsidR="009B23B3">
        <w:t xml:space="preserve"> </w:t>
      </w:r>
      <w:r w:rsidR="009B23B3">
        <w:rPr>
          <w:rStyle w:val="st"/>
        </w:rPr>
        <w:t xml:space="preserve"> </w:t>
      </w:r>
      <w:r w:rsidR="004A43A4">
        <w:rPr>
          <w:rStyle w:val="st"/>
        </w:rPr>
        <w:t xml:space="preserve"> </w:t>
      </w:r>
      <w:r w:rsidR="0031345A">
        <w:rPr>
          <w:rStyle w:val="st"/>
        </w:rPr>
        <w:br w:type="page"/>
      </w:r>
    </w:p>
    <w:p w14:paraId="073684FF" w14:textId="77777777" w:rsidR="00160D8D" w:rsidRPr="0033205F" w:rsidRDefault="00160D8D" w:rsidP="0089406E">
      <w:pPr>
        <w:pStyle w:val="Nadpis3"/>
        <w:spacing w:before="240" w:after="120"/>
        <w:rPr>
          <w:rStyle w:val="st"/>
        </w:rPr>
      </w:pPr>
      <w:r>
        <w:rPr>
          <w:rStyle w:val="st"/>
        </w:rPr>
        <w:lastRenderedPageBreak/>
        <w:t>3.2</w:t>
      </w:r>
      <w:r w:rsidRPr="0033205F">
        <w:rPr>
          <w:rStyle w:val="st"/>
        </w:rPr>
        <w:t>.</w:t>
      </w:r>
      <w:r>
        <w:rPr>
          <w:rStyle w:val="st"/>
        </w:rPr>
        <w:t>6</w:t>
      </w:r>
      <w:r w:rsidRPr="0033205F">
        <w:rPr>
          <w:rStyle w:val="st"/>
        </w:rPr>
        <w:t xml:space="preserve"> </w:t>
      </w:r>
      <w:r>
        <w:rPr>
          <w:rStyle w:val="st"/>
        </w:rPr>
        <w:t>Veřejná podpora inovačních činností</w:t>
      </w:r>
    </w:p>
    <w:p w14:paraId="5198D9C4" w14:textId="77777777" w:rsidR="00192B1A" w:rsidRDefault="009B2CC9" w:rsidP="00D768AA">
      <w:pPr>
        <w:spacing w:after="60"/>
        <w:jc w:val="both"/>
        <w:rPr>
          <w:rStyle w:val="st"/>
        </w:rPr>
      </w:pPr>
      <w:r>
        <w:rPr>
          <w:rStyle w:val="st"/>
        </w:rPr>
        <w:t>Veřejná podpora inovačních činností hraje p</w:t>
      </w:r>
      <w:r w:rsidR="00914F83">
        <w:rPr>
          <w:rStyle w:val="st"/>
        </w:rPr>
        <w:t>ro podniky nezanedbatelnou roli, zejména pak pro</w:t>
      </w:r>
      <w:r w:rsidR="00975433">
        <w:rPr>
          <w:rStyle w:val="st"/>
        </w:rPr>
        <w:t xml:space="preserve"> podniky</w:t>
      </w:r>
      <w:r w:rsidR="00914F83">
        <w:rPr>
          <w:rStyle w:val="st"/>
        </w:rPr>
        <w:t xml:space="preserve"> malé a střední.</w:t>
      </w:r>
      <w:r w:rsidR="000F3AF6">
        <w:rPr>
          <w:rStyle w:val="st"/>
        </w:rPr>
        <w:t xml:space="preserve"> Pokud podnik v rámci svých inovačních činností provádí výzkum a vývoj</w:t>
      </w:r>
      <w:r w:rsidR="00123CAC">
        <w:rPr>
          <w:rStyle w:val="st"/>
        </w:rPr>
        <w:t xml:space="preserve"> (</w:t>
      </w:r>
      <w:proofErr w:type="spellStart"/>
      <w:r w:rsidR="00123CAC">
        <w:rPr>
          <w:rStyle w:val="st"/>
        </w:rPr>
        <w:t>VaV</w:t>
      </w:r>
      <w:proofErr w:type="spellEnd"/>
      <w:r w:rsidR="00123CAC">
        <w:rPr>
          <w:rStyle w:val="st"/>
        </w:rPr>
        <w:t>)</w:t>
      </w:r>
      <w:r w:rsidR="000F3AF6">
        <w:rPr>
          <w:rStyle w:val="st"/>
        </w:rPr>
        <w:t xml:space="preserve"> může, kromě přímé veřejné podpory, využít </w:t>
      </w:r>
      <w:r w:rsidR="004362C3">
        <w:rPr>
          <w:rStyle w:val="st"/>
        </w:rPr>
        <w:t xml:space="preserve">i </w:t>
      </w:r>
      <w:r w:rsidR="000F3AF6">
        <w:rPr>
          <w:rStyle w:val="st"/>
        </w:rPr>
        <w:t>daňový odpočet výzkumu a vývoje.</w:t>
      </w:r>
      <w:r w:rsidR="004362C3">
        <w:rPr>
          <w:rStyle w:val="st"/>
        </w:rPr>
        <w:t xml:space="preserve"> Podpora může jít z různých úrovní veřejných r</w:t>
      </w:r>
      <w:r w:rsidR="003D3DB2">
        <w:rPr>
          <w:rStyle w:val="st"/>
        </w:rPr>
        <w:t>ozpočtů ČR</w:t>
      </w:r>
      <w:r w:rsidR="00123CAC">
        <w:rPr>
          <w:rStyle w:val="st"/>
        </w:rPr>
        <w:t xml:space="preserve"> </w:t>
      </w:r>
      <w:r w:rsidR="00695E31">
        <w:rPr>
          <w:rStyle w:val="st"/>
        </w:rPr>
        <w:t>a</w:t>
      </w:r>
      <w:r w:rsidR="003D3DB2">
        <w:rPr>
          <w:rStyle w:val="st"/>
        </w:rPr>
        <w:t xml:space="preserve"> dále pak z různých </w:t>
      </w:r>
      <w:r w:rsidR="004362C3">
        <w:rPr>
          <w:rStyle w:val="st"/>
        </w:rPr>
        <w:t>fondů</w:t>
      </w:r>
      <w:r w:rsidR="00123CAC">
        <w:rPr>
          <w:rStyle w:val="st"/>
        </w:rPr>
        <w:t xml:space="preserve"> Evropské unie</w:t>
      </w:r>
      <w:r w:rsidR="004362C3">
        <w:rPr>
          <w:rStyle w:val="st"/>
        </w:rPr>
        <w:t>.</w:t>
      </w:r>
      <w:r w:rsidR="000F3AF6">
        <w:rPr>
          <w:rStyle w:val="st"/>
        </w:rPr>
        <w:t xml:space="preserve"> </w:t>
      </w:r>
      <w:r w:rsidR="00192B1A">
        <w:rPr>
          <w:rStyle w:val="st"/>
        </w:rPr>
        <w:t xml:space="preserve">Podniky mohou využít veřejnou podporu současně z více zdrojů. V případě daňových odpočtů na </w:t>
      </w:r>
      <w:proofErr w:type="spellStart"/>
      <w:r w:rsidR="00192B1A">
        <w:rPr>
          <w:rStyle w:val="st"/>
        </w:rPr>
        <w:t>VaV</w:t>
      </w:r>
      <w:proofErr w:type="spellEnd"/>
      <w:r w:rsidR="00192B1A">
        <w:rPr>
          <w:rStyle w:val="st"/>
        </w:rPr>
        <w:t xml:space="preserve"> jsou zde jistá omezení</w:t>
      </w:r>
      <w:r w:rsidR="00192B1A">
        <w:rPr>
          <w:rStyle w:val="Znakapoznpodarou"/>
        </w:rPr>
        <w:footnoteReference w:id="3"/>
      </w:r>
      <w:r w:rsidR="00192B1A">
        <w:rPr>
          <w:rStyle w:val="st"/>
        </w:rPr>
        <w:t>.</w:t>
      </w:r>
    </w:p>
    <w:p w14:paraId="6FE717B5" w14:textId="77777777" w:rsidR="00160D8D" w:rsidRDefault="00B034C3" w:rsidP="00D768AA">
      <w:pPr>
        <w:spacing w:after="60"/>
        <w:jc w:val="both"/>
        <w:rPr>
          <w:rStyle w:val="st"/>
        </w:rPr>
      </w:pPr>
      <w:r w:rsidRPr="003B7648">
        <w:rPr>
          <w:rStyle w:val="st"/>
        </w:rPr>
        <w:t>V letech 2018 až 2020</w:t>
      </w:r>
      <w:r w:rsidR="0069580A" w:rsidRPr="003B7648">
        <w:rPr>
          <w:rStyle w:val="st"/>
        </w:rPr>
        <w:t xml:space="preserve"> </w:t>
      </w:r>
      <w:r w:rsidR="0069580A" w:rsidRPr="003B7648">
        <w:rPr>
          <w:rStyle w:val="st"/>
          <w:b/>
        </w:rPr>
        <w:t>využilo</w:t>
      </w:r>
      <w:r w:rsidR="0069580A" w:rsidRPr="003B7648">
        <w:rPr>
          <w:rStyle w:val="st"/>
        </w:rPr>
        <w:t xml:space="preserve"> něk</w:t>
      </w:r>
      <w:r w:rsidR="00F56447" w:rsidRPr="003B7648">
        <w:rPr>
          <w:rStyle w:val="st"/>
        </w:rPr>
        <w:t xml:space="preserve">terou z forem </w:t>
      </w:r>
      <w:r w:rsidR="00F56447" w:rsidRPr="003B7648">
        <w:rPr>
          <w:rStyle w:val="st"/>
          <w:b/>
        </w:rPr>
        <w:t xml:space="preserve">veřejné podpory pro provádění inovačních činností </w:t>
      </w:r>
      <w:r w:rsidR="003B7648" w:rsidRPr="003B7648">
        <w:rPr>
          <w:rStyle w:val="st"/>
          <w:b/>
        </w:rPr>
        <w:t>24,1</w:t>
      </w:r>
      <w:r w:rsidR="00695E31" w:rsidRPr="003B7648">
        <w:rPr>
          <w:rStyle w:val="st"/>
          <w:b/>
        </w:rPr>
        <w:t> </w:t>
      </w:r>
      <w:r w:rsidR="00F56447" w:rsidRPr="003B7648">
        <w:rPr>
          <w:rStyle w:val="st"/>
          <w:b/>
        </w:rPr>
        <w:t>%</w:t>
      </w:r>
      <w:r w:rsidR="0069580A" w:rsidRPr="003B7648">
        <w:rPr>
          <w:rStyle w:val="st"/>
          <w:b/>
        </w:rPr>
        <w:t xml:space="preserve"> </w:t>
      </w:r>
      <w:r w:rsidR="00F56447" w:rsidRPr="003B7648">
        <w:rPr>
          <w:rStyle w:val="st"/>
          <w:b/>
        </w:rPr>
        <w:t>inovujících podniků</w:t>
      </w:r>
      <w:r w:rsidR="0069580A" w:rsidRPr="003B7648">
        <w:rPr>
          <w:rStyle w:val="st"/>
        </w:rPr>
        <w:t>.</w:t>
      </w:r>
      <w:r w:rsidR="00914F83">
        <w:rPr>
          <w:rStyle w:val="st"/>
        </w:rPr>
        <w:t xml:space="preserve"> </w:t>
      </w:r>
      <w:r w:rsidR="00192B1A">
        <w:rPr>
          <w:rStyle w:val="st"/>
        </w:rPr>
        <w:t>Z veřejných zdrojů ČR získalo podporu 1</w:t>
      </w:r>
      <w:r w:rsidR="003B7648">
        <w:rPr>
          <w:rStyle w:val="st"/>
        </w:rPr>
        <w:t>6,8</w:t>
      </w:r>
      <w:r w:rsidR="00695E31">
        <w:rPr>
          <w:rStyle w:val="st"/>
        </w:rPr>
        <w:t> </w:t>
      </w:r>
      <w:r w:rsidR="00F1015A">
        <w:rPr>
          <w:rStyle w:val="st"/>
        </w:rPr>
        <w:t>% inovačních</w:t>
      </w:r>
      <w:r w:rsidR="00192B1A">
        <w:rPr>
          <w:rStyle w:val="st"/>
        </w:rPr>
        <w:t xml:space="preserve"> podniků, </w:t>
      </w:r>
      <w:r w:rsidR="003B7648">
        <w:rPr>
          <w:rStyle w:val="st"/>
        </w:rPr>
        <w:t xml:space="preserve">zatímco ze </w:t>
      </w:r>
      <w:r w:rsidR="00192B1A">
        <w:rPr>
          <w:rStyle w:val="st"/>
        </w:rPr>
        <w:t>zdrojů EU</w:t>
      </w:r>
      <w:r w:rsidR="003B7648">
        <w:rPr>
          <w:rStyle w:val="st"/>
        </w:rPr>
        <w:t xml:space="preserve"> 14,3 </w:t>
      </w:r>
      <w:r w:rsidR="00A13FDF">
        <w:rPr>
          <w:rStyle w:val="st"/>
        </w:rPr>
        <w:t>%</w:t>
      </w:r>
      <w:r w:rsidR="003B7648">
        <w:rPr>
          <w:rStyle w:val="st"/>
        </w:rPr>
        <w:t xml:space="preserve">. </w:t>
      </w:r>
      <w:r w:rsidR="0010326D">
        <w:rPr>
          <w:rStyle w:val="st"/>
        </w:rPr>
        <w:t>Téměř polovina velkých podniků získala veřejnou podporu pro provádění inovačních činností</w:t>
      </w:r>
      <w:r w:rsidR="00F1015A">
        <w:rPr>
          <w:rStyle w:val="st"/>
        </w:rPr>
        <w:t>, z národních zdrojů pak 39,8 %</w:t>
      </w:r>
      <w:r w:rsidR="009A4B47">
        <w:rPr>
          <w:rStyle w:val="st"/>
        </w:rPr>
        <w:t xml:space="preserve"> podniků</w:t>
      </w:r>
      <w:r w:rsidR="0010326D">
        <w:rPr>
          <w:rStyle w:val="st"/>
        </w:rPr>
        <w:t>. Vysoký podíl veřejné podpory</w:t>
      </w:r>
      <w:r w:rsidR="009A4B47">
        <w:rPr>
          <w:rStyle w:val="st"/>
        </w:rPr>
        <w:t>,</w:t>
      </w:r>
      <w:r w:rsidR="0010326D">
        <w:rPr>
          <w:rStyle w:val="st"/>
        </w:rPr>
        <w:t xml:space="preserve"> </w:t>
      </w:r>
      <w:r w:rsidR="009A4B47">
        <w:rPr>
          <w:rStyle w:val="st"/>
        </w:rPr>
        <w:t xml:space="preserve">zejména té </w:t>
      </w:r>
      <w:r w:rsidR="0010326D">
        <w:rPr>
          <w:rStyle w:val="st"/>
        </w:rPr>
        <w:t>z</w:t>
      </w:r>
      <w:r w:rsidR="009A4B47">
        <w:rPr>
          <w:rStyle w:val="st"/>
        </w:rPr>
        <w:t> </w:t>
      </w:r>
      <w:r w:rsidR="00672C06">
        <w:rPr>
          <w:rStyle w:val="st"/>
        </w:rPr>
        <w:t>Č</w:t>
      </w:r>
      <w:r w:rsidR="0010326D">
        <w:rPr>
          <w:rStyle w:val="st"/>
        </w:rPr>
        <w:t>R</w:t>
      </w:r>
      <w:r w:rsidR="009A4B47">
        <w:rPr>
          <w:rStyle w:val="st"/>
        </w:rPr>
        <w:t>,</w:t>
      </w:r>
      <w:r w:rsidR="00F1015A">
        <w:rPr>
          <w:rStyle w:val="st"/>
        </w:rPr>
        <w:t xml:space="preserve"> v této velikostní skupině </w:t>
      </w:r>
      <w:r w:rsidR="0010326D">
        <w:rPr>
          <w:rStyle w:val="st"/>
        </w:rPr>
        <w:t>je dán daňovými odpisy výdajů na výzkum a vývoj. Naproti tomu u malých podniků hrála důležitější roli podpora z fondů</w:t>
      </w:r>
      <w:r w:rsidR="00672C06">
        <w:rPr>
          <w:rStyle w:val="st"/>
        </w:rPr>
        <w:t xml:space="preserve"> EU</w:t>
      </w:r>
      <w:r w:rsidR="0010326D">
        <w:rPr>
          <w:rStyle w:val="st"/>
        </w:rPr>
        <w:t xml:space="preserve"> (1</w:t>
      </w:r>
      <w:r w:rsidR="00615815">
        <w:rPr>
          <w:rStyle w:val="st"/>
        </w:rPr>
        <w:t>2,4</w:t>
      </w:r>
      <w:r w:rsidR="000A4223">
        <w:rPr>
          <w:rStyle w:val="st"/>
        </w:rPr>
        <w:t> </w:t>
      </w:r>
      <w:r w:rsidR="0010326D">
        <w:rPr>
          <w:rStyle w:val="st"/>
        </w:rPr>
        <w:t>%)</w:t>
      </w:r>
      <w:r w:rsidR="00615815">
        <w:rPr>
          <w:rStyle w:val="st"/>
        </w:rPr>
        <w:t xml:space="preserve"> než z národních zdrojů</w:t>
      </w:r>
      <w:r w:rsidR="0010326D">
        <w:rPr>
          <w:rStyle w:val="st"/>
        </w:rPr>
        <w:t>.</w:t>
      </w:r>
      <w:r w:rsidR="00292130">
        <w:rPr>
          <w:rStyle w:val="st"/>
        </w:rPr>
        <w:t xml:space="preserve"> Podniky po</w:t>
      </w:r>
      <w:r w:rsidR="00F4335A">
        <w:rPr>
          <w:rStyle w:val="st"/>
        </w:rPr>
        <w:t>d zahraniční kontrolou využily</w:t>
      </w:r>
      <w:r w:rsidR="00292130">
        <w:rPr>
          <w:rStyle w:val="st"/>
        </w:rPr>
        <w:t xml:space="preserve"> veřejné podpory </w:t>
      </w:r>
      <w:r w:rsidR="00672C06">
        <w:rPr>
          <w:rStyle w:val="st"/>
        </w:rPr>
        <w:t xml:space="preserve">pro inovace </w:t>
      </w:r>
      <w:r w:rsidR="00615815">
        <w:rPr>
          <w:rStyle w:val="st"/>
        </w:rPr>
        <w:t>méně (17,6</w:t>
      </w:r>
      <w:r w:rsidR="00123CAC">
        <w:rPr>
          <w:rStyle w:val="st"/>
        </w:rPr>
        <w:t> </w:t>
      </w:r>
      <w:r w:rsidR="00292130">
        <w:t>%)</w:t>
      </w:r>
      <w:r w:rsidR="00615815">
        <w:t xml:space="preserve"> než domácí (26</w:t>
      </w:r>
      <w:r w:rsidR="00672C06">
        <w:t> %)</w:t>
      </w:r>
      <w:r w:rsidR="00292130">
        <w:rPr>
          <w:rStyle w:val="st"/>
        </w:rPr>
        <w:t>.</w:t>
      </w:r>
    </w:p>
    <w:p w14:paraId="0F855CFD" w14:textId="77777777" w:rsidR="0047685A" w:rsidRPr="003C2A63" w:rsidRDefault="0047685A" w:rsidP="0031345A">
      <w:pPr>
        <w:spacing w:after="60"/>
        <w:ind w:left="851" w:hanging="851"/>
        <w:rPr>
          <w:rFonts w:cs="Arial"/>
          <w:b/>
          <w:sz w:val="18"/>
          <w:szCs w:val="20"/>
        </w:rPr>
      </w:pPr>
      <w:r w:rsidRPr="003C2A63">
        <w:rPr>
          <w:rFonts w:cs="Arial"/>
          <w:b/>
          <w:sz w:val="18"/>
          <w:szCs w:val="20"/>
        </w:rPr>
        <w:t>G</w:t>
      </w:r>
      <w:r w:rsidR="00C36302">
        <w:rPr>
          <w:rFonts w:cs="Arial"/>
          <w:b/>
          <w:sz w:val="18"/>
          <w:szCs w:val="20"/>
        </w:rPr>
        <w:t>RAF 34</w:t>
      </w:r>
      <w:r w:rsidRPr="003C2A63">
        <w:rPr>
          <w:rFonts w:cs="Arial"/>
          <w:b/>
          <w:sz w:val="18"/>
          <w:szCs w:val="20"/>
        </w:rPr>
        <w:t xml:space="preserve"> Podíl inovujících podniků</w:t>
      </w:r>
      <w:r>
        <w:rPr>
          <w:rFonts w:cs="Arial"/>
          <w:b/>
          <w:sz w:val="18"/>
          <w:szCs w:val="20"/>
        </w:rPr>
        <w:t xml:space="preserve">, které získaly veřejnou podporu pro své inovační činnosti </w:t>
      </w:r>
      <w:r w:rsidRPr="003C2A63">
        <w:rPr>
          <w:rFonts w:cs="Arial"/>
          <w:b/>
          <w:sz w:val="18"/>
          <w:szCs w:val="20"/>
        </w:rPr>
        <w:t xml:space="preserve">podle </w:t>
      </w:r>
      <w:r>
        <w:rPr>
          <w:rFonts w:cs="Arial"/>
          <w:b/>
          <w:sz w:val="18"/>
          <w:szCs w:val="20"/>
        </w:rPr>
        <w:t>poskytovatele podpory</w:t>
      </w:r>
      <w:r w:rsidR="00C36302">
        <w:rPr>
          <w:rFonts w:cs="Arial"/>
          <w:b/>
          <w:sz w:val="18"/>
          <w:szCs w:val="20"/>
        </w:rPr>
        <w:t>; 2018–2020</w:t>
      </w:r>
    </w:p>
    <w:p w14:paraId="0A4D0E7C" w14:textId="77777777" w:rsidR="00DB2C03" w:rsidRDefault="00C36302" w:rsidP="00D768AA">
      <w:pPr>
        <w:spacing w:after="60"/>
        <w:jc w:val="both"/>
        <w:rPr>
          <w:rStyle w:val="st"/>
        </w:rPr>
      </w:pPr>
      <w:r>
        <w:rPr>
          <w:noProof/>
        </w:rPr>
        <w:drawing>
          <wp:inline distT="0" distB="0" distL="0" distR="0" wp14:anchorId="0D1E6043" wp14:editId="615FA7DB">
            <wp:extent cx="6120000" cy="2520000"/>
            <wp:effectExtent l="0" t="0" r="14605" b="13970"/>
            <wp:docPr id="17" name="Graf 17">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93163D8" w14:textId="77777777" w:rsidR="006759D1" w:rsidRDefault="006759D1" w:rsidP="006759D1">
      <w:pPr>
        <w:spacing w:before="60" w:after="60"/>
        <w:jc w:val="right"/>
      </w:pPr>
      <w:r w:rsidRPr="00B2746E">
        <w:rPr>
          <w:i/>
          <w:sz w:val="18"/>
        </w:rPr>
        <w:t>Zdroj: ČSÚ, Šetření o inovačních aktivitách podniků</w:t>
      </w:r>
    </w:p>
    <w:p w14:paraId="06D0232C" w14:textId="46B8A241" w:rsidR="00AD679D" w:rsidRDefault="00CC747E" w:rsidP="004638C8">
      <w:pPr>
        <w:spacing w:before="120" w:after="60"/>
        <w:jc w:val="both"/>
        <w:rPr>
          <w:rStyle w:val="st"/>
        </w:rPr>
      </w:pPr>
      <w:r>
        <w:rPr>
          <w:rStyle w:val="st"/>
        </w:rPr>
        <w:t xml:space="preserve">Ve </w:t>
      </w:r>
      <w:r w:rsidRPr="00FF0617">
        <w:rPr>
          <w:rStyle w:val="st"/>
          <w:b/>
        </w:rPr>
        <w:t>zpracovatelském průmyslu</w:t>
      </w:r>
      <w:r>
        <w:rPr>
          <w:rStyle w:val="st"/>
        </w:rPr>
        <w:t xml:space="preserve"> získalo veřejnou podporu pro své inovační činnosti 29,1 % inovujících podniků, z veřejných zdrojů ČR pak 20,2 % a ze zdrojů EU 16,7 %. </w:t>
      </w:r>
      <w:r w:rsidR="00FF0617">
        <w:rPr>
          <w:rStyle w:val="st"/>
        </w:rPr>
        <w:t>Z odvětví zpracovatelského průmyslu byly nejaktivnější v získávání veřejné podpory inovační podniky</w:t>
      </w:r>
      <w:r w:rsidR="00E54B9A">
        <w:rPr>
          <w:rStyle w:val="st"/>
        </w:rPr>
        <w:t xml:space="preserve"> ve farmaceutickém průmyslu (46,</w:t>
      </w:r>
      <w:r w:rsidR="001B4697">
        <w:rPr>
          <w:rStyle w:val="st"/>
        </w:rPr>
        <w:t>6 </w:t>
      </w:r>
      <w:r w:rsidR="00E54B9A">
        <w:rPr>
          <w:rStyle w:val="st"/>
        </w:rPr>
        <w:t>%) a elektronickém průmyslu (45,7 %).</w:t>
      </w:r>
      <w:r w:rsidR="00AD679D">
        <w:rPr>
          <w:rStyle w:val="st"/>
        </w:rPr>
        <w:t xml:space="preserve"> Tato odvětví byla také nejvíce podpořena z Evropských zdrojů.</w:t>
      </w:r>
      <w:r w:rsidR="00D35107">
        <w:rPr>
          <w:rStyle w:val="st"/>
        </w:rPr>
        <w:t xml:space="preserve"> Ve farmaceutickém průmyslu obdrželo veřejnou podporu z Evropských fondů 23,7 % inovujících podniků. V případě elektronického průmyslu to bylo 22,8 % inovujících podniků.</w:t>
      </w:r>
    </w:p>
    <w:p w14:paraId="79E21052" w14:textId="77777777" w:rsidR="00CC747E" w:rsidRDefault="00AD679D" w:rsidP="004638C8">
      <w:pPr>
        <w:spacing w:before="120" w:after="60"/>
        <w:jc w:val="both"/>
        <w:rPr>
          <w:rStyle w:val="st"/>
        </w:rPr>
      </w:pPr>
      <w:r>
        <w:rPr>
          <w:rStyle w:val="st"/>
        </w:rPr>
        <w:t>Ve službách byly nejvíce podpořeny inovační projekty podniků působících v informačních a komunikačních službách</w:t>
      </w:r>
      <w:r w:rsidR="005D7F79">
        <w:rPr>
          <w:rStyle w:val="st"/>
        </w:rPr>
        <w:t xml:space="preserve">. Podporu pro své inovace zde získalo </w:t>
      </w:r>
      <w:r>
        <w:rPr>
          <w:rStyle w:val="st"/>
        </w:rPr>
        <w:t xml:space="preserve">26,8 </w:t>
      </w:r>
      <w:r w:rsidR="005D7F79">
        <w:rPr>
          <w:rStyle w:val="st"/>
        </w:rPr>
        <w:t>%, z národních veřejných zdrojů pak 24,9 %</w:t>
      </w:r>
      <w:r>
        <w:rPr>
          <w:rStyle w:val="st"/>
        </w:rPr>
        <w:t xml:space="preserve">. </w:t>
      </w:r>
      <w:r w:rsidR="0096151A">
        <w:rPr>
          <w:rStyle w:val="st"/>
        </w:rPr>
        <w:t>Významně byly</w:t>
      </w:r>
      <w:r w:rsidR="005D7F79">
        <w:rPr>
          <w:rStyle w:val="st"/>
        </w:rPr>
        <w:t xml:space="preserve"> tyto podniky podpořeny i ze zdrojů EU (uvedlo 19,7 %).</w:t>
      </w:r>
    </w:p>
    <w:p w14:paraId="7099029C" w14:textId="77777777" w:rsidR="005D7F79" w:rsidRDefault="005D7F79" w:rsidP="004638C8">
      <w:pPr>
        <w:spacing w:before="120" w:after="60"/>
        <w:jc w:val="both"/>
        <w:rPr>
          <w:rStyle w:val="st"/>
        </w:rPr>
      </w:pPr>
      <w:r>
        <w:rPr>
          <w:rStyle w:val="st"/>
        </w:rPr>
        <w:t xml:space="preserve">Kompletní informace lze nalézt </w:t>
      </w:r>
      <w:r w:rsidRPr="00B6189F">
        <w:rPr>
          <w:rStyle w:val="st"/>
        </w:rPr>
        <w:t>v tabulkách 3</w:t>
      </w:r>
      <w:r w:rsidR="00B6189F" w:rsidRPr="00B6189F">
        <w:rPr>
          <w:rStyle w:val="st"/>
        </w:rPr>
        <w:t>4</w:t>
      </w:r>
      <w:r w:rsidRPr="00B6189F">
        <w:rPr>
          <w:rStyle w:val="st"/>
        </w:rPr>
        <w:t>A a 3</w:t>
      </w:r>
      <w:r w:rsidR="00B6189F" w:rsidRPr="00B6189F">
        <w:rPr>
          <w:rStyle w:val="st"/>
        </w:rPr>
        <w:t>4</w:t>
      </w:r>
      <w:r w:rsidRPr="00B6189F">
        <w:rPr>
          <w:rStyle w:val="st"/>
        </w:rPr>
        <w:t>B.</w:t>
      </w:r>
    </w:p>
    <w:p w14:paraId="39061F5F" w14:textId="3435816A" w:rsidR="00DA3D2E" w:rsidRDefault="002A20B8" w:rsidP="004638C8">
      <w:pPr>
        <w:spacing w:before="120" w:after="60"/>
        <w:jc w:val="both"/>
        <w:rPr>
          <w:rStyle w:val="st"/>
        </w:rPr>
      </w:pPr>
      <w:r>
        <w:rPr>
          <w:rStyle w:val="st"/>
        </w:rPr>
        <w:t xml:space="preserve">V případě veřejné podpory z </w:t>
      </w:r>
      <w:r w:rsidR="00123CAC">
        <w:rPr>
          <w:rStyle w:val="st"/>
        </w:rPr>
        <w:t xml:space="preserve">národních veřejných </w:t>
      </w:r>
      <w:r>
        <w:rPr>
          <w:rStyle w:val="st"/>
        </w:rPr>
        <w:t>zdrojů ČR</w:t>
      </w:r>
      <w:r w:rsidR="00862E95">
        <w:rPr>
          <w:rStyle w:val="st"/>
        </w:rPr>
        <w:t xml:space="preserve"> hraje podpora</w:t>
      </w:r>
      <w:r>
        <w:rPr>
          <w:rStyle w:val="st"/>
        </w:rPr>
        <w:t xml:space="preserve"> od </w:t>
      </w:r>
      <w:r w:rsidR="0021317B">
        <w:rPr>
          <w:rStyle w:val="st"/>
        </w:rPr>
        <w:t xml:space="preserve">obecních </w:t>
      </w:r>
      <w:r>
        <w:rPr>
          <w:rStyle w:val="st"/>
        </w:rPr>
        <w:t>a krajských úřadů spíše marginální roli. Veřejnou podporu inovačních činností z této úrovně samosprávy získal</w:t>
      </w:r>
      <w:r w:rsidR="00672C06">
        <w:rPr>
          <w:rStyle w:val="st"/>
        </w:rPr>
        <w:t>a</w:t>
      </w:r>
      <w:r w:rsidR="00A13FDF">
        <w:rPr>
          <w:rStyle w:val="st"/>
        </w:rPr>
        <w:t xml:space="preserve"> pouhá</w:t>
      </w:r>
      <w:r>
        <w:rPr>
          <w:rStyle w:val="st"/>
        </w:rPr>
        <w:t xml:space="preserve"> </w:t>
      </w:r>
      <w:r w:rsidR="00A13FDF">
        <w:rPr>
          <w:rStyle w:val="st"/>
        </w:rPr>
        <w:t>2</w:t>
      </w:r>
      <w:r w:rsidR="00E52622">
        <w:rPr>
          <w:rStyle w:val="st"/>
        </w:rPr>
        <w:t xml:space="preserve"> % </w:t>
      </w:r>
      <w:r>
        <w:rPr>
          <w:rStyle w:val="st"/>
        </w:rPr>
        <w:t xml:space="preserve">inovujících </w:t>
      </w:r>
      <w:r w:rsidR="00672C06">
        <w:rPr>
          <w:rStyle w:val="st"/>
        </w:rPr>
        <w:t>firem</w:t>
      </w:r>
      <w:r>
        <w:rPr>
          <w:rStyle w:val="st"/>
        </w:rPr>
        <w:t xml:space="preserve">. Důležitější </w:t>
      </w:r>
      <w:r w:rsidR="00E52622">
        <w:rPr>
          <w:rStyle w:val="st"/>
        </w:rPr>
        <w:t xml:space="preserve">veřejnou podporou </w:t>
      </w:r>
      <w:r w:rsidR="00CF0DE0">
        <w:rPr>
          <w:rStyle w:val="st"/>
        </w:rPr>
        <w:t>inovací</w:t>
      </w:r>
      <w:r w:rsidR="00E52622">
        <w:rPr>
          <w:rStyle w:val="st"/>
        </w:rPr>
        <w:t xml:space="preserve"> </w:t>
      </w:r>
      <w:r>
        <w:rPr>
          <w:rStyle w:val="st"/>
        </w:rPr>
        <w:t>je pro podniky podpora ze státního rozpočtu</w:t>
      </w:r>
      <w:r w:rsidR="00366A39">
        <w:rPr>
          <w:rStyle w:val="st"/>
        </w:rPr>
        <w:t>, kterou získala ve sledovaném období více než desetina inovujících podniků. Daňovou podporu</w:t>
      </w:r>
      <w:r>
        <w:rPr>
          <w:rStyle w:val="st"/>
        </w:rPr>
        <w:t xml:space="preserve"> výzkumu a vývoje</w:t>
      </w:r>
      <w:r w:rsidR="00366A39">
        <w:rPr>
          <w:rStyle w:val="st"/>
        </w:rPr>
        <w:t xml:space="preserve"> pro své inovační činnosti využilo 6,5 % inovujících podniků.</w:t>
      </w:r>
    </w:p>
    <w:p w14:paraId="3AEE4D5D" w14:textId="6027414A" w:rsidR="005D7F79" w:rsidRDefault="005D7F79" w:rsidP="005D7F79">
      <w:pPr>
        <w:spacing w:before="60" w:after="60"/>
        <w:jc w:val="both"/>
        <w:rPr>
          <w:rStyle w:val="st"/>
        </w:rPr>
      </w:pPr>
      <w:r w:rsidRPr="00E34ACC">
        <w:rPr>
          <w:rStyle w:val="st"/>
        </w:rPr>
        <w:lastRenderedPageBreak/>
        <w:t>Daňové odpisy výzkumu</w:t>
      </w:r>
      <w:r>
        <w:rPr>
          <w:rStyle w:val="st"/>
        </w:rPr>
        <w:t xml:space="preserve"> a vývoje jsou hojně využívaným nástrojem podpory inovačních činností </w:t>
      </w:r>
      <w:r w:rsidR="0030195D">
        <w:rPr>
          <w:rStyle w:val="st"/>
        </w:rPr>
        <w:t xml:space="preserve">mezi </w:t>
      </w:r>
      <w:r>
        <w:rPr>
          <w:rStyle w:val="st"/>
        </w:rPr>
        <w:t>velkými inovujícími podniky. Ve sledovaném o</w:t>
      </w:r>
      <w:r w:rsidR="0030195D">
        <w:rPr>
          <w:rStyle w:val="st"/>
        </w:rPr>
        <w:t xml:space="preserve">bdobí odečetlo výdaje na </w:t>
      </w:r>
      <w:r w:rsidR="00EB7084">
        <w:rPr>
          <w:rStyle w:val="st"/>
        </w:rPr>
        <w:t>výzkum a vývoj</w:t>
      </w:r>
      <w:r w:rsidR="0030195D">
        <w:rPr>
          <w:rStyle w:val="st"/>
        </w:rPr>
        <w:t xml:space="preserve"> od základu daně</w:t>
      </w:r>
      <w:r>
        <w:rPr>
          <w:rStyle w:val="st"/>
        </w:rPr>
        <w:t xml:space="preserve"> </w:t>
      </w:r>
      <w:r w:rsidR="009F2320">
        <w:rPr>
          <w:rStyle w:val="st"/>
        </w:rPr>
        <w:t>26</w:t>
      </w:r>
      <w:r>
        <w:rPr>
          <w:rStyle w:val="st"/>
        </w:rPr>
        <w:t> %</w:t>
      </w:r>
      <w:r w:rsidR="0030195D">
        <w:rPr>
          <w:rStyle w:val="st"/>
        </w:rPr>
        <w:t xml:space="preserve"> z nich</w:t>
      </w:r>
      <w:r>
        <w:rPr>
          <w:rStyle w:val="st"/>
        </w:rPr>
        <w:t xml:space="preserve">. Pro malé podniky je naopak významnější přímá veřejná podpora (tu využilo </w:t>
      </w:r>
      <w:r w:rsidR="009F2320">
        <w:rPr>
          <w:rStyle w:val="st"/>
        </w:rPr>
        <w:t>8,6</w:t>
      </w:r>
      <w:r>
        <w:rPr>
          <w:rStyle w:val="st"/>
        </w:rPr>
        <w:t> % malých</w:t>
      </w:r>
      <w:r w:rsidR="00EB7084">
        <w:rPr>
          <w:rStyle w:val="st"/>
        </w:rPr>
        <w:t xml:space="preserve"> podniků) než daňová podpora výzkumu a vývoje</w:t>
      </w:r>
      <w:r w:rsidR="007A37CA">
        <w:rPr>
          <w:rStyle w:val="st"/>
        </w:rPr>
        <w:t>, kterou využilo 2,9 % z nich</w:t>
      </w:r>
      <w:r>
        <w:rPr>
          <w:rStyle w:val="st"/>
        </w:rPr>
        <w:t>. Stejně tak je tomu i v případě domácích podniků.</w:t>
      </w:r>
    </w:p>
    <w:p w14:paraId="631AB80F" w14:textId="77777777" w:rsidR="005D7F79" w:rsidRDefault="00656E76" w:rsidP="009F2320">
      <w:pPr>
        <w:spacing w:before="60" w:after="60"/>
        <w:jc w:val="both"/>
        <w:rPr>
          <w:rStyle w:val="st"/>
        </w:rPr>
      </w:pPr>
      <w:r>
        <w:rPr>
          <w:rStyle w:val="st"/>
        </w:rPr>
        <w:t>P</w:t>
      </w:r>
      <w:r w:rsidR="009F2320">
        <w:rPr>
          <w:rStyle w:val="st"/>
        </w:rPr>
        <w:t>odni</w:t>
      </w:r>
      <w:r w:rsidR="00AF4D05">
        <w:rPr>
          <w:rStyle w:val="st"/>
        </w:rPr>
        <w:t>ky pod zahraniční kontrolou více</w:t>
      </w:r>
      <w:r w:rsidR="009F2320">
        <w:rPr>
          <w:rStyle w:val="st"/>
        </w:rPr>
        <w:t xml:space="preserve"> využívají pro své inovační činnosti daňovou podporu výzkumu a vývoje (9,5 %) než přímou veřejnou podporu ze státního rozpočtu (7,6 %). U domácí podniků je preference uvedených veřejných podpor opačná.</w:t>
      </w:r>
    </w:p>
    <w:p w14:paraId="1313F809" w14:textId="77777777" w:rsidR="00004DC1" w:rsidRPr="003C2A63" w:rsidRDefault="0062373B" w:rsidP="004638C8">
      <w:pPr>
        <w:spacing w:before="120" w:after="60"/>
        <w:ind w:left="709" w:hanging="709"/>
        <w:rPr>
          <w:rFonts w:cs="Arial"/>
          <w:b/>
          <w:sz w:val="18"/>
          <w:szCs w:val="20"/>
        </w:rPr>
      </w:pPr>
      <w:r>
        <w:rPr>
          <w:rFonts w:cs="Arial"/>
          <w:b/>
          <w:sz w:val="18"/>
          <w:szCs w:val="20"/>
        </w:rPr>
        <w:t>GRAF 35</w:t>
      </w:r>
      <w:r w:rsidR="0031345A">
        <w:rPr>
          <w:rFonts w:cs="Arial"/>
          <w:b/>
          <w:sz w:val="18"/>
          <w:szCs w:val="20"/>
        </w:rPr>
        <w:t xml:space="preserve"> </w:t>
      </w:r>
      <w:r w:rsidR="00004DC1" w:rsidRPr="003C2A63">
        <w:rPr>
          <w:rFonts w:cs="Arial"/>
          <w:b/>
          <w:sz w:val="18"/>
          <w:szCs w:val="20"/>
        </w:rPr>
        <w:t>Podíl inovujících podniků</w:t>
      </w:r>
      <w:r w:rsidR="00004DC1">
        <w:rPr>
          <w:rFonts w:cs="Arial"/>
          <w:b/>
          <w:sz w:val="18"/>
          <w:szCs w:val="20"/>
        </w:rPr>
        <w:t xml:space="preserve">, které získaly veřejnou podporu z ČR pro své inovační činnosti </w:t>
      </w:r>
      <w:r w:rsidR="00004DC1" w:rsidRPr="003C2A63">
        <w:rPr>
          <w:rFonts w:cs="Arial"/>
          <w:b/>
          <w:sz w:val="18"/>
          <w:szCs w:val="20"/>
        </w:rPr>
        <w:t xml:space="preserve">podle </w:t>
      </w:r>
      <w:r w:rsidR="00004DC1">
        <w:rPr>
          <w:rFonts w:cs="Arial"/>
          <w:b/>
          <w:sz w:val="18"/>
          <w:szCs w:val="20"/>
        </w:rPr>
        <w:t xml:space="preserve">formy podpory, </w:t>
      </w:r>
      <w:r w:rsidR="00004DC1" w:rsidRPr="003C2A63">
        <w:rPr>
          <w:rFonts w:cs="Arial"/>
          <w:b/>
          <w:sz w:val="18"/>
          <w:szCs w:val="20"/>
        </w:rPr>
        <w:t>velik</w:t>
      </w:r>
      <w:r>
        <w:rPr>
          <w:rFonts w:cs="Arial"/>
          <w:b/>
          <w:sz w:val="18"/>
          <w:szCs w:val="20"/>
        </w:rPr>
        <w:t>osti a vlastnictví podniku; 2018–2020</w:t>
      </w:r>
    </w:p>
    <w:p w14:paraId="001F29EB" w14:textId="77777777" w:rsidR="00004DC1" w:rsidRDefault="00E34ACC" w:rsidP="00D768AA">
      <w:pPr>
        <w:spacing w:after="60"/>
        <w:jc w:val="both"/>
        <w:rPr>
          <w:rStyle w:val="st"/>
        </w:rPr>
      </w:pPr>
      <w:r>
        <w:rPr>
          <w:noProof/>
        </w:rPr>
        <w:drawing>
          <wp:inline distT="0" distB="0" distL="0" distR="0" wp14:anchorId="2DB77243" wp14:editId="71A74C9A">
            <wp:extent cx="6120000" cy="2520000"/>
            <wp:effectExtent l="0" t="0" r="14605" b="13970"/>
            <wp:docPr id="20" name="Graf 20">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697DC23" w14:textId="77777777" w:rsidR="00D35107" w:rsidRDefault="00D35107" w:rsidP="00D35107">
      <w:pPr>
        <w:spacing w:before="60" w:after="60"/>
        <w:jc w:val="right"/>
      </w:pPr>
      <w:r w:rsidRPr="00B2746E">
        <w:rPr>
          <w:i/>
          <w:sz w:val="18"/>
        </w:rPr>
        <w:t>Zdroj: ČSÚ, Šetření o inovačních aktivitách podniků</w:t>
      </w:r>
    </w:p>
    <w:p w14:paraId="4AE4F44C" w14:textId="77777777" w:rsidR="00975E66" w:rsidRDefault="00C0501A" w:rsidP="009F2320">
      <w:pPr>
        <w:spacing w:before="120" w:after="60"/>
        <w:jc w:val="both"/>
        <w:rPr>
          <w:rStyle w:val="st"/>
        </w:rPr>
      </w:pPr>
      <w:r>
        <w:rPr>
          <w:rStyle w:val="st"/>
        </w:rPr>
        <w:t>Nezastupitelnou úlohu ve veřejné podpoře</w:t>
      </w:r>
      <w:r w:rsidR="00193D4D">
        <w:rPr>
          <w:rStyle w:val="st"/>
        </w:rPr>
        <w:t>, jak</w:t>
      </w:r>
      <w:r>
        <w:rPr>
          <w:rStyle w:val="st"/>
        </w:rPr>
        <w:t xml:space="preserve"> již výzkumu a vývoje, tak inovačních činností</w:t>
      </w:r>
      <w:r w:rsidR="0024408B">
        <w:rPr>
          <w:rStyle w:val="st"/>
        </w:rPr>
        <w:t xml:space="preserve"> hraje Evropská unie</w:t>
      </w:r>
      <w:r w:rsidR="00193D4D">
        <w:rPr>
          <w:rStyle w:val="st"/>
        </w:rPr>
        <w:t>,</w:t>
      </w:r>
      <w:r>
        <w:rPr>
          <w:rStyle w:val="st"/>
        </w:rPr>
        <w:t xml:space="preserve"> </w:t>
      </w:r>
      <w:r w:rsidR="0024408B">
        <w:rPr>
          <w:rStyle w:val="st"/>
        </w:rPr>
        <w:t xml:space="preserve">zejména pak </w:t>
      </w:r>
      <w:r>
        <w:rPr>
          <w:rStyle w:val="st"/>
        </w:rPr>
        <w:t>Evropské strukturální a investiční fondy</w:t>
      </w:r>
      <w:r w:rsidR="009E3C9E">
        <w:rPr>
          <w:rStyle w:val="st"/>
        </w:rPr>
        <w:t xml:space="preserve"> (ESIF)</w:t>
      </w:r>
      <w:r>
        <w:rPr>
          <w:rStyle w:val="st"/>
        </w:rPr>
        <w:t>.</w:t>
      </w:r>
      <w:r w:rsidR="009E3C9E">
        <w:rPr>
          <w:rStyle w:val="st"/>
        </w:rPr>
        <w:t xml:space="preserve"> Prostřednictvím těchto fondů byly podpořeny inovační aktivity (včetně výzkumu a vývoje) ve více než desetině inovujících podniků. Téměř shodný podíl byl zjištěn u středních (15,7 %) a velkých (15,9 %) podniků.</w:t>
      </w:r>
      <w:r w:rsidR="0014161A">
        <w:rPr>
          <w:rStyle w:val="st"/>
        </w:rPr>
        <w:t xml:space="preserve"> Z pohledu vlastnictví podniku využívají podporu ze</w:t>
      </w:r>
      <w:r w:rsidR="00392623">
        <w:rPr>
          <w:rStyle w:val="st"/>
        </w:rPr>
        <w:t xml:space="preserve"> strukturálních fondů </w:t>
      </w:r>
      <w:r w:rsidR="0014161A">
        <w:rPr>
          <w:rStyle w:val="st"/>
        </w:rPr>
        <w:t xml:space="preserve">2krát více </w:t>
      </w:r>
      <w:r w:rsidR="00392623">
        <w:rPr>
          <w:rStyle w:val="st"/>
        </w:rPr>
        <w:t xml:space="preserve">inovující </w:t>
      </w:r>
      <w:r w:rsidR="0014161A">
        <w:rPr>
          <w:rStyle w:val="st"/>
        </w:rPr>
        <w:t>domácí podniky než podniky pod zahraniční kontrolou.</w:t>
      </w:r>
      <w:r w:rsidR="009C7DB7">
        <w:rPr>
          <w:rStyle w:val="st"/>
        </w:rPr>
        <w:t xml:space="preserve"> </w:t>
      </w:r>
    </w:p>
    <w:p w14:paraId="4C7CD7B5" w14:textId="77777777" w:rsidR="004C1F63" w:rsidRPr="003C2A63" w:rsidRDefault="004C1F63" w:rsidP="004C1F63">
      <w:pPr>
        <w:spacing w:before="120" w:after="60"/>
        <w:ind w:left="709" w:hanging="709"/>
        <w:rPr>
          <w:rFonts w:cs="Arial"/>
          <w:b/>
          <w:sz w:val="18"/>
          <w:szCs w:val="20"/>
        </w:rPr>
      </w:pPr>
      <w:r>
        <w:rPr>
          <w:rFonts w:cs="Arial"/>
          <w:b/>
          <w:sz w:val="18"/>
          <w:szCs w:val="20"/>
        </w:rPr>
        <w:t xml:space="preserve">GRAF 36 </w:t>
      </w:r>
      <w:r w:rsidRPr="003C2A63">
        <w:rPr>
          <w:rFonts w:cs="Arial"/>
          <w:b/>
          <w:sz w:val="18"/>
          <w:szCs w:val="20"/>
        </w:rPr>
        <w:t>Podíl inovujících podniků</w:t>
      </w:r>
      <w:r>
        <w:rPr>
          <w:rFonts w:cs="Arial"/>
          <w:b/>
          <w:sz w:val="18"/>
          <w:szCs w:val="20"/>
        </w:rPr>
        <w:t xml:space="preserve">, které získaly veřejnou podporu </w:t>
      </w:r>
      <w:r w:rsidRPr="004C1F63">
        <w:rPr>
          <w:rFonts w:cs="Arial"/>
          <w:b/>
          <w:sz w:val="18"/>
          <w:szCs w:val="20"/>
        </w:rPr>
        <w:t>ze zdrojů Evropské unie</w:t>
      </w:r>
      <w:r>
        <w:rPr>
          <w:rFonts w:cs="Arial"/>
          <w:b/>
          <w:sz w:val="18"/>
          <w:szCs w:val="20"/>
        </w:rPr>
        <w:t xml:space="preserve"> pro své inovační činnosti </w:t>
      </w:r>
      <w:r w:rsidRPr="003C2A63">
        <w:rPr>
          <w:rFonts w:cs="Arial"/>
          <w:b/>
          <w:sz w:val="18"/>
          <w:szCs w:val="20"/>
        </w:rPr>
        <w:t xml:space="preserve">podle </w:t>
      </w:r>
      <w:r>
        <w:rPr>
          <w:rFonts w:cs="Arial"/>
          <w:b/>
          <w:sz w:val="18"/>
          <w:szCs w:val="20"/>
        </w:rPr>
        <w:t xml:space="preserve">formy podpory, </w:t>
      </w:r>
      <w:r w:rsidRPr="003C2A63">
        <w:rPr>
          <w:rFonts w:cs="Arial"/>
          <w:b/>
          <w:sz w:val="18"/>
          <w:szCs w:val="20"/>
        </w:rPr>
        <w:t>velik</w:t>
      </w:r>
      <w:r>
        <w:rPr>
          <w:rFonts w:cs="Arial"/>
          <w:b/>
          <w:sz w:val="18"/>
          <w:szCs w:val="20"/>
        </w:rPr>
        <w:t>osti a vlastnictví podniku; 2018–2020</w:t>
      </w:r>
    </w:p>
    <w:p w14:paraId="6C6C1B42" w14:textId="77777777" w:rsidR="00D35107" w:rsidRDefault="00D35107" w:rsidP="00252E04">
      <w:pPr>
        <w:spacing w:before="120" w:line="240" w:lineRule="auto"/>
        <w:rPr>
          <w:rStyle w:val="st"/>
        </w:rPr>
      </w:pPr>
      <w:r>
        <w:rPr>
          <w:noProof/>
        </w:rPr>
        <w:drawing>
          <wp:inline distT="0" distB="0" distL="0" distR="0" wp14:anchorId="3A32AF19" wp14:editId="4574355D">
            <wp:extent cx="6120000" cy="2592000"/>
            <wp:effectExtent l="0" t="0" r="14605" b="18415"/>
            <wp:docPr id="23" name="Graf 23">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A5EB162" w14:textId="77777777" w:rsidR="00D35107" w:rsidRDefault="00D35107" w:rsidP="00F9186B">
      <w:pPr>
        <w:spacing w:before="120" w:after="60"/>
        <w:jc w:val="right"/>
      </w:pPr>
      <w:r w:rsidRPr="00B2746E">
        <w:rPr>
          <w:i/>
          <w:sz w:val="18"/>
        </w:rPr>
        <w:t>Zdroj: ČSÚ, Šetření o inovačních aktivitách podniků</w:t>
      </w:r>
    </w:p>
    <w:p w14:paraId="6DC7C08F" w14:textId="77777777" w:rsidR="00D35107" w:rsidRDefault="00D35107" w:rsidP="00D35107">
      <w:pPr>
        <w:spacing w:before="120" w:after="60"/>
        <w:jc w:val="both"/>
        <w:rPr>
          <w:rStyle w:val="st"/>
        </w:rPr>
      </w:pPr>
      <w:r>
        <w:rPr>
          <w:rStyle w:val="st"/>
        </w:rPr>
        <w:lastRenderedPageBreak/>
        <w:t>Účast inovujících firem v rámcovém programu Horizont 2020 je minimální, menší než jedno procento. V případě velkých podniků dosahuje podíl 2,4 %.</w:t>
      </w:r>
      <w:r w:rsidR="00911563">
        <w:rPr>
          <w:rStyle w:val="st"/>
        </w:rPr>
        <w:t xml:space="preserve"> Z ostatních zdrojů mimo Evropské strukturální a investiční fondy</w:t>
      </w:r>
      <w:r>
        <w:rPr>
          <w:rStyle w:val="st"/>
        </w:rPr>
        <w:t xml:space="preserve"> a Horizont 2020 získalo podporu 2,5 % inovujících firem. V kategorii d</w:t>
      </w:r>
      <w:r w:rsidR="00911563">
        <w:rPr>
          <w:rStyle w:val="st"/>
        </w:rPr>
        <w:t>omácích podniků podíl činil 2,9 </w:t>
      </w:r>
      <w:r>
        <w:rPr>
          <w:rStyle w:val="st"/>
        </w:rPr>
        <w:t>%, oproti 1,1 % u podniků pod zahraniční kontrolou.</w:t>
      </w:r>
    </w:p>
    <w:p w14:paraId="2333247D" w14:textId="77777777" w:rsidR="004638C8" w:rsidRPr="00252E04" w:rsidRDefault="00252E04" w:rsidP="00AF2CC2">
      <w:pPr>
        <w:spacing w:before="120"/>
        <w:rPr>
          <w:rStyle w:val="st"/>
        </w:rPr>
      </w:pPr>
      <w:r w:rsidRPr="00E85123">
        <w:rPr>
          <w:rStyle w:val="st"/>
        </w:rPr>
        <w:t>Informace o využívání veřejné podpory ze zdrojů Evropské unie jsou uvedeny v tabulkách 3</w:t>
      </w:r>
      <w:r w:rsidR="00E85123" w:rsidRPr="00E85123">
        <w:rPr>
          <w:rStyle w:val="st"/>
        </w:rPr>
        <w:t>5</w:t>
      </w:r>
      <w:r w:rsidRPr="00E85123">
        <w:rPr>
          <w:rStyle w:val="st"/>
        </w:rPr>
        <w:t>A a 3</w:t>
      </w:r>
      <w:r w:rsidR="00E85123" w:rsidRPr="00E85123">
        <w:rPr>
          <w:rStyle w:val="st"/>
        </w:rPr>
        <w:t>5</w:t>
      </w:r>
      <w:r w:rsidRPr="00E85123">
        <w:rPr>
          <w:rStyle w:val="st"/>
        </w:rPr>
        <w:t>B a také 3</w:t>
      </w:r>
      <w:r w:rsidR="00E85123" w:rsidRPr="00E85123">
        <w:rPr>
          <w:rStyle w:val="st"/>
        </w:rPr>
        <w:t>6</w:t>
      </w:r>
      <w:r w:rsidRPr="00E85123">
        <w:rPr>
          <w:rStyle w:val="st"/>
        </w:rPr>
        <w:t>A a 3</w:t>
      </w:r>
      <w:r w:rsidR="00E85123" w:rsidRPr="00E85123">
        <w:rPr>
          <w:rStyle w:val="st"/>
        </w:rPr>
        <w:t>6</w:t>
      </w:r>
      <w:r w:rsidRPr="00E85123">
        <w:rPr>
          <w:rStyle w:val="st"/>
        </w:rPr>
        <w:t>B tabulkové přílohy.</w:t>
      </w:r>
      <w:r w:rsidR="004638C8">
        <w:rPr>
          <w:rStyle w:val="st"/>
        </w:rPr>
        <w:br w:type="page"/>
      </w:r>
    </w:p>
    <w:p w14:paraId="7C0B90AB" w14:textId="77777777" w:rsidR="00DC1785" w:rsidRPr="0033205F" w:rsidRDefault="00DC1785" w:rsidP="00DC1785">
      <w:pPr>
        <w:pStyle w:val="Nadpis3"/>
        <w:spacing w:before="240"/>
        <w:rPr>
          <w:rStyle w:val="st"/>
        </w:rPr>
      </w:pPr>
      <w:r>
        <w:rPr>
          <w:rStyle w:val="st"/>
        </w:rPr>
        <w:lastRenderedPageBreak/>
        <w:t>3.2</w:t>
      </w:r>
      <w:r w:rsidRPr="0033205F">
        <w:rPr>
          <w:rStyle w:val="st"/>
        </w:rPr>
        <w:t>.</w:t>
      </w:r>
      <w:r w:rsidR="00160D8D">
        <w:rPr>
          <w:rStyle w:val="st"/>
        </w:rPr>
        <w:t>7</w:t>
      </w:r>
      <w:r w:rsidRPr="0033205F">
        <w:rPr>
          <w:rStyle w:val="st"/>
        </w:rPr>
        <w:t xml:space="preserve"> </w:t>
      </w:r>
      <w:r>
        <w:rPr>
          <w:rStyle w:val="st"/>
        </w:rPr>
        <w:t xml:space="preserve">Spolupráce </w:t>
      </w:r>
      <w:r w:rsidR="00B01A65">
        <w:rPr>
          <w:rStyle w:val="st"/>
        </w:rPr>
        <w:t>podniků na inovačních činnostech</w:t>
      </w:r>
    </w:p>
    <w:p w14:paraId="62B9F857" w14:textId="77777777" w:rsidR="00EE595E" w:rsidRDefault="009B3FE8" w:rsidP="00A46FE5">
      <w:pPr>
        <w:spacing w:before="120"/>
        <w:jc w:val="both"/>
      </w:pPr>
      <w:r>
        <w:t xml:space="preserve">Jak již bylo v předchozí části uvedeno, podniky mohou vyvíjet inovace sami ve vlastní režii nebo také ve spolupráci s jinými podniky či organizacemi. </w:t>
      </w:r>
      <w:r w:rsidR="00123CAC">
        <w:t>Spolupráce podniků na inovačních činnostech je sledována podle typ</w:t>
      </w:r>
      <w:r w:rsidR="00EE595E">
        <w:t>u spolupracujícího partnera a země, odkud tento partner pochází.</w:t>
      </w:r>
      <w:r w:rsidR="00507DDE">
        <w:t xml:space="preserve"> Spolupráce se mohla týkat výzkumných a vývojových činností, ostatních inovačních činností nebo jiných podnikových činností nesouvisejících s inovacemi.</w:t>
      </w:r>
    </w:p>
    <w:p w14:paraId="13790424" w14:textId="77777777" w:rsidR="00EE595E" w:rsidRPr="0063241B" w:rsidRDefault="007C5565" w:rsidP="00EE595E">
      <w:pPr>
        <w:spacing w:before="120"/>
        <w:jc w:val="both"/>
      </w:pPr>
      <w:r>
        <w:t xml:space="preserve">V období </w:t>
      </w:r>
      <w:r w:rsidR="00751040">
        <w:t xml:space="preserve">let </w:t>
      </w:r>
      <w:r w:rsidR="00942AA3">
        <w:t>2018 až 2020</w:t>
      </w:r>
      <w:r>
        <w:t xml:space="preserve"> </w:t>
      </w:r>
      <w:r w:rsidRPr="004C71C2">
        <w:t xml:space="preserve">spolupracovalo na </w:t>
      </w:r>
      <w:r w:rsidR="0063241B" w:rsidRPr="004C71C2">
        <w:t xml:space="preserve">podnikových činnostech s jiným subjektem </w:t>
      </w:r>
      <w:r w:rsidR="004C71C2">
        <w:t xml:space="preserve">celkem </w:t>
      </w:r>
      <w:r w:rsidR="0063241B" w:rsidRPr="004C71C2">
        <w:t>20,5</w:t>
      </w:r>
      <w:r w:rsidR="003441BE" w:rsidRPr="004C71C2">
        <w:t> </w:t>
      </w:r>
      <w:r w:rsidRPr="004C71C2">
        <w:t xml:space="preserve">% </w:t>
      </w:r>
      <w:r w:rsidR="00466731">
        <w:t xml:space="preserve">všech </w:t>
      </w:r>
      <w:r w:rsidRPr="004C71C2">
        <w:t>podniků.</w:t>
      </w:r>
      <w:r w:rsidR="00EE595E" w:rsidRPr="0063241B">
        <w:t xml:space="preserve"> </w:t>
      </w:r>
      <w:r w:rsidR="004C71C2" w:rsidRPr="004C71C2">
        <w:rPr>
          <w:b/>
        </w:rPr>
        <w:t>Do podnikových činností spojených s inovacemi</w:t>
      </w:r>
      <w:r w:rsidR="004C71C2">
        <w:t xml:space="preserve">, kam se řadí i výzkum a vývoj, </w:t>
      </w:r>
      <w:r w:rsidR="004C71C2" w:rsidRPr="004C71C2">
        <w:rPr>
          <w:b/>
        </w:rPr>
        <w:t>bylo aktivně zapojeno 16,5 % podniků</w:t>
      </w:r>
      <w:r w:rsidR="004C71C2">
        <w:t xml:space="preserve">, </w:t>
      </w:r>
      <w:r w:rsidR="004C71C2" w:rsidRPr="004C71C2">
        <w:rPr>
          <w:b/>
        </w:rPr>
        <w:t>ve skupině inovujících podniků to bylo 28,6 % z nich</w:t>
      </w:r>
      <w:r w:rsidR="004C71C2">
        <w:t xml:space="preserve">. </w:t>
      </w:r>
    </w:p>
    <w:p w14:paraId="24A08716" w14:textId="77777777" w:rsidR="001420C7" w:rsidRDefault="00D9164E" w:rsidP="004B6BA1">
      <w:pPr>
        <w:spacing w:before="60" w:after="60"/>
        <w:jc w:val="both"/>
      </w:pPr>
      <w:r w:rsidRPr="00965CD1">
        <w:t>Na inovačních činnostech v</w:t>
      </w:r>
      <w:r w:rsidR="001420C7" w:rsidRPr="00965CD1">
        <w:t>íce spolupracovaly podniky pod zahraniční kontrolu</w:t>
      </w:r>
      <w:r w:rsidRPr="00965CD1">
        <w:t xml:space="preserve"> (</w:t>
      </w:r>
      <w:r w:rsidR="00965CD1" w:rsidRPr="00965CD1">
        <w:t>36,7</w:t>
      </w:r>
      <w:r w:rsidR="003441BE" w:rsidRPr="00965CD1">
        <w:t> </w:t>
      </w:r>
      <w:r w:rsidR="00965CD1" w:rsidRPr="00965CD1">
        <w:t>%</w:t>
      </w:r>
      <w:r w:rsidR="00466731">
        <w:t xml:space="preserve"> inovujících podniků pod zahraniční kontrolou</w:t>
      </w:r>
      <w:r w:rsidR="00965CD1" w:rsidRPr="00965CD1">
        <w:t>) než podniky domácí (26,3</w:t>
      </w:r>
      <w:r w:rsidR="003441BE" w:rsidRPr="00965CD1">
        <w:t> </w:t>
      </w:r>
      <w:r w:rsidR="001420C7" w:rsidRPr="00965CD1">
        <w:t xml:space="preserve">%). </w:t>
      </w:r>
      <w:r w:rsidR="00EF0DAB">
        <w:t xml:space="preserve">Zatímco </w:t>
      </w:r>
      <w:r w:rsidR="003441BE">
        <w:t>z</w:t>
      </w:r>
      <w:r w:rsidR="001420C7">
        <w:t xml:space="preserve">ahraniční podniky </w:t>
      </w:r>
      <w:r w:rsidR="00EF0DAB">
        <w:t xml:space="preserve">mohou </w:t>
      </w:r>
      <w:r w:rsidR="001420C7">
        <w:t>využíva</w:t>
      </w:r>
      <w:r w:rsidR="003441BE">
        <w:t>t</w:t>
      </w:r>
      <w:r w:rsidR="001420C7">
        <w:t xml:space="preserve"> možnost</w:t>
      </w:r>
      <w:r w:rsidR="003441BE">
        <w:t>i</w:t>
      </w:r>
      <w:r w:rsidR="00380CC2">
        <w:t>, které nabízí</w:t>
      </w:r>
      <w:r w:rsidR="001420C7">
        <w:t xml:space="preserve"> spolupráce v rámci podnikové skupiny </w:t>
      </w:r>
      <w:r w:rsidR="00380CC2">
        <w:t xml:space="preserve">(například </w:t>
      </w:r>
      <w:r w:rsidR="00F50EBA">
        <w:t xml:space="preserve">podílet se </w:t>
      </w:r>
      <w:r w:rsidR="00380CC2">
        <w:t xml:space="preserve">na </w:t>
      </w:r>
      <w:r w:rsidR="001420C7">
        <w:t>výz</w:t>
      </w:r>
      <w:r w:rsidR="00380CC2">
        <w:t>kumu a vývoji)</w:t>
      </w:r>
      <w:r w:rsidR="00553DE4">
        <w:t>,</w:t>
      </w:r>
      <w:r w:rsidR="003441BE">
        <w:t xml:space="preserve"> tak</w:t>
      </w:r>
      <w:r w:rsidR="003B771D">
        <w:t xml:space="preserve"> </w:t>
      </w:r>
      <w:r w:rsidR="003441BE">
        <w:t>d</w:t>
      </w:r>
      <w:r w:rsidR="001420C7">
        <w:t>omácí podniky mají omezenější možnosti.</w:t>
      </w:r>
    </w:p>
    <w:p w14:paraId="3D6B1EB3" w14:textId="77777777" w:rsidR="001A26ED" w:rsidRPr="00F549DE" w:rsidRDefault="00364E4D" w:rsidP="004B6BA1">
      <w:pPr>
        <w:spacing w:before="60" w:after="60"/>
        <w:jc w:val="both"/>
      </w:pPr>
      <w:r w:rsidRPr="00F549DE">
        <w:t>U velkých podniků spolupr</w:t>
      </w:r>
      <w:r w:rsidR="00955AF6">
        <w:t>acovala na inovačních činnostech</w:t>
      </w:r>
      <w:r w:rsidRPr="00F549DE">
        <w:t xml:space="preserve"> více než polovina z nich, konkrétně </w:t>
      </w:r>
      <w:r w:rsidR="00965CD1">
        <w:t>57,7</w:t>
      </w:r>
      <w:r w:rsidR="003B771D">
        <w:t> </w:t>
      </w:r>
      <w:r w:rsidRPr="00F549DE">
        <w:t>%. V případě středních a malých podniků to bylo méně než 50</w:t>
      </w:r>
      <w:r w:rsidR="003B771D">
        <w:t> </w:t>
      </w:r>
      <w:r w:rsidRPr="00F549DE">
        <w:t>%.</w:t>
      </w:r>
    </w:p>
    <w:p w14:paraId="51858C59" w14:textId="44E9EEE6" w:rsidR="001420C7" w:rsidRPr="00921C0A" w:rsidRDefault="001A26ED" w:rsidP="004B6BA1">
      <w:pPr>
        <w:spacing w:before="60" w:after="60"/>
        <w:jc w:val="both"/>
      </w:pPr>
      <w:r w:rsidRPr="00921C0A">
        <w:t>Nejvíce spolupr</w:t>
      </w:r>
      <w:r w:rsidR="00BD5326" w:rsidRPr="00921C0A">
        <w:t>acovaly na inovačních činnostech</w:t>
      </w:r>
      <w:r w:rsidR="00A7638F">
        <w:t xml:space="preserve"> podniky v informačních a komunikačních činnostech</w:t>
      </w:r>
      <w:r w:rsidR="00BD5326" w:rsidRPr="00921C0A">
        <w:t xml:space="preserve"> (4</w:t>
      </w:r>
      <w:r w:rsidR="00A7638F">
        <w:t>0,2</w:t>
      </w:r>
      <w:r w:rsidR="00BD5326" w:rsidRPr="00921C0A">
        <w:t> </w:t>
      </w:r>
      <w:r w:rsidRPr="00921C0A">
        <w:t>%). Ve zpracovatels</w:t>
      </w:r>
      <w:r w:rsidR="00BD5326" w:rsidRPr="00921C0A">
        <w:t xml:space="preserve">kém průmyslu </w:t>
      </w:r>
      <w:r w:rsidR="00785AFA" w:rsidRPr="00921C0A">
        <w:t>spolupracoval</w:t>
      </w:r>
      <w:r w:rsidR="00785AFA">
        <w:t>a</w:t>
      </w:r>
      <w:r w:rsidR="00785AFA" w:rsidRPr="00921C0A">
        <w:t xml:space="preserve"> </w:t>
      </w:r>
      <w:r w:rsidR="008440B2">
        <w:t>méně než třetina inovujících firem</w:t>
      </w:r>
      <w:r w:rsidRPr="00921C0A">
        <w:t>.</w:t>
      </w:r>
    </w:p>
    <w:p w14:paraId="0B660B93" w14:textId="654912C6" w:rsidR="007C5565" w:rsidRPr="00921C0A" w:rsidRDefault="007A6B30" w:rsidP="004B6BA1">
      <w:pPr>
        <w:spacing w:before="60" w:after="60"/>
        <w:jc w:val="both"/>
      </w:pPr>
      <w:r w:rsidRPr="00921C0A">
        <w:t xml:space="preserve">Podniky </w:t>
      </w:r>
      <w:r w:rsidRPr="00EA5C46">
        <w:rPr>
          <w:b/>
          <w:bCs/>
        </w:rPr>
        <w:t>nejčastěji</w:t>
      </w:r>
      <w:r w:rsidRPr="00921C0A">
        <w:t xml:space="preserve"> </w:t>
      </w:r>
      <w:r w:rsidR="00921C0A" w:rsidRPr="00921C0A">
        <w:t>na svých inovačních činnostech</w:t>
      </w:r>
      <w:r w:rsidR="00A9414B" w:rsidRPr="00921C0A">
        <w:t xml:space="preserve"> </w:t>
      </w:r>
      <w:r w:rsidR="00A9414B" w:rsidRPr="00EA5C46">
        <w:rPr>
          <w:b/>
          <w:bCs/>
        </w:rPr>
        <w:t>spolupracovaly s partnerem z</w:t>
      </w:r>
      <w:r w:rsidR="009B65A4">
        <w:rPr>
          <w:b/>
          <w:bCs/>
        </w:rPr>
        <w:t> </w:t>
      </w:r>
      <w:r w:rsidR="00F75C57" w:rsidRPr="00EA5C46">
        <w:rPr>
          <w:b/>
          <w:bCs/>
        </w:rPr>
        <w:t>Č</w:t>
      </w:r>
      <w:r w:rsidR="004B6BA1" w:rsidRPr="00EA5C46">
        <w:rPr>
          <w:b/>
          <w:bCs/>
        </w:rPr>
        <w:t>eska</w:t>
      </w:r>
      <w:r w:rsidR="009B65A4">
        <w:t>. Tento</w:t>
      </w:r>
      <w:r w:rsidR="0073646A">
        <w:t xml:space="preserve"> </w:t>
      </w:r>
      <w:r w:rsidR="009B65A4">
        <w:t xml:space="preserve">typ </w:t>
      </w:r>
      <w:r w:rsidR="0073646A">
        <w:t>s</w:t>
      </w:r>
      <w:r w:rsidR="009B65A4">
        <w:t>polupráce</w:t>
      </w:r>
      <w:r w:rsidR="00F75C57" w:rsidRPr="00921C0A">
        <w:t xml:space="preserve"> </w:t>
      </w:r>
      <w:r w:rsidR="00A9414B" w:rsidRPr="00921C0A">
        <w:t>uvedl</w:t>
      </w:r>
      <w:r w:rsidR="00EA5C46">
        <w:t>a</w:t>
      </w:r>
      <w:r w:rsidR="00921C0A" w:rsidRPr="00921C0A">
        <w:t xml:space="preserve"> </w:t>
      </w:r>
      <w:r w:rsidR="00EA5C46">
        <w:t>čtvrtina</w:t>
      </w:r>
      <w:r w:rsidR="00A9414B" w:rsidRPr="00921C0A">
        <w:t xml:space="preserve"> inovujíc</w:t>
      </w:r>
      <w:r w:rsidR="00921C0A" w:rsidRPr="00921C0A">
        <w:t>ích podniků. O polovinu méně</w:t>
      </w:r>
      <w:r w:rsidR="00A9414B" w:rsidRPr="00921C0A">
        <w:t xml:space="preserve"> inovujících podniků spolupracovalo na inovacích</w:t>
      </w:r>
      <w:r w:rsidR="00921C0A" w:rsidRPr="00921C0A">
        <w:t xml:space="preserve"> s partnerem z</w:t>
      </w:r>
      <w:r w:rsidR="00304E60">
        <w:t> evropských zemí</w:t>
      </w:r>
      <w:r w:rsidR="00921C0A" w:rsidRPr="00921C0A">
        <w:t> </w:t>
      </w:r>
      <w:r w:rsidR="003E1343">
        <w:t>(EU</w:t>
      </w:r>
      <w:r w:rsidR="00304E60">
        <w:t xml:space="preserve"> či přidružených zemí </w:t>
      </w:r>
      <w:r w:rsidR="00921C0A" w:rsidRPr="00921C0A">
        <w:t>EFTA)</w:t>
      </w:r>
      <w:r w:rsidR="00A9414B" w:rsidRPr="00921C0A">
        <w:t>. S partnerem z ostatní</w:t>
      </w:r>
      <w:r w:rsidR="00553DE4">
        <w:t>ch zemí světa spolupracoval</w:t>
      </w:r>
      <w:r w:rsidR="002865CD">
        <w:t>o</w:t>
      </w:r>
      <w:r w:rsidR="00921C0A" w:rsidRPr="00921C0A">
        <w:t xml:space="preserve"> pouze 3</w:t>
      </w:r>
      <w:r w:rsidR="003E1343">
        <w:t>,8</w:t>
      </w:r>
      <w:r w:rsidR="0073646A">
        <w:t> </w:t>
      </w:r>
      <w:r w:rsidR="00A9414B" w:rsidRPr="00921C0A">
        <w:t>% inovujících podniků.</w:t>
      </w:r>
    </w:p>
    <w:p w14:paraId="64D6C6B0" w14:textId="77777777" w:rsidR="00A9414B" w:rsidRPr="00921C0A" w:rsidRDefault="00921C0A" w:rsidP="004B6BA1">
      <w:pPr>
        <w:spacing w:before="60" w:after="60"/>
        <w:jc w:val="both"/>
      </w:pPr>
      <w:r>
        <w:t>S partnery na celosvětové úrovni</w:t>
      </w:r>
      <w:r w:rsidR="00A9414B" w:rsidRPr="00921C0A">
        <w:t xml:space="preserve"> více</w:t>
      </w:r>
      <w:r w:rsidR="00466731">
        <w:t xml:space="preserve"> na inovačních činnostech</w:t>
      </w:r>
      <w:r w:rsidR="00A9414B" w:rsidRPr="00921C0A">
        <w:t xml:space="preserve"> spolupracovaly podniky pod zahraniční kontrolou</w:t>
      </w:r>
      <w:r w:rsidR="003B0D8D">
        <w:t xml:space="preserve"> (8,4</w:t>
      </w:r>
      <w:r w:rsidRPr="00921C0A">
        <w:t> %)</w:t>
      </w:r>
      <w:r w:rsidR="00A9414B" w:rsidRPr="00921C0A">
        <w:t xml:space="preserve"> než domácí podniky</w:t>
      </w:r>
      <w:r w:rsidRPr="00921C0A">
        <w:t xml:space="preserve"> (</w:t>
      </w:r>
      <w:r w:rsidR="004B6BA1">
        <w:t>2</w:t>
      </w:r>
      <w:r w:rsidR="003B0D8D">
        <w:t>,5</w:t>
      </w:r>
      <w:r w:rsidRPr="00921C0A">
        <w:t> %)</w:t>
      </w:r>
      <w:r w:rsidR="00A9414B" w:rsidRPr="00921C0A">
        <w:t xml:space="preserve">, stejně tak </w:t>
      </w:r>
      <w:r w:rsidR="00F75C57" w:rsidRPr="00921C0A">
        <w:t xml:space="preserve">ve větší míře </w:t>
      </w:r>
      <w:r w:rsidR="00A9414B" w:rsidRPr="00921C0A">
        <w:t>velké podniky</w:t>
      </w:r>
      <w:r w:rsidRPr="00921C0A">
        <w:t xml:space="preserve"> (</w:t>
      </w:r>
      <w:r w:rsidR="003B0D8D">
        <w:t>12,3</w:t>
      </w:r>
      <w:r w:rsidRPr="00921C0A">
        <w:t> %)</w:t>
      </w:r>
      <w:r w:rsidR="00A9414B" w:rsidRPr="00921C0A">
        <w:t xml:space="preserve"> než střední</w:t>
      </w:r>
      <w:r w:rsidRPr="00921C0A">
        <w:t xml:space="preserve"> (</w:t>
      </w:r>
      <w:r w:rsidR="003B0D8D">
        <w:t>5,8</w:t>
      </w:r>
      <w:r w:rsidR="002A7417">
        <w:t> </w:t>
      </w:r>
      <w:r w:rsidRPr="00921C0A">
        <w:t>%) a malé (</w:t>
      </w:r>
      <w:r w:rsidR="004B6BA1">
        <w:t>2</w:t>
      </w:r>
      <w:r w:rsidR="003B0D8D">
        <w:t>,2</w:t>
      </w:r>
      <w:r w:rsidR="002A7417">
        <w:t> </w:t>
      </w:r>
      <w:r w:rsidRPr="00921C0A">
        <w:t>%)</w:t>
      </w:r>
      <w:r w:rsidR="00A9414B" w:rsidRPr="00921C0A">
        <w:t>.</w:t>
      </w:r>
      <w:r w:rsidR="00D66145">
        <w:t xml:space="preserve"> Podniky pod zahraniční kontrolou spíše spolupracovaly na inovačních činnostech s partnery z evropských zemí než s partnery z Česka, u domácích podniků to bylo naopak. </w:t>
      </w:r>
    </w:p>
    <w:p w14:paraId="1E91484C" w14:textId="77777777" w:rsidR="006022F3" w:rsidRPr="0020602B" w:rsidRDefault="006022F3" w:rsidP="004638C8">
      <w:pPr>
        <w:spacing w:before="120" w:after="60"/>
        <w:ind w:left="851" w:hanging="851"/>
        <w:rPr>
          <w:b/>
          <w:sz w:val="18"/>
        </w:rPr>
      </w:pPr>
      <w:r w:rsidRPr="0020602B">
        <w:rPr>
          <w:b/>
          <w:sz w:val="18"/>
        </w:rPr>
        <w:t>G</w:t>
      </w:r>
      <w:r w:rsidR="003B0D8D">
        <w:rPr>
          <w:b/>
          <w:sz w:val="18"/>
        </w:rPr>
        <w:t>RAF 37</w:t>
      </w:r>
      <w:r w:rsidRPr="0020602B">
        <w:rPr>
          <w:b/>
          <w:sz w:val="18"/>
        </w:rPr>
        <w:t xml:space="preserve"> Podíl </w:t>
      </w:r>
      <w:r w:rsidR="00593360" w:rsidRPr="0020602B">
        <w:rPr>
          <w:b/>
          <w:sz w:val="18"/>
        </w:rPr>
        <w:t xml:space="preserve">inovujících </w:t>
      </w:r>
      <w:r w:rsidRPr="0020602B">
        <w:rPr>
          <w:b/>
          <w:sz w:val="18"/>
        </w:rPr>
        <w:t>podniků, které spolupracovaly na inovačních aktivitách podle země spolupracujícího partnera</w:t>
      </w:r>
      <w:r w:rsidR="003B0D8D">
        <w:rPr>
          <w:b/>
          <w:sz w:val="18"/>
        </w:rPr>
        <w:t>; 2018–2020</w:t>
      </w:r>
    </w:p>
    <w:p w14:paraId="468F56D6" w14:textId="77777777" w:rsidR="006427F8" w:rsidRDefault="00F45337" w:rsidP="002E415C">
      <w:r>
        <w:rPr>
          <w:noProof/>
        </w:rPr>
        <w:drawing>
          <wp:inline distT="0" distB="0" distL="0" distR="0" wp14:anchorId="162FFE1D" wp14:editId="4A346365">
            <wp:extent cx="6120000" cy="2880000"/>
            <wp:effectExtent l="0" t="0" r="14605" b="15875"/>
            <wp:docPr id="39" name="Graf 39">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40337AC" w14:textId="77777777" w:rsidR="006427F8" w:rsidRDefault="00320BE7" w:rsidP="002E415C">
      <w:pPr>
        <w:rPr>
          <w:i/>
          <w:sz w:val="18"/>
        </w:rPr>
      </w:pPr>
      <w:r w:rsidRPr="006E2F59">
        <w:rPr>
          <w:i/>
          <w:sz w:val="18"/>
        </w:rPr>
        <w:t>POZN.: Podniky mohly uvést víc</w:t>
      </w:r>
      <w:r w:rsidR="00F75C57">
        <w:rPr>
          <w:i/>
          <w:sz w:val="18"/>
        </w:rPr>
        <w:t>e</w:t>
      </w:r>
      <w:r w:rsidRPr="006E2F59">
        <w:rPr>
          <w:i/>
          <w:sz w:val="18"/>
        </w:rPr>
        <w:t xml:space="preserve"> jak jednu z uvedených možností.</w:t>
      </w:r>
    </w:p>
    <w:p w14:paraId="0A7B727E" w14:textId="77777777" w:rsidR="004A794B" w:rsidRDefault="004A794B" w:rsidP="004A794B">
      <w:pPr>
        <w:spacing w:before="120" w:after="60"/>
        <w:jc w:val="right"/>
      </w:pPr>
      <w:r w:rsidRPr="00B2746E">
        <w:rPr>
          <w:i/>
          <w:sz w:val="18"/>
        </w:rPr>
        <w:t>Zdroj: ČSÚ, Šetření o inovačních aktivitách podniků</w:t>
      </w:r>
    </w:p>
    <w:p w14:paraId="3CE3F74F" w14:textId="77777777" w:rsidR="004A794B" w:rsidRPr="006E2F59" w:rsidRDefault="004A794B" w:rsidP="002E415C">
      <w:pPr>
        <w:rPr>
          <w:i/>
          <w:sz w:val="18"/>
        </w:rPr>
      </w:pPr>
    </w:p>
    <w:p w14:paraId="109359A2" w14:textId="6EE5D133" w:rsidR="00053B15" w:rsidRDefault="000B1D0D" w:rsidP="00925126">
      <w:pPr>
        <w:spacing w:before="120"/>
        <w:jc w:val="both"/>
      </w:pPr>
      <w:r w:rsidRPr="000B1D0D">
        <w:lastRenderedPageBreak/>
        <w:t>Inovující podniky nejčastěji</w:t>
      </w:r>
      <w:r>
        <w:t xml:space="preserve"> </w:t>
      </w:r>
      <w:r w:rsidRPr="008A6493">
        <w:rPr>
          <w:b/>
        </w:rPr>
        <w:t>spolupracovaly</w:t>
      </w:r>
      <w:r>
        <w:rPr>
          <w:b/>
        </w:rPr>
        <w:t xml:space="preserve"> </w:t>
      </w:r>
      <w:r w:rsidR="00212203">
        <w:rPr>
          <w:b/>
        </w:rPr>
        <w:t>na</w:t>
      </w:r>
      <w:r w:rsidR="00593360" w:rsidRPr="00925126">
        <w:t xml:space="preserve"> inovační</w:t>
      </w:r>
      <w:r w:rsidR="00212203">
        <w:t>ch</w:t>
      </w:r>
      <w:r w:rsidR="00593360" w:rsidRPr="00925126">
        <w:t xml:space="preserve"> </w:t>
      </w:r>
      <w:r w:rsidR="00212203">
        <w:t>činnostech</w:t>
      </w:r>
      <w:r w:rsidR="00593360" w:rsidRPr="00925126">
        <w:t xml:space="preserve"> </w:t>
      </w:r>
      <w:r>
        <w:t>s</w:t>
      </w:r>
      <w:r w:rsidR="00593360" w:rsidRPr="00925126">
        <w:t xml:space="preserve"> </w:t>
      </w:r>
      <w:r w:rsidR="00593360" w:rsidRPr="00FD623B">
        <w:rPr>
          <w:b/>
        </w:rPr>
        <w:t>dodavatel</w:t>
      </w:r>
      <w:r>
        <w:rPr>
          <w:b/>
        </w:rPr>
        <w:t>i</w:t>
      </w:r>
      <w:r w:rsidR="00593360" w:rsidRPr="00FD623B">
        <w:rPr>
          <w:b/>
        </w:rPr>
        <w:t xml:space="preserve"> zařízení, materiálů, součástí nebo softwaru </w:t>
      </w:r>
      <w:r w:rsidR="00F9362A" w:rsidRPr="00212203">
        <w:t>(</w:t>
      </w:r>
      <w:r>
        <w:t>uvedlo</w:t>
      </w:r>
      <w:r w:rsidR="00F9362A" w:rsidRPr="00212203">
        <w:t xml:space="preserve"> 1</w:t>
      </w:r>
      <w:r w:rsidR="003934E8">
        <w:t>5,2</w:t>
      </w:r>
      <w:r w:rsidR="00593360" w:rsidRPr="00212203">
        <w:t> % inovujících podniků)</w:t>
      </w:r>
      <w:r w:rsidR="00593360" w:rsidRPr="00BC7B1E">
        <w:t>.</w:t>
      </w:r>
      <w:r w:rsidR="00593360" w:rsidRPr="00925126">
        <w:t xml:space="preserve"> </w:t>
      </w:r>
      <w:r w:rsidR="005D5E79" w:rsidRPr="00925126">
        <w:t>Druhým</w:t>
      </w:r>
      <w:r w:rsidR="004159BE" w:rsidRPr="00925126">
        <w:t xml:space="preserve"> </w:t>
      </w:r>
      <w:r>
        <w:t xml:space="preserve">nejčastějším </w:t>
      </w:r>
      <w:r w:rsidRPr="00925126">
        <w:t>partnerem</w:t>
      </w:r>
      <w:r w:rsidR="004159BE" w:rsidRPr="00925126">
        <w:t xml:space="preserve"> </w:t>
      </w:r>
      <w:r w:rsidR="00053B15">
        <w:t xml:space="preserve">pro inovace </w:t>
      </w:r>
      <w:r w:rsidR="004159BE" w:rsidRPr="00925126">
        <w:t>byly</w:t>
      </w:r>
      <w:r w:rsidR="00053B15">
        <w:t xml:space="preserve"> </w:t>
      </w:r>
      <w:r w:rsidR="00B8352B">
        <w:t xml:space="preserve">pro </w:t>
      </w:r>
      <w:r w:rsidR="00B7748E">
        <w:t xml:space="preserve">firmy </w:t>
      </w:r>
      <w:r w:rsidR="003934E8">
        <w:t>ostatní podniky v rámci podnikové skupiny</w:t>
      </w:r>
      <w:r w:rsidR="004159BE" w:rsidRPr="00925126">
        <w:t xml:space="preserve"> </w:t>
      </w:r>
      <w:r w:rsidR="00925126" w:rsidRPr="00925126">
        <w:t>(</w:t>
      </w:r>
      <w:r w:rsidR="00053B15">
        <w:t xml:space="preserve">uvedlo </w:t>
      </w:r>
      <w:r w:rsidR="003934E8">
        <w:t>10,4</w:t>
      </w:r>
      <w:r w:rsidR="00BC7B1E">
        <w:t> </w:t>
      </w:r>
      <w:r w:rsidR="004159BE" w:rsidRPr="00925126">
        <w:t>%).</w:t>
      </w:r>
      <w:r w:rsidR="000F5CB5">
        <w:t xml:space="preserve"> </w:t>
      </w:r>
      <w:r>
        <w:t>Desetina inovujících podniků spolupracovala na inovačních činnostech s</w:t>
      </w:r>
      <w:r w:rsidR="000F5CB5">
        <w:t xml:space="preserve"> klienty a zákazníky ze soukromého sektoru. </w:t>
      </w:r>
      <w:r w:rsidR="004D1F8B">
        <w:t>Obdobně desetina inovujících podniků spolupracovala na inovacích s vysokými školami.</w:t>
      </w:r>
      <w:r w:rsidR="004159BE" w:rsidRPr="00925126">
        <w:t xml:space="preserve"> </w:t>
      </w:r>
    </w:p>
    <w:p w14:paraId="7FE25DB6" w14:textId="0CE7D9CD" w:rsidR="006427F8" w:rsidRPr="00212203" w:rsidRDefault="00925126" w:rsidP="003B4DF4">
      <w:pPr>
        <w:spacing w:before="60" w:after="60"/>
        <w:jc w:val="both"/>
      </w:pPr>
      <w:r>
        <w:t xml:space="preserve">Pro podniky pod zahraniční kontrolou byly </w:t>
      </w:r>
      <w:r w:rsidR="000B1D0D">
        <w:t>nejčastějšími partnery</w:t>
      </w:r>
      <w:r>
        <w:t xml:space="preserve"> pro inovační činnosti ostatní podniky v rámci podnikové skupiny (26</w:t>
      </w:r>
      <w:r w:rsidR="00991F8B">
        <w:t>,8</w:t>
      </w:r>
      <w:r>
        <w:t> %).</w:t>
      </w:r>
      <w:r w:rsidR="00224AF0">
        <w:t xml:space="preserve"> Druhým v pořadí pak </w:t>
      </w:r>
      <w:r w:rsidR="00224AF0" w:rsidRPr="00224AF0">
        <w:t>dodavatelé zařízení, materiálů, součástí nebo softwaru</w:t>
      </w:r>
      <w:r w:rsidR="00224AF0">
        <w:t xml:space="preserve"> (</w:t>
      </w:r>
      <w:r w:rsidR="00991F8B">
        <w:t>18,1</w:t>
      </w:r>
      <w:r w:rsidR="003B4DF4">
        <w:t xml:space="preserve"> %). </w:t>
      </w:r>
      <w:r w:rsidR="00991F8B">
        <w:t>Z</w:t>
      </w:r>
      <w:r w:rsidR="00B7748E">
        <w:t>ahraniční podniky</w:t>
      </w:r>
      <w:r w:rsidR="003B4DF4">
        <w:t xml:space="preserve"> </w:t>
      </w:r>
      <w:r w:rsidR="00991F8B">
        <w:t>na svých inovačních činnostech více spolupracovaly s konzultanty, komerčními laboratořemi nebo soukromými výzkumnými a vývojovými institucemi</w:t>
      </w:r>
      <w:r w:rsidR="00B568BA">
        <w:t xml:space="preserve"> (uvedlo 11,8 %)</w:t>
      </w:r>
      <w:r w:rsidR="00991F8B">
        <w:t xml:space="preserve"> </w:t>
      </w:r>
      <w:r w:rsidR="003B4DF4">
        <w:t>než domácí podniky</w:t>
      </w:r>
      <w:r w:rsidR="00B568BA">
        <w:t xml:space="preserve"> (9,6 %)</w:t>
      </w:r>
      <w:r w:rsidR="003B4DF4">
        <w:t>.</w:t>
      </w:r>
    </w:p>
    <w:p w14:paraId="2A32025C" w14:textId="050FD6C4" w:rsidR="006427F8" w:rsidRPr="008C2515" w:rsidRDefault="004E5851" w:rsidP="00F57A19">
      <w:pPr>
        <w:spacing w:before="120" w:after="60"/>
        <w:ind w:left="851" w:hanging="851"/>
        <w:rPr>
          <w:b/>
          <w:sz w:val="18"/>
        </w:rPr>
      </w:pPr>
      <w:r w:rsidRPr="008C2515">
        <w:rPr>
          <w:b/>
          <w:sz w:val="18"/>
        </w:rPr>
        <w:t>G</w:t>
      </w:r>
      <w:r w:rsidR="008A277B">
        <w:rPr>
          <w:b/>
          <w:sz w:val="18"/>
        </w:rPr>
        <w:t>RAF 38</w:t>
      </w:r>
      <w:r w:rsidRPr="008C2515">
        <w:rPr>
          <w:b/>
          <w:sz w:val="18"/>
        </w:rPr>
        <w:t xml:space="preserve"> </w:t>
      </w:r>
      <w:r w:rsidR="00F57A19" w:rsidRPr="00F57A19">
        <w:rPr>
          <w:b/>
          <w:sz w:val="18"/>
        </w:rPr>
        <w:t xml:space="preserve">Podíl inovujících podniků, které spolupracovaly na </w:t>
      </w:r>
      <w:r w:rsidR="00F57A19">
        <w:rPr>
          <w:b/>
          <w:sz w:val="18"/>
        </w:rPr>
        <w:t>inovačních aktivitách podle typu</w:t>
      </w:r>
      <w:r w:rsidR="00F57A19" w:rsidRPr="00F57A19">
        <w:rPr>
          <w:b/>
          <w:sz w:val="18"/>
        </w:rPr>
        <w:t xml:space="preserve"> spolupracujícího partnera</w:t>
      </w:r>
      <w:r w:rsidR="008A277B">
        <w:rPr>
          <w:b/>
          <w:sz w:val="18"/>
        </w:rPr>
        <w:t>; 2018–2020</w:t>
      </w:r>
    </w:p>
    <w:p w14:paraId="5B9144FC" w14:textId="77777777" w:rsidR="006427F8" w:rsidRDefault="00937BF3" w:rsidP="002E415C">
      <w:r>
        <w:rPr>
          <w:noProof/>
        </w:rPr>
        <w:drawing>
          <wp:inline distT="0" distB="0" distL="0" distR="0" wp14:anchorId="56D5F0C2" wp14:editId="68821EDC">
            <wp:extent cx="6120000" cy="4000500"/>
            <wp:effectExtent l="0" t="0" r="14605" b="0"/>
            <wp:docPr id="40" name="Graf 40">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F104EE9" w14:textId="77777777" w:rsidR="004A794B" w:rsidRDefault="004A794B" w:rsidP="004A794B">
      <w:pPr>
        <w:spacing w:before="120" w:after="60"/>
        <w:jc w:val="right"/>
      </w:pPr>
      <w:r w:rsidRPr="00B2746E">
        <w:rPr>
          <w:i/>
          <w:sz w:val="18"/>
        </w:rPr>
        <w:t>Zdroj: ČSÚ, Šetření o inovačních aktivitách podniků</w:t>
      </w:r>
    </w:p>
    <w:p w14:paraId="5FB038E7" w14:textId="7E9A607B" w:rsidR="006B0BF5" w:rsidRDefault="006B0BF5" w:rsidP="006B0BF5">
      <w:pPr>
        <w:spacing w:before="120" w:after="60"/>
        <w:jc w:val="both"/>
        <w:rPr>
          <w:rStyle w:val="st"/>
        </w:rPr>
      </w:pPr>
      <w:r w:rsidRPr="001C460C">
        <w:rPr>
          <w:rStyle w:val="st"/>
        </w:rPr>
        <w:t>Kompletní informace lze nalézt v tabulkách 3</w:t>
      </w:r>
      <w:r w:rsidR="000B1D0D">
        <w:rPr>
          <w:rStyle w:val="st"/>
        </w:rPr>
        <w:t>9</w:t>
      </w:r>
      <w:r w:rsidRPr="001C460C">
        <w:rPr>
          <w:rStyle w:val="st"/>
        </w:rPr>
        <w:t>A a 3</w:t>
      </w:r>
      <w:r w:rsidR="000B1D0D">
        <w:rPr>
          <w:rStyle w:val="st"/>
        </w:rPr>
        <w:t>9</w:t>
      </w:r>
      <w:r w:rsidRPr="001C460C">
        <w:rPr>
          <w:rStyle w:val="st"/>
        </w:rPr>
        <w:t>B.</w:t>
      </w:r>
    </w:p>
    <w:p w14:paraId="0683E44B" w14:textId="77777777" w:rsidR="006B0BF5" w:rsidRDefault="006B0BF5" w:rsidP="002E415C"/>
    <w:p w14:paraId="0CD9B3B7" w14:textId="77777777" w:rsidR="008A1AF6" w:rsidRDefault="008A1AF6" w:rsidP="008A1AF6">
      <w:pPr>
        <w:pStyle w:val="Nadpis3"/>
        <w:pageBreakBefore/>
        <w:spacing w:before="240"/>
        <w:rPr>
          <w:rStyle w:val="st"/>
        </w:rPr>
      </w:pPr>
      <w:r>
        <w:rPr>
          <w:rStyle w:val="st"/>
        </w:rPr>
        <w:lastRenderedPageBreak/>
        <w:t>3.2</w:t>
      </w:r>
      <w:r w:rsidRPr="0033205F">
        <w:rPr>
          <w:rStyle w:val="st"/>
        </w:rPr>
        <w:t>.</w:t>
      </w:r>
      <w:r>
        <w:rPr>
          <w:rStyle w:val="st"/>
        </w:rPr>
        <w:t>8</w:t>
      </w:r>
      <w:r w:rsidRPr="0033205F">
        <w:rPr>
          <w:rStyle w:val="st"/>
        </w:rPr>
        <w:t xml:space="preserve"> </w:t>
      </w:r>
      <w:r>
        <w:rPr>
          <w:rStyle w:val="st"/>
        </w:rPr>
        <w:t>Faktory omezující inovační aktivity</w:t>
      </w:r>
    </w:p>
    <w:p w14:paraId="16D03C3D" w14:textId="468E4EC1" w:rsidR="002A4939" w:rsidRDefault="000505AA" w:rsidP="000505AA">
      <w:pPr>
        <w:spacing w:before="120"/>
        <w:jc w:val="both"/>
      </w:pPr>
      <w:r>
        <w:t xml:space="preserve">Firmy byly v rámci šetření dotazovány </w:t>
      </w:r>
      <w:r w:rsidR="00B15B3D">
        <w:t xml:space="preserve">na </w:t>
      </w:r>
      <w:r>
        <w:t xml:space="preserve">význam </w:t>
      </w:r>
      <w:r w:rsidRPr="00974DDA">
        <w:rPr>
          <w:b/>
        </w:rPr>
        <w:t>faktorů omezujících</w:t>
      </w:r>
      <w:r>
        <w:t xml:space="preserve"> jejich </w:t>
      </w:r>
      <w:r w:rsidRPr="00974DDA">
        <w:rPr>
          <w:b/>
        </w:rPr>
        <w:t>inovační činnosti</w:t>
      </w:r>
      <w:r>
        <w:t xml:space="preserve">. </w:t>
      </w:r>
      <w:r w:rsidR="002A4939">
        <w:t>Jedná se o omezující faktory finanční povahy nebo nefinanční povahy</w:t>
      </w:r>
      <w:r w:rsidR="00DB5E79">
        <w:t>.</w:t>
      </w:r>
      <w:r w:rsidR="002A4939">
        <w:t xml:space="preserve"> </w:t>
      </w:r>
    </w:p>
    <w:p w14:paraId="4DA3B1F2" w14:textId="77777777" w:rsidR="009B12D0" w:rsidRDefault="000505AA" w:rsidP="000505AA">
      <w:pPr>
        <w:spacing w:before="120"/>
        <w:jc w:val="both"/>
      </w:pPr>
      <w:r>
        <w:t xml:space="preserve">Podniky provádějící inovační aktivity považovaly v letech 2018 až 2020 za nejvýznamnější finanční faktor, který </w:t>
      </w:r>
      <w:r w:rsidR="00974DDA">
        <w:t>omezoval jejich inovační úsilí</w:t>
      </w:r>
      <w:r w:rsidR="00B15B3D">
        <w:t>,</w:t>
      </w:r>
      <w:r w:rsidR="00974DDA">
        <w:t xml:space="preserve"> </w:t>
      </w:r>
      <w:r w:rsidRPr="00974DDA">
        <w:rPr>
          <w:b/>
        </w:rPr>
        <w:t>příliš vysoké náklady spojené s inovačními činnostmi</w:t>
      </w:r>
      <w:r>
        <w:t xml:space="preserve">. </w:t>
      </w:r>
      <w:r w:rsidR="00B15B3D">
        <w:t xml:space="preserve">Ten označila </w:t>
      </w:r>
      <w:r>
        <w:t>více než čtvrtina inovujících firem.</w:t>
      </w:r>
      <w:r w:rsidR="0069022D">
        <w:t xml:space="preserve"> Dalšími omezujícími faktory byly nedostatek vlastních finančních prostředků a nízká či nejistá návratnost investic do inovací</w:t>
      </w:r>
      <w:r w:rsidR="00CD7E62">
        <w:t>, které</w:t>
      </w:r>
      <w:r w:rsidR="00B15B3D">
        <w:t xml:space="preserve"> u</w:t>
      </w:r>
      <w:r w:rsidR="0069022D">
        <w:t>vedla pětina inovujících firem. Za nejméně omezující finanční faktor firmy považovaly obtíže při získání bankovního úvěru. Tak se vyjádřilo pouze 5,8 % inovujících firem.</w:t>
      </w:r>
    </w:p>
    <w:p w14:paraId="1BEE7D30" w14:textId="2AD39028" w:rsidR="00922B8B" w:rsidRDefault="009B12D0" w:rsidP="000505AA">
      <w:pPr>
        <w:spacing w:before="120"/>
        <w:jc w:val="both"/>
      </w:pPr>
      <w:r>
        <w:t>Pro velké podniky byl nedostatek vlastních finančních prostředků méně významný</w:t>
      </w:r>
      <w:r w:rsidR="00BC4B88">
        <w:t>m</w:t>
      </w:r>
      <w:r>
        <w:t xml:space="preserve"> omezují</w:t>
      </w:r>
      <w:r w:rsidR="00AF7101">
        <w:t>cí</w:t>
      </w:r>
      <w:r w:rsidR="00BC4B88">
        <w:t>m</w:t>
      </w:r>
      <w:r w:rsidR="00AF7101">
        <w:t xml:space="preserve"> faktor</w:t>
      </w:r>
      <w:r w:rsidR="00BC4B88">
        <w:t>em</w:t>
      </w:r>
      <w:r w:rsidR="00AF7101">
        <w:t>. Tento faktor označil</w:t>
      </w:r>
      <w:r>
        <w:t xml:space="preserve"> za významný pouze jeden</w:t>
      </w:r>
      <w:r w:rsidR="00AB34A3">
        <w:t xml:space="preserve"> velký</w:t>
      </w:r>
      <w:r>
        <w:t xml:space="preserve"> podnik z deseti. </w:t>
      </w:r>
      <w:r w:rsidR="00AB34A3">
        <w:t>V souhrnu nebyly p</w:t>
      </w:r>
      <w:r>
        <w:t xml:space="preserve">ro velké podniky finanční faktory omezující inovační aktivity tak </w:t>
      </w:r>
      <w:r w:rsidR="00AB34A3">
        <w:t>zásadní</w:t>
      </w:r>
      <w:r>
        <w:t>, jako u malých a středních podniků</w:t>
      </w:r>
      <w:r w:rsidR="008F4CB3">
        <w:t>.</w:t>
      </w:r>
    </w:p>
    <w:p w14:paraId="27455FF9" w14:textId="77777777" w:rsidR="000F4485" w:rsidRDefault="000F4485" w:rsidP="000505AA">
      <w:pPr>
        <w:spacing w:before="120"/>
        <w:jc w:val="both"/>
      </w:pPr>
      <w:r>
        <w:t>Ve zpracovatelském průmyslu shledalo rovných 28 %</w:t>
      </w:r>
      <w:r w:rsidR="00AF7101">
        <w:t xml:space="preserve"> inovujících podniků jako nejvíce</w:t>
      </w:r>
      <w:r>
        <w:t xml:space="preserve"> omezující příliš vysoké náklady spojené s inovačními činnostmi. Naopak v odvětvích služeb byl tento podíl nižší například v informačních a komunikačních činnostech, kde dosáhl 19,3 % a peněžnictví a pojišťovnictví (15,8 %). </w:t>
      </w:r>
    </w:p>
    <w:p w14:paraId="2B7F9C84" w14:textId="77777777" w:rsidR="000275E8" w:rsidRPr="001C460C" w:rsidRDefault="000275E8" w:rsidP="000275E8">
      <w:pPr>
        <w:spacing w:before="120" w:after="60"/>
        <w:jc w:val="both"/>
      </w:pPr>
      <w:r w:rsidRPr="001C460C">
        <w:rPr>
          <w:rStyle w:val="st"/>
        </w:rPr>
        <w:t xml:space="preserve">Kompletní informace lze nalézt v tabulkách </w:t>
      </w:r>
      <w:r w:rsidR="001C460C" w:rsidRPr="001C460C">
        <w:rPr>
          <w:rStyle w:val="st"/>
        </w:rPr>
        <w:t>40</w:t>
      </w:r>
      <w:r w:rsidRPr="001C460C">
        <w:rPr>
          <w:rStyle w:val="st"/>
        </w:rPr>
        <w:t xml:space="preserve">A a </w:t>
      </w:r>
      <w:r w:rsidR="001C460C" w:rsidRPr="001C460C">
        <w:rPr>
          <w:rStyle w:val="st"/>
        </w:rPr>
        <w:t>40</w:t>
      </w:r>
      <w:r w:rsidRPr="001C460C">
        <w:rPr>
          <w:rStyle w:val="st"/>
        </w:rPr>
        <w:t>B.</w:t>
      </w:r>
    </w:p>
    <w:p w14:paraId="59A42B40" w14:textId="77777777" w:rsidR="00C84E00" w:rsidRDefault="00922B8B" w:rsidP="000505AA">
      <w:pPr>
        <w:spacing w:before="120"/>
        <w:jc w:val="both"/>
      </w:pPr>
      <w:r w:rsidRPr="001C460C">
        <w:t>Obdobná situace</w:t>
      </w:r>
      <w:r w:rsidR="00D10123" w:rsidRPr="001C460C">
        <w:t xml:space="preserve"> (pořadí omezujících faktorů)</w:t>
      </w:r>
      <w:r w:rsidRPr="001C460C">
        <w:t>, ale s jinými podíly byla</w:t>
      </w:r>
      <w:r w:rsidR="008F4CB3" w:rsidRPr="001C460C">
        <w:t xml:space="preserve"> z</w:t>
      </w:r>
      <w:r w:rsidR="00D10123" w:rsidRPr="001C460C">
        <w:t>jištěna</w:t>
      </w:r>
      <w:r w:rsidRPr="001C460C">
        <w:t xml:space="preserve"> i ve skupině</w:t>
      </w:r>
      <w:r w:rsidR="009E30CF" w:rsidRPr="001C460C">
        <w:t xml:space="preserve"> podniků bez inovačních aktivit (viz tabulky 4</w:t>
      </w:r>
      <w:r w:rsidR="001C460C" w:rsidRPr="001C460C">
        <w:t>1</w:t>
      </w:r>
      <w:r w:rsidR="009E30CF" w:rsidRPr="001C460C">
        <w:t>A a 4</w:t>
      </w:r>
      <w:r w:rsidR="001C460C" w:rsidRPr="001C460C">
        <w:t>1</w:t>
      </w:r>
      <w:r w:rsidR="009E30CF" w:rsidRPr="001C460C">
        <w:t>B).</w:t>
      </w:r>
      <w:r w:rsidR="0069022D">
        <w:t xml:space="preserve">  </w:t>
      </w:r>
    </w:p>
    <w:p w14:paraId="0A1C120A" w14:textId="77777777" w:rsidR="009D764B" w:rsidRDefault="009D764B" w:rsidP="009D764B">
      <w:pPr>
        <w:spacing w:before="120" w:after="60"/>
        <w:ind w:left="1134" w:hanging="1134"/>
        <w:rPr>
          <w:b/>
          <w:sz w:val="18"/>
        </w:rPr>
      </w:pPr>
      <w:r w:rsidRPr="008C2515">
        <w:rPr>
          <w:b/>
          <w:sz w:val="18"/>
        </w:rPr>
        <w:t>G</w:t>
      </w:r>
      <w:r>
        <w:rPr>
          <w:b/>
          <w:sz w:val="18"/>
        </w:rPr>
        <w:t>RAF 39</w:t>
      </w:r>
      <w:r w:rsidRPr="008C2515">
        <w:rPr>
          <w:b/>
          <w:sz w:val="18"/>
        </w:rPr>
        <w:t xml:space="preserve"> Nevýznamnější</w:t>
      </w:r>
      <w:r w:rsidR="009E30CF">
        <w:rPr>
          <w:b/>
          <w:sz w:val="18"/>
        </w:rPr>
        <w:t>*</w:t>
      </w:r>
      <w:r w:rsidRPr="008C2515">
        <w:rPr>
          <w:b/>
          <w:sz w:val="18"/>
        </w:rPr>
        <w:t xml:space="preserve"> </w:t>
      </w:r>
      <w:r>
        <w:rPr>
          <w:b/>
          <w:sz w:val="18"/>
        </w:rPr>
        <w:t>finanční faktory omezující inovační aktivity u inovujících podniků; 2018–2020</w:t>
      </w:r>
    </w:p>
    <w:p w14:paraId="71ECD0AA" w14:textId="77777777" w:rsidR="009D764B" w:rsidRPr="008C2515" w:rsidRDefault="009D764B" w:rsidP="009D764B">
      <w:pPr>
        <w:spacing w:before="120" w:after="60"/>
        <w:ind w:left="1134" w:hanging="1134"/>
        <w:rPr>
          <w:b/>
          <w:sz w:val="18"/>
        </w:rPr>
      </w:pPr>
      <w:r>
        <w:rPr>
          <w:noProof/>
        </w:rPr>
        <w:drawing>
          <wp:inline distT="0" distB="0" distL="0" distR="0" wp14:anchorId="62E6DCB3" wp14:editId="4DADA5C1">
            <wp:extent cx="6120000" cy="3060000"/>
            <wp:effectExtent l="0" t="0" r="14605" b="7620"/>
            <wp:docPr id="43" name="Graf 43">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50DEB17" w14:textId="77777777" w:rsidR="009E30CF" w:rsidRDefault="009E30CF" w:rsidP="009E30CF">
      <w:pPr>
        <w:spacing w:before="120"/>
        <w:jc w:val="both"/>
        <w:rPr>
          <w:i/>
          <w:sz w:val="18"/>
        </w:rPr>
      </w:pPr>
      <w:r w:rsidRPr="009E30CF">
        <w:rPr>
          <w:i/>
          <w:sz w:val="18"/>
        </w:rPr>
        <w:t>*Podnik označil významnost uvedeného faktoru omezujícího inovační aktivity na škále (nízký</w:t>
      </w:r>
      <w:r w:rsidR="000F1B86">
        <w:rPr>
          <w:i/>
          <w:sz w:val="18"/>
        </w:rPr>
        <w:t xml:space="preserve"> – </w:t>
      </w:r>
      <w:r w:rsidRPr="009E30CF">
        <w:rPr>
          <w:i/>
          <w:sz w:val="18"/>
        </w:rPr>
        <w:t>střední</w:t>
      </w:r>
      <w:r w:rsidR="000F1B86">
        <w:rPr>
          <w:i/>
          <w:sz w:val="18"/>
        </w:rPr>
        <w:t xml:space="preserve"> – </w:t>
      </w:r>
      <w:r w:rsidRPr="009E30CF">
        <w:rPr>
          <w:i/>
          <w:sz w:val="18"/>
        </w:rPr>
        <w:t>vysoký) jako vysokou.</w:t>
      </w:r>
    </w:p>
    <w:p w14:paraId="2200A966" w14:textId="77777777" w:rsidR="004A794B" w:rsidRDefault="004A794B" w:rsidP="004A794B">
      <w:pPr>
        <w:spacing w:before="120" w:after="60"/>
        <w:jc w:val="right"/>
      </w:pPr>
      <w:r w:rsidRPr="00B2746E">
        <w:rPr>
          <w:i/>
          <w:sz w:val="18"/>
        </w:rPr>
        <w:t>Zdroj: ČSÚ, Šetření o inovačních aktivitách podniků</w:t>
      </w:r>
    </w:p>
    <w:p w14:paraId="0E6F71F1" w14:textId="77777777" w:rsidR="008941EC" w:rsidRDefault="009E30CF" w:rsidP="009E30CF">
      <w:pPr>
        <w:spacing w:before="120"/>
        <w:jc w:val="both"/>
      </w:pPr>
      <w:r>
        <w:t xml:space="preserve">Kromě finančních faktorů byly firmy dotazovány i </w:t>
      </w:r>
      <w:r w:rsidR="00962BC7">
        <w:t>na</w:t>
      </w:r>
      <w:r>
        <w:t xml:space="preserve"> </w:t>
      </w:r>
      <w:r w:rsidRPr="006D77D1">
        <w:rPr>
          <w:b/>
        </w:rPr>
        <w:t>nefinanční faktor</w:t>
      </w:r>
      <w:r w:rsidR="00962BC7">
        <w:rPr>
          <w:b/>
        </w:rPr>
        <w:t>y</w:t>
      </w:r>
      <w:r>
        <w:t>, které v daném období omezovaly jejich inovační činnost</w:t>
      </w:r>
      <w:r w:rsidR="00310574">
        <w:t>i</w:t>
      </w:r>
      <w:r>
        <w:t>.</w:t>
      </w:r>
      <w:r w:rsidR="00C038D5">
        <w:t xml:space="preserve"> V rámci těchto faktorů inovující firmy označ</w:t>
      </w:r>
      <w:r w:rsidR="006D77D1">
        <w:t xml:space="preserve">ily jako </w:t>
      </w:r>
      <w:r w:rsidR="00C038D5">
        <w:t xml:space="preserve">nejvíce </w:t>
      </w:r>
      <w:r w:rsidR="006D77D1">
        <w:t xml:space="preserve">omezující </w:t>
      </w:r>
      <w:r w:rsidR="00C038D5" w:rsidRPr="006D77D1">
        <w:rPr>
          <w:b/>
        </w:rPr>
        <w:t>nedostatek kvalifikovaných pracovníků</w:t>
      </w:r>
      <w:r w:rsidR="00C038D5">
        <w:t xml:space="preserve">. Tuto možnost uvedla více než pětina z nich. </w:t>
      </w:r>
      <w:r w:rsidR="00EE6B11">
        <w:t>Dalšími stejně hodnocenými omezujícími faktory byly jiné priority v rámci podniku (uvedlo 16,9 %) a příliš silná soutěž na trhu (15,6 %). Nedostatečné rozhodovací pravomoci podniky pro provádění inovačních činností byly významné pro 8,</w:t>
      </w:r>
      <w:r w:rsidR="00D97A22">
        <w:t xml:space="preserve">8 % inovujících podniků. Za nejméně omezující </w:t>
      </w:r>
      <w:r w:rsidR="00EE6B11">
        <w:t>firmy považovaly nedostatečný přístup k externím z</w:t>
      </w:r>
      <w:r w:rsidR="00D97A22">
        <w:t>nalostem. Tento faktor uvedlo za důležitý</w:t>
      </w:r>
      <w:r w:rsidR="00EE6B11">
        <w:t xml:space="preserve"> 6 % inovujících podniků.</w:t>
      </w:r>
    </w:p>
    <w:p w14:paraId="6472F3C1" w14:textId="77777777" w:rsidR="00FB46C8" w:rsidRDefault="008941EC" w:rsidP="009E30CF">
      <w:pPr>
        <w:spacing w:before="120"/>
        <w:jc w:val="both"/>
      </w:pPr>
      <w:r>
        <w:lastRenderedPageBreak/>
        <w:t xml:space="preserve">Zajímavá situace je při srovnání skupin podniků podle jejich vlastnictví. Podniky </w:t>
      </w:r>
      <w:r w:rsidR="00EA0A1A">
        <w:t xml:space="preserve">pod zahraniční kontrolou považovaly za </w:t>
      </w:r>
      <w:r>
        <w:t xml:space="preserve">nejvýznamnější nefinanční faktor omezující </w:t>
      </w:r>
      <w:r w:rsidR="00EA0A1A">
        <w:t xml:space="preserve">jejich </w:t>
      </w:r>
      <w:r>
        <w:t xml:space="preserve">inovační činnosti nedostatečné rozhodovací pravomoci podniku. Uvedla více než čtvrtina podniků. Souvisí to se zapojením a pozicí podniku v rámci struktury podnikové skupiny, kdy často dochází k rozhodování o tom, </w:t>
      </w:r>
      <w:r w:rsidR="00EA0A1A">
        <w:t>zda má či nemá podnik inovovat</w:t>
      </w:r>
      <w:r>
        <w:t> jinde, zejména v ústředí podnikové skupiny.</w:t>
      </w:r>
      <w:r w:rsidR="00277939">
        <w:t xml:space="preserve"> Naopak pro domácí podniky byl uvedený faktor nejméně omezující. Uvedlo 3,3 % inovujících domácích podniků.</w:t>
      </w:r>
      <w:r w:rsidR="00FB46C8">
        <w:t xml:space="preserve"> </w:t>
      </w:r>
    </w:p>
    <w:p w14:paraId="28FE1EB6" w14:textId="77777777" w:rsidR="000275E8" w:rsidRDefault="00FB46C8" w:rsidP="009E30CF">
      <w:pPr>
        <w:spacing w:before="120"/>
        <w:jc w:val="both"/>
      </w:pPr>
      <w:r>
        <w:t>Ve zpracovatelském průmyslu označila čtvrtina podniků za nejvýznamnější omezujících faktor nedostatek kvalifikovaných pracovníků.</w:t>
      </w:r>
      <w:r w:rsidR="000275E8">
        <w:t xml:space="preserve"> Problém sehnat kvalifikované pracovníky měly i inovující podniky v informačních a komunikačních službách. Za omezující to označilo 26,1 % z nich. </w:t>
      </w:r>
      <w:r>
        <w:t xml:space="preserve"> </w:t>
      </w:r>
    </w:p>
    <w:p w14:paraId="37ECFFAA" w14:textId="77777777" w:rsidR="009D764B" w:rsidRDefault="000275E8" w:rsidP="000275E8">
      <w:pPr>
        <w:spacing w:before="120" w:after="60"/>
        <w:jc w:val="both"/>
      </w:pPr>
      <w:r w:rsidRPr="001C460C">
        <w:rPr>
          <w:rStyle w:val="st"/>
        </w:rPr>
        <w:t>Kompletní informace lze nalézt v tabulkách 4</w:t>
      </w:r>
      <w:r w:rsidR="001C460C" w:rsidRPr="001C460C">
        <w:rPr>
          <w:rStyle w:val="st"/>
        </w:rPr>
        <w:t>2</w:t>
      </w:r>
      <w:r w:rsidRPr="001C460C">
        <w:rPr>
          <w:rStyle w:val="st"/>
        </w:rPr>
        <w:t>A a 42B.</w:t>
      </w:r>
      <w:r w:rsidR="008941EC">
        <w:t xml:space="preserve">  </w:t>
      </w:r>
      <w:r w:rsidR="00EE6B11">
        <w:t xml:space="preserve"> </w:t>
      </w:r>
      <w:r w:rsidR="009E30CF">
        <w:t xml:space="preserve"> </w:t>
      </w:r>
    </w:p>
    <w:p w14:paraId="1A18E48B" w14:textId="5F0F5D25" w:rsidR="003B784A" w:rsidRDefault="003B784A" w:rsidP="003B784A">
      <w:pPr>
        <w:spacing w:before="120" w:after="60"/>
        <w:ind w:left="1134" w:hanging="1134"/>
        <w:rPr>
          <w:b/>
          <w:sz w:val="18"/>
        </w:rPr>
      </w:pPr>
      <w:r w:rsidRPr="008C2515">
        <w:rPr>
          <w:b/>
          <w:sz w:val="18"/>
        </w:rPr>
        <w:t>G</w:t>
      </w:r>
      <w:r>
        <w:rPr>
          <w:b/>
          <w:sz w:val="18"/>
        </w:rPr>
        <w:t>RAF 40</w:t>
      </w:r>
      <w:r w:rsidRPr="008C2515">
        <w:rPr>
          <w:b/>
          <w:sz w:val="18"/>
        </w:rPr>
        <w:t xml:space="preserve"> Nevýznamnější</w:t>
      </w:r>
      <w:r>
        <w:rPr>
          <w:b/>
          <w:sz w:val="18"/>
        </w:rPr>
        <w:t>*</w:t>
      </w:r>
      <w:r w:rsidRPr="008C2515">
        <w:rPr>
          <w:b/>
          <w:sz w:val="18"/>
        </w:rPr>
        <w:t xml:space="preserve"> </w:t>
      </w:r>
      <w:r w:rsidR="00DB5E79">
        <w:rPr>
          <w:b/>
          <w:sz w:val="18"/>
        </w:rPr>
        <w:t>nefinanční</w:t>
      </w:r>
      <w:r>
        <w:rPr>
          <w:b/>
          <w:sz w:val="18"/>
        </w:rPr>
        <w:t xml:space="preserve"> faktory omezující inovační aktivity u inovujících podniků; 2018–2020</w:t>
      </w:r>
    </w:p>
    <w:p w14:paraId="48045C6C" w14:textId="77777777" w:rsidR="003B784A" w:rsidRDefault="00C038D5" w:rsidP="009E30CF">
      <w:pPr>
        <w:spacing w:before="120"/>
        <w:jc w:val="both"/>
      </w:pPr>
      <w:r>
        <w:rPr>
          <w:noProof/>
        </w:rPr>
        <w:drawing>
          <wp:inline distT="0" distB="0" distL="0" distR="0" wp14:anchorId="19BCB814" wp14:editId="77EE9E5F">
            <wp:extent cx="6120000" cy="3096000"/>
            <wp:effectExtent l="0" t="0" r="14605" b="9525"/>
            <wp:docPr id="45" name="Graf 45">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A5A705A" w14:textId="77777777" w:rsidR="000275E8" w:rsidRDefault="000275E8" w:rsidP="000275E8">
      <w:pPr>
        <w:spacing w:before="120"/>
        <w:jc w:val="both"/>
        <w:rPr>
          <w:i/>
          <w:sz w:val="18"/>
        </w:rPr>
      </w:pPr>
      <w:r w:rsidRPr="009E30CF">
        <w:rPr>
          <w:i/>
          <w:sz w:val="18"/>
        </w:rPr>
        <w:t>*Podnik označil významnost uvedeného faktoru omezujícího inovační aktivity na škále (nízký</w:t>
      </w:r>
      <w:r>
        <w:rPr>
          <w:i/>
          <w:sz w:val="18"/>
        </w:rPr>
        <w:t xml:space="preserve"> – </w:t>
      </w:r>
      <w:r w:rsidRPr="009E30CF">
        <w:rPr>
          <w:i/>
          <w:sz w:val="18"/>
        </w:rPr>
        <w:t>střední</w:t>
      </w:r>
      <w:r>
        <w:rPr>
          <w:i/>
          <w:sz w:val="18"/>
        </w:rPr>
        <w:t xml:space="preserve"> – </w:t>
      </w:r>
      <w:r w:rsidRPr="009E30CF">
        <w:rPr>
          <w:i/>
          <w:sz w:val="18"/>
        </w:rPr>
        <w:t>vysoký) jako vysokou.</w:t>
      </w:r>
    </w:p>
    <w:p w14:paraId="2A9513B9" w14:textId="77777777" w:rsidR="004A794B" w:rsidRDefault="004A794B" w:rsidP="000C3B24">
      <w:pPr>
        <w:spacing w:before="60" w:after="60"/>
        <w:jc w:val="right"/>
      </w:pPr>
      <w:r w:rsidRPr="00B2746E">
        <w:rPr>
          <w:i/>
          <w:sz w:val="18"/>
        </w:rPr>
        <w:t>Zdroj: ČSÚ, Šetření o inovačních aktivitách podniků</w:t>
      </w:r>
    </w:p>
    <w:p w14:paraId="342270AE" w14:textId="77777777" w:rsidR="000275E8" w:rsidRDefault="000275E8" w:rsidP="000275E8">
      <w:pPr>
        <w:spacing w:before="120"/>
        <w:jc w:val="both"/>
      </w:pPr>
      <w:r w:rsidRPr="001C460C">
        <w:t>Pro podniky bez inovačních činností jsou pro srovnání uvedeny údaje v tabulkách 4</w:t>
      </w:r>
      <w:r w:rsidR="001C460C" w:rsidRPr="001C460C">
        <w:t>3</w:t>
      </w:r>
      <w:r w:rsidRPr="001C460C">
        <w:t>A a 4</w:t>
      </w:r>
      <w:r w:rsidR="001C460C" w:rsidRPr="001C460C">
        <w:t>3</w:t>
      </w:r>
      <w:r w:rsidRPr="001C460C">
        <w:t>B.</w:t>
      </w:r>
      <w:r>
        <w:t xml:space="preserve">  </w:t>
      </w:r>
    </w:p>
    <w:p w14:paraId="2849A033" w14:textId="77777777" w:rsidR="003B784A" w:rsidRPr="00C84E00" w:rsidRDefault="003B784A" w:rsidP="009E30CF">
      <w:pPr>
        <w:spacing w:before="120"/>
        <w:jc w:val="both"/>
      </w:pPr>
    </w:p>
    <w:p w14:paraId="2B9387F7" w14:textId="77777777" w:rsidR="00567035" w:rsidRDefault="00567035" w:rsidP="00675A9E">
      <w:pPr>
        <w:pStyle w:val="Nadpis3"/>
        <w:pageBreakBefore/>
        <w:spacing w:before="240"/>
        <w:rPr>
          <w:rStyle w:val="st"/>
          <w:b w:val="0"/>
          <w:bCs w:val="0"/>
          <w:color w:val="auto"/>
          <w:sz w:val="20"/>
        </w:rPr>
      </w:pPr>
      <w:r>
        <w:rPr>
          <w:rStyle w:val="st"/>
        </w:rPr>
        <w:lastRenderedPageBreak/>
        <w:t>3.2</w:t>
      </w:r>
      <w:r w:rsidRPr="0033205F">
        <w:rPr>
          <w:rStyle w:val="st"/>
        </w:rPr>
        <w:t>.</w:t>
      </w:r>
      <w:r w:rsidR="008A1AF6">
        <w:rPr>
          <w:rStyle w:val="st"/>
        </w:rPr>
        <w:t>9</w:t>
      </w:r>
      <w:r w:rsidRPr="0033205F">
        <w:rPr>
          <w:rStyle w:val="st"/>
        </w:rPr>
        <w:t xml:space="preserve"> </w:t>
      </w:r>
      <w:r w:rsidR="00FD623B">
        <w:rPr>
          <w:rStyle w:val="st"/>
        </w:rPr>
        <w:t>Inovační činnosti</w:t>
      </w:r>
      <w:r>
        <w:rPr>
          <w:rStyle w:val="st"/>
        </w:rPr>
        <w:t xml:space="preserve"> a duševní vlastnictví</w:t>
      </w:r>
    </w:p>
    <w:p w14:paraId="55D3D47D" w14:textId="77777777" w:rsidR="0094032B" w:rsidRDefault="005105B7" w:rsidP="008609BC">
      <w:pPr>
        <w:spacing w:before="60" w:after="60"/>
        <w:jc w:val="both"/>
      </w:pPr>
      <w:r>
        <w:t>Dvě pětiny</w:t>
      </w:r>
      <w:r w:rsidR="005352AF">
        <w:t xml:space="preserve"> podniků v rámci svých inovačních činností provádí i vlastní výzkum a vývoj. Téměř čtvrtina </w:t>
      </w:r>
      <w:r w:rsidR="009E3035">
        <w:t xml:space="preserve">inovačních </w:t>
      </w:r>
      <w:r w:rsidR="005352AF">
        <w:t>podniků pak aktivity výzkumu a vývoje provádí soustavně. Lze očekávat, že inovu</w:t>
      </w:r>
      <w:r w:rsidR="00D56389">
        <w:t>jící podniky budou více agiln</w:t>
      </w:r>
      <w:r w:rsidR="005352AF">
        <w:t xml:space="preserve">í v produkci výsledků výzkumu a vývoje než jejich neinovující </w:t>
      </w:r>
      <w:r w:rsidR="008609BC">
        <w:t>konkurenti</w:t>
      </w:r>
      <w:r w:rsidR="005352AF">
        <w:t>.</w:t>
      </w:r>
    </w:p>
    <w:p w14:paraId="3A8B9D5F" w14:textId="77777777" w:rsidR="005352AF" w:rsidRDefault="0000614A" w:rsidP="008609BC">
      <w:pPr>
        <w:spacing w:before="60" w:after="60"/>
        <w:jc w:val="both"/>
      </w:pPr>
      <w:r>
        <w:t>V období 2018 až 2020</w:t>
      </w:r>
      <w:r w:rsidR="005352AF">
        <w:t xml:space="preserve"> </w:t>
      </w:r>
      <w:r w:rsidR="005352AF" w:rsidRPr="00FD623B">
        <w:rPr>
          <w:b/>
        </w:rPr>
        <w:t>uplatnilo</w:t>
      </w:r>
      <w:r w:rsidR="005352AF">
        <w:t xml:space="preserve"> některou z forem </w:t>
      </w:r>
      <w:r w:rsidR="005352AF" w:rsidRPr="00FD623B">
        <w:rPr>
          <w:b/>
        </w:rPr>
        <w:t>ochrany průmyslového vlastnictví</w:t>
      </w:r>
      <w:r w:rsidR="005352AF">
        <w:t xml:space="preserve"> (patent, užit</w:t>
      </w:r>
      <w:r w:rsidR="00571628">
        <w:t xml:space="preserve">ný vzor, průmyslový design) </w:t>
      </w:r>
      <w:r>
        <w:rPr>
          <w:b/>
        </w:rPr>
        <w:t>7,3</w:t>
      </w:r>
      <w:r w:rsidR="005352AF" w:rsidRPr="00FD623B">
        <w:rPr>
          <w:b/>
        </w:rPr>
        <w:t> % podniků s inovačními činnostmi</w:t>
      </w:r>
      <w:r w:rsidR="005352AF">
        <w:t>. U podniků bez inovačních činn</w:t>
      </w:r>
      <w:r w:rsidR="00571628">
        <w:t xml:space="preserve">ostí </w:t>
      </w:r>
      <w:r w:rsidR="00817267">
        <w:t>se jednalo</w:t>
      </w:r>
      <w:r w:rsidR="00571628">
        <w:t xml:space="preserve"> pouze </w:t>
      </w:r>
      <w:r w:rsidR="00674219">
        <w:t xml:space="preserve">o </w:t>
      </w:r>
      <w:r>
        <w:t>0,4</w:t>
      </w:r>
      <w:r w:rsidR="00571628">
        <w:t xml:space="preserve"> </w:t>
      </w:r>
      <w:r w:rsidR="005352AF">
        <w:t>procent</w:t>
      </w:r>
      <w:r w:rsidR="00571628">
        <w:t>a</w:t>
      </w:r>
      <w:r w:rsidR="00D30D73">
        <w:t xml:space="preserve"> z nich</w:t>
      </w:r>
      <w:r w:rsidR="005352AF">
        <w:t>.</w:t>
      </w:r>
      <w:r w:rsidR="003E542D">
        <w:t xml:space="preserve"> Podíly inovujících podniků, které požádaly o ochranu jednotlivých předmětů průmyslového vlastnictví, jsou </w:t>
      </w:r>
      <w:r>
        <w:t xml:space="preserve">více méně </w:t>
      </w:r>
      <w:r w:rsidR="003E542D">
        <w:t>vyrovnané. Přihlášku p</w:t>
      </w:r>
      <w:r>
        <w:t>atentu podalo 3,5</w:t>
      </w:r>
      <w:r w:rsidR="00674219">
        <w:t> </w:t>
      </w:r>
      <w:r w:rsidR="003E542D">
        <w:t>% z</w:t>
      </w:r>
      <w:r w:rsidR="00A473F5">
        <w:t xml:space="preserve"> nich. U neinovujících firem </w:t>
      </w:r>
      <w:r w:rsidR="003E542D">
        <w:t xml:space="preserve">byl </w:t>
      </w:r>
      <w:r w:rsidR="00A473F5">
        <w:t xml:space="preserve">podíl </w:t>
      </w:r>
      <w:r w:rsidR="003E542D">
        <w:t>zanedbateln</w:t>
      </w:r>
      <w:r w:rsidR="00C84CD5">
        <w:t>ý</w:t>
      </w:r>
      <w:r w:rsidR="003E542D">
        <w:t xml:space="preserve"> (0,3 %). </w:t>
      </w:r>
      <w:r w:rsidR="002F13A6">
        <w:t>Při</w:t>
      </w:r>
      <w:r>
        <w:t>hlášku užitného vzoru podalo 5,6</w:t>
      </w:r>
      <w:r w:rsidR="002F13A6">
        <w:t> % inovujících podniků a přih</w:t>
      </w:r>
      <w:r>
        <w:t>lášku průmyslového vzoru pak 2,8</w:t>
      </w:r>
      <w:r w:rsidR="002F13A6">
        <w:t> %.</w:t>
      </w:r>
    </w:p>
    <w:p w14:paraId="192116D0" w14:textId="4B83E1FE" w:rsidR="00264BA9" w:rsidRDefault="009A195A" w:rsidP="008609BC">
      <w:pPr>
        <w:spacing w:before="60" w:after="60"/>
        <w:jc w:val="both"/>
      </w:pPr>
      <w:r>
        <w:t xml:space="preserve">S rostoucí velikostí podniku roste i produkce předmětů průmyslového vlastnictví. Inovující velké podniky, které intenzivněji provádí výzkum a vývoj, také častěji podávají přihlášky </w:t>
      </w:r>
      <w:r w:rsidR="009E3035">
        <w:t xml:space="preserve">k ochraně </w:t>
      </w:r>
      <w:r>
        <w:t xml:space="preserve">průmyslového vlastnictví. </w:t>
      </w:r>
      <w:r w:rsidR="002A7E18">
        <w:t xml:space="preserve">Některou z forem ochrany průmyslového vlastnictví </w:t>
      </w:r>
      <w:r w:rsidR="0012408F">
        <w:t>uplatnil</w:t>
      </w:r>
      <w:r w:rsidR="005B2673">
        <w:t>a</w:t>
      </w:r>
      <w:r w:rsidR="0012408F">
        <w:t xml:space="preserve"> </w:t>
      </w:r>
      <w:r w:rsidR="005B2673">
        <w:t xml:space="preserve">čtvrtina </w:t>
      </w:r>
      <w:r w:rsidR="0012408F">
        <w:t>z nich. U malých</w:t>
      </w:r>
      <w:r w:rsidR="00A00796">
        <w:t xml:space="preserve"> podniků</w:t>
      </w:r>
      <w:r w:rsidR="00D56389">
        <w:t xml:space="preserve"> to bylo</w:t>
      </w:r>
      <w:r w:rsidR="00571628">
        <w:t xml:space="preserve"> </w:t>
      </w:r>
      <w:r w:rsidR="0000614A">
        <w:t>6</w:t>
      </w:r>
      <w:r w:rsidR="0012408F">
        <w:t xml:space="preserve">krát méně. </w:t>
      </w:r>
      <w:r w:rsidR="00614B3D">
        <w:t xml:space="preserve">Velké podniky využily </w:t>
      </w:r>
      <w:r w:rsidR="009E3035">
        <w:t xml:space="preserve">nepatrně </w:t>
      </w:r>
      <w:r w:rsidR="00614B3D">
        <w:t>více ochranu podáním patentové přihlášky (11,6 %) než podáním přihlášky užitného vzoru (11 %). U malých a středních podniků tomu bylo naopak.</w:t>
      </w:r>
      <w:r w:rsidR="000C3B24">
        <w:t xml:space="preserve"> V případě středních podniků podalo patentovou přihlášku 5,8 % z nich, kdežto přihlášku patentového vzoru 7,7 %. </w:t>
      </w:r>
      <w:r w:rsidR="00614B3D">
        <w:t>Svou roli hrají náklady na jednot</w:t>
      </w:r>
      <w:r w:rsidR="00AE37EB">
        <w:t>livé ochrany, kdy podání ochrany</w:t>
      </w:r>
      <w:r w:rsidR="00614B3D">
        <w:t xml:space="preserve"> užitného vzoru </w:t>
      </w:r>
      <w:r w:rsidR="00F5725D">
        <w:t>je méně nákladné</w:t>
      </w:r>
      <w:r w:rsidR="003E3D05">
        <w:t>,</w:t>
      </w:r>
      <w:r w:rsidR="00614B3D">
        <w:t xml:space="preserve"> než v případě </w:t>
      </w:r>
      <w:r w:rsidR="009C0AC4">
        <w:t xml:space="preserve">patentu, a </w:t>
      </w:r>
      <w:r w:rsidR="00AE37EB">
        <w:t xml:space="preserve">předpokládaná </w:t>
      </w:r>
      <w:r w:rsidR="009C0AC4">
        <w:t xml:space="preserve">působnost </w:t>
      </w:r>
      <w:r w:rsidR="00AE37EB">
        <w:t xml:space="preserve">ochrany </w:t>
      </w:r>
      <w:r w:rsidR="009C0AC4">
        <w:t xml:space="preserve">na </w:t>
      </w:r>
      <w:r w:rsidR="00AE37EB">
        <w:t xml:space="preserve">geografických </w:t>
      </w:r>
      <w:r w:rsidR="009C0AC4">
        <w:t>trzích.</w:t>
      </w:r>
    </w:p>
    <w:p w14:paraId="2574E01D" w14:textId="2B3CA63B" w:rsidR="00264BA9" w:rsidRPr="005531C7" w:rsidRDefault="0000614A" w:rsidP="00675A9E">
      <w:pPr>
        <w:spacing w:before="60" w:after="60"/>
        <w:jc w:val="both"/>
      </w:pPr>
      <w:r w:rsidRPr="005531C7">
        <w:t>O</w:t>
      </w:r>
      <w:r w:rsidR="00264BA9" w:rsidRPr="005531C7">
        <w:t xml:space="preserve">chranu průmyslového vlastnictví </w:t>
      </w:r>
      <w:r w:rsidRPr="005531C7">
        <w:t xml:space="preserve">využívají </w:t>
      </w:r>
      <w:r w:rsidR="00F02958">
        <w:t xml:space="preserve">stejně intenzivně </w:t>
      </w:r>
      <w:r w:rsidR="00264BA9" w:rsidRPr="005531C7">
        <w:t xml:space="preserve">inovující </w:t>
      </w:r>
      <w:r w:rsidR="00675A9E" w:rsidRPr="005531C7">
        <w:t xml:space="preserve">domácí </w:t>
      </w:r>
      <w:r w:rsidRPr="005531C7">
        <w:t xml:space="preserve">podniky </w:t>
      </w:r>
      <w:r w:rsidR="00F02958">
        <w:t xml:space="preserve">i </w:t>
      </w:r>
      <w:r w:rsidR="00264BA9" w:rsidRPr="005531C7">
        <w:t>podniky</w:t>
      </w:r>
      <w:r w:rsidR="00F02958">
        <w:t xml:space="preserve"> </w:t>
      </w:r>
      <w:r w:rsidRPr="005531C7">
        <w:t>pod zahraniční kontrolou</w:t>
      </w:r>
      <w:r w:rsidR="003E3D05">
        <w:t>,</w:t>
      </w:r>
      <w:r w:rsidRPr="005531C7">
        <w:t xml:space="preserve"> </w:t>
      </w:r>
      <w:r w:rsidR="003E3D05">
        <w:t>s</w:t>
      </w:r>
      <w:r w:rsidRPr="005531C7">
        <w:t>hodný podíl 7,3 %.</w:t>
      </w:r>
      <w:r w:rsidR="00264BA9" w:rsidRPr="005531C7">
        <w:t xml:space="preserve"> </w:t>
      </w:r>
    </w:p>
    <w:p w14:paraId="0FC67501" w14:textId="77777777" w:rsidR="009421FA" w:rsidRDefault="00264BA9" w:rsidP="00675A9E">
      <w:pPr>
        <w:spacing w:before="60" w:after="60"/>
        <w:jc w:val="both"/>
      </w:pPr>
      <w:r>
        <w:t>Inov</w:t>
      </w:r>
      <w:r w:rsidR="00034019">
        <w:t>ační</w:t>
      </w:r>
      <w:r>
        <w:t xml:space="preserve"> podniky uplatňují ochranu průmyslového vlastnictví zejména ve vědeckých a technických činno</w:t>
      </w:r>
      <w:r w:rsidR="005531C7">
        <w:t>stech (12</w:t>
      </w:r>
      <w:r>
        <w:t xml:space="preserve"> %) a ve </w:t>
      </w:r>
      <w:r w:rsidRPr="00D61B8E">
        <w:rPr>
          <w:b/>
        </w:rPr>
        <w:t>zpracovatelském průmyslu (1</w:t>
      </w:r>
      <w:r w:rsidR="005531C7">
        <w:rPr>
          <w:b/>
        </w:rPr>
        <w:t>0,6</w:t>
      </w:r>
      <w:r w:rsidRPr="00D61B8E">
        <w:rPr>
          <w:b/>
        </w:rPr>
        <w:t> %)</w:t>
      </w:r>
      <w:r>
        <w:t xml:space="preserve">, ve kterém je premiantem odvětví </w:t>
      </w:r>
      <w:r w:rsidR="005531C7">
        <w:t>elektronického</w:t>
      </w:r>
      <w:r w:rsidRPr="00264BA9">
        <w:t xml:space="preserve"> průmysl</w:t>
      </w:r>
      <w:r w:rsidR="005531C7">
        <w:t>u (20,8</w:t>
      </w:r>
      <w:r>
        <w:t> %)</w:t>
      </w:r>
      <w:r w:rsidR="005531C7">
        <w:t xml:space="preserve"> následované farmaceutickým průmyslem (20,5 %)</w:t>
      </w:r>
      <w:r>
        <w:t>.</w:t>
      </w:r>
    </w:p>
    <w:p w14:paraId="4B83713E" w14:textId="77777777" w:rsidR="009421FA" w:rsidRPr="0020602B" w:rsidRDefault="009421FA" w:rsidP="00A00796">
      <w:pPr>
        <w:spacing w:before="120" w:after="60"/>
        <w:ind w:left="851" w:hanging="851"/>
        <w:rPr>
          <w:b/>
          <w:sz w:val="18"/>
        </w:rPr>
      </w:pPr>
      <w:r w:rsidRPr="0020602B">
        <w:rPr>
          <w:b/>
          <w:sz w:val="18"/>
        </w:rPr>
        <w:t>G</w:t>
      </w:r>
      <w:r w:rsidR="003D0DCA">
        <w:rPr>
          <w:b/>
          <w:sz w:val="18"/>
        </w:rPr>
        <w:t>RAF 41</w:t>
      </w:r>
      <w:r w:rsidRPr="0020602B">
        <w:rPr>
          <w:b/>
          <w:sz w:val="18"/>
        </w:rPr>
        <w:t xml:space="preserve"> Podíl </w:t>
      </w:r>
      <w:r w:rsidR="00232D16">
        <w:rPr>
          <w:b/>
          <w:sz w:val="18"/>
        </w:rPr>
        <w:t xml:space="preserve">inovujících </w:t>
      </w:r>
      <w:r w:rsidRPr="0020602B">
        <w:rPr>
          <w:b/>
          <w:sz w:val="18"/>
        </w:rPr>
        <w:t xml:space="preserve">podniků, které </w:t>
      </w:r>
      <w:r>
        <w:rPr>
          <w:b/>
          <w:sz w:val="18"/>
        </w:rPr>
        <w:t>uplatnily ochranu průmyslového vlastnictví podle</w:t>
      </w:r>
      <w:r w:rsidR="005A7382">
        <w:rPr>
          <w:b/>
          <w:sz w:val="18"/>
        </w:rPr>
        <w:t xml:space="preserve"> předmětu ochrany</w:t>
      </w:r>
      <w:r w:rsidR="003D0DCA">
        <w:rPr>
          <w:b/>
          <w:sz w:val="18"/>
        </w:rPr>
        <w:t>; 2018–2020</w:t>
      </w:r>
    </w:p>
    <w:p w14:paraId="0C9C351D" w14:textId="77777777" w:rsidR="009A195A" w:rsidRPr="0094032B" w:rsidRDefault="00F84C32" w:rsidP="005352AF">
      <w:pPr>
        <w:jc w:val="both"/>
      </w:pPr>
      <w:r>
        <w:rPr>
          <w:noProof/>
        </w:rPr>
        <w:drawing>
          <wp:inline distT="0" distB="0" distL="0" distR="0" wp14:anchorId="183E8AD1" wp14:editId="32602169">
            <wp:extent cx="6120000" cy="2700000"/>
            <wp:effectExtent l="0" t="0" r="14605" b="5715"/>
            <wp:docPr id="46" name="Graf 46">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264BA9">
        <w:t xml:space="preserve"> </w:t>
      </w:r>
      <w:r w:rsidR="009A195A">
        <w:t xml:space="preserve"> </w:t>
      </w:r>
    </w:p>
    <w:p w14:paraId="5FAE47FD" w14:textId="77777777" w:rsidR="000C3B24" w:rsidRDefault="000C3B24" w:rsidP="000C3B24">
      <w:pPr>
        <w:spacing w:before="60" w:after="60"/>
        <w:jc w:val="right"/>
      </w:pPr>
      <w:r w:rsidRPr="00B2746E">
        <w:rPr>
          <w:i/>
          <w:sz w:val="18"/>
        </w:rPr>
        <w:t>Zdroj: ČSÚ, Šetření o inovačních aktivitách podniků</w:t>
      </w:r>
    </w:p>
    <w:p w14:paraId="3C0CA66D" w14:textId="4242D781" w:rsidR="00EA2C15" w:rsidRDefault="008D4F32" w:rsidP="000C3B24">
      <w:pPr>
        <w:spacing w:before="120" w:after="60"/>
        <w:jc w:val="both"/>
        <w:rPr>
          <w:rStyle w:val="st"/>
        </w:rPr>
      </w:pPr>
      <w:r w:rsidRPr="00657258">
        <w:t>Inovující podniky častěji uplatnily svou ochranu průmyslového vlastnictví v Česku (uvedlo 18,8 %) než v zahraničí (8,8 %).</w:t>
      </w:r>
      <w:r w:rsidR="00657258" w:rsidRPr="00657258">
        <w:t xml:space="preserve"> Tato skutečnost platí pro všechny velikostní skupiny i členění podle vlastnictví podniku.</w:t>
      </w:r>
      <w:r w:rsidR="00034019">
        <w:rPr>
          <w:rStyle w:val="st"/>
        </w:rPr>
        <w:t xml:space="preserve"> V případě patentu rovněž</w:t>
      </w:r>
      <w:r w:rsidR="00657258">
        <w:rPr>
          <w:rStyle w:val="st"/>
        </w:rPr>
        <w:t xml:space="preserve"> inovující podniky častěji podaly patentovou přihlášku v Česku než v zahraničí. Platí to pro malé a střední podniky, a také domácí. Velké podniky a také ty pod zahraniční kontrolou podaly více patentových přihlášek v zahraničí než v Česku. </w:t>
      </w:r>
    </w:p>
    <w:p w14:paraId="4C59848E" w14:textId="77777777" w:rsidR="0026171B" w:rsidRDefault="00EA2C15" w:rsidP="00EA2C15">
      <w:pPr>
        <w:spacing w:before="120" w:after="60"/>
        <w:jc w:val="both"/>
      </w:pPr>
      <w:r w:rsidRPr="00960169">
        <w:rPr>
          <w:rStyle w:val="st"/>
        </w:rPr>
        <w:t>Kompletní informace lze nalézt v tabulkách 11A/11B a 13A/13B.</w:t>
      </w:r>
      <w:r>
        <w:t xml:space="preserve">   </w:t>
      </w:r>
    </w:p>
    <w:p w14:paraId="213F1713" w14:textId="77777777" w:rsidR="0026171B" w:rsidRDefault="0026171B" w:rsidP="00EA2C15">
      <w:pPr>
        <w:spacing w:before="120" w:after="60"/>
        <w:jc w:val="both"/>
      </w:pPr>
    </w:p>
    <w:p w14:paraId="0C65056E" w14:textId="77777777" w:rsidR="0026171B" w:rsidRPr="0020602B" w:rsidRDefault="0026171B" w:rsidP="000C3B24">
      <w:pPr>
        <w:spacing w:before="120" w:after="60"/>
        <w:rPr>
          <w:b/>
          <w:sz w:val="18"/>
        </w:rPr>
      </w:pPr>
      <w:r w:rsidRPr="0020602B">
        <w:rPr>
          <w:b/>
          <w:sz w:val="18"/>
        </w:rPr>
        <w:lastRenderedPageBreak/>
        <w:t>G</w:t>
      </w:r>
      <w:r w:rsidR="00F8097A">
        <w:rPr>
          <w:b/>
          <w:sz w:val="18"/>
        </w:rPr>
        <w:t>RAF 42</w:t>
      </w:r>
      <w:r w:rsidRPr="0020602B">
        <w:rPr>
          <w:b/>
          <w:sz w:val="18"/>
        </w:rPr>
        <w:t xml:space="preserve"> Podíl </w:t>
      </w:r>
      <w:r>
        <w:rPr>
          <w:b/>
          <w:sz w:val="18"/>
        </w:rPr>
        <w:t xml:space="preserve">inovujících </w:t>
      </w:r>
      <w:r w:rsidRPr="0020602B">
        <w:rPr>
          <w:b/>
          <w:sz w:val="18"/>
        </w:rPr>
        <w:t xml:space="preserve">podniků, které </w:t>
      </w:r>
      <w:r w:rsidR="00D30D73">
        <w:rPr>
          <w:b/>
          <w:sz w:val="18"/>
        </w:rPr>
        <w:t>nakou</w:t>
      </w:r>
      <w:r w:rsidR="000D2BB6">
        <w:rPr>
          <w:b/>
          <w:sz w:val="18"/>
        </w:rPr>
        <w:t>pily</w:t>
      </w:r>
      <w:r>
        <w:rPr>
          <w:b/>
          <w:sz w:val="18"/>
        </w:rPr>
        <w:t xml:space="preserve"> nebo prodaly předměty duševního vlastnictví; 2018–2020</w:t>
      </w:r>
    </w:p>
    <w:p w14:paraId="1A8DF20E" w14:textId="77777777" w:rsidR="0026171B" w:rsidRDefault="00101D35" w:rsidP="00EA2C15">
      <w:pPr>
        <w:spacing w:before="120" w:after="60"/>
        <w:jc w:val="both"/>
      </w:pPr>
      <w:r>
        <w:rPr>
          <w:noProof/>
        </w:rPr>
        <w:drawing>
          <wp:inline distT="0" distB="0" distL="0" distR="0" wp14:anchorId="2CEE7670" wp14:editId="5342707E">
            <wp:extent cx="6120000" cy="2520000"/>
            <wp:effectExtent l="0" t="0" r="14605" b="13970"/>
            <wp:docPr id="47" name="Graf 47">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28BB330" w14:textId="77777777" w:rsidR="000C3B24" w:rsidRDefault="000C3B24" w:rsidP="000C3B24">
      <w:pPr>
        <w:spacing w:before="60" w:after="60"/>
        <w:jc w:val="right"/>
      </w:pPr>
      <w:r w:rsidRPr="00B2746E">
        <w:rPr>
          <w:i/>
          <w:sz w:val="18"/>
        </w:rPr>
        <w:t>Zdroj: ČSÚ, Šetření o inovačních aktivitách podniků</w:t>
      </w:r>
    </w:p>
    <w:p w14:paraId="546629CE" w14:textId="61675678" w:rsidR="000D2BB6" w:rsidRDefault="00B31E02" w:rsidP="00EA2C15">
      <w:pPr>
        <w:spacing w:before="120" w:after="60"/>
        <w:jc w:val="both"/>
      </w:pPr>
      <w:r>
        <w:t xml:space="preserve">Inovující podniky v období 2018 až 2020 spíše nakoupily licenci </w:t>
      </w:r>
      <w:r w:rsidR="009857CA">
        <w:t xml:space="preserve">na </w:t>
      </w:r>
      <w:r>
        <w:t>právo užívat duševní vlastnictví</w:t>
      </w:r>
      <w:r w:rsidR="007E3D44">
        <w:rPr>
          <w:rStyle w:val="Znakapoznpodarou"/>
        </w:rPr>
        <w:footnoteReference w:id="4"/>
      </w:r>
      <w:r>
        <w:t xml:space="preserve"> od jiného subjektu</w:t>
      </w:r>
      <w:r w:rsidR="00390F56">
        <w:t>,</w:t>
      </w:r>
      <w:r>
        <w:t xml:space="preserve"> než aby licencovaly či prodaly vlastní práva duševního vlastnictví jinému subjektu.</w:t>
      </w:r>
      <w:r w:rsidR="00390F56">
        <w:t xml:space="preserve"> Práva duševního vlastnictví nakoupilo 11,4 %, naopak 6,1 % podniků licencovaly či prodaly vlastní práva duševního vlastnictví</w:t>
      </w:r>
      <w:r w:rsidR="00264B60">
        <w:t xml:space="preserve"> jinému subjektu</w:t>
      </w:r>
      <w:r w:rsidR="00390F56">
        <w:t xml:space="preserve">. </w:t>
      </w:r>
      <w:r w:rsidR="00543C8D">
        <w:t>Mezi velikostními kategoriemi podniků byl n</w:t>
      </w:r>
      <w:r w:rsidR="00F37FEB">
        <w:t xml:space="preserve">ejvýraznější rozdíl v případě velkých podniků, kde licenci nakoupilo 2krát více podniků, než ji naopak licencovalo či prodalo (9,2 %). U podniků pod zahraniční kontrolou byl poměr dokonce ještě vyšší. </w:t>
      </w:r>
    </w:p>
    <w:p w14:paraId="6E5E96DB" w14:textId="77777777" w:rsidR="000D2BB6" w:rsidRPr="0020602B" w:rsidRDefault="000D2BB6" w:rsidP="000D2BB6">
      <w:pPr>
        <w:spacing w:before="120" w:after="60"/>
        <w:ind w:left="851" w:hanging="851"/>
        <w:rPr>
          <w:b/>
          <w:sz w:val="18"/>
        </w:rPr>
      </w:pPr>
      <w:r w:rsidRPr="0020602B">
        <w:rPr>
          <w:b/>
          <w:sz w:val="18"/>
        </w:rPr>
        <w:t>G</w:t>
      </w:r>
      <w:r w:rsidR="00F8097A">
        <w:rPr>
          <w:b/>
          <w:sz w:val="18"/>
        </w:rPr>
        <w:t>RAF 43</w:t>
      </w:r>
      <w:r w:rsidRPr="0020602B">
        <w:rPr>
          <w:b/>
          <w:sz w:val="18"/>
        </w:rPr>
        <w:t xml:space="preserve"> Podíl </w:t>
      </w:r>
      <w:r>
        <w:rPr>
          <w:b/>
          <w:sz w:val="18"/>
        </w:rPr>
        <w:t xml:space="preserve">inovujících </w:t>
      </w:r>
      <w:r w:rsidRPr="0020602B">
        <w:rPr>
          <w:b/>
          <w:sz w:val="18"/>
        </w:rPr>
        <w:t xml:space="preserve">podniků, které </w:t>
      </w:r>
      <w:r w:rsidR="007B656C">
        <w:rPr>
          <w:b/>
          <w:sz w:val="18"/>
        </w:rPr>
        <w:t>nakou</w:t>
      </w:r>
      <w:r>
        <w:rPr>
          <w:b/>
          <w:sz w:val="18"/>
        </w:rPr>
        <w:t>pily předměty duševního vlastnictví podle subjektu, od kterého byla nakoupena; 2018–2020</w:t>
      </w:r>
    </w:p>
    <w:p w14:paraId="3DCE334A" w14:textId="77777777" w:rsidR="0026171B" w:rsidRDefault="00C83D3C" w:rsidP="00EA2C15">
      <w:pPr>
        <w:spacing w:before="120" w:after="60"/>
        <w:jc w:val="both"/>
      </w:pPr>
      <w:r>
        <w:rPr>
          <w:noProof/>
        </w:rPr>
        <w:drawing>
          <wp:inline distT="0" distB="0" distL="0" distR="0" wp14:anchorId="36E26864" wp14:editId="26CB9D45">
            <wp:extent cx="6120000" cy="2664000"/>
            <wp:effectExtent l="0" t="0" r="14605" b="3175"/>
            <wp:docPr id="48" name="Graf 48">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390F56">
        <w:t xml:space="preserve"> </w:t>
      </w:r>
    </w:p>
    <w:p w14:paraId="2A926EBB" w14:textId="77777777" w:rsidR="000C3B24" w:rsidRDefault="00EA2C15" w:rsidP="000C3B24">
      <w:pPr>
        <w:spacing w:before="60" w:after="60"/>
        <w:jc w:val="right"/>
      </w:pPr>
      <w:r>
        <w:t xml:space="preserve"> </w:t>
      </w:r>
      <w:r w:rsidR="000C3B24" w:rsidRPr="00B2746E">
        <w:rPr>
          <w:i/>
          <w:sz w:val="18"/>
        </w:rPr>
        <w:t>Zdroj: ČSÚ, Šetření o inovačních aktivitách podniků</w:t>
      </w:r>
    </w:p>
    <w:p w14:paraId="4EAED566" w14:textId="1E0AE803" w:rsidR="00EA2C15" w:rsidRDefault="007B656C" w:rsidP="00EA2C15">
      <w:pPr>
        <w:spacing w:before="120" w:after="60"/>
        <w:jc w:val="both"/>
      </w:pPr>
      <w:r>
        <w:t>V souhrnu nakoupily inovující podniky nejčastěji předměty duševního vlastnictví od podniku mimo podnikovou skupinu (uvedlo 6,8 %). Tato skutečnost platí i pro malé</w:t>
      </w:r>
      <w:r w:rsidR="009857CA">
        <w:t xml:space="preserve"> i </w:t>
      </w:r>
      <w:r>
        <w:t xml:space="preserve">střední podniky a v kategorii domácích podniků. Velké podniky a podniky pod zahraniční kontrolou nakoupily předměty duševního vlastnictví nejčastěji od podniků v rámci podnikové skupiny. Od výzkumné organizace či vysoké školy nakoupilo předměty duševního vlastnictví něco přes jedno procento </w:t>
      </w:r>
      <w:r w:rsidR="009857CA">
        <w:t xml:space="preserve">všech </w:t>
      </w:r>
      <w:r>
        <w:t>in</w:t>
      </w:r>
      <w:r w:rsidR="00054195">
        <w:t>ovujících podniků, u velkých podniků to bylo 3krát více.</w:t>
      </w:r>
    </w:p>
    <w:p w14:paraId="243D7F40" w14:textId="77777777" w:rsidR="00B12102" w:rsidRDefault="00B12102" w:rsidP="00B12102">
      <w:pPr>
        <w:pStyle w:val="Nadpis3"/>
        <w:spacing w:before="240"/>
        <w:rPr>
          <w:rStyle w:val="st"/>
        </w:rPr>
      </w:pPr>
      <w:proofErr w:type="gramStart"/>
      <w:r>
        <w:rPr>
          <w:rStyle w:val="st"/>
        </w:rPr>
        <w:lastRenderedPageBreak/>
        <w:t>3.2</w:t>
      </w:r>
      <w:r w:rsidRPr="0033205F">
        <w:rPr>
          <w:rStyle w:val="st"/>
        </w:rPr>
        <w:t>.</w:t>
      </w:r>
      <w:r w:rsidR="008A1AF6">
        <w:rPr>
          <w:rStyle w:val="st"/>
        </w:rPr>
        <w:t>10</w:t>
      </w:r>
      <w:proofErr w:type="gramEnd"/>
      <w:r w:rsidRPr="0033205F">
        <w:rPr>
          <w:rStyle w:val="st"/>
        </w:rPr>
        <w:t xml:space="preserve"> </w:t>
      </w:r>
      <w:r w:rsidR="0008794B">
        <w:rPr>
          <w:rStyle w:val="st"/>
        </w:rPr>
        <w:t>Ekologické přínosy inovací</w:t>
      </w:r>
    </w:p>
    <w:p w14:paraId="664781E1" w14:textId="77777777" w:rsidR="00132B06" w:rsidRDefault="008E7B80" w:rsidP="00212E84">
      <w:pPr>
        <w:spacing w:before="60" w:after="60"/>
        <w:jc w:val="both"/>
      </w:pPr>
      <w:r>
        <w:t>V rámci šetření o inovačních čin</w:t>
      </w:r>
      <w:r w:rsidR="00212E84">
        <w:t>nostech podniků byly zjišťovány i pozitivní přínosy pro životní prostředí v</w:t>
      </w:r>
      <w:r w:rsidR="002C49DA">
        <w:t>z</w:t>
      </w:r>
      <w:r w:rsidR="00212E84">
        <w:t>niklé v souvislosti s inovacemi produktů a inovacemi podnikových procesů. Jednak se sledovaly pozitivní přínosy pro životní prostředí spojené s produkcí, distribucí nebo prodejem výrobků a služeb (na straně podniku), a dále pozitivní přínosy spojené s užitím výrobků a služeb (na straně zákazníka).</w:t>
      </w:r>
      <w:r w:rsidR="003576D0">
        <w:t xml:space="preserve"> </w:t>
      </w:r>
    </w:p>
    <w:p w14:paraId="604E8774" w14:textId="46FDC34D" w:rsidR="00641A0F" w:rsidRDefault="00641A0F" w:rsidP="00212E84">
      <w:pPr>
        <w:spacing w:before="60" w:after="60"/>
        <w:jc w:val="both"/>
      </w:pPr>
      <w:r>
        <w:t>Nejvíce inovujících podniků</w:t>
      </w:r>
      <w:r w:rsidR="00864A8F">
        <w:t xml:space="preserve"> (konkrétně 14,1 %)</w:t>
      </w:r>
      <w:r>
        <w:t xml:space="preserve"> označilo za významný </w:t>
      </w:r>
      <w:r w:rsidRPr="002C49DA">
        <w:rPr>
          <w:b/>
        </w:rPr>
        <w:t>pozitivní přínos pro životní prostředí</w:t>
      </w:r>
      <w:r>
        <w:t xml:space="preserve"> spojený s inovacemi </w:t>
      </w:r>
      <w:r w:rsidRPr="002C49DA">
        <w:rPr>
          <w:b/>
        </w:rPr>
        <w:t>na straně podniku</w:t>
      </w:r>
      <w:r>
        <w:t xml:space="preserve"> </w:t>
      </w:r>
      <w:r w:rsidRPr="002C49DA">
        <w:rPr>
          <w:b/>
        </w:rPr>
        <w:t>snížení spotřeby energie</w:t>
      </w:r>
      <w:r>
        <w:t xml:space="preserve">. Ve zpracovatelském průmyslu byl tento podíl vyšší (17,2 %). </w:t>
      </w:r>
      <w:r w:rsidRPr="00864A8F">
        <w:rPr>
          <w:b/>
        </w:rPr>
        <w:t>Snížení spotřeby materiálu nebo vody</w:t>
      </w:r>
      <w:r w:rsidR="00975718">
        <w:t xml:space="preserve"> jako významný přínos pro životní prostředí označila desetina inovujících podniků. V případě podniků ve zpracovatelském průmyslu pak 12 % podniků. </w:t>
      </w:r>
      <w:r w:rsidR="00EF7E64">
        <w:t xml:space="preserve">Zajímavá situace byly zjištěna v případě inovací na straně podniku týkající se </w:t>
      </w:r>
      <w:r w:rsidR="00EF7E64" w:rsidRPr="00864A8F">
        <w:rPr>
          <w:b/>
        </w:rPr>
        <w:t>snížení produkce CO2</w:t>
      </w:r>
      <w:r w:rsidR="00EF7E64">
        <w:t xml:space="preserve">. U inovujících podniků ve zpracovatelském průmyslu tento přínos označilo </w:t>
      </w:r>
      <w:r w:rsidR="009857CA">
        <w:t xml:space="preserve">jen nepatrně </w:t>
      </w:r>
      <w:r w:rsidR="00EF7E64">
        <w:t>méně podniků (8,2 %) než ve skupině všech podniků (8,7 %). U všech ostatních přínosů jsou podíly vyšší u inovujících podniků ve zpracovatelském průmyslu. Nejméně podniků s inovačními činnostmi označilo jako pozitivní přínos pro životní prostředí</w:t>
      </w:r>
      <w:r w:rsidR="005C5E24">
        <w:t xml:space="preserve"> spojený s inovacemi</w:t>
      </w:r>
      <w:r w:rsidR="00EF7E64">
        <w:t xml:space="preserve"> přechod na </w:t>
      </w:r>
      <w:r w:rsidR="00EF7E64" w:rsidRPr="002C49DA">
        <w:rPr>
          <w:b/>
        </w:rPr>
        <w:t>obnovitelné zdroje energie</w:t>
      </w:r>
      <w:r w:rsidR="00EF7E64">
        <w:t xml:space="preserve">. Uvedlo pouze 2,7 % podniků. </w:t>
      </w:r>
      <w:r>
        <w:t xml:space="preserve">  </w:t>
      </w:r>
    </w:p>
    <w:p w14:paraId="3FAF4A80" w14:textId="6BB3F056" w:rsidR="00F2440F" w:rsidRDefault="00F2440F" w:rsidP="00212E84">
      <w:pPr>
        <w:spacing w:before="60" w:after="60"/>
        <w:jc w:val="both"/>
      </w:pPr>
      <w:r>
        <w:t xml:space="preserve">Z odvětví zpracovatelského průmyslu nejvíce </w:t>
      </w:r>
      <w:r w:rsidR="009857CA">
        <w:t xml:space="preserve">považovalo </w:t>
      </w:r>
      <w:r>
        <w:t xml:space="preserve">inovujících podniků snížení energie jako významný pozitivní přínos inovaci v hutním průmyslu (uvedlo 26,8 %) a v dřevozpracujícím a papírenském průmyslu (20,9 %), tedy v energeticky náročných výrobách. </w:t>
      </w:r>
    </w:p>
    <w:p w14:paraId="42C9F6C7" w14:textId="77777777" w:rsidR="003441DB" w:rsidRDefault="003441DB" w:rsidP="00212E84">
      <w:pPr>
        <w:spacing w:before="60" w:after="60"/>
        <w:jc w:val="both"/>
      </w:pPr>
      <w:r w:rsidRPr="00864A8F">
        <w:rPr>
          <w:rStyle w:val="st"/>
        </w:rPr>
        <w:t>Kompletní informace lze nalézt v tabulkách 4</w:t>
      </w:r>
      <w:r w:rsidR="00864A8F" w:rsidRPr="00864A8F">
        <w:rPr>
          <w:rStyle w:val="st"/>
        </w:rPr>
        <w:t>4</w:t>
      </w:r>
      <w:r w:rsidRPr="00864A8F">
        <w:rPr>
          <w:rStyle w:val="st"/>
        </w:rPr>
        <w:t>A a 4</w:t>
      </w:r>
      <w:r w:rsidR="00864A8F" w:rsidRPr="00864A8F">
        <w:rPr>
          <w:rStyle w:val="st"/>
        </w:rPr>
        <w:t>4</w:t>
      </w:r>
      <w:r w:rsidRPr="00864A8F">
        <w:rPr>
          <w:rStyle w:val="st"/>
        </w:rPr>
        <w:t>B.</w:t>
      </w:r>
    </w:p>
    <w:p w14:paraId="590D07CF" w14:textId="77777777" w:rsidR="000F2B1D" w:rsidRPr="0020602B" w:rsidRDefault="000F2B1D" w:rsidP="002B641F">
      <w:pPr>
        <w:spacing w:before="120" w:after="60"/>
        <w:ind w:left="851" w:hanging="851"/>
        <w:jc w:val="both"/>
        <w:rPr>
          <w:b/>
          <w:sz w:val="18"/>
        </w:rPr>
      </w:pPr>
      <w:r w:rsidRPr="0020602B">
        <w:rPr>
          <w:b/>
          <w:sz w:val="18"/>
        </w:rPr>
        <w:t>G</w:t>
      </w:r>
      <w:r w:rsidR="006E254E">
        <w:rPr>
          <w:b/>
          <w:sz w:val="18"/>
        </w:rPr>
        <w:t>RAF 44</w:t>
      </w:r>
      <w:r w:rsidRPr="0020602B">
        <w:rPr>
          <w:b/>
          <w:sz w:val="18"/>
        </w:rPr>
        <w:t xml:space="preserve"> </w:t>
      </w:r>
      <w:r w:rsidR="00666A91">
        <w:rPr>
          <w:b/>
          <w:sz w:val="18"/>
        </w:rPr>
        <w:t>Významné</w:t>
      </w:r>
      <w:r w:rsidR="00291091" w:rsidRPr="008C2515">
        <w:rPr>
          <w:b/>
          <w:sz w:val="18"/>
        </w:rPr>
        <w:t xml:space="preserve"> </w:t>
      </w:r>
      <w:r w:rsidR="00291091">
        <w:rPr>
          <w:b/>
          <w:sz w:val="18"/>
        </w:rPr>
        <w:t>pozitivní přínosy pro životní prostředí vzniklé na straně podniku</w:t>
      </w:r>
      <w:r w:rsidR="002B641F">
        <w:rPr>
          <w:b/>
          <w:sz w:val="18"/>
        </w:rPr>
        <w:t xml:space="preserve"> u inovujících podniků</w:t>
      </w:r>
      <w:r w:rsidR="00291091">
        <w:rPr>
          <w:b/>
          <w:sz w:val="18"/>
        </w:rPr>
        <w:t>; 2018–2020</w:t>
      </w:r>
    </w:p>
    <w:p w14:paraId="63F17008" w14:textId="77777777" w:rsidR="009E005C" w:rsidRPr="0094032B" w:rsidRDefault="00732CB2" w:rsidP="0094032B">
      <w:r>
        <w:rPr>
          <w:noProof/>
        </w:rPr>
        <w:drawing>
          <wp:inline distT="0" distB="0" distL="0" distR="0" wp14:anchorId="6C5D2AD8" wp14:editId="4D4184F2">
            <wp:extent cx="6120000" cy="3816000"/>
            <wp:effectExtent l="0" t="0" r="14605" b="13335"/>
            <wp:docPr id="24" name="Graf 24">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063C8F5" w14:textId="77777777" w:rsidR="00E41720" w:rsidRDefault="00E41720" w:rsidP="00E41720">
      <w:pPr>
        <w:spacing w:before="60" w:after="60"/>
        <w:jc w:val="right"/>
      </w:pPr>
      <w:r w:rsidRPr="00B2746E">
        <w:rPr>
          <w:i/>
          <w:sz w:val="18"/>
        </w:rPr>
        <w:t>Zdroj: ČSÚ, Šetření o inovačních aktivitách podniků</w:t>
      </w:r>
    </w:p>
    <w:p w14:paraId="4F2147FA" w14:textId="34EDCE1B" w:rsidR="001F7E20" w:rsidRDefault="001F7E20" w:rsidP="00CF4D24">
      <w:pPr>
        <w:spacing w:before="120"/>
        <w:jc w:val="both"/>
      </w:pPr>
      <w:r>
        <w:t>Z pohledu inovujících podniků byl</w:t>
      </w:r>
      <w:r w:rsidR="009857CA">
        <w:t>o</w:t>
      </w:r>
      <w:r>
        <w:t xml:space="preserve"> za nejvýznamnější benefit pro životní prostředí spojený s inovacemi na straně zákazníka považováno snížení spotřeby energie. Uvedla rovná desetina podniků. </w:t>
      </w:r>
      <w:r w:rsidR="00932063">
        <w:t>V případě podniků v průmyslových odvětvích to bylo 12,8 %, u služeb méně (6,9 %).</w:t>
      </w:r>
      <w:r>
        <w:t xml:space="preserve"> </w:t>
      </w:r>
      <w:r w:rsidR="008B2D26">
        <w:t>V pořadí dalšími</w:t>
      </w:r>
      <w:r w:rsidR="00357E6F">
        <w:t xml:space="preserve"> byly pozitivní přínosy pro životní prostředí týkající se snížení emisí CO2 (uvedlo 7,9 % inovujících podniků) a usnadnění recyklace výrobků po jejich užití (uvedlo 7,1 %). </w:t>
      </w:r>
    </w:p>
    <w:p w14:paraId="4AD32E04" w14:textId="77777777" w:rsidR="00CD3737" w:rsidRDefault="00CD3737" w:rsidP="00CD3737">
      <w:pPr>
        <w:spacing w:before="60" w:after="60"/>
        <w:jc w:val="both"/>
      </w:pPr>
      <w:r w:rsidRPr="00DF51B3">
        <w:rPr>
          <w:rStyle w:val="st"/>
        </w:rPr>
        <w:t>Kompletní informace lze nalézt v tabulkách 4</w:t>
      </w:r>
      <w:r w:rsidR="00DF51B3" w:rsidRPr="00DF51B3">
        <w:rPr>
          <w:rStyle w:val="st"/>
        </w:rPr>
        <w:t>5</w:t>
      </w:r>
      <w:r w:rsidRPr="00DF51B3">
        <w:rPr>
          <w:rStyle w:val="st"/>
        </w:rPr>
        <w:t>A a 4</w:t>
      </w:r>
      <w:r w:rsidR="00DF51B3" w:rsidRPr="00DF51B3">
        <w:rPr>
          <w:rStyle w:val="st"/>
        </w:rPr>
        <w:t>5</w:t>
      </w:r>
      <w:r w:rsidRPr="00DF51B3">
        <w:rPr>
          <w:rStyle w:val="st"/>
        </w:rPr>
        <w:t>B.</w:t>
      </w:r>
    </w:p>
    <w:p w14:paraId="22993462" w14:textId="77777777" w:rsidR="00A76FE1" w:rsidRPr="0020602B" w:rsidRDefault="00A76FE1" w:rsidP="00A76FE1">
      <w:pPr>
        <w:spacing w:before="120" w:after="60"/>
        <w:ind w:left="851" w:hanging="851"/>
        <w:jc w:val="both"/>
        <w:rPr>
          <w:b/>
          <w:sz w:val="18"/>
        </w:rPr>
      </w:pPr>
      <w:r w:rsidRPr="0020602B">
        <w:rPr>
          <w:b/>
          <w:sz w:val="18"/>
        </w:rPr>
        <w:lastRenderedPageBreak/>
        <w:t>G</w:t>
      </w:r>
      <w:r>
        <w:rPr>
          <w:b/>
          <w:sz w:val="18"/>
        </w:rPr>
        <w:t>RAF 45</w:t>
      </w:r>
      <w:r w:rsidRPr="0020602B">
        <w:rPr>
          <w:b/>
          <w:sz w:val="18"/>
        </w:rPr>
        <w:t xml:space="preserve"> </w:t>
      </w:r>
      <w:r w:rsidR="00666A91">
        <w:rPr>
          <w:b/>
          <w:sz w:val="18"/>
        </w:rPr>
        <w:t>Významné</w:t>
      </w:r>
      <w:r w:rsidRPr="008C2515">
        <w:rPr>
          <w:b/>
          <w:sz w:val="18"/>
        </w:rPr>
        <w:t xml:space="preserve"> </w:t>
      </w:r>
      <w:r>
        <w:rPr>
          <w:b/>
          <w:sz w:val="18"/>
        </w:rPr>
        <w:t xml:space="preserve">pozitivní přínosy pro životní prostředí vzniklé </w:t>
      </w:r>
      <w:r w:rsidR="009F7B16">
        <w:rPr>
          <w:b/>
          <w:sz w:val="18"/>
        </w:rPr>
        <w:t>na straně záka</w:t>
      </w:r>
      <w:r>
        <w:rPr>
          <w:b/>
          <w:sz w:val="18"/>
        </w:rPr>
        <w:t>zníka u inovujících podniků; 2018–2020</w:t>
      </w:r>
    </w:p>
    <w:p w14:paraId="6A7B60C7" w14:textId="77777777" w:rsidR="008523E1" w:rsidRDefault="00930CAC">
      <w:pPr>
        <w:spacing w:line="240" w:lineRule="auto"/>
      </w:pPr>
      <w:r>
        <w:rPr>
          <w:noProof/>
        </w:rPr>
        <w:drawing>
          <wp:inline distT="0" distB="0" distL="0" distR="0" wp14:anchorId="65962814" wp14:editId="4C8C843F">
            <wp:extent cx="6120000" cy="3168000"/>
            <wp:effectExtent l="0" t="0" r="14605" b="13970"/>
            <wp:docPr id="50" name="Graf 50">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A3C8F95" w14:textId="77777777" w:rsidR="00230830" w:rsidRDefault="00230830" w:rsidP="00230830">
      <w:pPr>
        <w:spacing w:before="60" w:after="60"/>
        <w:jc w:val="right"/>
      </w:pPr>
      <w:r w:rsidRPr="00B2746E">
        <w:rPr>
          <w:i/>
          <w:sz w:val="18"/>
        </w:rPr>
        <w:t>Zdroj: ČSÚ, Šetření o inovačních aktivitách podniků</w:t>
      </w:r>
    </w:p>
    <w:p w14:paraId="205D0014" w14:textId="28A46F7B" w:rsidR="00CD3737" w:rsidRDefault="00764CAA" w:rsidP="00F4616D">
      <w:pPr>
        <w:spacing w:before="60" w:after="60"/>
        <w:jc w:val="both"/>
      </w:pPr>
      <w:bookmarkStart w:id="0" w:name="_GoBack"/>
      <w:r>
        <w:t>Pokud srovnáme pozitivní přínosy pro životní prostředí na straně podniku podle to</w:t>
      </w:r>
      <w:r w:rsidR="009857CA">
        <w:t>ho</w:t>
      </w:r>
      <w:r>
        <w:t>, zda inovující podnik v období 2018 až 2020 prováděl vlastní výzkum a vývoj, tak zjistíme, že provádění výzkumu a vývoje v rámci inovačních činností přináší větší přínosy pro podnik (i zákazníka)</w:t>
      </w:r>
      <w:r w:rsidR="007B5B55">
        <w:t xml:space="preserve"> v oblasti životního prostředí</w:t>
      </w:r>
      <w:r>
        <w:t xml:space="preserve"> než inovační aktivity bez provádění vlastního výzkumu a vývoje. </w:t>
      </w:r>
      <w:r w:rsidR="00F4616D">
        <w:t>Ve skupině inovujících podniků s vlastním výzkum</w:t>
      </w:r>
      <w:r w:rsidR="009857CA">
        <w:t>em</w:t>
      </w:r>
      <w:r w:rsidR="00F4616D">
        <w:t xml:space="preserve"> a vývojem označilo za významné pozitivní přínosy v průměru 2krát více podniků než u těch, které neprováděly výzkum a vývoj. Blíže viz následující graf </w:t>
      </w:r>
      <w:r w:rsidR="00A26812">
        <w:t xml:space="preserve">č. </w:t>
      </w:r>
      <w:r w:rsidR="00F4616D">
        <w:t xml:space="preserve">46. </w:t>
      </w:r>
    </w:p>
    <w:bookmarkEnd w:id="0"/>
    <w:p w14:paraId="2AD8B48B" w14:textId="77777777" w:rsidR="00CD3737" w:rsidRPr="0020602B" w:rsidRDefault="00CD3737" w:rsidP="00CD3737">
      <w:pPr>
        <w:spacing w:before="120" w:after="60"/>
        <w:ind w:left="851" w:hanging="851"/>
        <w:jc w:val="both"/>
        <w:rPr>
          <w:b/>
          <w:sz w:val="18"/>
        </w:rPr>
      </w:pPr>
      <w:r w:rsidRPr="0020602B">
        <w:rPr>
          <w:b/>
          <w:sz w:val="18"/>
        </w:rPr>
        <w:t>G</w:t>
      </w:r>
      <w:r>
        <w:rPr>
          <w:b/>
          <w:sz w:val="18"/>
        </w:rPr>
        <w:t>RAF 46</w:t>
      </w:r>
      <w:r w:rsidRPr="0020602B">
        <w:rPr>
          <w:b/>
          <w:sz w:val="18"/>
        </w:rPr>
        <w:t xml:space="preserve"> </w:t>
      </w:r>
      <w:r>
        <w:rPr>
          <w:b/>
          <w:sz w:val="18"/>
        </w:rPr>
        <w:t>Významné</w:t>
      </w:r>
      <w:r w:rsidRPr="008C2515">
        <w:rPr>
          <w:b/>
          <w:sz w:val="18"/>
        </w:rPr>
        <w:t xml:space="preserve"> </w:t>
      </w:r>
      <w:r>
        <w:rPr>
          <w:b/>
          <w:sz w:val="18"/>
        </w:rPr>
        <w:t>pozitivní přínosy pro životní prostředí vzniklé na straně podniku u inovujících podniků podle toho, zda prováděly vlastní výzkum a vývoj; 2018–2020</w:t>
      </w:r>
    </w:p>
    <w:p w14:paraId="5692F197" w14:textId="77777777" w:rsidR="00CD3737" w:rsidRDefault="00410AB4">
      <w:pPr>
        <w:spacing w:line="240" w:lineRule="auto"/>
      </w:pPr>
      <w:r>
        <w:rPr>
          <w:noProof/>
        </w:rPr>
        <w:drawing>
          <wp:inline distT="0" distB="0" distL="0" distR="0" wp14:anchorId="45BA3DD4" wp14:editId="14E2B8CC">
            <wp:extent cx="6120000" cy="3420000"/>
            <wp:effectExtent l="0" t="0" r="14605" b="9525"/>
            <wp:docPr id="10" name="Graf 10">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E4B176E" w14:textId="77777777" w:rsidR="00230830" w:rsidRDefault="00230830" w:rsidP="00230830">
      <w:pPr>
        <w:spacing w:before="60" w:after="60"/>
        <w:jc w:val="right"/>
      </w:pPr>
      <w:r w:rsidRPr="00B2746E">
        <w:rPr>
          <w:i/>
          <w:sz w:val="18"/>
        </w:rPr>
        <w:t>Zdroj: ČSÚ, Šetření o inovačních aktivitách podniků</w:t>
      </w:r>
    </w:p>
    <w:p w14:paraId="01CEAE2E" w14:textId="77777777" w:rsidR="00230830" w:rsidRDefault="00230830">
      <w:pPr>
        <w:spacing w:line="240" w:lineRule="auto"/>
      </w:pPr>
    </w:p>
    <w:sectPr w:rsidR="00230830" w:rsidSect="004760A6">
      <w:headerReference w:type="even" r:id="rId48"/>
      <w:headerReference w:type="default" r:id="rId49"/>
      <w:footerReference w:type="even" r:id="rId50"/>
      <w:footerReference w:type="default" r:id="rId51"/>
      <w:headerReference w:type="first" r:id="rId52"/>
      <w:footerReference w:type="first" r:id="rId53"/>
      <w:footnotePr>
        <w:numStart w:val="5"/>
      </w:footnotePr>
      <w:type w:val="continuous"/>
      <w:pgSz w:w="11906" w:h="16838" w:code="9"/>
      <w:pgMar w:top="1134" w:right="1134" w:bottom="1418" w:left="1134" w:header="68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1B938" w14:textId="77777777" w:rsidR="00064C77" w:rsidRDefault="00064C77" w:rsidP="00E71A58">
      <w:r>
        <w:separator/>
      </w:r>
    </w:p>
  </w:endnote>
  <w:endnote w:type="continuationSeparator" w:id="0">
    <w:p w14:paraId="65E0B478" w14:textId="77777777" w:rsidR="00064C77" w:rsidRDefault="00064C7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3B0D" w14:textId="6E6D4B8B" w:rsidR="00AE362C" w:rsidRDefault="00AE362C"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390DAF6C" wp14:editId="5D0FA5AA">
          <wp:simplePos x="0" y="0"/>
          <wp:positionH relativeFrom="column">
            <wp:posOffset>5703824</wp:posOffset>
          </wp:positionH>
          <wp:positionV relativeFrom="paragraph">
            <wp:posOffset>6350</wp:posOffset>
          </wp:positionV>
          <wp:extent cx="466725" cy="219075"/>
          <wp:effectExtent l="0" t="0" r="9525" b="9525"/>
          <wp:wrapNone/>
          <wp:docPr id="3"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A26812">
      <w:rPr>
        <w:rFonts w:ascii="Arial" w:hAnsi="Arial" w:cs="Arial"/>
        <w:noProof/>
        <w:sz w:val="16"/>
        <w:szCs w:val="16"/>
      </w:rPr>
      <w:t>36</w:t>
    </w:r>
    <w:r w:rsidRPr="005A21E0">
      <w:rPr>
        <w:rFonts w:ascii="Arial" w:hAnsi="Arial" w:cs="Arial"/>
        <w:sz w:val="16"/>
        <w:szCs w:val="16"/>
      </w:rPr>
      <w:fldChar w:fldCharType="end"/>
    </w:r>
    <w:r>
      <w:rPr>
        <w:rFonts w:ascii="Arial" w:hAnsi="Arial" w:cs="Arial"/>
        <w:sz w:val="16"/>
        <w:szCs w:val="16"/>
      </w:rPr>
      <w:tab/>
      <w:t>2018–2020</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1742" w14:textId="77777777" w:rsidR="00AE362C" w:rsidRDefault="00AE362C"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3C534605" wp14:editId="61B210CC">
          <wp:simplePos x="0" y="0"/>
          <wp:positionH relativeFrom="column">
            <wp:posOffset>3810</wp:posOffset>
          </wp:positionH>
          <wp:positionV relativeFrom="paragraph">
            <wp:posOffset>90170</wp:posOffset>
          </wp:positionV>
          <wp:extent cx="495300" cy="266700"/>
          <wp:effectExtent l="0" t="0" r="0" b="0"/>
          <wp:wrapNone/>
          <wp:docPr id="18"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14:paraId="3B0E03EA" w14:textId="51FC4FAC" w:rsidR="00AE362C" w:rsidRDefault="00AE362C" w:rsidP="00F92429">
    <w:pPr>
      <w:pStyle w:val="Zpat"/>
      <w:tabs>
        <w:tab w:val="clear" w:pos="4536"/>
        <w:tab w:val="clear" w:pos="9072"/>
        <w:tab w:val="left" w:pos="1134"/>
        <w:tab w:val="left" w:pos="1920"/>
        <w:tab w:val="center" w:pos="4820"/>
        <w:tab w:val="left" w:pos="9356"/>
      </w:tabs>
    </w:pPr>
    <w:r>
      <w:rPr>
        <w:rFonts w:ascii="Arial" w:hAnsi="Arial" w:cs="Arial"/>
        <w:sz w:val="16"/>
        <w:szCs w:val="16"/>
      </w:rPr>
      <w:tab/>
    </w:r>
    <w:r>
      <w:rPr>
        <w:rFonts w:ascii="Arial" w:hAnsi="Arial" w:cs="Arial"/>
        <w:sz w:val="16"/>
        <w:szCs w:val="16"/>
      </w:rPr>
      <w:tab/>
    </w:r>
    <w:r>
      <w:rPr>
        <w:rFonts w:ascii="Arial" w:hAnsi="Arial" w:cs="Arial"/>
        <w:sz w:val="16"/>
        <w:szCs w:val="16"/>
      </w:rPr>
      <w:tab/>
      <w:t>2018–2020</w:t>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A26812">
      <w:rPr>
        <w:rFonts w:ascii="Arial" w:hAnsi="Arial" w:cs="Arial"/>
        <w:noProof/>
        <w:sz w:val="16"/>
        <w:szCs w:val="16"/>
      </w:rPr>
      <w:t>37</w:t>
    </w:r>
    <w:r w:rsidRPr="00B6608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1EA0" w14:textId="77777777" w:rsidR="00AE362C" w:rsidRDefault="00AE36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8A401" w14:textId="77777777" w:rsidR="00064C77" w:rsidRDefault="00064C77" w:rsidP="00E71A58">
      <w:r>
        <w:separator/>
      </w:r>
    </w:p>
  </w:footnote>
  <w:footnote w:type="continuationSeparator" w:id="0">
    <w:p w14:paraId="32E3784E" w14:textId="77777777" w:rsidR="00064C77" w:rsidRDefault="00064C77" w:rsidP="00E71A58">
      <w:r>
        <w:continuationSeparator/>
      </w:r>
    </w:p>
  </w:footnote>
  <w:footnote w:id="1">
    <w:p w14:paraId="073B39EE" w14:textId="77777777" w:rsidR="00AE362C" w:rsidRPr="00444C12" w:rsidRDefault="00AE362C">
      <w:pPr>
        <w:pStyle w:val="Textpoznpodarou"/>
        <w:rPr>
          <w:sz w:val="18"/>
        </w:rPr>
      </w:pPr>
      <w:r w:rsidRPr="00444C12">
        <w:rPr>
          <w:rStyle w:val="Znakapoznpodarou"/>
          <w:sz w:val="18"/>
        </w:rPr>
        <w:footnoteRef/>
      </w:r>
      <w:r w:rsidRPr="00444C12">
        <w:rPr>
          <w:sz w:val="18"/>
        </w:rPr>
        <w:t xml:space="preserve"> </w:t>
      </w:r>
      <w:r>
        <w:rPr>
          <w:sz w:val="18"/>
        </w:rPr>
        <w:t>Ve skupině podniků pod zahraniční kontrolou je zastoupeno 6x více velkých podniků než u domácích podniků.</w:t>
      </w:r>
    </w:p>
  </w:footnote>
  <w:footnote w:id="2">
    <w:p w14:paraId="062A0E72" w14:textId="77777777" w:rsidR="00AE362C" w:rsidRPr="000B2909" w:rsidRDefault="00AE362C">
      <w:pPr>
        <w:pStyle w:val="Textpoznpodarou"/>
        <w:rPr>
          <w:sz w:val="18"/>
        </w:rPr>
      </w:pPr>
      <w:r w:rsidRPr="000B2909">
        <w:rPr>
          <w:rStyle w:val="Znakapoznpodarou"/>
          <w:sz w:val="18"/>
        </w:rPr>
        <w:footnoteRef/>
      </w:r>
      <w:r w:rsidRPr="000B2909">
        <w:rPr>
          <w:sz w:val="18"/>
        </w:rPr>
        <w:t xml:space="preserve"> </w:t>
      </w:r>
      <w:r>
        <w:rPr>
          <w:sz w:val="18"/>
        </w:rPr>
        <w:t xml:space="preserve">Podrobněji podle typů nákladů jsou výdaje na vnitropodnikový výzkum a </w:t>
      </w:r>
      <w:r w:rsidRPr="005E2CDB">
        <w:rPr>
          <w:sz w:val="18"/>
        </w:rPr>
        <w:t>vývoj uvedeny v tabulkách 32A a 32B.</w:t>
      </w:r>
    </w:p>
  </w:footnote>
  <w:footnote w:id="3">
    <w:p w14:paraId="1678DA9F" w14:textId="77777777" w:rsidR="00AE362C" w:rsidRPr="00192B1A" w:rsidRDefault="00AE362C">
      <w:pPr>
        <w:pStyle w:val="Textpoznpodarou"/>
        <w:rPr>
          <w:sz w:val="18"/>
        </w:rPr>
      </w:pPr>
      <w:r w:rsidRPr="00192B1A">
        <w:rPr>
          <w:rStyle w:val="Znakapoznpodarou"/>
          <w:sz w:val="18"/>
        </w:rPr>
        <w:footnoteRef/>
      </w:r>
      <w:r>
        <w:rPr>
          <w:sz w:val="18"/>
        </w:rPr>
        <w:t xml:space="preserve"> Použití daňových odpočtů na </w:t>
      </w:r>
      <w:proofErr w:type="spellStart"/>
      <w:r>
        <w:rPr>
          <w:sz w:val="18"/>
        </w:rPr>
        <w:t>VaV</w:t>
      </w:r>
      <w:proofErr w:type="spellEnd"/>
      <w:r>
        <w:rPr>
          <w:sz w:val="18"/>
        </w:rPr>
        <w:t xml:space="preserve"> viz </w:t>
      </w:r>
      <w:hyperlink r:id="rId1" w:history="1">
        <w:r w:rsidRPr="00840C6A">
          <w:rPr>
            <w:rStyle w:val="Hypertextovodkaz"/>
            <w:sz w:val="18"/>
          </w:rPr>
          <w:t>https://www.czso.cz/csu/czso/neprima-verejna-podpora-vyzkumu-a-vyvoje</w:t>
        </w:r>
      </w:hyperlink>
      <w:r>
        <w:rPr>
          <w:sz w:val="18"/>
        </w:rPr>
        <w:t xml:space="preserve"> </w:t>
      </w:r>
      <w:r w:rsidRPr="00192B1A">
        <w:rPr>
          <w:sz w:val="18"/>
        </w:rPr>
        <w:t xml:space="preserve"> </w:t>
      </w:r>
    </w:p>
  </w:footnote>
  <w:footnote w:id="4">
    <w:p w14:paraId="3567C9DF" w14:textId="77777777" w:rsidR="00AE362C" w:rsidRPr="007E3D44" w:rsidRDefault="00AE362C">
      <w:pPr>
        <w:pStyle w:val="Textpoznpodarou"/>
        <w:rPr>
          <w:sz w:val="18"/>
        </w:rPr>
      </w:pPr>
      <w:r w:rsidRPr="007E3D44">
        <w:rPr>
          <w:rStyle w:val="Znakapoznpodarou"/>
          <w:sz w:val="18"/>
        </w:rPr>
        <w:footnoteRef/>
      </w:r>
      <w:r w:rsidRPr="007E3D44">
        <w:rPr>
          <w:sz w:val="18"/>
        </w:rPr>
        <w:t xml:space="preserve"> Zahrnuje znalosti vzniklé výzkumnou, vývojovou či jinou tvůrčí činností chráněné prostřednictvím předmětů duševního vlastnictví, jako jsou patenty, užitné a průmyslové vzory, výrobně-technické poznatky či postupy (know-how), ochranné známky a autorská práva či jejich kombinace. Nezahrnuje práva na počítačové programy (software).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B0B4B" w14:textId="77777777" w:rsidR="00AE362C" w:rsidRPr="00AD306C" w:rsidRDefault="00AE362C"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Inovační aktivity podniků</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9C11" w14:textId="77777777" w:rsidR="00AE362C" w:rsidRPr="00AD306C" w:rsidRDefault="00AE362C" w:rsidP="008A3EFD">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Inovační aktivity podniků</w:t>
    </w:r>
  </w:p>
  <w:p w14:paraId="78792498" w14:textId="77777777" w:rsidR="00AE362C" w:rsidRPr="00DC5B3B" w:rsidRDefault="00AE362C"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66C7" w14:textId="77777777" w:rsidR="00AE362C" w:rsidRDefault="00AE36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2C7"/>
    <w:multiLevelType w:val="hybridMultilevel"/>
    <w:tmpl w:val="9C1C7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093CE5"/>
    <w:multiLevelType w:val="multilevel"/>
    <w:tmpl w:val="F3EE7B8C"/>
    <w:lvl w:ilvl="0">
      <w:start w:val="1"/>
      <w:numFmt w:val="decimal"/>
      <w:lvlText w:val="%1."/>
      <w:lvlJc w:val="left"/>
      <w:pPr>
        <w:ind w:left="720" w:hanging="360"/>
      </w:pPr>
      <w:rPr>
        <w:rFonts w:cs="Arial" w:hint="default"/>
        <w:sz w:val="32"/>
      </w:rPr>
    </w:lvl>
    <w:lvl w:ilvl="1">
      <w:start w:val="5"/>
      <w:numFmt w:val="decimal"/>
      <w:isLgl/>
      <w:lvlText w:val="%1.%2"/>
      <w:lvlJc w:val="left"/>
      <w:pPr>
        <w:ind w:left="96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DE32AD"/>
    <w:multiLevelType w:val="hybridMultilevel"/>
    <w:tmpl w:val="9DA2D5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0176ED"/>
    <w:multiLevelType w:val="hybridMultilevel"/>
    <w:tmpl w:val="80F4AEA4"/>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0F9901EF"/>
    <w:multiLevelType w:val="hybridMultilevel"/>
    <w:tmpl w:val="D81A1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C72D3A"/>
    <w:multiLevelType w:val="hybridMultilevel"/>
    <w:tmpl w:val="6E38D0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156CBE"/>
    <w:multiLevelType w:val="hybridMultilevel"/>
    <w:tmpl w:val="FB4645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614349"/>
    <w:multiLevelType w:val="hybridMultilevel"/>
    <w:tmpl w:val="F7B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2" w15:restartNumberingAfterBreak="0">
    <w:nsid w:val="1D171F8B"/>
    <w:multiLevelType w:val="hybridMultilevel"/>
    <w:tmpl w:val="BE90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DD2399"/>
    <w:multiLevelType w:val="hybridMultilevel"/>
    <w:tmpl w:val="C6983A4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4" w15:restartNumberingAfterBreak="0">
    <w:nsid w:val="22B81503"/>
    <w:multiLevelType w:val="hybridMultilevel"/>
    <w:tmpl w:val="873A4C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F93027"/>
    <w:multiLevelType w:val="hybridMultilevel"/>
    <w:tmpl w:val="F6C46300"/>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2B2BDB"/>
    <w:multiLevelType w:val="hybridMultilevel"/>
    <w:tmpl w:val="4652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DB0C95"/>
    <w:multiLevelType w:val="hybridMultilevel"/>
    <w:tmpl w:val="C9101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AC32F0C"/>
    <w:multiLevelType w:val="hybridMultilevel"/>
    <w:tmpl w:val="83B673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FF32AB"/>
    <w:multiLevelType w:val="hybridMultilevel"/>
    <w:tmpl w:val="11C2B012"/>
    <w:lvl w:ilvl="0" w:tplc="7FE4F5DC">
      <w:start w:val="1"/>
      <w:numFmt w:val="bullet"/>
      <w:lvlText w:val="-"/>
      <w:lvlJc w:val="left"/>
      <w:pPr>
        <w:ind w:left="1068" w:hanging="360"/>
      </w:pPr>
      <w:rPr>
        <w:rFonts w:ascii="Calibri" w:eastAsiaTheme="minorHAnsi" w:hAnsi="Calibri" w:cstheme="minorBidi"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2C4C0BD4"/>
    <w:multiLevelType w:val="hybridMultilevel"/>
    <w:tmpl w:val="0854E9E0"/>
    <w:lvl w:ilvl="0" w:tplc="04050005">
      <w:start w:val="1"/>
      <w:numFmt w:val="bullet"/>
      <w:lvlText w:val=""/>
      <w:lvlJc w:val="left"/>
      <w:pPr>
        <w:ind w:left="1068" w:hanging="360"/>
      </w:pPr>
      <w:rPr>
        <w:rFonts w:ascii="Wingdings" w:hAnsi="Wingdings" w:hint="default"/>
      </w:rPr>
    </w:lvl>
    <w:lvl w:ilvl="1" w:tplc="7FE4F5DC">
      <w:start w:val="1"/>
      <w:numFmt w:val="bullet"/>
      <w:lvlText w:val="-"/>
      <w:lvlJc w:val="left"/>
      <w:pPr>
        <w:ind w:left="1788" w:hanging="360"/>
      </w:pPr>
      <w:rPr>
        <w:rFonts w:ascii="Calibri" w:eastAsiaTheme="minorHAnsi" w:hAnsi="Calibri" w:cstheme="minorBid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2E616E3D"/>
    <w:multiLevelType w:val="hybridMultilevel"/>
    <w:tmpl w:val="2B746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DD43D1"/>
    <w:multiLevelType w:val="hybridMultilevel"/>
    <w:tmpl w:val="CD46A32E"/>
    <w:lvl w:ilvl="0" w:tplc="04050005">
      <w:start w:val="1"/>
      <w:numFmt w:val="bullet"/>
      <w:lvlText w:val=""/>
      <w:lvlJc w:val="left"/>
      <w:pPr>
        <w:ind w:left="720" w:hanging="360"/>
      </w:pPr>
      <w:rPr>
        <w:rFonts w:ascii="Wingdings" w:hAnsi="Wingdings" w:hint="default"/>
      </w:rPr>
    </w:lvl>
    <w:lvl w:ilvl="1" w:tplc="A5FC293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F1391D"/>
    <w:multiLevelType w:val="hybridMultilevel"/>
    <w:tmpl w:val="B232DCB0"/>
    <w:lvl w:ilvl="0" w:tplc="04050017">
      <w:start w:val="1"/>
      <w:numFmt w:val="lowerLetter"/>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36D67628"/>
    <w:multiLevelType w:val="hybridMultilevel"/>
    <w:tmpl w:val="5BDA480C"/>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39D3193B"/>
    <w:multiLevelType w:val="hybridMultilevel"/>
    <w:tmpl w:val="4DECE5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56B582B"/>
    <w:multiLevelType w:val="hybridMultilevel"/>
    <w:tmpl w:val="7E446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ED391D"/>
    <w:multiLevelType w:val="hybridMultilevel"/>
    <w:tmpl w:val="892278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E30629"/>
    <w:multiLevelType w:val="hybridMultilevel"/>
    <w:tmpl w:val="792AB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933A3A"/>
    <w:multiLevelType w:val="hybridMultilevel"/>
    <w:tmpl w:val="E6C82A78"/>
    <w:lvl w:ilvl="0" w:tplc="B8F40D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B1C6B"/>
    <w:multiLevelType w:val="hybridMultilevel"/>
    <w:tmpl w:val="CA7CAD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B77E6C"/>
    <w:multiLevelType w:val="hybridMultilevel"/>
    <w:tmpl w:val="7D3494A8"/>
    <w:lvl w:ilvl="0" w:tplc="0405000F">
      <w:start w:val="1"/>
      <w:numFmt w:val="decimal"/>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6A307244"/>
    <w:multiLevelType w:val="hybridMultilevel"/>
    <w:tmpl w:val="F3D6F1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D07008"/>
    <w:multiLevelType w:val="hybridMultilevel"/>
    <w:tmpl w:val="513601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4526F3"/>
    <w:multiLevelType w:val="hybridMultilevel"/>
    <w:tmpl w:val="F31863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4D7F21"/>
    <w:multiLevelType w:val="hybridMultilevel"/>
    <w:tmpl w:val="8E5251AE"/>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C61BD8"/>
    <w:multiLevelType w:val="hybridMultilevel"/>
    <w:tmpl w:val="CE508D62"/>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39" w15:restartNumberingAfterBreak="0">
    <w:nsid w:val="748C79F5"/>
    <w:multiLevelType w:val="hybridMultilevel"/>
    <w:tmpl w:val="7EF2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AA3213"/>
    <w:multiLevelType w:val="hybridMultilevel"/>
    <w:tmpl w:val="8620FD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B3A368D"/>
    <w:multiLevelType w:val="hybridMultilevel"/>
    <w:tmpl w:val="FB9090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484570"/>
    <w:multiLevelType w:val="hybridMultilevel"/>
    <w:tmpl w:val="573AD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126142"/>
    <w:multiLevelType w:val="hybridMultilevel"/>
    <w:tmpl w:val="DD083B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0"/>
  </w:num>
  <w:num w:numId="4">
    <w:abstractNumId w:val="37"/>
  </w:num>
  <w:num w:numId="5">
    <w:abstractNumId w:val="25"/>
  </w:num>
  <w:num w:numId="6">
    <w:abstractNumId w:val="11"/>
  </w:num>
  <w:num w:numId="7">
    <w:abstractNumId w:val="7"/>
  </w:num>
  <w:num w:numId="8">
    <w:abstractNumId w:val="21"/>
  </w:num>
  <w:num w:numId="9">
    <w:abstractNumId w:val="6"/>
  </w:num>
  <w:num w:numId="10">
    <w:abstractNumId w:val="18"/>
  </w:num>
  <w:num w:numId="11">
    <w:abstractNumId w:val="22"/>
  </w:num>
  <w:num w:numId="12">
    <w:abstractNumId w:val="24"/>
  </w:num>
  <w:num w:numId="13">
    <w:abstractNumId w:val="30"/>
  </w:num>
  <w:num w:numId="14">
    <w:abstractNumId w:val="6"/>
    <w:lvlOverride w:ilvl="0">
      <w:lvl w:ilvl="0" w:tplc="04050005">
        <w:start w:val="1"/>
        <w:numFmt w:val="lowerLetter"/>
        <w:lvlText w:val="%1)"/>
        <w:lvlJc w:val="left"/>
        <w:pPr>
          <w:ind w:left="1440" w:hanging="360"/>
        </w:pPr>
        <w:rPr>
          <w:rFonts w:hint="default"/>
        </w:rPr>
      </w:lvl>
    </w:lvlOverride>
    <w:lvlOverride w:ilvl="1">
      <w:lvl w:ilvl="1" w:tplc="04050017">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15">
    <w:abstractNumId w:val="3"/>
  </w:num>
  <w:num w:numId="16">
    <w:abstractNumId w:val="33"/>
  </w:num>
  <w:num w:numId="17">
    <w:abstractNumId w:val="23"/>
  </w:num>
  <w:num w:numId="18">
    <w:abstractNumId w:val="20"/>
  </w:num>
  <w:num w:numId="19">
    <w:abstractNumId w:val="19"/>
  </w:num>
  <w:num w:numId="20">
    <w:abstractNumId w:val="41"/>
  </w:num>
  <w:num w:numId="21">
    <w:abstractNumId w:val="15"/>
  </w:num>
  <w:num w:numId="22">
    <w:abstractNumId w:val="2"/>
  </w:num>
  <w:num w:numId="23">
    <w:abstractNumId w:val="43"/>
  </w:num>
  <w:num w:numId="24">
    <w:abstractNumId w:val="1"/>
  </w:num>
  <w:num w:numId="25">
    <w:abstractNumId w:val="39"/>
  </w:num>
  <w:num w:numId="26">
    <w:abstractNumId w:val="12"/>
  </w:num>
  <w:num w:numId="27">
    <w:abstractNumId w:val="16"/>
  </w:num>
  <w:num w:numId="28">
    <w:abstractNumId w:val="5"/>
  </w:num>
  <w:num w:numId="29">
    <w:abstractNumId w:val="32"/>
  </w:num>
  <w:num w:numId="30">
    <w:abstractNumId w:val="14"/>
  </w:num>
  <w:num w:numId="31">
    <w:abstractNumId w:val="35"/>
  </w:num>
  <w:num w:numId="32">
    <w:abstractNumId w:val="34"/>
  </w:num>
  <w:num w:numId="33">
    <w:abstractNumId w:val="44"/>
  </w:num>
  <w:num w:numId="34">
    <w:abstractNumId w:val="29"/>
  </w:num>
  <w:num w:numId="35">
    <w:abstractNumId w:val="0"/>
  </w:num>
  <w:num w:numId="36">
    <w:abstractNumId w:val="36"/>
  </w:num>
  <w:num w:numId="37">
    <w:abstractNumId w:val="42"/>
  </w:num>
  <w:num w:numId="38">
    <w:abstractNumId w:val="4"/>
  </w:num>
  <w:num w:numId="39">
    <w:abstractNumId w:val="17"/>
  </w:num>
  <w:num w:numId="40">
    <w:abstractNumId w:val="27"/>
  </w:num>
  <w:num w:numId="41">
    <w:abstractNumId w:val="8"/>
  </w:num>
  <w:num w:numId="42">
    <w:abstractNumId w:val="40"/>
  </w:num>
  <w:num w:numId="43">
    <w:abstractNumId w:val="13"/>
  </w:num>
  <w:num w:numId="44">
    <w:abstractNumId w:val="38"/>
  </w:num>
  <w:num w:numId="45">
    <w:abstractNumId w:val="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5F"/>
    <w:rsid w:val="00001248"/>
    <w:rsid w:val="0000174D"/>
    <w:rsid w:val="000017DB"/>
    <w:rsid w:val="00003277"/>
    <w:rsid w:val="000032BB"/>
    <w:rsid w:val="000049B0"/>
    <w:rsid w:val="00004DC1"/>
    <w:rsid w:val="00006064"/>
    <w:rsid w:val="0000614A"/>
    <w:rsid w:val="00007143"/>
    <w:rsid w:val="0000767A"/>
    <w:rsid w:val="00007A5A"/>
    <w:rsid w:val="000103D7"/>
    <w:rsid w:val="00010702"/>
    <w:rsid w:val="00011387"/>
    <w:rsid w:val="00011EA6"/>
    <w:rsid w:val="0001372E"/>
    <w:rsid w:val="00013AA0"/>
    <w:rsid w:val="00014413"/>
    <w:rsid w:val="000145C6"/>
    <w:rsid w:val="000158B9"/>
    <w:rsid w:val="0001669A"/>
    <w:rsid w:val="00016CCE"/>
    <w:rsid w:val="00016EC5"/>
    <w:rsid w:val="00017938"/>
    <w:rsid w:val="00017E07"/>
    <w:rsid w:val="00020738"/>
    <w:rsid w:val="00020855"/>
    <w:rsid w:val="00020F0B"/>
    <w:rsid w:val="000216A8"/>
    <w:rsid w:val="00021CA2"/>
    <w:rsid w:val="00021FB0"/>
    <w:rsid w:val="000227CF"/>
    <w:rsid w:val="00023233"/>
    <w:rsid w:val="00023A06"/>
    <w:rsid w:val="00023DB5"/>
    <w:rsid w:val="000241E9"/>
    <w:rsid w:val="00024229"/>
    <w:rsid w:val="00024E3F"/>
    <w:rsid w:val="00025F04"/>
    <w:rsid w:val="0002679B"/>
    <w:rsid w:val="00026BB4"/>
    <w:rsid w:val="000275E8"/>
    <w:rsid w:val="00030C06"/>
    <w:rsid w:val="000315CB"/>
    <w:rsid w:val="00031A9F"/>
    <w:rsid w:val="00032C1B"/>
    <w:rsid w:val="000335DE"/>
    <w:rsid w:val="00033BC0"/>
    <w:rsid w:val="00033C3A"/>
    <w:rsid w:val="00033D16"/>
    <w:rsid w:val="00033E68"/>
    <w:rsid w:val="00034019"/>
    <w:rsid w:val="000350E5"/>
    <w:rsid w:val="00035ABC"/>
    <w:rsid w:val="00036694"/>
    <w:rsid w:val="000368A7"/>
    <w:rsid w:val="00037051"/>
    <w:rsid w:val="00037473"/>
    <w:rsid w:val="000400C2"/>
    <w:rsid w:val="0004100D"/>
    <w:rsid w:val="00041336"/>
    <w:rsid w:val="000415AA"/>
    <w:rsid w:val="00042236"/>
    <w:rsid w:val="00042BEA"/>
    <w:rsid w:val="000435CC"/>
    <w:rsid w:val="00043B14"/>
    <w:rsid w:val="00043E0B"/>
    <w:rsid w:val="000453BB"/>
    <w:rsid w:val="00045F6E"/>
    <w:rsid w:val="0004645B"/>
    <w:rsid w:val="0004694F"/>
    <w:rsid w:val="00046976"/>
    <w:rsid w:val="00046DAC"/>
    <w:rsid w:val="00047444"/>
    <w:rsid w:val="00047927"/>
    <w:rsid w:val="00047A62"/>
    <w:rsid w:val="00047F45"/>
    <w:rsid w:val="0005037C"/>
    <w:rsid w:val="000505AA"/>
    <w:rsid w:val="00051C4D"/>
    <w:rsid w:val="0005235F"/>
    <w:rsid w:val="00052B2A"/>
    <w:rsid w:val="0005325B"/>
    <w:rsid w:val="00053B15"/>
    <w:rsid w:val="00054195"/>
    <w:rsid w:val="00054477"/>
    <w:rsid w:val="00054847"/>
    <w:rsid w:val="00054A5A"/>
    <w:rsid w:val="00054FEA"/>
    <w:rsid w:val="00055AB9"/>
    <w:rsid w:val="00055FEF"/>
    <w:rsid w:val="00056D1E"/>
    <w:rsid w:val="0005739C"/>
    <w:rsid w:val="00057709"/>
    <w:rsid w:val="00057D73"/>
    <w:rsid w:val="0006102A"/>
    <w:rsid w:val="00062A19"/>
    <w:rsid w:val="00062EC5"/>
    <w:rsid w:val="000639A6"/>
    <w:rsid w:val="00063BFC"/>
    <w:rsid w:val="00063CB7"/>
    <w:rsid w:val="00063E83"/>
    <w:rsid w:val="00064171"/>
    <w:rsid w:val="000643D1"/>
    <w:rsid w:val="0006451C"/>
    <w:rsid w:val="000649F4"/>
    <w:rsid w:val="00064C77"/>
    <w:rsid w:val="000652CE"/>
    <w:rsid w:val="00066504"/>
    <w:rsid w:val="000717EA"/>
    <w:rsid w:val="00071D51"/>
    <w:rsid w:val="00071FA1"/>
    <w:rsid w:val="0007243A"/>
    <w:rsid w:val="00072D21"/>
    <w:rsid w:val="00073455"/>
    <w:rsid w:val="0007392B"/>
    <w:rsid w:val="00074904"/>
    <w:rsid w:val="00077955"/>
    <w:rsid w:val="00077E36"/>
    <w:rsid w:val="00080407"/>
    <w:rsid w:val="0008072A"/>
    <w:rsid w:val="00080B27"/>
    <w:rsid w:val="00080E37"/>
    <w:rsid w:val="000811D2"/>
    <w:rsid w:val="0008174F"/>
    <w:rsid w:val="000818DC"/>
    <w:rsid w:val="000819B6"/>
    <w:rsid w:val="00081AAC"/>
    <w:rsid w:val="00081E4D"/>
    <w:rsid w:val="00082212"/>
    <w:rsid w:val="00082307"/>
    <w:rsid w:val="00082931"/>
    <w:rsid w:val="0008384E"/>
    <w:rsid w:val="00083CC3"/>
    <w:rsid w:val="00084837"/>
    <w:rsid w:val="000854BB"/>
    <w:rsid w:val="00085870"/>
    <w:rsid w:val="00085C23"/>
    <w:rsid w:val="0008649D"/>
    <w:rsid w:val="00087634"/>
    <w:rsid w:val="0008794B"/>
    <w:rsid w:val="00087A0A"/>
    <w:rsid w:val="00090840"/>
    <w:rsid w:val="00091040"/>
    <w:rsid w:val="000912D2"/>
    <w:rsid w:val="0009144E"/>
    <w:rsid w:val="00091BF2"/>
    <w:rsid w:val="00092214"/>
    <w:rsid w:val="000932E5"/>
    <w:rsid w:val="000933FB"/>
    <w:rsid w:val="00093B37"/>
    <w:rsid w:val="00093B40"/>
    <w:rsid w:val="000946D6"/>
    <w:rsid w:val="00094DBA"/>
    <w:rsid w:val="00096191"/>
    <w:rsid w:val="000972D2"/>
    <w:rsid w:val="00097BCC"/>
    <w:rsid w:val="00097C41"/>
    <w:rsid w:val="00097DF0"/>
    <w:rsid w:val="00097E4E"/>
    <w:rsid w:val="000A03DC"/>
    <w:rsid w:val="000A0811"/>
    <w:rsid w:val="000A0991"/>
    <w:rsid w:val="000A1107"/>
    <w:rsid w:val="000A1183"/>
    <w:rsid w:val="000A165A"/>
    <w:rsid w:val="000A1E13"/>
    <w:rsid w:val="000A24B3"/>
    <w:rsid w:val="000A26A6"/>
    <w:rsid w:val="000A3B9D"/>
    <w:rsid w:val="000A3C67"/>
    <w:rsid w:val="000A4136"/>
    <w:rsid w:val="000A4223"/>
    <w:rsid w:val="000A5E7D"/>
    <w:rsid w:val="000A6834"/>
    <w:rsid w:val="000B0063"/>
    <w:rsid w:val="000B00E2"/>
    <w:rsid w:val="000B064B"/>
    <w:rsid w:val="000B0777"/>
    <w:rsid w:val="000B1406"/>
    <w:rsid w:val="000B1CB5"/>
    <w:rsid w:val="000B1D0D"/>
    <w:rsid w:val="000B1F4E"/>
    <w:rsid w:val="000B26AE"/>
    <w:rsid w:val="000B2909"/>
    <w:rsid w:val="000B4748"/>
    <w:rsid w:val="000B64CF"/>
    <w:rsid w:val="000B713C"/>
    <w:rsid w:val="000C1011"/>
    <w:rsid w:val="000C1883"/>
    <w:rsid w:val="000C216F"/>
    <w:rsid w:val="000C30BD"/>
    <w:rsid w:val="000C3408"/>
    <w:rsid w:val="000C34E5"/>
    <w:rsid w:val="000C3B24"/>
    <w:rsid w:val="000C4AAA"/>
    <w:rsid w:val="000C4ABE"/>
    <w:rsid w:val="000C52AF"/>
    <w:rsid w:val="000C5504"/>
    <w:rsid w:val="000C5553"/>
    <w:rsid w:val="000C5FBB"/>
    <w:rsid w:val="000C6061"/>
    <w:rsid w:val="000C68B7"/>
    <w:rsid w:val="000C778A"/>
    <w:rsid w:val="000C77E6"/>
    <w:rsid w:val="000D0345"/>
    <w:rsid w:val="000D0919"/>
    <w:rsid w:val="000D09E8"/>
    <w:rsid w:val="000D0EBF"/>
    <w:rsid w:val="000D1504"/>
    <w:rsid w:val="000D15B4"/>
    <w:rsid w:val="000D1A55"/>
    <w:rsid w:val="000D25A1"/>
    <w:rsid w:val="000D28C1"/>
    <w:rsid w:val="000D2BB6"/>
    <w:rsid w:val="000D35C0"/>
    <w:rsid w:val="000D441E"/>
    <w:rsid w:val="000D4ED6"/>
    <w:rsid w:val="000D5146"/>
    <w:rsid w:val="000D57B2"/>
    <w:rsid w:val="000D6912"/>
    <w:rsid w:val="000E10EA"/>
    <w:rsid w:val="000E10FB"/>
    <w:rsid w:val="000E1446"/>
    <w:rsid w:val="000E1A9B"/>
    <w:rsid w:val="000E1F26"/>
    <w:rsid w:val="000E1F64"/>
    <w:rsid w:val="000E276F"/>
    <w:rsid w:val="000E3755"/>
    <w:rsid w:val="000E39FA"/>
    <w:rsid w:val="000E638A"/>
    <w:rsid w:val="000E63E0"/>
    <w:rsid w:val="000E7906"/>
    <w:rsid w:val="000E7F32"/>
    <w:rsid w:val="000F0120"/>
    <w:rsid w:val="000F07F3"/>
    <w:rsid w:val="000F0B7C"/>
    <w:rsid w:val="000F0F6F"/>
    <w:rsid w:val="000F13FC"/>
    <w:rsid w:val="000F1B86"/>
    <w:rsid w:val="000F1E62"/>
    <w:rsid w:val="000F2B1D"/>
    <w:rsid w:val="000F3AF6"/>
    <w:rsid w:val="000F41F1"/>
    <w:rsid w:val="000F4485"/>
    <w:rsid w:val="000F5011"/>
    <w:rsid w:val="000F5AB2"/>
    <w:rsid w:val="000F5CB5"/>
    <w:rsid w:val="000F5FCB"/>
    <w:rsid w:val="000F6A39"/>
    <w:rsid w:val="000F6F58"/>
    <w:rsid w:val="000F7D91"/>
    <w:rsid w:val="001001FC"/>
    <w:rsid w:val="00100EBD"/>
    <w:rsid w:val="001014C8"/>
    <w:rsid w:val="00101518"/>
    <w:rsid w:val="00101D35"/>
    <w:rsid w:val="0010326D"/>
    <w:rsid w:val="00105C1A"/>
    <w:rsid w:val="00105E7B"/>
    <w:rsid w:val="0010669F"/>
    <w:rsid w:val="00106FEF"/>
    <w:rsid w:val="001074BC"/>
    <w:rsid w:val="00107690"/>
    <w:rsid w:val="00107FF7"/>
    <w:rsid w:val="001103C6"/>
    <w:rsid w:val="00110458"/>
    <w:rsid w:val="00110C4F"/>
    <w:rsid w:val="001111B2"/>
    <w:rsid w:val="00111AE4"/>
    <w:rsid w:val="00111D91"/>
    <w:rsid w:val="00112C78"/>
    <w:rsid w:val="00112CE6"/>
    <w:rsid w:val="00113BFE"/>
    <w:rsid w:val="00114BEA"/>
    <w:rsid w:val="00115241"/>
    <w:rsid w:val="00115695"/>
    <w:rsid w:val="00115759"/>
    <w:rsid w:val="00115AE2"/>
    <w:rsid w:val="0011629F"/>
    <w:rsid w:val="00117F8A"/>
    <w:rsid w:val="00120041"/>
    <w:rsid w:val="00120443"/>
    <w:rsid w:val="00120D6D"/>
    <w:rsid w:val="00121A92"/>
    <w:rsid w:val="00122E41"/>
    <w:rsid w:val="0012312B"/>
    <w:rsid w:val="001232F1"/>
    <w:rsid w:val="00123446"/>
    <w:rsid w:val="00123452"/>
    <w:rsid w:val="00123CAC"/>
    <w:rsid w:val="0012408F"/>
    <w:rsid w:val="00124165"/>
    <w:rsid w:val="00125C99"/>
    <w:rsid w:val="00125E0A"/>
    <w:rsid w:val="00125E45"/>
    <w:rsid w:val="00126365"/>
    <w:rsid w:val="0012658C"/>
    <w:rsid w:val="001277C1"/>
    <w:rsid w:val="001278F2"/>
    <w:rsid w:val="00127940"/>
    <w:rsid w:val="00130066"/>
    <w:rsid w:val="00131CEA"/>
    <w:rsid w:val="00132B06"/>
    <w:rsid w:val="00133ACF"/>
    <w:rsid w:val="00133F19"/>
    <w:rsid w:val="00134C6A"/>
    <w:rsid w:val="0013621C"/>
    <w:rsid w:val="001362A9"/>
    <w:rsid w:val="001365B7"/>
    <w:rsid w:val="001373CD"/>
    <w:rsid w:val="00140073"/>
    <w:rsid w:val="001405FA"/>
    <w:rsid w:val="00140A1B"/>
    <w:rsid w:val="0014161A"/>
    <w:rsid w:val="00141B7E"/>
    <w:rsid w:val="001420C7"/>
    <w:rsid w:val="00142356"/>
    <w:rsid w:val="001425C3"/>
    <w:rsid w:val="00142C3A"/>
    <w:rsid w:val="00142C51"/>
    <w:rsid w:val="00143453"/>
    <w:rsid w:val="001439D4"/>
    <w:rsid w:val="00143B97"/>
    <w:rsid w:val="00143DE1"/>
    <w:rsid w:val="00146553"/>
    <w:rsid w:val="00146C00"/>
    <w:rsid w:val="00146CF7"/>
    <w:rsid w:val="00147506"/>
    <w:rsid w:val="001475F6"/>
    <w:rsid w:val="00147E09"/>
    <w:rsid w:val="00147F55"/>
    <w:rsid w:val="00150981"/>
    <w:rsid w:val="00152543"/>
    <w:rsid w:val="00152689"/>
    <w:rsid w:val="00154273"/>
    <w:rsid w:val="001544C2"/>
    <w:rsid w:val="00154DA6"/>
    <w:rsid w:val="00155181"/>
    <w:rsid w:val="0015588B"/>
    <w:rsid w:val="00156A62"/>
    <w:rsid w:val="0015700C"/>
    <w:rsid w:val="001571FD"/>
    <w:rsid w:val="001576B5"/>
    <w:rsid w:val="00160B35"/>
    <w:rsid w:val="00160D8D"/>
    <w:rsid w:val="00160DF9"/>
    <w:rsid w:val="001611FD"/>
    <w:rsid w:val="00161226"/>
    <w:rsid w:val="00161B57"/>
    <w:rsid w:val="0016249A"/>
    <w:rsid w:val="00163793"/>
    <w:rsid w:val="00163EB1"/>
    <w:rsid w:val="00164279"/>
    <w:rsid w:val="001644FB"/>
    <w:rsid w:val="00164B18"/>
    <w:rsid w:val="00164BD7"/>
    <w:rsid w:val="00165D9D"/>
    <w:rsid w:val="00165F51"/>
    <w:rsid w:val="00166909"/>
    <w:rsid w:val="00170ABD"/>
    <w:rsid w:val="00171425"/>
    <w:rsid w:val="001714F2"/>
    <w:rsid w:val="0017179C"/>
    <w:rsid w:val="00171E58"/>
    <w:rsid w:val="00172FBE"/>
    <w:rsid w:val="00173A87"/>
    <w:rsid w:val="00174642"/>
    <w:rsid w:val="0017466E"/>
    <w:rsid w:val="00174C25"/>
    <w:rsid w:val="00174C78"/>
    <w:rsid w:val="00175098"/>
    <w:rsid w:val="0017583E"/>
    <w:rsid w:val="001758CB"/>
    <w:rsid w:val="00175F3E"/>
    <w:rsid w:val="00176EDF"/>
    <w:rsid w:val="001808AF"/>
    <w:rsid w:val="00180C11"/>
    <w:rsid w:val="00180CCC"/>
    <w:rsid w:val="00180EBF"/>
    <w:rsid w:val="001817AB"/>
    <w:rsid w:val="00181B9B"/>
    <w:rsid w:val="001820FF"/>
    <w:rsid w:val="0018389E"/>
    <w:rsid w:val="00184602"/>
    <w:rsid w:val="00184689"/>
    <w:rsid w:val="00184A37"/>
    <w:rsid w:val="00184C6B"/>
    <w:rsid w:val="00185010"/>
    <w:rsid w:val="00186837"/>
    <w:rsid w:val="001868F8"/>
    <w:rsid w:val="001871C3"/>
    <w:rsid w:val="00190354"/>
    <w:rsid w:val="00190695"/>
    <w:rsid w:val="00190CD5"/>
    <w:rsid w:val="001914E1"/>
    <w:rsid w:val="0019219D"/>
    <w:rsid w:val="00192903"/>
    <w:rsid w:val="00192B1A"/>
    <w:rsid w:val="00192C11"/>
    <w:rsid w:val="00193143"/>
    <w:rsid w:val="00193262"/>
    <w:rsid w:val="00193481"/>
    <w:rsid w:val="001938F0"/>
    <w:rsid w:val="00193D4D"/>
    <w:rsid w:val="00195DE0"/>
    <w:rsid w:val="0019608F"/>
    <w:rsid w:val="0019637A"/>
    <w:rsid w:val="00196712"/>
    <w:rsid w:val="0019689E"/>
    <w:rsid w:val="001970B2"/>
    <w:rsid w:val="00197965"/>
    <w:rsid w:val="001A1435"/>
    <w:rsid w:val="001A17CF"/>
    <w:rsid w:val="001A1ABA"/>
    <w:rsid w:val="001A26ED"/>
    <w:rsid w:val="001A30E6"/>
    <w:rsid w:val="001A3161"/>
    <w:rsid w:val="001A432E"/>
    <w:rsid w:val="001A51D6"/>
    <w:rsid w:val="001A552F"/>
    <w:rsid w:val="001A5D36"/>
    <w:rsid w:val="001A6373"/>
    <w:rsid w:val="001A7A25"/>
    <w:rsid w:val="001A7DC2"/>
    <w:rsid w:val="001B07F6"/>
    <w:rsid w:val="001B0AFE"/>
    <w:rsid w:val="001B1377"/>
    <w:rsid w:val="001B202B"/>
    <w:rsid w:val="001B272D"/>
    <w:rsid w:val="001B2BAE"/>
    <w:rsid w:val="001B2CB1"/>
    <w:rsid w:val="001B2D31"/>
    <w:rsid w:val="001B3110"/>
    <w:rsid w:val="001B3422"/>
    <w:rsid w:val="001B3511"/>
    <w:rsid w:val="001B3A0E"/>
    <w:rsid w:val="001B4697"/>
    <w:rsid w:val="001B4EE4"/>
    <w:rsid w:val="001B56B7"/>
    <w:rsid w:val="001B614A"/>
    <w:rsid w:val="001B6778"/>
    <w:rsid w:val="001B7225"/>
    <w:rsid w:val="001B74DA"/>
    <w:rsid w:val="001B75ED"/>
    <w:rsid w:val="001B7941"/>
    <w:rsid w:val="001C090A"/>
    <w:rsid w:val="001C0D60"/>
    <w:rsid w:val="001C0F83"/>
    <w:rsid w:val="001C12E9"/>
    <w:rsid w:val="001C3034"/>
    <w:rsid w:val="001C35BA"/>
    <w:rsid w:val="001C3C7D"/>
    <w:rsid w:val="001C460C"/>
    <w:rsid w:val="001C48A8"/>
    <w:rsid w:val="001C504B"/>
    <w:rsid w:val="001C510E"/>
    <w:rsid w:val="001C522E"/>
    <w:rsid w:val="001C7898"/>
    <w:rsid w:val="001C795C"/>
    <w:rsid w:val="001D1415"/>
    <w:rsid w:val="001D1859"/>
    <w:rsid w:val="001D23C7"/>
    <w:rsid w:val="001D25D0"/>
    <w:rsid w:val="001D28A1"/>
    <w:rsid w:val="001D2A50"/>
    <w:rsid w:val="001D353E"/>
    <w:rsid w:val="001D4327"/>
    <w:rsid w:val="001D5485"/>
    <w:rsid w:val="001D55C1"/>
    <w:rsid w:val="001D5DE7"/>
    <w:rsid w:val="001D63F4"/>
    <w:rsid w:val="001D67F1"/>
    <w:rsid w:val="001D6CB9"/>
    <w:rsid w:val="001D7D8E"/>
    <w:rsid w:val="001E0E7C"/>
    <w:rsid w:val="001E176E"/>
    <w:rsid w:val="001E2E1C"/>
    <w:rsid w:val="001E47B2"/>
    <w:rsid w:val="001E5300"/>
    <w:rsid w:val="001E5B55"/>
    <w:rsid w:val="001E5CBD"/>
    <w:rsid w:val="001E683C"/>
    <w:rsid w:val="001E6A8D"/>
    <w:rsid w:val="001E7698"/>
    <w:rsid w:val="001F0568"/>
    <w:rsid w:val="001F0916"/>
    <w:rsid w:val="001F0E97"/>
    <w:rsid w:val="001F0F4F"/>
    <w:rsid w:val="001F13E6"/>
    <w:rsid w:val="001F1473"/>
    <w:rsid w:val="001F199C"/>
    <w:rsid w:val="001F235C"/>
    <w:rsid w:val="001F2810"/>
    <w:rsid w:val="001F2C44"/>
    <w:rsid w:val="001F2D3F"/>
    <w:rsid w:val="001F2E21"/>
    <w:rsid w:val="001F4597"/>
    <w:rsid w:val="001F4E4F"/>
    <w:rsid w:val="001F5608"/>
    <w:rsid w:val="001F60AB"/>
    <w:rsid w:val="001F624B"/>
    <w:rsid w:val="001F6D50"/>
    <w:rsid w:val="001F7E20"/>
    <w:rsid w:val="00200FDE"/>
    <w:rsid w:val="00201371"/>
    <w:rsid w:val="0020344B"/>
    <w:rsid w:val="00203CB8"/>
    <w:rsid w:val="00204888"/>
    <w:rsid w:val="00204C88"/>
    <w:rsid w:val="0020532C"/>
    <w:rsid w:val="00205612"/>
    <w:rsid w:val="00205FB4"/>
    <w:rsid w:val="0020602B"/>
    <w:rsid w:val="0020650B"/>
    <w:rsid w:val="00206913"/>
    <w:rsid w:val="00207A19"/>
    <w:rsid w:val="00207F13"/>
    <w:rsid w:val="00210640"/>
    <w:rsid w:val="00210E65"/>
    <w:rsid w:val="00211943"/>
    <w:rsid w:val="00211B47"/>
    <w:rsid w:val="00211FE6"/>
    <w:rsid w:val="00212203"/>
    <w:rsid w:val="00212E84"/>
    <w:rsid w:val="002130BB"/>
    <w:rsid w:val="0021317B"/>
    <w:rsid w:val="00213EC5"/>
    <w:rsid w:val="00213F1F"/>
    <w:rsid w:val="002146CD"/>
    <w:rsid w:val="00214B91"/>
    <w:rsid w:val="00214EBD"/>
    <w:rsid w:val="00214F12"/>
    <w:rsid w:val="00215CDE"/>
    <w:rsid w:val="002167E5"/>
    <w:rsid w:val="00216EB6"/>
    <w:rsid w:val="00217508"/>
    <w:rsid w:val="00217927"/>
    <w:rsid w:val="00217941"/>
    <w:rsid w:val="002179FE"/>
    <w:rsid w:val="00217ED9"/>
    <w:rsid w:val="00220219"/>
    <w:rsid w:val="00220971"/>
    <w:rsid w:val="00220B6B"/>
    <w:rsid w:val="00221277"/>
    <w:rsid w:val="00221300"/>
    <w:rsid w:val="0022139E"/>
    <w:rsid w:val="002216F1"/>
    <w:rsid w:val="002217E7"/>
    <w:rsid w:val="00221DAD"/>
    <w:rsid w:val="00222374"/>
    <w:rsid w:val="00222EDB"/>
    <w:rsid w:val="00223A34"/>
    <w:rsid w:val="002245E7"/>
    <w:rsid w:val="00224706"/>
    <w:rsid w:val="00224AF0"/>
    <w:rsid w:val="002252E0"/>
    <w:rsid w:val="002255F6"/>
    <w:rsid w:val="00226958"/>
    <w:rsid w:val="0023004F"/>
    <w:rsid w:val="00230830"/>
    <w:rsid w:val="00230A72"/>
    <w:rsid w:val="00230B35"/>
    <w:rsid w:val="002320A5"/>
    <w:rsid w:val="0023214C"/>
    <w:rsid w:val="00232351"/>
    <w:rsid w:val="00232D0C"/>
    <w:rsid w:val="00232D16"/>
    <w:rsid w:val="00233704"/>
    <w:rsid w:val="002346F8"/>
    <w:rsid w:val="00234B1E"/>
    <w:rsid w:val="00236443"/>
    <w:rsid w:val="00236678"/>
    <w:rsid w:val="00236AA1"/>
    <w:rsid w:val="00237227"/>
    <w:rsid w:val="00237A78"/>
    <w:rsid w:val="00240B34"/>
    <w:rsid w:val="0024246D"/>
    <w:rsid w:val="00242B9B"/>
    <w:rsid w:val="002436BA"/>
    <w:rsid w:val="00243F74"/>
    <w:rsid w:val="00243F77"/>
    <w:rsid w:val="0024408B"/>
    <w:rsid w:val="00244A15"/>
    <w:rsid w:val="00245E86"/>
    <w:rsid w:val="00246693"/>
    <w:rsid w:val="0024799E"/>
    <w:rsid w:val="00247C43"/>
    <w:rsid w:val="00247DB8"/>
    <w:rsid w:val="002503D9"/>
    <w:rsid w:val="002505F8"/>
    <w:rsid w:val="0025064A"/>
    <w:rsid w:val="00250932"/>
    <w:rsid w:val="0025183D"/>
    <w:rsid w:val="002524DD"/>
    <w:rsid w:val="00252E04"/>
    <w:rsid w:val="002530C7"/>
    <w:rsid w:val="00253360"/>
    <w:rsid w:val="0025402D"/>
    <w:rsid w:val="00254077"/>
    <w:rsid w:val="002545BF"/>
    <w:rsid w:val="0025480C"/>
    <w:rsid w:val="002557E9"/>
    <w:rsid w:val="00255E70"/>
    <w:rsid w:val="002560BA"/>
    <w:rsid w:val="002561A8"/>
    <w:rsid w:val="0025630A"/>
    <w:rsid w:val="00257229"/>
    <w:rsid w:val="0025762A"/>
    <w:rsid w:val="0026171B"/>
    <w:rsid w:val="00261CBA"/>
    <w:rsid w:val="002620B2"/>
    <w:rsid w:val="00262367"/>
    <w:rsid w:val="002623DB"/>
    <w:rsid w:val="00262DE2"/>
    <w:rsid w:val="00263056"/>
    <w:rsid w:val="00263BB6"/>
    <w:rsid w:val="00264214"/>
    <w:rsid w:val="00264588"/>
    <w:rsid w:val="00264B5B"/>
    <w:rsid w:val="00264B60"/>
    <w:rsid w:val="00264BA9"/>
    <w:rsid w:val="00264EFE"/>
    <w:rsid w:val="00265BD7"/>
    <w:rsid w:val="002662F1"/>
    <w:rsid w:val="0026786F"/>
    <w:rsid w:val="00267BE9"/>
    <w:rsid w:val="00267F16"/>
    <w:rsid w:val="002702CD"/>
    <w:rsid w:val="002704E6"/>
    <w:rsid w:val="00272CB1"/>
    <w:rsid w:val="00272EBC"/>
    <w:rsid w:val="002731CD"/>
    <w:rsid w:val="002734B4"/>
    <w:rsid w:val="002741F8"/>
    <w:rsid w:val="002746DC"/>
    <w:rsid w:val="00274DB5"/>
    <w:rsid w:val="002760D2"/>
    <w:rsid w:val="00276B63"/>
    <w:rsid w:val="0027702D"/>
    <w:rsid w:val="00277939"/>
    <w:rsid w:val="0027795A"/>
    <w:rsid w:val="00277B20"/>
    <w:rsid w:val="00277B21"/>
    <w:rsid w:val="002809B1"/>
    <w:rsid w:val="002817BF"/>
    <w:rsid w:val="00281CA1"/>
    <w:rsid w:val="002822A5"/>
    <w:rsid w:val="0028236A"/>
    <w:rsid w:val="002829BA"/>
    <w:rsid w:val="00282B15"/>
    <w:rsid w:val="00283092"/>
    <w:rsid w:val="00283243"/>
    <w:rsid w:val="00283437"/>
    <w:rsid w:val="00284657"/>
    <w:rsid w:val="00284999"/>
    <w:rsid w:val="00284D4D"/>
    <w:rsid w:val="00284F42"/>
    <w:rsid w:val="002856FF"/>
    <w:rsid w:val="00285D88"/>
    <w:rsid w:val="002864D7"/>
    <w:rsid w:val="002865CD"/>
    <w:rsid w:val="00286723"/>
    <w:rsid w:val="00286B25"/>
    <w:rsid w:val="00286DD7"/>
    <w:rsid w:val="00287C42"/>
    <w:rsid w:val="00290410"/>
    <w:rsid w:val="00290C0F"/>
    <w:rsid w:val="00291091"/>
    <w:rsid w:val="00291229"/>
    <w:rsid w:val="00291B51"/>
    <w:rsid w:val="00292130"/>
    <w:rsid w:val="00292E6B"/>
    <w:rsid w:val="00293EA3"/>
    <w:rsid w:val="00293EC4"/>
    <w:rsid w:val="002941F0"/>
    <w:rsid w:val="00294C66"/>
    <w:rsid w:val="00294ECE"/>
    <w:rsid w:val="002952B7"/>
    <w:rsid w:val="00295694"/>
    <w:rsid w:val="0029633E"/>
    <w:rsid w:val="00296571"/>
    <w:rsid w:val="002965A8"/>
    <w:rsid w:val="00296B91"/>
    <w:rsid w:val="002972DA"/>
    <w:rsid w:val="00297817"/>
    <w:rsid w:val="00297EE8"/>
    <w:rsid w:val="002A0975"/>
    <w:rsid w:val="002A0EC4"/>
    <w:rsid w:val="002A1858"/>
    <w:rsid w:val="002A1E1B"/>
    <w:rsid w:val="002A20B8"/>
    <w:rsid w:val="002A2283"/>
    <w:rsid w:val="002A246D"/>
    <w:rsid w:val="002A28B1"/>
    <w:rsid w:val="002A30A5"/>
    <w:rsid w:val="002A31EB"/>
    <w:rsid w:val="002A3C20"/>
    <w:rsid w:val="002A42C2"/>
    <w:rsid w:val="002A4939"/>
    <w:rsid w:val="002A4E39"/>
    <w:rsid w:val="002A4F13"/>
    <w:rsid w:val="002A63D7"/>
    <w:rsid w:val="002A696C"/>
    <w:rsid w:val="002A6C63"/>
    <w:rsid w:val="002A6FDB"/>
    <w:rsid w:val="002A7417"/>
    <w:rsid w:val="002A7E18"/>
    <w:rsid w:val="002A7EF5"/>
    <w:rsid w:val="002B08C4"/>
    <w:rsid w:val="002B0B7D"/>
    <w:rsid w:val="002B0C26"/>
    <w:rsid w:val="002B18BF"/>
    <w:rsid w:val="002B20E7"/>
    <w:rsid w:val="002B2339"/>
    <w:rsid w:val="002B2AA3"/>
    <w:rsid w:val="002B3582"/>
    <w:rsid w:val="002B394B"/>
    <w:rsid w:val="002B57FF"/>
    <w:rsid w:val="002B5CCA"/>
    <w:rsid w:val="002B5FCC"/>
    <w:rsid w:val="002B641F"/>
    <w:rsid w:val="002B6AC4"/>
    <w:rsid w:val="002B7E2D"/>
    <w:rsid w:val="002C077E"/>
    <w:rsid w:val="002C2E45"/>
    <w:rsid w:val="002C31D3"/>
    <w:rsid w:val="002C3789"/>
    <w:rsid w:val="002C43BD"/>
    <w:rsid w:val="002C4625"/>
    <w:rsid w:val="002C49DA"/>
    <w:rsid w:val="002C5037"/>
    <w:rsid w:val="002C5EA5"/>
    <w:rsid w:val="002C6DE2"/>
    <w:rsid w:val="002D0891"/>
    <w:rsid w:val="002D15F5"/>
    <w:rsid w:val="002D176C"/>
    <w:rsid w:val="002D1F51"/>
    <w:rsid w:val="002D212C"/>
    <w:rsid w:val="002D2224"/>
    <w:rsid w:val="002D2D6D"/>
    <w:rsid w:val="002D3AE2"/>
    <w:rsid w:val="002D3DF2"/>
    <w:rsid w:val="002D4653"/>
    <w:rsid w:val="002D47D8"/>
    <w:rsid w:val="002D4C3F"/>
    <w:rsid w:val="002D526C"/>
    <w:rsid w:val="002D5E15"/>
    <w:rsid w:val="002D5E16"/>
    <w:rsid w:val="002D6D37"/>
    <w:rsid w:val="002E0064"/>
    <w:rsid w:val="002E02A1"/>
    <w:rsid w:val="002E1344"/>
    <w:rsid w:val="002E1696"/>
    <w:rsid w:val="002E1B16"/>
    <w:rsid w:val="002E2361"/>
    <w:rsid w:val="002E273A"/>
    <w:rsid w:val="002E2D2E"/>
    <w:rsid w:val="002E378A"/>
    <w:rsid w:val="002E415C"/>
    <w:rsid w:val="002E4175"/>
    <w:rsid w:val="002E54BA"/>
    <w:rsid w:val="002E56EA"/>
    <w:rsid w:val="002E60FD"/>
    <w:rsid w:val="002E6426"/>
    <w:rsid w:val="002E6C8F"/>
    <w:rsid w:val="002E738D"/>
    <w:rsid w:val="002E7AB9"/>
    <w:rsid w:val="002E7D31"/>
    <w:rsid w:val="002F075D"/>
    <w:rsid w:val="002F0E82"/>
    <w:rsid w:val="002F13A6"/>
    <w:rsid w:val="002F1C8F"/>
    <w:rsid w:val="002F2AB6"/>
    <w:rsid w:val="002F2B14"/>
    <w:rsid w:val="002F3763"/>
    <w:rsid w:val="002F383B"/>
    <w:rsid w:val="002F3C2E"/>
    <w:rsid w:val="002F4610"/>
    <w:rsid w:val="002F473A"/>
    <w:rsid w:val="002F4840"/>
    <w:rsid w:val="002F4AE6"/>
    <w:rsid w:val="002F536B"/>
    <w:rsid w:val="002F77B1"/>
    <w:rsid w:val="002F7B2D"/>
    <w:rsid w:val="003004B9"/>
    <w:rsid w:val="00300C5E"/>
    <w:rsid w:val="0030115C"/>
    <w:rsid w:val="0030195D"/>
    <w:rsid w:val="00301C0F"/>
    <w:rsid w:val="003029B7"/>
    <w:rsid w:val="00303628"/>
    <w:rsid w:val="00304771"/>
    <w:rsid w:val="0030494E"/>
    <w:rsid w:val="00304E60"/>
    <w:rsid w:val="0030551D"/>
    <w:rsid w:val="003060E9"/>
    <w:rsid w:val="0030627B"/>
    <w:rsid w:val="003064BE"/>
    <w:rsid w:val="00306C5B"/>
    <w:rsid w:val="003070A1"/>
    <w:rsid w:val="003077BC"/>
    <w:rsid w:val="003103E0"/>
    <w:rsid w:val="00310574"/>
    <w:rsid w:val="00310D3B"/>
    <w:rsid w:val="00311DC4"/>
    <w:rsid w:val="00312184"/>
    <w:rsid w:val="003121CB"/>
    <w:rsid w:val="003123E5"/>
    <w:rsid w:val="00312A86"/>
    <w:rsid w:val="00313226"/>
    <w:rsid w:val="003132A5"/>
    <w:rsid w:val="0031345A"/>
    <w:rsid w:val="003136F4"/>
    <w:rsid w:val="003138D5"/>
    <w:rsid w:val="00313C1A"/>
    <w:rsid w:val="00313E77"/>
    <w:rsid w:val="0031447E"/>
    <w:rsid w:val="0031517D"/>
    <w:rsid w:val="00315574"/>
    <w:rsid w:val="003156E7"/>
    <w:rsid w:val="00315836"/>
    <w:rsid w:val="00316E93"/>
    <w:rsid w:val="00317733"/>
    <w:rsid w:val="00317C0E"/>
    <w:rsid w:val="00317EEE"/>
    <w:rsid w:val="00317F87"/>
    <w:rsid w:val="003209D6"/>
    <w:rsid w:val="00320BE7"/>
    <w:rsid w:val="00321440"/>
    <w:rsid w:val="00321F4E"/>
    <w:rsid w:val="0032237D"/>
    <w:rsid w:val="00322C43"/>
    <w:rsid w:val="00324925"/>
    <w:rsid w:val="00325432"/>
    <w:rsid w:val="00325563"/>
    <w:rsid w:val="003257F5"/>
    <w:rsid w:val="00325DD0"/>
    <w:rsid w:val="0032720A"/>
    <w:rsid w:val="00327D6C"/>
    <w:rsid w:val="00330B08"/>
    <w:rsid w:val="0033151A"/>
    <w:rsid w:val="0033205F"/>
    <w:rsid w:val="00332CDF"/>
    <w:rsid w:val="0033328F"/>
    <w:rsid w:val="00334173"/>
    <w:rsid w:val="00336397"/>
    <w:rsid w:val="0033669D"/>
    <w:rsid w:val="00336DF1"/>
    <w:rsid w:val="0033719B"/>
    <w:rsid w:val="00337388"/>
    <w:rsid w:val="003406D8"/>
    <w:rsid w:val="00341ECF"/>
    <w:rsid w:val="00342B2F"/>
    <w:rsid w:val="00342CAF"/>
    <w:rsid w:val="00342D7F"/>
    <w:rsid w:val="00343138"/>
    <w:rsid w:val="003441BE"/>
    <w:rsid w:val="003441DB"/>
    <w:rsid w:val="003446EA"/>
    <w:rsid w:val="00345A98"/>
    <w:rsid w:val="00345C77"/>
    <w:rsid w:val="0034647A"/>
    <w:rsid w:val="00346958"/>
    <w:rsid w:val="00346D5F"/>
    <w:rsid w:val="003514E7"/>
    <w:rsid w:val="00351E54"/>
    <w:rsid w:val="00352A02"/>
    <w:rsid w:val="00354F8F"/>
    <w:rsid w:val="0035559D"/>
    <w:rsid w:val="0035597D"/>
    <w:rsid w:val="00356188"/>
    <w:rsid w:val="003562A5"/>
    <w:rsid w:val="00356653"/>
    <w:rsid w:val="0035678F"/>
    <w:rsid w:val="0035680A"/>
    <w:rsid w:val="00356A61"/>
    <w:rsid w:val="00356ABD"/>
    <w:rsid w:val="00356B55"/>
    <w:rsid w:val="00356D35"/>
    <w:rsid w:val="0035700E"/>
    <w:rsid w:val="00357655"/>
    <w:rsid w:val="003576D0"/>
    <w:rsid w:val="00357803"/>
    <w:rsid w:val="00357CC8"/>
    <w:rsid w:val="00357E6F"/>
    <w:rsid w:val="00360828"/>
    <w:rsid w:val="00360E7E"/>
    <w:rsid w:val="00361725"/>
    <w:rsid w:val="00361836"/>
    <w:rsid w:val="00361C6F"/>
    <w:rsid w:val="003628BE"/>
    <w:rsid w:val="00362FDE"/>
    <w:rsid w:val="003630C8"/>
    <w:rsid w:val="00363198"/>
    <w:rsid w:val="003643CA"/>
    <w:rsid w:val="003648DE"/>
    <w:rsid w:val="00364AA8"/>
    <w:rsid w:val="00364E4D"/>
    <w:rsid w:val="003657F3"/>
    <w:rsid w:val="00366A39"/>
    <w:rsid w:val="0036766A"/>
    <w:rsid w:val="00367752"/>
    <w:rsid w:val="003678FD"/>
    <w:rsid w:val="00367BB0"/>
    <w:rsid w:val="003719DA"/>
    <w:rsid w:val="00371D3C"/>
    <w:rsid w:val="003740E9"/>
    <w:rsid w:val="00374E4D"/>
    <w:rsid w:val="0037506F"/>
    <w:rsid w:val="00377835"/>
    <w:rsid w:val="00377E3B"/>
    <w:rsid w:val="0038020A"/>
    <w:rsid w:val="003808B1"/>
    <w:rsid w:val="00380CC2"/>
    <w:rsid w:val="003810B7"/>
    <w:rsid w:val="00381C35"/>
    <w:rsid w:val="00381F09"/>
    <w:rsid w:val="003822AB"/>
    <w:rsid w:val="00382C33"/>
    <w:rsid w:val="00382DDE"/>
    <w:rsid w:val="00383513"/>
    <w:rsid w:val="003845F5"/>
    <w:rsid w:val="0038546D"/>
    <w:rsid w:val="00385D98"/>
    <w:rsid w:val="00386DF2"/>
    <w:rsid w:val="00386F3B"/>
    <w:rsid w:val="00387C68"/>
    <w:rsid w:val="00387E13"/>
    <w:rsid w:val="00390F56"/>
    <w:rsid w:val="003919FF"/>
    <w:rsid w:val="00391AA7"/>
    <w:rsid w:val="00392623"/>
    <w:rsid w:val="0039310B"/>
    <w:rsid w:val="00393347"/>
    <w:rsid w:val="003934E8"/>
    <w:rsid w:val="0039379F"/>
    <w:rsid w:val="00393C21"/>
    <w:rsid w:val="00393F5D"/>
    <w:rsid w:val="00394912"/>
    <w:rsid w:val="00395150"/>
    <w:rsid w:val="003951A0"/>
    <w:rsid w:val="00395620"/>
    <w:rsid w:val="00395CCB"/>
    <w:rsid w:val="00396CCA"/>
    <w:rsid w:val="00396CEE"/>
    <w:rsid w:val="00397543"/>
    <w:rsid w:val="00397A7C"/>
    <w:rsid w:val="003A063A"/>
    <w:rsid w:val="003A09D2"/>
    <w:rsid w:val="003A0D1B"/>
    <w:rsid w:val="003A1184"/>
    <w:rsid w:val="003A221E"/>
    <w:rsid w:val="003A23ED"/>
    <w:rsid w:val="003A25FF"/>
    <w:rsid w:val="003A2B4D"/>
    <w:rsid w:val="003A2BD0"/>
    <w:rsid w:val="003A35E8"/>
    <w:rsid w:val="003A3E76"/>
    <w:rsid w:val="003A4439"/>
    <w:rsid w:val="003A478C"/>
    <w:rsid w:val="003A51EA"/>
    <w:rsid w:val="003A5525"/>
    <w:rsid w:val="003A557C"/>
    <w:rsid w:val="003A6051"/>
    <w:rsid w:val="003A66F3"/>
    <w:rsid w:val="003A678B"/>
    <w:rsid w:val="003A6B38"/>
    <w:rsid w:val="003A7287"/>
    <w:rsid w:val="003A7FE1"/>
    <w:rsid w:val="003B0413"/>
    <w:rsid w:val="003B07C1"/>
    <w:rsid w:val="003B0C72"/>
    <w:rsid w:val="003B0D8D"/>
    <w:rsid w:val="003B10C4"/>
    <w:rsid w:val="003B186E"/>
    <w:rsid w:val="003B2BAD"/>
    <w:rsid w:val="003B2C71"/>
    <w:rsid w:val="003B3FE2"/>
    <w:rsid w:val="003B40C5"/>
    <w:rsid w:val="003B4110"/>
    <w:rsid w:val="003B4725"/>
    <w:rsid w:val="003B49A8"/>
    <w:rsid w:val="003B4B1C"/>
    <w:rsid w:val="003B4DF4"/>
    <w:rsid w:val="003B5A32"/>
    <w:rsid w:val="003B5C46"/>
    <w:rsid w:val="003B5CC3"/>
    <w:rsid w:val="003B658C"/>
    <w:rsid w:val="003B6754"/>
    <w:rsid w:val="003B7140"/>
    <w:rsid w:val="003B7401"/>
    <w:rsid w:val="003B7648"/>
    <w:rsid w:val="003B771D"/>
    <w:rsid w:val="003B77FC"/>
    <w:rsid w:val="003B784A"/>
    <w:rsid w:val="003C01E6"/>
    <w:rsid w:val="003C064D"/>
    <w:rsid w:val="003C0B1A"/>
    <w:rsid w:val="003C0B2C"/>
    <w:rsid w:val="003C0EB4"/>
    <w:rsid w:val="003C0F6B"/>
    <w:rsid w:val="003C1606"/>
    <w:rsid w:val="003C1989"/>
    <w:rsid w:val="003C2615"/>
    <w:rsid w:val="003C2A63"/>
    <w:rsid w:val="003C2AE3"/>
    <w:rsid w:val="003C2F6F"/>
    <w:rsid w:val="003C351C"/>
    <w:rsid w:val="003C3F7D"/>
    <w:rsid w:val="003C48BB"/>
    <w:rsid w:val="003C59A0"/>
    <w:rsid w:val="003C5D6B"/>
    <w:rsid w:val="003C63D9"/>
    <w:rsid w:val="003C6476"/>
    <w:rsid w:val="003C6D14"/>
    <w:rsid w:val="003C6D1D"/>
    <w:rsid w:val="003C7713"/>
    <w:rsid w:val="003D0DCA"/>
    <w:rsid w:val="003D1EAD"/>
    <w:rsid w:val="003D3D33"/>
    <w:rsid w:val="003D3DB2"/>
    <w:rsid w:val="003D3EC5"/>
    <w:rsid w:val="003D487D"/>
    <w:rsid w:val="003D5F99"/>
    <w:rsid w:val="003D70EC"/>
    <w:rsid w:val="003E126A"/>
    <w:rsid w:val="003E1343"/>
    <w:rsid w:val="003E223D"/>
    <w:rsid w:val="003E2878"/>
    <w:rsid w:val="003E2BEE"/>
    <w:rsid w:val="003E2E12"/>
    <w:rsid w:val="003E3D05"/>
    <w:rsid w:val="003E40BE"/>
    <w:rsid w:val="003E46F8"/>
    <w:rsid w:val="003E5375"/>
    <w:rsid w:val="003E542D"/>
    <w:rsid w:val="003E5F6B"/>
    <w:rsid w:val="003E6091"/>
    <w:rsid w:val="003E659E"/>
    <w:rsid w:val="003E79D0"/>
    <w:rsid w:val="003F05BE"/>
    <w:rsid w:val="003F0699"/>
    <w:rsid w:val="003F10C4"/>
    <w:rsid w:val="003F1C9D"/>
    <w:rsid w:val="003F279F"/>
    <w:rsid w:val="003F313C"/>
    <w:rsid w:val="003F40B3"/>
    <w:rsid w:val="003F6140"/>
    <w:rsid w:val="003F62AA"/>
    <w:rsid w:val="00400042"/>
    <w:rsid w:val="00400045"/>
    <w:rsid w:val="0040160E"/>
    <w:rsid w:val="00401DEB"/>
    <w:rsid w:val="004026BE"/>
    <w:rsid w:val="004031C8"/>
    <w:rsid w:val="00406664"/>
    <w:rsid w:val="00406CBE"/>
    <w:rsid w:val="004070A8"/>
    <w:rsid w:val="004076FC"/>
    <w:rsid w:val="00407952"/>
    <w:rsid w:val="00410AB4"/>
    <w:rsid w:val="00410D5F"/>
    <w:rsid w:val="00410D77"/>
    <w:rsid w:val="004116AB"/>
    <w:rsid w:val="004116C5"/>
    <w:rsid w:val="00411BCD"/>
    <w:rsid w:val="004121C6"/>
    <w:rsid w:val="004123F8"/>
    <w:rsid w:val="00412853"/>
    <w:rsid w:val="00412AF9"/>
    <w:rsid w:val="00414240"/>
    <w:rsid w:val="004159BE"/>
    <w:rsid w:val="00417701"/>
    <w:rsid w:val="00417EA2"/>
    <w:rsid w:val="0042093A"/>
    <w:rsid w:val="00422315"/>
    <w:rsid w:val="00422D29"/>
    <w:rsid w:val="00423516"/>
    <w:rsid w:val="004236B3"/>
    <w:rsid w:val="004251DA"/>
    <w:rsid w:val="00427031"/>
    <w:rsid w:val="00427185"/>
    <w:rsid w:val="00427765"/>
    <w:rsid w:val="004279F0"/>
    <w:rsid w:val="004309FF"/>
    <w:rsid w:val="00430F18"/>
    <w:rsid w:val="0043194A"/>
    <w:rsid w:val="00431B48"/>
    <w:rsid w:val="00431B5D"/>
    <w:rsid w:val="00431F9F"/>
    <w:rsid w:val="00432A69"/>
    <w:rsid w:val="00433C4C"/>
    <w:rsid w:val="00433F56"/>
    <w:rsid w:val="00435439"/>
    <w:rsid w:val="00435BCA"/>
    <w:rsid w:val="00436048"/>
    <w:rsid w:val="004362C3"/>
    <w:rsid w:val="004366E9"/>
    <w:rsid w:val="00437BB3"/>
    <w:rsid w:val="00437CD7"/>
    <w:rsid w:val="0044116D"/>
    <w:rsid w:val="004423DA"/>
    <w:rsid w:val="00442AFE"/>
    <w:rsid w:val="00442F8D"/>
    <w:rsid w:val="004434A7"/>
    <w:rsid w:val="004434D1"/>
    <w:rsid w:val="00444C12"/>
    <w:rsid w:val="00446AE2"/>
    <w:rsid w:val="00446BDF"/>
    <w:rsid w:val="004479AD"/>
    <w:rsid w:val="00450AA9"/>
    <w:rsid w:val="00450CB6"/>
    <w:rsid w:val="0045122A"/>
    <w:rsid w:val="00452B89"/>
    <w:rsid w:val="00453D53"/>
    <w:rsid w:val="00454626"/>
    <w:rsid w:val="0045537A"/>
    <w:rsid w:val="00455781"/>
    <w:rsid w:val="00455B9C"/>
    <w:rsid w:val="00455C0E"/>
    <w:rsid w:val="00455CA7"/>
    <w:rsid w:val="0045641C"/>
    <w:rsid w:val="00456EBB"/>
    <w:rsid w:val="00457118"/>
    <w:rsid w:val="004601EC"/>
    <w:rsid w:val="00460471"/>
    <w:rsid w:val="004618A8"/>
    <w:rsid w:val="00462729"/>
    <w:rsid w:val="00463478"/>
    <w:rsid w:val="004638C8"/>
    <w:rsid w:val="004641AA"/>
    <w:rsid w:val="00464380"/>
    <w:rsid w:val="00464A1B"/>
    <w:rsid w:val="00465311"/>
    <w:rsid w:val="00466731"/>
    <w:rsid w:val="00466D51"/>
    <w:rsid w:val="00467796"/>
    <w:rsid w:val="00467AF3"/>
    <w:rsid w:val="00470603"/>
    <w:rsid w:val="0047073D"/>
    <w:rsid w:val="00470CEE"/>
    <w:rsid w:val="0047128A"/>
    <w:rsid w:val="004721FE"/>
    <w:rsid w:val="00472688"/>
    <w:rsid w:val="0047361C"/>
    <w:rsid w:val="00473C7D"/>
    <w:rsid w:val="00473FDD"/>
    <w:rsid w:val="004741CD"/>
    <w:rsid w:val="004760A6"/>
    <w:rsid w:val="0047685A"/>
    <w:rsid w:val="0047726D"/>
    <w:rsid w:val="00477806"/>
    <w:rsid w:val="0048139F"/>
    <w:rsid w:val="00481B3C"/>
    <w:rsid w:val="00481FEA"/>
    <w:rsid w:val="00482A95"/>
    <w:rsid w:val="00483771"/>
    <w:rsid w:val="004839AB"/>
    <w:rsid w:val="00483CCC"/>
    <w:rsid w:val="00483D06"/>
    <w:rsid w:val="00484D2D"/>
    <w:rsid w:val="00485020"/>
    <w:rsid w:val="0048672E"/>
    <w:rsid w:val="00487D59"/>
    <w:rsid w:val="00491701"/>
    <w:rsid w:val="0049277F"/>
    <w:rsid w:val="004935F8"/>
    <w:rsid w:val="00493970"/>
    <w:rsid w:val="00493A9C"/>
    <w:rsid w:val="004941D8"/>
    <w:rsid w:val="00495130"/>
    <w:rsid w:val="00495BF2"/>
    <w:rsid w:val="0049706C"/>
    <w:rsid w:val="004971B6"/>
    <w:rsid w:val="00497328"/>
    <w:rsid w:val="004A1343"/>
    <w:rsid w:val="004A143F"/>
    <w:rsid w:val="004A25C3"/>
    <w:rsid w:val="004A29D3"/>
    <w:rsid w:val="004A3DC9"/>
    <w:rsid w:val="004A3E53"/>
    <w:rsid w:val="004A43A4"/>
    <w:rsid w:val="004A468E"/>
    <w:rsid w:val="004A51C4"/>
    <w:rsid w:val="004A5AE0"/>
    <w:rsid w:val="004A70EE"/>
    <w:rsid w:val="004A77A8"/>
    <w:rsid w:val="004A77DF"/>
    <w:rsid w:val="004A794B"/>
    <w:rsid w:val="004B0EC2"/>
    <w:rsid w:val="004B12F7"/>
    <w:rsid w:val="004B1A89"/>
    <w:rsid w:val="004B1B5A"/>
    <w:rsid w:val="004B2705"/>
    <w:rsid w:val="004B2E20"/>
    <w:rsid w:val="004B2E8D"/>
    <w:rsid w:val="004B5116"/>
    <w:rsid w:val="004B55B7"/>
    <w:rsid w:val="004B6BA1"/>
    <w:rsid w:val="004B793A"/>
    <w:rsid w:val="004C0A87"/>
    <w:rsid w:val="004C16AD"/>
    <w:rsid w:val="004C1966"/>
    <w:rsid w:val="004C1C5E"/>
    <w:rsid w:val="004C1F63"/>
    <w:rsid w:val="004C20DE"/>
    <w:rsid w:val="004C2E6C"/>
    <w:rsid w:val="004C3867"/>
    <w:rsid w:val="004C3C3D"/>
    <w:rsid w:val="004C3FE7"/>
    <w:rsid w:val="004C4B79"/>
    <w:rsid w:val="004C4CD0"/>
    <w:rsid w:val="004C5519"/>
    <w:rsid w:val="004C5D19"/>
    <w:rsid w:val="004C678A"/>
    <w:rsid w:val="004C704F"/>
    <w:rsid w:val="004C70DC"/>
    <w:rsid w:val="004C71C2"/>
    <w:rsid w:val="004D0059"/>
    <w:rsid w:val="004D0211"/>
    <w:rsid w:val="004D042F"/>
    <w:rsid w:val="004D06D1"/>
    <w:rsid w:val="004D0A65"/>
    <w:rsid w:val="004D1DD6"/>
    <w:rsid w:val="004D1E50"/>
    <w:rsid w:val="004D1F8B"/>
    <w:rsid w:val="004D2A08"/>
    <w:rsid w:val="004D2A4B"/>
    <w:rsid w:val="004D2C8B"/>
    <w:rsid w:val="004D3701"/>
    <w:rsid w:val="004D5F45"/>
    <w:rsid w:val="004D61D4"/>
    <w:rsid w:val="004D61D5"/>
    <w:rsid w:val="004D6318"/>
    <w:rsid w:val="004D66D6"/>
    <w:rsid w:val="004D6A27"/>
    <w:rsid w:val="004E09AB"/>
    <w:rsid w:val="004E0A21"/>
    <w:rsid w:val="004E0ABB"/>
    <w:rsid w:val="004E11C1"/>
    <w:rsid w:val="004E11E1"/>
    <w:rsid w:val="004E1E4B"/>
    <w:rsid w:val="004E22ED"/>
    <w:rsid w:val="004E2C66"/>
    <w:rsid w:val="004E3005"/>
    <w:rsid w:val="004E3936"/>
    <w:rsid w:val="004E41D9"/>
    <w:rsid w:val="004E45CC"/>
    <w:rsid w:val="004E46DF"/>
    <w:rsid w:val="004E4DD2"/>
    <w:rsid w:val="004E511E"/>
    <w:rsid w:val="004E5851"/>
    <w:rsid w:val="004E591D"/>
    <w:rsid w:val="004E5A72"/>
    <w:rsid w:val="004E5C31"/>
    <w:rsid w:val="004E6E16"/>
    <w:rsid w:val="004E753D"/>
    <w:rsid w:val="004E7AE1"/>
    <w:rsid w:val="004F0354"/>
    <w:rsid w:val="004F06F5"/>
    <w:rsid w:val="004F15EE"/>
    <w:rsid w:val="004F16EE"/>
    <w:rsid w:val="004F17DD"/>
    <w:rsid w:val="004F1ECB"/>
    <w:rsid w:val="004F1F5F"/>
    <w:rsid w:val="004F277E"/>
    <w:rsid w:val="004F2C2E"/>
    <w:rsid w:val="004F3087"/>
    <w:rsid w:val="004F33A0"/>
    <w:rsid w:val="004F392B"/>
    <w:rsid w:val="004F3C0D"/>
    <w:rsid w:val="004F4E78"/>
    <w:rsid w:val="004F565F"/>
    <w:rsid w:val="004F5FC4"/>
    <w:rsid w:val="004F6276"/>
    <w:rsid w:val="004F72DA"/>
    <w:rsid w:val="004F7E2C"/>
    <w:rsid w:val="00502D0B"/>
    <w:rsid w:val="0050326B"/>
    <w:rsid w:val="00503A24"/>
    <w:rsid w:val="00503ACA"/>
    <w:rsid w:val="00504084"/>
    <w:rsid w:val="00504AF2"/>
    <w:rsid w:val="00505549"/>
    <w:rsid w:val="00506563"/>
    <w:rsid w:val="005072E8"/>
    <w:rsid w:val="005073CC"/>
    <w:rsid w:val="005077B3"/>
    <w:rsid w:val="00507DDE"/>
    <w:rsid w:val="005105B7"/>
    <w:rsid w:val="005108C0"/>
    <w:rsid w:val="00510BB8"/>
    <w:rsid w:val="00510F11"/>
    <w:rsid w:val="0051105A"/>
    <w:rsid w:val="00511145"/>
    <w:rsid w:val="0051142B"/>
    <w:rsid w:val="00511698"/>
    <w:rsid w:val="005116AE"/>
    <w:rsid w:val="00511873"/>
    <w:rsid w:val="005124A8"/>
    <w:rsid w:val="00512880"/>
    <w:rsid w:val="00512DD0"/>
    <w:rsid w:val="00512DE2"/>
    <w:rsid w:val="00513211"/>
    <w:rsid w:val="00513B7E"/>
    <w:rsid w:val="00513D91"/>
    <w:rsid w:val="00513F1A"/>
    <w:rsid w:val="0051439D"/>
    <w:rsid w:val="005161B9"/>
    <w:rsid w:val="00516C32"/>
    <w:rsid w:val="005170FE"/>
    <w:rsid w:val="00517199"/>
    <w:rsid w:val="00517262"/>
    <w:rsid w:val="0051743B"/>
    <w:rsid w:val="005174CA"/>
    <w:rsid w:val="0051750C"/>
    <w:rsid w:val="00517B67"/>
    <w:rsid w:val="00520D35"/>
    <w:rsid w:val="00520DE9"/>
    <w:rsid w:val="00521358"/>
    <w:rsid w:val="0052170D"/>
    <w:rsid w:val="00521D61"/>
    <w:rsid w:val="00521FEE"/>
    <w:rsid w:val="005227FD"/>
    <w:rsid w:val="00524172"/>
    <w:rsid w:val="0052419A"/>
    <w:rsid w:val="00524912"/>
    <w:rsid w:val="00525137"/>
    <w:rsid w:val="005251DD"/>
    <w:rsid w:val="00526F22"/>
    <w:rsid w:val="00526F7C"/>
    <w:rsid w:val="00527020"/>
    <w:rsid w:val="005274B9"/>
    <w:rsid w:val="00527B11"/>
    <w:rsid w:val="005302AA"/>
    <w:rsid w:val="00530ACB"/>
    <w:rsid w:val="00530DA1"/>
    <w:rsid w:val="0053109F"/>
    <w:rsid w:val="005312A5"/>
    <w:rsid w:val="0053193F"/>
    <w:rsid w:val="00531ADC"/>
    <w:rsid w:val="00531B84"/>
    <w:rsid w:val="005325E6"/>
    <w:rsid w:val="0053295E"/>
    <w:rsid w:val="0053309F"/>
    <w:rsid w:val="005333E4"/>
    <w:rsid w:val="00533F4C"/>
    <w:rsid w:val="005342AF"/>
    <w:rsid w:val="00534D0D"/>
    <w:rsid w:val="00534F28"/>
    <w:rsid w:val="005352AF"/>
    <w:rsid w:val="00535B46"/>
    <w:rsid w:val="00535D2B"/>
    <w:rsid w:val="005362C2"/>
    <w:rsid w:val="005378E7"/>
    <w:rsid w:val="00537911"/>
    <w:rsid w:val="005417C1"/>
    <w:rsid w:val="005426BE"/>
    <w:rsid w:val="005427FE"/>
    <w:rsid w:val="00542D4A"/>
    <w:rsid w:val="0054323E"/>
    <w:rsid w:val="00543AB1"/>
    <w:rsid w:val="00543C8D"/>
    <w:rsid w:val="00544C27"/>
    <w:rsid w:val="00544E06"/>
    <w:rsid w:val="00544F4C"/>
    <w:rsid w:val="0054507C"/>
    <w:rsid w:val="00545AFD"/>
    <w:rsid w:val="0054688A"/>
    <w:rsid w:val="0054743F"/>
    <w:rsid w:val="00547A35"/>
    <w:rsid w:val="005501E1"/>
    <w:rsid w:val="00550D0B"/>
    <w:rsid w:val="0055195E"/>
    <w:rsid w:val="00552CA7"/>
    <w:rsid w:val="005531C7"/>
    <w:rsid w:val="00553A7D"/>
    <w:rsid w:val="00553D10"/>
    <w:rsid w:val="00553DE4"/>
    <w:rsid w:val="00553ECF"/>
    <w:rsid w:val="005548EA"/>
    <w:rsid w:val="005559F0"/>
    <w:rsid w:val="005565F2"/>
    <w:rsid w:val="0055711D"/>
    <w:rsid w:val="00560091"/>
    <w:rsid w:val="0056078B"/>
    <w:rsid w:val="0056103D"/>
    <w:rsid w:val="00561C52"/>
    <w:rsid w:val="00562058"/>
    <w:rsid w:val="0056261D"/>
    <w:rsid w:val="005628B1"/>
    <w:rsid w:val="00562FEE"/>
    <w:rsid w:val="0056388E"/>
    <w:rsid w:val="00565CC6"/>
    <w:rsid w:val="00565EF7"/>
    <w:rsid w:val="00566023"/>
    <w:rsid w:val="005660C3"/>
    <w:rsid w:val="005662B0"/>
    <w:rsid w:val="00567035"/>
    <w:rsid w:val="00567F78"/>
    <w:rsid w:val="00570286"/>
    <w:rsid w:val="0057043F"/>
    <w:rsid w:val="00570552"/>
    <w:rsid w:val="005708CA"/>
    <w:rsid w:val="0057107D"/>
    <w:rsid w:val="00571628"/>
    <w:rsid w:val="00571A83"/>
    <w:rsid w:val="00571D93"/>
    <w:rsid w:val="005734A4"/>
    <w:rsid w:val="005739C6"/>
    <w:rsid w:val="00574054"/>
    <w:rsid w:val="00574467"/>
    <w:rsid w:val="005752A6"/>
    <w:rsid w:val="0057578A"/>
    <w:rsid w:val="0057598E"/>
    <w:rsid w:val="00575C23"/>
    <w:rsid w:val="005762E7"/>
    <w:rsid w:val="00576FE4"/>
    <w:rsid w:val="00580982"/>
    <w:rsid w:val="00581B8A"/>
    <w:rsid w:val="00582D33"/>
    <w:rsid w:val="005832D2"/>
    <w:rsid w:val="00583F8C"/>
    <w:rsid w:val="00583FFD"/>
    <w:rsid w:val="00584CF1"/>
    <w:rsid w:val="00585C1E"/>
    <w:rsid w:val="0058631E"/>
    <w:rsid w:val="0058632D"/>
    <w:rsid w:val="00586591"/>
    <w:rsid w:val="00586B52"/>
    <w:rsid w:val="005872D8"/>
    <w:rsid w:val="00587530"/>
    <w:rsid w:val="00590BB4"/>
    <w:rsid w:val="00591242"/>
    <w:rsid w:val="00591B72"/>
    <w:rsid w:val="00592078"/>
    <w:rsid w:val="00593152"/>
    <w:rsid w:val="00593360"/>
    <w:rsid w:val="00593616"/>
    <w:rsid w:val="00593FEE"/>
    <w:rsid w:val="00594BC9"/>
    <w:rsid w:val="00594E82"/>
    <w:rsid w:val="00594FB0"/>
    <w:rsid w:val="00595A98"/>
    <w:rsid w:val="00595DC7"/>
    <w:rsid w:val="00597054"/>
    <w:rsid w:val="0059708A"/>
    <w:rsid w:val="005972BB"/>
    <w:rsid w:val="005977E9"/>
    <w:rsid w:val="005979B0"/>
    <w:rsid w:val="00597CF4"/>
    <w:rsid w:val="005A0397"/>
    <w:rsid w:val="005A0F83"/>
    <w:rsid w:val="005A1494"/>
    <w:rsid w:val="005A21E0"/>
    <w:rsid w:val="005A241E"/>
    <w:rsid w:val="005A2F8A"/>
    <w:rsid w:val="005A3201"/>
    <w:rsid w:val="005A3E04"/>
    <w:rsid w:val="005A3EA6"/>
    <w:rsid w:val="005A4679"/>
    <w:rsid w:val="005A5899"/>
    <w:rsid w:val="005A64A8"/>
    <w:rsid w:val="005A670A"/>
    <w:rsid w:val="005A6E20"/>
    <w:rsid w:val="005A7382"/>
    <w:rsid w:val="005A7EA7"/>
    <w:rsid w:val="005B15FE"/>
    <w:rsid w:val="005B1853"/>
    <w:rsid w:val="005B2673"/>
    <w:rsid w:val="005B3B88"/>
    <w:rsid w:val="005B4204"/>
    <w:rsid w:val="005B4A87"/>
    <w:rsid w:val="005B4C9B"/>
    <w:rsid w:val="005B61E9"/>
    <w:rsid w:val="005B6781"/>
    <w:rsid w:val="005B67D0"/>
    <w:rsid w:val="005B6F35"/>
    <w:rsid w:val="005B7A7A"/>
    <w:rsid w:val="005B7D48"/>
    <w:rsid w:val="005C13AD"/>
    <w:rsid w:val="005C2198"/>
    <w:rsid w:val="005C2C4B"/>
    <w:rsid w:val="005C38DB"/>
    <w:rsid w:val="005C42D5"/>
    <w:rsid w:val="005C5503"/>
    <w:rsid w:val="005C5CCE"/>
    <w:rsid w:val="005C5E24"/>
    <w:rsid w:val="005C665F"/>
    <w:rsid w:val="005C6CD5"/>
    <w:rsid w:val="005D014E"/>
    <w:rsid w:val="005D1163"/>
    <w:rsid w:val="005D14B9"/>
    <w:rsid w:val="005D1D2F"/>
    <w:rsid w:val="005D247D"/>
    <w:rsid w:val="005D2D1C"/>
    <w:rsid w:val="005D3B23"/>
    <w:rsid w:val="005D3C2C"/>
    <w:rsid w:val="005D44A6"/>
    <w:rsid w:val="005D54BB"/>
    <w:rsid w:val="005D5802"/>
    <w:rsid w:val="005D5C56"/>
    <w:rsid w:val="005D5E5F"/>
    <w:rsid w:val="005D5E79"/>
    <w:rsid w:val="005D63F7"/>
    <w:rsid w:val="005D70D8"/>
    <w:rsid w:val="005D77CC"/>
    <w:rsid w:val="005D7F79"/>
    <w:rsid w:val="005E0F32"/>
    <w:rsid w:val="005E229F"/>
    <w:rsid w:val="005E2304"/>
    <w:rsid w:val="005E29BF"/>
    <w:rsid w:val="005E2A43"/>
    <w:rsid w:val="005E2CDB"/>
    <w:rsid w:val="005E2F1E"/>
    <w:rsid w:val="005E35DF"/>
    <w:rsid w:val="005E3777"/>
    <w:rsid w:val="005E379C"/>
    <w:rsid w:val="005E3B1A"/>
    <w:rsid w:val="005E3C06"/>
    <w:rsid w:val="005E4055"/>
    <w:rsid w:val="005E5052"/>
    <w:rsid w:val="005E50D6"/>
    <w:rsid w:val="005E5841"/>
    <w:rsid w:val="005E763D"/>
    <w:rsid w:val="005F172F"/>
    <w:rsid w:val="005F1D78"/>
    <w:rsid w:val="005F357F"/>
    <w:rsid w:val="005F3B4D"/>
    <w:rsid w:val="005F5310"/>
    <w:rsid w:val="005F547B"/>
    <w:rsid w:val="005F547C"/>
    <w:rsid w:val="005F59DB"/>
    <w:rsid w:val="005F6F7C"/>
    <w:rsid w:val="005F70E5"/>
    <w:rsid w:val="005F75FF"/>
    <w:rsid w:val="00601818"/>
    <w:rsid w:val="00601822"/>
    <w:rsid w:val="006018B6"/>
    <w:rsid w:val="006022F3"/>
    <w:rsid w:val="00602327"/>
    <w:rsid w:val="00602853"/>
    <w:rsid w:val="00602C17"/>
    <w:rsid w:val="00602F57"/>
    <w:rsid w:val="0060342E"/>
    <w:rsid w:val="00604307"/>
    <w:rsid w:val="0060487F"/>
    <w:rsid w:val="00605309"/>
    <w:rsid w:val="00606057"/>
    <w:rsid w:val="00606227"/>
    <w:rsid w:val="00606465"/>
    <w:rsid w:val="00607283"/>
    <w:rsid w:val="00610118"/>
    <w:rsid w:val="006105B3"/>
    <w:rsid w:val="006106F2"/>
    <w:rsid w:val="00610EDF"/>
    <w:rsid w:val="00614B3D"/>
    <w:rsid w:val="00615815"/>
    <w:rsid w:val="00615A40"/>
    <w:rsid w:val="00615C91"/>
    <w:rsid w:val="0061676A"/>
    <w:rsid w:val="006168D6"/>
    <w:rsid w:val="006179E9"/>
    <w:rsid w:val="00617A29"/>
    <w:rsid w:val="00620647"/>
    <w:rsid w:val="00620E5F"/>
    <w:rsid w:val="0062373B"/>
    <w:rsid w:val="00624093"/>
    <w:rsid w:val="00625011"/>
    <w:rsid w:val="00625531"/>
    <w:rsid w:val="006257D8"/>
    <w:rsid w:val="0062597D"/>
    <w:rsid w:val="00625BBA"/>
    <w:rsid w:val="0062615A"/>
    <w:rsid w:val="0062697B"/>
    <w:rsid w:val="00627984"/>
    <w:rsid w:val="00627EBB"/>
    <w:rsid w:val="0063009F"/>
    <w:rsid w:val="00631432"/>
    <w:rsid w:val="0063241B"/>
    <w:rsid w:val="006331A6"/>
    <w:rsid w:val="00633681"/>
    <w:rsid w:val="006343AA"/>
    <w:rsid w:val="0063441F"/>
    <w:rsid w:val="0063445D"/>
    <w:rsid w:val="006347D1"/>
    <w:rsid w:val="00634C48"/>
    <w:rsid w:val="00634D05"/>
    <w:rsid w:val="00635A64"/>
    <w:rsid w:val="00635B54"/>
    <w:rsid w:val="00635B61"/>
    <w:rsid w:val="00635B9F"/>
    <w:rsid w:val="00636B4D"/>
    <w:rsid w:val="00637131"/>
    <w:rsid w:val="00637413"/>
    <w:rsid w:val="00640010"/>
    <w:rsid w:val="006404A7"/>
    <w:rsid w:val="00640655"/>
    <w:rsid w:val="00641532"/>
    <w:rsid w:val="00641A0F"/>
    <w:rsid w:val="00641F40"/>
    <w:rsid w:val="006427F8"/>
    <w:rsid w:val="00642EFA"/>
    <w:rsid w:val="006434C5"/>
    <w:rsid w:val="00643743"/>
    <w:rsid w:val="00643EF0"/>
    <w:rsid w:val="006451E4"/>
    <w:rsid w:val="006451F0"/>
    <w:rsid w:val="006452D0"/>
    <w:rsid w:val="00645BE1"/>
    <w:rsid w:val="0064634C"/>
    <w:rsid w:val="006469C0"/>
    <w:rsid w:val="00646BC3"/>
    <w:rsid w:val="00646D63"/>
    <w:rsid w:val="00647654"/>
    <w:rsid w:val="006478CF"/>
    <w:rsid w:val="00647AEC"/>
    <w:rsid w:val="006501C7"/>
    <w:rsid w:val="00651A62"/>
    <w:rsid w:val="00651FE8"/>
    <w:rsid w:val="00655DE1"/>
    <w:rsid w:val="006566C6"/>
    <w:rsid w:val="0065671B"/>
    <w:rsid w:val="00656E76"/>
    <w:rsid w:val="006571A0"/>
    <w:rsid w:val="00657258"/>
    <w:rsid w:val="00657290"/>
    <w:rsid w:val="00657E87"/>
    <w:rsid w:val="0066031F"/>
    <w:rsid w:val="0066042C"/>
    <w:rsid w:val="00661FE3"/>
    <w:rsid w:val="00662212"/>
    <w:rsid w:val="0066241C"/>
    <w:rsid w:val="00662635"/>
    <w:rsid w:val="00662983"/>
    <w:rsid w:val="00662987"/>
    <w:rsid w:val="00662BF9"/>
    <w:rsid w:val="00662E57"/>
    <w:rsid w:val="00663965"/>
    <w:rsid w:val="00663FA5"/>
    <w:rsid w:val="00664108"/>
    <w:rsid w:val="006649E8"/>
    <w:rsid w:val="006656F7"/>
    <w:rsid w:val="00665B63"/>
    <w:rsid w:val="00665D01"/>
    <w:rsid w:val="00666A91"/>
    <w:rsid w:val="00666AF3"/>
    <w:rsid w:val="0066780B"/>
    <w:rsid w:val="00667834"/>
    <w:rsid w:val="0067002B"/>
    <w:rsid w:val="00670257"/>
    <w:rsid w:val="00670685"/>
    <w:rsid w:val="0067093A"/>
    <w:rsid w:val="00670ACF"/>
    <w:rsid w:val="00670DB2"/>
    <w:rsid w:val="006710C9"/>
    <w:rsid w:val="00671F3E"/>
    <w:rsid w:val="00672442"/>
    <w:rsid w:val="00672C06"/>
    <w:rsid w:val="00673310"/>
    <w:rsid w:val="00673CD6"/>
    <w:rsid w:val="00674219"/>
    <w:rsid w:val="00674A25"/>
    <w:rsid w:val="00675852"/>
    <w:rsid w:val="00675902"/>
    <w:rsid w:val="006759D1"/>
    <w:rsid w:val="00675A9E"/>
    <w:rsid w:val="00675E37"/>
    <w:rsid w:val="00675E39"/>
    <w:rsid w:val="00675FEA"/>
    <w:rsid w:val="00677B2E"/>
    <w:rsid w:val="00680988"/>
    <w:rsid w:val="00680E1C"/>
    <w:rsid w:val="0068117C"/>
    <w:rsid w:val="006811B9"/>
    <w:rsid w:val="006812AA"/>
    <w:rsid w:val="006819BD"/>
    <w:rsid w:val="00681C45"/>
    <w:rsid w:val="00681D98"/>
    <w:rsid w:val="00681E2C"/>
    <w:rsid w:val="00681EC9"/>
    <w:rsid w:val="0068260E"/>
    <w:rsid w:val="00682746"/>
    <w:rsid w:val="006828B0"/>
    <w:rsid w:val="00685EA0"/>
    <w:rsid w:val="0068647B"/>
    <w:rsid w:val="006869F2"/>
    <w:rsid w:val="00687116"/>
    <w:rsid w:val="00687495"/>
    <w:rsid w:val="00687DFE"/>
    <w:rsid w:val="0069022D"/>
    <w:rsid w:val="00691EF4"/>
    <w:rsid w:val="006927DD"/>
    <w:rsid w:val="00693C50"/>
    <w:rsid w:val="00694570"/>
    <w:rsid w:val="006945E6"/>
    <w:rsid w:val="00694EC8"/>
    <w:rsid w:val="00695112"/>
    <w:rsid w:val="00695276"/>
    <w:rsid w:val="00695457"/>
    <w:rsid w:val="0069580A"/>
    <w:rsid w:val="00695AEB"/>
    <w:rsid w:val="00695BEF"/>
    <w:rsid w:val="00695E31"/>
    <w:rsid w:val="0069634D"/>
    <w:rsid w:val="0069662F"/>
    <w:rsid w:val="00697064"/>
    <w:rsid w:val="006971A0"/>
    <w:rsid w:val="00697444"/>
    <w:rsid w:val="00697495"/>
    <w:rsid w:val="0069751E"/>
    <w:rsid w:val="00697607"/>
    <w:rsid w:val="006977F6"/>
    <w:rsid w:val="00697A13"/>
    <w:rsid w:val="006A109C"/>
    <w:rsid w:val="006A117B"/>
    <w:rsid w:val="006A133A"/>
    <w:rsid w:val="006A1571"/>
    <w:rsid w:val="006A1B54"/>
    <w:rsid w:val="006A201E"/>
    <w:rsid w:val="006A2C94"/>
    <w:rsid w:val="006A33D7"/>
    <w:rsid w:val="006A34EB"/>
    <w:rsid w:val="006A3DD0"/>
    <w:rsid w:val="006A4411"/>
    <w:rsid w:val="006A4AB4"/>
    <w:rsid w:val="006A523D"/>
    <w:rsid w:val="006A5597"/>
    <w:rsid w:val="006A65A1"/>
    <w:rsid w:val="006A6843"/>
    <w:rsid w:val="006A6B09"/>
    <w:rsid w:val="006A7DE1"/>
    <w:rsid w:val="006A7DEE"/>
    <w:rsid w:val="006B0BF5"/>
    <w:rsid w:val="006B0CEA"/>
    <w:rsid w:val="006B1C05"/>
    <w:rsid w:val="006B2178"/>
    <w:rsid w:val="006B320D"/>
    <w:rsid w:val="006B3317"/>
    <w:rsid w:val="006B39B8"/>
    <w:rsid w:val="006B4681"/>
    <w:rsid w:val="006B4BB0"/>
    <w:rsid w:val="006B4F01"/>
    <w:rsid w:val="006B526B"/>
    <w:rsid w:val="006B544A"/>
    <w:rsid w:val="006B5B1C"/>
    <w:rsid w:val="006B5CFF"/>
    <w:rsid w:val="006B6969"/>
    <w:rsid w:val="006B7357"/>
    <w:rsid w:val="006B78D8"/>
    <w:rsid w:val="006B79DE"/>
    <w:rsid w:val="006C05ED"/>
    <w:rsid w:val="006C113F"/>
    <w:rsid w:val="006C2FAF"/>
    <w:rsid w:val="006C3C9F"/>
    <w:rsid w:val="006C588F"/>
    <w:rsid w:val="006C5A31"/>
    <w:rsid w:val="006C60B2"/>
    <w:rsid w:val="006C691B"/>
    <w:rsid w:val="006C71C9"/>
    <w:rsid w:val="006C738C"/>
    <w:rsid w:val="006C7EDC"/>
    <w:rsid w:val="006D0D80"/>
    <w:rsid w:val="006D1920"/>
    <w:rsid w:val="006D1CB5"/>
    <w:rsid w:val="006D4ED0"/>
    <w:rsid w:val="006D5653"/>
    <w:rsid w:val="006D566D"/>
    <w:rsid w:val="006D57AE"/>
    <w:rsid w:val="006D57D2"/>
    <w:rsid w:val="006D5CE5"/>
    <w:rsid w:val="006D61F6"/>
    <w:rsid w:val="006D650C"/>
    <w:rsid w:val="006D6684"/>
    <w:rsid w:val="006D6DE4"/>
    <w:rsid w:val="006D77D1"/>
    <w:rsid w:val="006D7F8A"/>
    <w:rsid w:val="006E09EC"/>
    <w:rsid w:val="006E254E"/>
    <w:rsid w:val="006E2569"/>
    <w:rsid w:val="006E279A"/>
    <w:rsid w:val="006E2F59"/>
    <w:rsid w:val="006E313B"/>
    <w:rsid w:val="006E31D5"/>
    <w:rsid w:val="006E374E"/>
    <w:rsid w:val="006E37B6"/>
    <w:rsid w:val="006E3B5B"/>
    <w:rsid w:val="006E448A"/>
    <w:rsid w:val="006E4FB0"/>
    <w:rsid w:val="006E6595"/>
    <w:rsid w:val="006E6ED3"/>
    <w:rsid w:val="006F05FB"/>
    <w:rsid w:val="006F10FD"/>
    <w:rsid w:val="006F18A3"/>
    <w:rsid w:val="006F1D47"/>
    <w:rsid w:val="006F1D69"/>
    <w:rsid w:val="006F31E2"/>
    <w:rsid w:val="006F3E19"/>
    <w:rsid w:val="006F48C3"/>
    <w:rsid w:val="006F4C74"/>
    <w:rsid w:val="006F54DB"/>
    <w:rsid w:val="006F5504"/>
    <w:rsid w:val="006F5D6F"/>
    <w:rsid w:val="006F7318"/>
    <w:rsid w:val="006F7333"/>
    <w:rsid w:val="006F799D"/>
    <w:rsid w:val="006F7AEC"/>
    <w:rsid w:val="007002D9"/>
    <w:rsid w:val="00700F86"/>
    <w:rsid w:val="00702B39"/>
    <w:rsid w:val="007033D3"/>
    <w:rsid w:val="00704AFC"/>
    <w:rsid w:val="00704F00"/>
    <w:rsid w:val="00706499"/>
    <w:rsid w:val="007073AF"/>
    <w:rsid w:val="00707ACC"/>
    <w:rsid w:val="00707D68"/>
    <w:rsid w:val="00710016"/>
    <w:rsid w:val="007101C0"/>
    <w:rsid w:val="00710834"/>
    <w:rsid w:val="00710A84"/>
    <w:rsid w:val="00711097"/>
    <w:rsid w:val="00711D64"/>
    <w:rsid w:val="00711D95"/>
    <w:rsid w:val="00712112"/>
    <w:rsid w:val="00712917"/>
    <w:rsid w:val="007131D0"/>
    <w:rsid w:val="007132AB"/>
    <w:rsid w:val="00713360"/>
    <w:rsid w:val="0071349D"/>
    <w:rsid w:val="0071369B"/>
    <w:rsid w:val="00713F10"/>
    <w:rsid w:val="00714523"/>
    <w:rsid w:val="00714DB6"/>
    <w:rsid w:val="007151FF"/>
    <w:rsid w:val="0071532B"/>
    <w:rsid w:val="007154E1"/>
    <w:rsid w:val="007157C6"/>
    <w:rsid w:val="00716062"/>
    <w:rsid w:val="00716DE5"/>
    <w:rsid w:val="00717034"/>
    <w:rsid w:val="0071720B"/>
    <w:rsid w:val="00717CD1"/>
    <w:rsid w:val="00717E88"/>
    <w:rsid w:val="0072077E"/>
    <w:rsid w:val="007211F5"/>
    <w:rsid w:val="00721390"/>
    <w:rsid w:val="00721A73"/>
    <w:rsid w:val="00721C73"/>
    <w:rsid w:val="00721CC4"/>
    <w:rsid w:val="00721E08"/>
    <w:rsid w:val="007220C5"/>
    <w:rsid w:val="00722F19"/>
    <w:rsid w:val="00723F05"/>
    <w:rsid w:val="007249CD"/>
    <w:rsid w:val="0072567E"/>
    <w:rsid w:val="00725B4E"/>
    <w:rsid w:val="007277D9"/>
    <w:rsid w:val="007279CC"/>
    <w:rsid w:val="00727D7E"/>
    <w:rsid w:val="007305E3"/>
    <w:rsid w:val="00730645"/>
    <w:rsid w:val="0073069F"/>
    <w:rsid w:val="007308AA"/>
    <w:rsid w:val="00730AE8"/>
    <w:rsid w:val="00730BCD"/>
    <w:rsid w:val="0073232E"/>
    <w:rsid w:val="007325E4"/>
    <w:rsid w:val="00732699"/>
    <w:rsid w:val="00732BFC"/>
    <w:rsid w:val="00732CB2"/>
    <w:rsid w:val="00733287"/>
    <w:rsid w:val="0073359E"/>
    <w:rsid w:val="00733953"/>
    <w:rsid w:val="007347B8"/>
    <w:rsid w:val="00735172"/>
    <w:rsid w:val="00735199"/>
    <w:rsid w:val="007351A8"/>
    <w:rsid w:val="007361E0"/>
    <w:rsid w:val="0073646A"/>
    <w:rsid w:val="00736A2D"/>
    <w:rsid w:val="0073738A"/>
    <w:rsid w:val="00737392"/>
    <w:rsid w:val="007412C7"/>
    <w:rsid w:val="00741493"/>
    <w:rsid w:val="00742E47"/>
    <w:rsid w:val="00742EDF"/>
    <w:rsid w:val="0074361E"/>
    <w:rsid w:val="00743D87"/>
    <w:rsid w:val="00745335"/>
    <w:rsid w:val="0074547C"/>
    <w:rsid w:val="0074739E"/>
    <w:rsid w:val="0074747B"/>
    <w:rsid w:val="0074794F"/>
    <w:rsid w:val="00747C68"/>
    <w:rsid w:val="00747C7E"/>
    <w:rsid w:val="0075000B"/>
    <w:rsid w:val="00750052"/>
    <w:rsid w:val="00750487"/>
    <w:rsid w:val="00751040"/>
    <w:rsid w:val="00751B88"/>
    <w:rsid w:val="0075203E"/>
    <w:rsid w:val="00752180"/>
    <w:rsid w:val="007528FC"/>
    <w:rsid w:val="0075329D"/>
    <w:rsid w:val="0075342A"/>
    <w:rsid w:val="0075351C"/>
    <w:rsid w:val="00753A91"/>
    <w:rsid w:val="0075536F"/>
    <w:rsid w:val="007559FE"/>
    <w:rsid w:val="00755AFC"/>
    <w:rsid w:val="00755D3A"/>
    <w:rsid w:val="007565BB"/>
    <w:rsid w:val="007567D3"/>
    <w:rsid w:val="00757E25"/>
    <w:rsid w:val="00757FA8"/>
    <w:rsid w:val="00757FAD"/>
    <w:rsid w:val="0076065B"/>
    <w:rsid w:val="007609C6"/>
    <w:rsid w:val="00760A7F"/>
    <w:rsid w:val="00760D47"/>
    <w:rsid w:val="00761B3D"/>
    <w:rsid w:val="00761D2F"/>
    <w:rsid w:val="00761D8A"/>
    <w:rsid w:val="007620CA"/>
    <w:rsid w:val="00764482"/>
    <w:rsid w:val="007649C1"/>
    <w:rsid w:val="00764CAA"/>
    <w:rsid w:val="0076517F"/>
    <w:rsid w:val="00765317"/>
    <w:rsid w:val="00767C98"/>
    <w:rsid w:val="007702E9"/>
    <w:rsid w:val="0077033A"/>
    <w:rsid w:val="00770EE8"/>
    <w:rsid w:val="0077134C"/>
    <w:rsid w:val="00773003"/>
    <w:rsid w:val="00773417"/>
    <w:rsid w:val="007742A8"/>
    <w:rsid w:val="00774DEB"/>
    <w:rsid w:val="007756E5"/>
    <w:rsid w:val="00775902"/>
    <w:rsid w:val="007762B1"/>
    <w:rsid w:val="00776527"/>
    <w:rsid w:val="00776719"/>
    <w:rsid w:val="00776859"/>
    <w:rsid w:val="00776FE1"/>
    <w:rsid w:val="00777823"/>
    <w:rsid w:val="0077790B"/>
    <w:rsid w:val="00777D0D"/>
    <w:rsid w:val="0078048D"/>
    <w:rsid w:val="007806D6"/>
    <w:rsid w:val="00781490"/>
    <w:rsid w:val="00782844"/>
    <w:rsid w:val="007828FC"/>
    <w:rsid w:val="007844CC"/>
    <w:rsid w:val="00785AFA"/>
    <w:rsid w:val="007861BB"/>
    <w:rsid w:val="007870B4"/>
    <w:rsid w:val="007903AF"/>
    <w:rsid w:val="0079069E"/>
    <w:rsid w:val="00790FA4"/>
    <w:rsid w:val="0079114F"/>
    <w:rsid w:val="00791C03"/>
    <w:rsid w:val="00792227"/>
    <w:rsid w:val="007924D8"/>
    <w:rsid w:val="0079384B"/>
    <w:rsid w:val="00793EC8"/>
    <w:rsid w:val="00793F60"/>
    <w:rsid w:val="007941FC"/>
    <w:rsid w:val="00795134"/>
    <w:rsid w:val="007962E5"/>
    <w:rsid w:val="00796369"/>
    <w:rsid w:val="00796584"/>
    <w:rsid w:val="0079685C"/>
    <w:rsid w:val="00796AEC"/>
    <w:rsid w:val="00796E9B"/>
    <w:rsid w:val="00797F5F"/>
    <w:rsid w:val="007A024F"/>
    <w:rsid w:val="007A04D5"/>
    <w:rsid w:val="007A0CD9"/>
    <w:rsid w:val="007A0F2E"/>
    <w:rsid w:val="007A0F3C"/>
    <w:rsid w:val="007A1A48"/>
    <w:rsid w:val="007A1A65"/>
    <w:rsid w:val="007A1D16"/>
    <w:rsid w:val="007A2925"/>
    <w:rsid w:val="007A2E1F"/>
    <w:rsid w:val="007A2E47"/>
    <w:rsid w:val="007A37CA"/>
    <w:rsid w:val="007A46D0"/>
    <w:rsid w:val="007A4879"/>
    <w:rsid w:val="007A4BF3"/>
    <w:rsid w:val="007A59BF"/>
    <w:rsid w:val="007A6B30"/>
    <w:rsid w:val="007A7532"/>
    <w:rsid w:val="007A76A8"/>
    <w:rsid w:val="007A77B1"/>
    <w:rsid w:val="007A7F3F"/>
    <w:rsid w:val="007B06EC"/>
    <w:rsid w:val="007B100F"/>
    <w:rsid w:val="007B185F"/>
    <w:rsid w:val="007B2AFA"/>
    <w:rsid w:val="007B3059"/>
    <w:rsid w:val="007B5B55"/>
    <w:rsid w:val="007B656C"/>
    <w:rsid w:val="007B7003"/>
    <w:rsid w:val="007B7C9D"/>
    <w:rsid w:val="007C167E"/>
    <w:rsid w:val="007C274A"/>
    <w:rsid w:val="007C330F"/>
    <w:rsid w:val="007C358A"/>
    <w:rsid w:val="007C3BE8"/>
    <w:rsid w:val="007C3C87"/>
    <w:rsid w:val="007C3F6A"/>
    <w:rsid w:val="007C4CB8"/>
    <w:rsid w:val="007C4F26"/>
    <w:rsid w:val="007C500D"/>
    <w:rsid w:val="007C5565"/>
    <w:rsid w:val="007C5644"/>
    <w:rsid w:val="007C6577"/>
    <w:rsid w:val="007C69D1"/>
    <w:rsid w:val="007D0F14"/>
    <w:rsid w:val="007D106C"/>
    <w:rsid w:val="007D10AF"/>
    <w:rsid w:val="007D1177"/>
    <w:rsid w:val="007D1312"/>
    <w:rsid w:val="007D136A"/>
    <w:rsid w:val="007D1490"/>
    <w:rsid w:val="007D1FB5"/>
    <w:rsid w:val="007D2010"/>
    <w:rsid w:val="007D2356"/>
    <w:rsid w:val="007D28A7"/>
    <w:rsid w:val="007D34AF"/>
    <w:rsid w:val="007D4217"/>
    <w:rsid w:val="007D4256"/>
    <w:rsid w:val="007D4A69"/>
    <w:rsid w:val="007D568F"/>
    <w:rsid w:val="007D6225"/>
    <w:rsid w:val="007D7163"/>
    <w:rsid w:val="007D7246"/>
    <w:rsid w:val="007D78DF"/>
    <w:rsid w:val="007E0662"/>
    <w:rsid w:val="007E096B"/>
    <w:rsid w:val="007E0E09"/>
    <w:rsid w:val="007E1172"/>
    <w:rsid w:val="007E17BA"/>
    <w:rsid w:val="007E1850"/>
    <w:rsid w:val="007E29F8"/>
    <w:rsid w:val="007E2CCC"/>
    <w:rsid w:val="007E398B"/>
    <w:rsid w:val="007E3B4A"/>
    <w:rsid w:val="007E3C23"/>
    <w:rsid w:val="007E3D44"/>
    <w:rsid w:val="007E43C4"/>
    <w:rsid w:val="007E45F6"/>
    <w:rsid w:val="007E48C9"/>
    <w:rsid w:val="007E4EDD"/>
    <w:rsid w:val="007E5C13"/>
    <w:rsid w:val="007E632F"/>
    <w:rsid w:val="007E6ACF"/>
    <w:rsid w:val="007E6EF8"/>
    <w:rsid w:val="007E7595"/>
    <w:rsid w:val="007E7E61"/>
    <w:rsid w:val="007F0398"/>
    <w:rsid w:val="007F0845"/>
    <w:rsid w:val="007F146E"/>
    <w:rsid w:val="007F16B1"/>
    <w:rsid w:val="007F2B39"/>
    <w:rsid w:val="007F2EC9"/>
    <w:rsid w:val="007F3294"/>
    <w:rsid w:val="007F334C"/>
    <w:rsid w:val="007F39BE"/>
    <w:rsid w:val="007F4CF2"/>
    <w:rsid w:val="007F4F70"/>
    <w:rsid w:val="007F5A1B"/>
    <w:rsid w:val="007F5F47"/>
    <w:rsid w:val="007F5F9B"/>
    <w:rsid w:val="007F74E3"/>
    <w:rsid w:val="007F74F1"/>
    <w:rsid w:val="007F76ED"/>
    <w:rsid w:val="007F79EE"/>
    <w:rsid w:val="007F7CD2"/>
    <w:rsid w:val="0080002C"/>
    <w:rsid w:val="00800BDE"/>
    <w:rsid w:val="0080122E"/>
    <w:rsid w:val="00801664"/>
    <w:rsid w:val="0080185D"/>
    <w:rsid w:val="00801E1D"/>
    <w:rsid w:val="008020DE"/>
    <w:rsid w:val="008022F7"/>
    <w:rsid w:val="00802321"/>
    <w:rsid w:val="00802670"/>
    <w:rsid w:val="00802F88"/>
    <w:rsid w:val="00802F8A"/>
    <w:rsid w:val="00803021"/>
    <w:rsid w:val="008035E4"/>
    <w:rsid w:val="00804D39"/>
    <w:rsid w:val="0080521C"/>
    <w:rsid w:val="008058BF"/>
    <w:rsid w:val="0080593D"/>
    <w:rsid w:val="00805CA0"/>
    <w:rsid w:val="00805E10"/>
    <w:rsid w:val="0080605A"/>
    <w:rsid w:val="008068FE"/>
    <w:rsid w:val="00806D99"/>
    <w:rsid w:val="00807185"/>
    <w:rsid w:val="00807463"/>
    <w:rsid w:val="0080793D"/>
    <w:rsid w:val="00807FB8"/>
    <w:rsid w:val="0081186F"/>
    <w:rsid w:val="008118E4"/>
    <w:rsid w:val="00811FAF"/>
    <w:rsid w:val="0081296A"/>
    <w:rsid w:val="00813514"/>
    <w:rsid w:val="00813EAF"/>
    <w:rsid w:val="00815862"/>
    <w:rsid w:val="00816405"/>
    <w:rsid w:val="00817267"/>
    <w:rsid w:val="00820863"/>
    <w:rsid w:val="008208EC"/>
    <w:rsid w:val="00821FF6"/>
    <w:rsid w:val="008225CC"/>
    <w:rsid w:val="00822968"/>
    <w:rsid w:val="008229A3"/>
    <w:rsid w:val="00823845"/>
    <w:rsid w:val="00824169"/>
    <w:rsid w:val="00824458"/>
    <w:rsid w:val="0082700D"/>
    <w:rsid w:val="00827A65"/>
    <w:rsid w:val="00830124"/>
    <w:rsid w:val="00830465"/>
    <w:rsid w:val="008305B9"/>
    <w:rsid w:val="00830A99"/>
    <w:rsid w:val="0083143E"/>
    <w:rsid w:val="0083159F"/>
    <w:rsid w:val="00831B50"/>
    <w:rsid w:val="00831FB0"/>
    <w:rsid w:val="0083264F"/>
    <w:rsid w:val="00832F3D"/>
    <w:rsid w:val="00833802"/>
    <w:rsid w:val="008339DD"/>
    <w:rsid w:val="00834843"/>
    <w:rsid w:val="00834FAA"/>
    <w:rsid w:val="008352FC"/>
    <w:rsid w:val="00835375"/>
    <w:rsid w:val="00835A6F"/>
    <w:rsid w:val="00836086"/>
    <w:rsid w:val="00837C72"/>
    <w:rsid w:val="0084085D"/>
    <w:rsid w:val="0084098D"/>
    <w:rsid w:val="00841063"/>
    <w:rsid w:val="008421A4"/>
    <w:rsid w:val="008422CE"/>
    <w:rsid w:val="00842E41"/>
    <w:rsid w:val="00842ED2"/>
    <w:rsid w:val="008433B4"/>
    <w:rsid w:val="008435A5"/>
    <w:rsid w:val="00843B29"/>
    <w:rsid w:val="008440B2"/>
    <w:rsid w:val="0084560E"/>
    <w:rsid w:val="008461CD"/>
    <w:rsid w:val="00846283"/>
    <w:rsid w:val="008467F2"/>
    <w:rsid w:val="00846D3D"/>
    <w:rsid w:val="00847287"/>
    <w:rsid w:val="00847B1D"/>
    <w:rsid w:val="0085001C"/>
    <w:rsid w:val="00850C25"/>
    <w:rsid w:val="008511B6"/>
    <w:rsid w:val="0085126A"/>
    <w:rsid w:val="0085195D"/>
    <w:rsid w:val="008523E1"/>
    <w:rsid w:val="00852A9B"/>
    <w:rsid w:val="00854ECB"/>
    <w:rsid w:val="008552CF"/>
    <w:rsid w:val="008565D1"/>
    <w:rsid w:val="00856B1E"/>
    <w:rsid w:val="00856DDF"/>
    <w:rsid w:val="00856EE2"/>
    <w:rsid w:val="00857405"/>
    <w:rsid w:val="00860388"/>
    <w:rsid w:val="008609BC"/>
    <w:rsid w:val="00860EAB"/>
    <w:rsid w:val="008616C8"/>
    <w:rsid w:val="00862860"/>
    <w:rsid w:val="00862E91"/>
    <w:rsid w:val="00862E95"/>
    <w:rsid w:val="00862EA2"/>
    <w:rsid w:val="00863027"/>
    <w:rsid w:val="00863392"/>
    <w:rsid w:val="008639C0"/>
    <w:rsid w:val="00863D57"/>
    <w:rsid w:val="00864524"/>
    <w:rsid w:val="00864A1E"/>
    <w:rsid w:val="00864A8F"/>
    <w:rsid w:val="00864B0F"/>
    <w:rsid w:val="008657E2"/>
    <w:rsid w:val="008667B3"/>
    <w:rsid w:val="008669D4"/>
    <w:rsid w:val="00867B97"/>
    <w:rsid w:val="00870703"/>
    <w:rsid w:val="008723CF"/>
    <w:rsid w:val="00872D43"/>
    <w:rsid w:val="00874492"/>
    <w:rsid w:val="008750BD"/>
    <w:rsid w:val="008753E0"/>
    <w:rsid w:val="00876086"/>
    <w:rsid w:val="008763C0"/>
    <w:rsid w:val="008767A3"/>
    <w:rsid w:val="00877604"/>
    <w:rsid w:val="00877B53"/>
    <w:rsid w:val="00880B67"/>
    <w:rsid w:val="00881296"/>
    <w:rsid w:val="008828AA"/>
    <w:rsid w:val="00882959"/>
    <w:rsid w:val="00882AA5"/>
    <w:rsid w:val="00882CD6"/>
    <w:rsid w:val="00882DCF"/>
    <w:rsid w:val="00884327"/>
    <w:rsid w:val="00885A9B"/>
    <w:rsid w:val="008860EA"/>
    <w:rsid w:val="00886218"/>
    <w:rsid w:val="0088680F"/>
    <w:rsid w:val="00886B1D"/>
    <w:rsid w:val="008871D7"/>
    <w:rsid w:val="008877F9"/>
    <w:rsid w:val="00887E02"/>
    <w:rsid w:val="00890030"/>
    <w:rsid w:val="008900CF"/>
    <w:rsid w:val="008901B4"/>
    <w:rsid w:val="0089026B"/>
    <w:rsid w:val="00890CE9"/>
    <w:rsid w:val="00891DE9"/>
    <w:rsid w:val="00891ECC"/>
    <w:rsid w:val="008927CC"/>
    <w:rsid w:val="008931E4"/>
    <w:rsid w:val="008937CB"/>
    <w:rsid w:val="00893B1A"/>
    <w:rsid w:val="00893F0E"/>
    <w:rsid w:val="0089406E"/>
    <w:rsid w:val="008941EC"/>
    <w:rsid w:val="008945E8"/>
    <w:rsid w:val="0089503D"/>
    <w:rsid w:val="00895CA2"/>
    <w:rsid w:val="008965E8"/>
    <w:rsid w:val="008A02AF"/>
    <w:rsid w:val="008A1019"/>
    <w:rsid w:val="008A1AF6"/>
    <w:rsid w:val="008A1CCF"/>
    <w:rsid w:val="008A1D33"/>
    <w:rsid w:val="008A25BC"/>
    <w:rsid w:val="008A277B"/>
    <w:rsid w:val="008A27B7"/>
    <w:rsid w:val="008A315B"/>
    <w:rsid w:val="008A31DC"/>
    <w:rsid w:val="008A364A"/>
    <w:rsid w:val="008A3EFD"/>
    <w:rsid w:val="008A4657"/>
    <w:rsid w:val="008A5856"/>
    <w:rsid w:val="008A5A4E"/>
    <w:rsid w:val="008A67AC"/>
    <w:rsid w:val="008B008C"/>
    <w:rsid w:val="008B07CC"/>
    <w:rsid w:val="008B1F26"/>
    <w:rsid w:val="008B249E"/>
    <w:rsid w:val="008B2742"/>
    <w:rsid w:val="008B2D26"/>
    <w:rsid w:val="008B3316"/>
    <w:rsid w:val="008B366F"/>
    <w:rsid w:val="008B4F9F"/>
    <w:rsid w:val="008B5BB7"/>
    <w:rsid w:val="008B68EE"/>
    <w:rsid w:val="008B6AC1"/>
    <w:rsid w:val="008B6F75"/>
    <w:rsid w:val="008B7C02"/>
    <w:rsid w:val="008C0003"/>
    <w:rsid w:val="008C05E0"/>
    <w:rsid w:val="008C0A97"/>
    <w:rsid w:val="008C0BAC"/>
    <w:rsid w:val="008C0E88"/>
    <w:rsid w:val="008C1A57"/>
    <w:rsid w:val="008C2515"/>
    <w:rsid w:val="008C295A"/>
    <w:rsid w:val="008C2AA5"/>
    <w:rsid w:val="008C2DF4"/>
    <w:rsid w:val="008C39CE"/>
    <w:rsid w:val="008C3B0F"/>
    <w:rsid w:val="008C5CFE"/>
    <w:rsid w:val="008C6447"/>
    <w:rsid w:val="008C67FC"/>
    <w:rsid w:val="008C7517"/>
    <w:rsid w:val="008C7555"/>
    <w:rsid w:val="008D0B8A"/>
    <w:rsid w:val="008D1AF4"/>
    <w:rsid w:val="008D29E6"/>
    <w:rsid w:val="008D2A16"/>
    <w:rsid w:val="008D3C4A"/>
    <w:rsid w:val="008D4F32"/>
    <w:rsid w:val="008D4F54"/>
    <w:rsid w:val="008D5145"/>
    <w:rsid w:val="008D59DE"/>
    <w:rsid w:val="008D5EF6"/>
    <w:rsid w:val="008D5F34"/>
    <w:rsid w:val="008D6196"/>
    <w:rsid w:val="008D752A"/>
    <w:rsid w:val="008D77FF"/>
    <w:rsid w:val="008E08A4"/>
    <w:rsid w:val="008E0E12"/>
    <w:rsid w:val="008E1420"/>
    <w:rsid w:val="008E14DD"/>
    <w:rsid w:val="008E1EFB"/>
    <w:rsid w:val="008E2015"/>
    <w:rsid w:val="008E27DA"/>
    <w:rsid w:val="008E31FF"/>
    <w:rsid w:val="008E3273"/>
    <w:rsid w:val="008E419D"/>
    <w:rsid w:val="008E4516"/>
    <w:rsid w:val="008E5356"/>
    <w:rsid w:val="008E5E50"/>
    <w:rsid w:val="008E6055"/>
    <w:rsid w:val="008E632A"/>
    <w:rsid w:val="008E6828"/>
    <w:rsid w:val="008E6ABB"/>
    <w:rsid w:val="008E6FF6"/>
    <w:rsid w:val="008E7A02"/>
    <w:rsid w:val="008E7B80"/>
    <w:rsid w:val="008F0272"/>
    <w:rsid w:val="008F0B27"/>
    <w:rsid w:val="008F0ED5"/>
    <w:rsid w:val="008F0FD2"/>
    <w:rsid w:val="008F18B7"/>
    <w:rsid w:val="008F1C65"/>
    <w:rsid w:val="008F2174"/>
    <w:rsid w:val="008F23E4"/>
    <w:rsid w:val="008F3892"/>
    <w:rsid w:val="008F414A"/>
    <w:rsid w:val="008F4B90"/>
    <w:rsid w:val="008F4CB3"/>
    <w:rsid w:val="008F4D46"/>
    <w:rsid w:val="008F5169"/>
    <w:rsid w:val="008F6590"/>
    <w:rsid w:val="008F6FCE"/>
    <w:rsid w:val="008F79C3"/>
    <w:rsid w:val="009003A8"/>
    <w:rsid w:val="0090143F"/>
    <w:rsid w:val="0090176C"/>
    <w:rsid w:val="00901EE1"/>
    <w:rsid w:val="00902CDD"/>
    <w:rsid w:val="00902EFF"/>
    <w:rsid w:val="00903369"/>
    <w:rsid w:val="009052AE"/>
    <w:rsid w:val="00905BBE"/>
    <w:rsid w:val="00906960"/>
    <w:rsid w:val="00906B72"/>
    <w:rsid w:val="00907228"/>
    <w:rsid w:val="009076A9"/>
    <w:rsid w:val="009100D5"/>
    <w:rsid w:val="009101FB"/>
    <w:rsid w:val="009106C2"/>
    <w:rsid w:val="00910BD4"/>
    <w:rsid w:val="0091143A"/>
    <w:rsid w:val="00911563"/>
    <w:rsid w:val="0091164E"/>
    <w:rsid w:val="009125C2"/>
    <w:rsid w:val="00913CF5"/>
    <w:rsid w:val="00914884"/>
    <w:rsid w:val="00914F83"/>
    <w:rsid w:val="00915220"/>
    <w:rsid w:val="00916CBF"/>
    <w:rsid w:val="009170F3"/>
    <w:rsid w:val="00917698"/>
    <w:rsid w:val="00920522"/>
    <w:rsid w:val="009207F9"/>
    <w:rsid w:val="00920B7D"/>
    <w:rsid w:val="00920EF8"/>
    <w:rsid w:val="00921794"/>
    <w:rsid w:val="00921A5C"/>
    <w:rsid w:val="00921C0A"/>
    <w:rsid w:val="00921D4A"/>
    <w:rsid w:val="00921F14"/>
    <w:rsid w:val="00922427"/>
    <w:rsid w:val="00922B8B"/>
    <w:rsid w:val="00922FB6"/>
    <w:rsid w:val="0092406F"/>
    <w:rsid w:val="00924311"/>
    <w:rsid w:val="009247C8"/>
    <w:rsid w:val="00924FA8"/>
    <w:rsid w:val="00925126"/>
    <w:rsid w:val="00925780"/>
    <w:rsid w:val="009266C3"/>
    <w:rsid w:val="009275F8"/>
    <w:rsid w:val="00930123"/>
    <w:rsid w:val="00930829"/>
    <w:rsid w:val="00930A66"/>
    <w:rsid w:val="00930B50"/>
    <w:rsid w:val="00930CAC"/>
    <w:rsid w:val="00930D79"/>
    <w:rsid w:val="00931B68"/>
    <w:rsid w:val="00931EB0"/>
    <w:rsid w:val="00932063"/>
    <w:rsid w:val="009320A3"/>
    <w:rsid w:val="00932780"/>
    <w:rsid w:val="00932F72"/>
    <w:rsid w:val="009338E5"/>
    <w:rsid w:val="00933949"/>
    <w:rsid w:val="00933E6E"/>
    <w:rsid w:val="00934228"/>
    <w:rsid w:val="00936618"/>
    <w:rsid w:val="00936898"/>
    <w:rsid w:val="009372B4"/>
    <w:rsid w:val="0093753B"/>
    <w:rsid w:val="009379E5"/>
    <w:rsid w:val="00937BE4"/>
    <w:rsid w:val="00937BF3"/>
    <w:rsid w:val="0094032B"/>
    <w:rsid w:val="0094118A"/>
    <w:rsid w:val="00941770"/>
    <w:rsid w:val="00941DD2"/>
    <w:rsid w:val="00941DE7"/>
    <w:rsid w:val="00941E09"/>
    <w:rsid w:val="009421FA"/>
    <w:rsid w:val="00942AA3"/>
    <w:rsid w:val="00942F08"/>
    <w:rsid w:val="00943283"/>
    <w:rsid w:val="00943614"/>
    <w:rsid w:val="00943B61"/>
    <w:rsid w:val="0094427A"/>
    <w:rsid w:val="00944BBE"/>
    <w:rsid w:val="00946123"/>
    <w:rsid w:val="00946131"/>
    <w:rsid w:val="00946C40"/>
    <w:rsid w:val="009501BC"/>
    <w:rsid w:val="00950A97"/>
    <w:rsid w:val="0095130F"/>
    <w:rsid w:val="00951539"/>
    <w:rsid w:val="009519E2"/>
    <w:rsid w:val="00952900"/>
    <w:rsid w:val="00952983"/>
    <w:rsid w:val="00953087"/>
    <w:rsid w:val="00953480"/>
    <w:rsid w:val="0095381B"/>
    <w:rsid w:val="00953AA1"/>
    <w:rsid w:val="00954BAA"/>
    <w:rsid w:val="00955555"/>
    <w:rsid w:val="00955AF6"/>
    <w:rsid w:val="00955B8B"/>
    <w:rsid w:val="00955E7F"/>
    <w:rsid w:val="00956574"/>
    <w:rsid w:val="00957F5C"/>
    <w:rsid w:val="00960169"/>
    <w:rsid w:val="00960870"/>
    <w:rsid w:val="00960CA1"/>
    <w:rsid w:val="00960E0B"/>
    <w:rsid w:val="0096108D"/>
    <w:rsid w:val="0096151A"/>
    <w:rsid w:val="00961B2B"/>
    <w:rsid w:val="00962503"/>
    <w:rsid w:val="00962BC7"/>
    <w:rsid w:val="00963A74"/>
    <w:rsid w:val="00963F00"/>
    <w:rsid w:val="0096430A"/>
    <w:rsid w:val="0096537F"/>
    <w:rsid w:val="00965CD1"/>
    <w:rsid w:val="00966346"/>
    <w:rsid w:val="009665BE"/>
    <w:rsid w:val="0096694B"/>
    <w:rsid w:val="00966E1B"/>
    <w:rsid w:val="009671D9"/>
    <w:rsid w:val="009700FD"/>
    <w:rsid w:val="00970A90"/>
    <w:rsid w:val="00970B58"/>
    <w:rsid w:val="00970CA8"/>
    <w:rsid w:val="00970CC2"/>
    <w:rsid w:val="00971B3F"/>
    <w:rsid w:val="00972B8D"/>
    <w:rsid w:val="00972F89"/>
    <w:rsid w:val="00973235"/>
    <w:rsid w:val="00974111"/>
    <w:rsid w:val="00974923"/>
    <w:rsid w:val="00974DDA"/>
    <w:rsid w:val="00975433"/>
    <w:rsid w:val="00975718"/>
    <w:rsid w:val="00975E66"/>
    <w:rsid w:val="00975F10"/>
    <w:rsid w:val="0097688D"/>
    <w:rsid w:val="00976E3C"/>
    <w:rsid w:val="00980277"/>
    <w:rsid w:val="00980A92"/>
    <w:rsid w:val="009817C3"/>
    <w:rsid w:val="00981DC1"/>
    <w:rsid w:val="009821D9"/>
    <w:rsid w:val="00982C5C"/>
    <w:rsid w:val="00983089"/>
    <w:rsid w:val="0098313C"/>
    <w:rsid w:val="0098329B"/>
    <w:rsid w:val="00983F95"/>
    <w:rsid w:val="00984DF6"/>
    <w:rsid w:val="009857CA"/>
    <w:rsid w:val="009869A7"/>
    <w:rsid w:val="00986FC2"/>
    <w:rsid w:val="00987217"/>
    <w:rsid w:val="00987E97"/>
    <w:rsid w:val="009908AC"/>
    <w:rsid w:val="00991F8B"/>
    <w:rsid w:val="009935B9"/>
    <w:rsid w:val="009942B9"/>
    <w:rsid w:val="009971EC"/>
    <w:rsid w:val="00997901"/>
    <w:rsid w:val="009A0274"/>
    <w:rsid w:val="009A07C2"/>
    <w:rsid w:val="009A195A"/>
    <w:rsid w:val="009A282B"/>
    <w:rsid w:val="009A28D4"/>
    <w:rsid w:val="009A2F7D"/>
    <w:rsid w:val="009A30F8"/>
    <w:rsid w:val="009A333C"/>
    <w:rsid w:val="009A3423"/>
    <w:rsid w:val="009A49BF"/>
    <w:rsid w:val="009A4B47"/>
    <w:rsid w:val="009A4B74"/>
    <w:rsid w:val="009A4FBD"/>
    <w:rsid w:val="009A53A8"/>
    <w:rsid w:val="009A5806"/>
    <w:rsid w:val="009A5CC8"/>
    <w:rsid w:val="009A64AB"/>
    <w:rsid w:val="009A7070"/>
    <w:rsid w:val="009A75C8"/>
    <w:rsid w:val="009A76E0"/>
    <w:rsid w:val="009A78B4"/>
    <w:rsid w:val="009A7C40"/>
    <w:rsid w:val="009B004A"/>
    <w:rsid w:val="009B0655"/>
    <w:rsid w:val="009B065C"/>
    <w:rsid w:val="009B12D0"/>
    <w:rsid w:val="009B13A7"/>
    <w:rsid w:val="009B1B72"/>
    <w:rsid w:val="009B2251"/>
    <w:rsid w:val="009B23B3"/>
    <w:rsid w:val="009B2457"/>
    <w:rsid w:val="009B2CC9"/>
    <w:rsid w:val="009B3AFF"/>
    <w:rsid w:val="009B3FE8"/>
    <w:rsid w:val="009B455D"/>
    <w:rsid w:val="009B4A2C"/>
    <w:rsid w:val="009B54A1"/>
    <w:rsid w:val="009B5F4A"/>
    <w:rsid w:val="009B65A4"/>
    <w:rsid w:val="009B6CC5"/>
    <w:rsid w:val="009B6F85"/>
    <w:rsid w:val="009B6FD3"/>
    <w:rsid w:val="009B74C0"/>
    <w:rsid w:val="009C0AC4"/>
    <w:rsid w:val="009C3A34"/>
    <w:rsid w:val="009C3B7E"/>
    <w:rsid w:val="009C44B2"/>
    <w:rsid w:val="009C4D84"/>
    <w:rsid w:val="009C512D"/>
    <w:rsid w:val="009C57E7"/>
    <w:rsid w:val="009C60A7"/>
    <w:rsid w:val="009C6195"/>
    <w:rsid w:val="009C6A78"/>
    <w:rsid w:val="009C7949"/>
    <w:rsid w:val="009C7BEE"/>
    <w:rsid w:val="009C7DB7"/>
    <w:rsid w:val="009D0309"/>
    <w:rsid w:val="009D042F"/>
    <w:rsid w:val="009D0D85"/>
    <w:rsid w:val="009D0FE4"/>
    <w:rsid w:val="009D2799"/>
    <w:rsid w:val="009D2BBA"/>
    <w:rsid w:val="009D2EC4"/>
    <w:rsid w:val="009D3197"/>
    <w:rsid w:val="009D39E6"/>
    <w:rsid w:val="009D3D37"/>
    <w:rsid w:val="009D41D5"/>
    <w:rsid w:val="009D49EB"/>
    <w:rsid w:val="009D4A2E"/>
    <w:rsid w:val="009D4AED"/>
    <w:rsid w:val="009D5043"/>
    <w:rsid w:val="009D5A38"/>
    <w:rsid w:val="009D672D"/>
    <w:rsid w:val="009D6EF2"/>
    <w:rsid w:val="009D764B"/>
    <w:rsid w:val="009D7AF5"/>
    <w:rsid w:val="009D7B7F"/>
    <w:rsid w:val="009E005C"/>
    <w:rsid w:val="009E0A02"/>
    <w:rsid w:val="009E0B3D"/>
    <w:rsid w:val="009E0B7F"/>
    <w:rsid w:val="009E10D5"/>
    <w:rsid w:val="009E16D6"/>
    <w:rsid w:val="009E1755"/>
    <w:rsid w:val="009E177D"/>
    <w:rsid w:val="009E1DBB"/>
    <w:rsid w:val="009E1F24"/>
    <w:rsid w:val="009E285D"/>
    <w:rsid w:val="009E3035"/>
    <w:rsid w:val="009E30CF"/>
    <w:rsid w:val="009E37BB"/>
    <w:rsid w:val="009E3C9E"/>
    <w:rsid w:val="009E3D29"/>
    <w:rsid w:val="009E3D44"/>
    <w:rsid w:val="009E47AD"/>
    <w:rsid w:val="009E498D"/>
    <w:rsid w:val="009E4C49"/>
    <w:rsid w:val="009E4EA8"/>
    <w:rsid w:val="009E535A"/>
    <w:rsid w:val="009E57A8"/>
    <w:rsid w:val="009E65B8"/>
    <w:rsid w:val="009E6615"/>
    <w:rsid w:val="009E7912"/>
    <w:rsid w:val="009E7AB7"/>
    <w:rsid w:val="009E7FBB"/>
    <w:rsid w:val="009F101B"/>
    <w:rsid w:val="009F1CBD"/>
    <w:rsid w:val="009F1DF1"/>
    <w:rsid w:val="009F2320"/>
    <w:rsid w:val="009F388C"/>
    <w:rsid w:val="009F3A29"/>
    <w:rsid w:val="009F3C37"/>
    <w:rsid w:val="009F5488"/>
    <w:rsid w:val="009F6D25"/>
    <w:rsid w:val="009F7270"/>
    <w:rsid w:val="009F7AED"/>
    <w:rsid w:val="009F7B16"/>
    <w:rsid w:val="00A0050D"/>
    <w:rsid w:val="00A00796"/>
    <w:rsid w:val="00A00D0D"/>
    <w:rsid w:val="00A04CFC"/>
    <w:rsid w:val="00A04D8D"/>
    <w:rsid w:val="00A06DD9"/>
    <w:rsid w:val="00A07257"/>
    <w:rsid w:val="00A07545"/>
    <w:rsid w:val="00A077AB"/>
    <w:rsid w:val="00A07C0B"/>
    <w:rsid w:val="00A10D66"/>
    <w:rsid w:val="00A1129D"/>
    <w:rsid w:val="00A1259E"/>
    <w:rsid w:val="00A1290F"/>
    <w:rsid w:val="00A12C92"/>
    <w:rsid w:val="00A13212"/>
    <w:rsid w:val="00A13FDF"/>
    <w:rsid w:val="00A141DA"/>
    <w:rsid w:val="00A15088"/>
    <w:rsid w:val="00A16C4D"/>
    <w:rsid w:val="00A1722A"/>
    <w:rsid w:val="00A17BF6"/>
    <w:rsid w:val="00A20A0D"/>
    <w:rsid w:val="00A20FE2"/>
    <w:rsid w:val="00A210B9"/>
    <w:rsid w:val="00A219FB"/>
    <w:rsid w:val="00A21A2E"/>
    <w:rsid w:val="00A221CE"/>
    <w:rsid w:val="00A22D2E"/>
    <w:rsid w:val="00A23CD1"/>
    <w:rsid w:val="00A23E43"/>
    <w:rsid w:val="00A256C3"/>
    <w:rsid w:val="00A262CE"/>
    <w:rsid w:val="00A265D4"/>
    <w:rsid w:val="00A26812"/>
    <w:rsid w:val="00A26DF0"/>
    <w:rsid w:val="00A30068"/>
    <w:rsid w:val="00A31896"/>
    <w:rsid w:val="00A31C0B"/>
    <w:rsid w:val="00A32F7F"/>
    <w:rsid w:val="00A33820"/>
    <w:rsid w:val="00A33BB6"/>
    <w:rsid w:val="00A34719"/>
    <w:rsid w:val="00A35626"/>
    <w:rsid w:val="00A3686F"/>
    <w:rsid w:val="00A369BE"/>
    <w:rsid w:val="00A4016A"/>
    <w:rsid w:val="00A40229"/>
    <w:rsid w:val="00A4137A"/>
    <w:rsid w:val="00A4170C"/>
    <w:rsid w:val="00A41EB4"/>
    <w:rsid w:val="00A43A9C"/>
    <w:rsid w:val="00A44FA1"/>
    <w:rsid w:val="00A45241"/>
    <w:rsid w:val="00A459EC"/>
    <w:rsid w:val="00A46030"/>
    <w:rsid w:val="00A46DE0"/>
    <w:rsid w:val="00A46FE5"/>
    <w:rsid w:val="00A471A5"/>
    <w:rsid w:val="00A473F5"/>
    <w:rsid w:val="00A47424"/>
    <w:rsid w:val="00A476D0"/>
    <w:rsid w:val="00A50233"/>
    <w:rsid w:val="00A5027A"/>
    <w:rsid w:val="00A50967"/>
    <w:rsid w:val="00A50AD3"/>
    <w:rsid w:val="00A5287C"/>
    <w:rsid w:val="00A52DE7"/>
    <w:rsid w:val="00A52E95"/>
    <w:rsid w:val="00A53830"/>
    <w:rsid w:val="00A53A7B"/>
    <w:rsid w:val="00A5434A"/>
    <w:rsid w:val="00A5448E"/>
    <w:rsid w:val="00A54A05"/>
    <w:rsid w:val="00A54A61"/>
    <w:rsid w:val="00A54E85"/>
    <w:rsid w:val="00A54F1A"/>
    <w:rsid w:val="00A55489"/>
    <w:rsid w:val="00A55EA3"/>
    <w:rsid w:val="00A55FAB"/>
    <w:rsid w:val="00A5670B"/>
    <w:rsid w:val="00A56914"/>
    <w:rsid w:val="00A57C36"/>
    <w:rsid w:val="00A57DEF"/>
    <w:rsid w:val="00A61045"/>
    <w:rsid w:val="00A61D03"/>
    <w:rsid w:val="00A622AA"/>
    <w:rsid w:val="00A62470"/>
    <w:rsid w:val="00A62A8D"/>
    <w:rsid w:val="00A62CE1"/>
    <w:rsid w:val="00A63193"/>
    <w:rsid w:val="00A63804"/>
    <w:rsid w:val="00A63991"/>
    <w:rsid w:val="00A63BDF"/>
    <w:rsid w:val="00A64E73"/>
    <w:rsid w:val="00A670C2"/>
    <w:rsid w:val="00A67433"/>
    <w:rsid w:val="00A6782A"/>
    <w:rsid w:val="00A67964"/>
    <w:rsid w:val="00A703EB"/>
    <w:rsid w:val="00A71D57"/>
    <w:rsid w:val="00A71E3A"/>
    <w:rsid w:val="00A72007"/>
    <w:rsid w:val="00A72BFE"/>
    <w:rsid w:val="00A734A0"/>
    <w:rsid w:val="00A734BA"/>
    <w:rsid w:val="00A73651"/>
    <w:rsid w:val="00A73763"/>
    <w:rsid w:val="00A7434E"/>
    <w:rsid w:val="00A7487A"/>
    <w:rsid w:val="00A75964"/>
    <w:rsid w:val="00A75E40"/>
    <w:rsid w:val="00A7638F"/>
    <w:rsid w:val="00A767BD"/>
    <w:rsid w:val="00A76FE1"/>
    <w:rsid w:val="00A77B0F"/>
    <w:rsid w:val="00A77CC5"/>
    <w:rsid w:val="00A802D7"/>
    <w:rsid w:val="00A80BA4"/>
    <w:rsid w:val="00A81BA5"/>
    <w:rsid w:val="00A8271B"/>
    <w:rsid w:val="00A8283C"/>
    <w:rsid w:val="00A82ECF"/>
    <w:rsid w:val="00A830F0"/>
    <w:rsid w:val="00A8313F"/>
    <w:rsid w:val="00A8316D"/>
    <w:rsid w:val="00A8323F"/>
    <w:rsid w:val="00A83B0D"/>
    <w:rsid w:val="00A84596"/>
    <w:rsid w:val="00A847A0"/>
    <w:rsid w:val="00A857C0"/>
    <w:rsid w:val="00A8587E"/>
    <w:rsid w:val="00A868F2"/>
    <w:rsid w:val="00A87C69"/>
    <w:rsid w:val="00A9159A"/>
    <w:rsid w:val="00A9231F"/>
    <w:rsid w:val="00A92D9D"/>
    <w:rsid w:val="00A935D1"/>
    <w:rsid w:val="00A93CBD"/>
    <w:rsid w:val="00A9414B"/>
    <w:rsid w:val="00A9460A"/>
    <w:rsid w:val="00A94D83"/>
    <w:rsid w:val="00A94E20"/>
    <w:rsid w:val="00A95093"/>
    <w:rsid w:val="00A96E4E"/>
    <w:rsid w:val="00A9709C"/>
    <w:rsid w:val="00A97646"/>
    <w:rsid w:val="00A97C04"/>
    <w:rsid w:val="00AA151A"/>
    <w:rsid w:val="00AA1B41"/>
    <w:rsid w:val="00AA2060"/>
    <w:rsid w:val="00AA206C"/>
    <w:rsid w:val="00AA217B"/>
    <w:rsid w:val="00AA252C"/>
    <w:rsid w:val="00AA4641"/>
    <w:rsid w:val="00AA46E0"/>
    <w:rsid w:val="00AA472B"/>
    <w:rsid w:val="00AA5163"/>
    <w:rsid w:val="00AA559A"/>
    <w:rsid w:val="00AA59E3"/>
    <w:rsid w:val="00AA5A7F"/>
    <w:rsid w:val="00AA5C05"/>
    <w:rsid w:val="00AA5DB9"/>
    <w:rsid w:val="00AA637E"/>
    <w:rsid w:val="00AA6D36"/>
    <w:rsid w:val="00AA7A99"/>
    <w:rsid w:val="00AB2AF1"/>
    <w:rsid w:val="00AB2E43"/>
    <w:rsid w:val="00AB33AE"/>
    <w:rsid w:val="00AB34A3"/>
    <w:rsid w:val="00AB358F"/>
    <w:rsid w:val="00AB389B"/>
    <w:rsid w:val="00AB41DE"/>
    <w:rsid w:val="00AB4A83"/>
    <w:rsid w:val="00AB5405"/>
    <w:rsid w:val="00AB59D3"/>
    <w:rsid w:val="00AB6166"/>
    <w:rsid w:val="00AB6F86"/>
    <w:rsid w:val="00AB7318"/>
    <w:rsid w:val="00AB78C5"/>
    <w:rsid w:val="00AC05DB"/>
    <w:rsid w:val="00AC1176"/>
    <w:rsid w:val="00AC2141"/>
    <w:rsid w:val="00AC3FD1"/>
    <w:rsid w:val="00AC435B"/>
    <w:rsid w:val="00AC4508"/>
    <w:rsid w:val="00AC4851"/>
    <w:rsid w:val="00AC62CF"/>
    <w:rsid w:val="00AC65C0"/>
    <w:rsid w:val="00AC6691"/>
    <w:rsid w:val="00AC7617"/>
    <w:rsid w:val="00AC7F36"/>
    <w:rsid w:val="00AD1CF2"/>
    <w:rsid w:val="00AD306C"/>
    <w:rsid w:val="00AD30CE"/>
    <w:rsid w:val="00AD3CE8"/>
    <w:rsid w:val="00AD425B"/>
    <w:rsid w:val="00AD5118"/>
    <w:rsid w:val="00AD522E"/>
    <w:rsid w:val="00AD52A8"/>
    <w:rsid w:val="00AD5A9E"/>
    <w:rsid w:val="00AD629B"/>
    <w:rsid w:val="00AD633B"/>
    <w:rsid w:val="00AD6453"/>
    <w:rsid w:val="00AD64B3"/>
    <w:rsid w:val="00AD679D"/>
    <w:rsid w:val="00AD7B11"/>
    <w:rsid w:val="00AD7CE4"/>
    <w:rsid w:val="00AE01E3"/>
    <w:rsid w:val="00AE0B0B"/>
    <w:rsid w:val="00AE0F4A"/>
    <w:rsid w:val="00AE1124"/>
    <w:rsid w:val="00AE119F"/>
    <w:rsid w:val="00AE15F8"/>
    <w:rsid w:val="00AE1DD9"/>
    <w:rsid w:val="00AE207C"/>
    <w:rsid w:val="00AE29DE"/>
    <w:rsid w:val="00AE362C"/>
    <w:rsid w:val="00AE37EB"/>
    <w:rsid w:val="00AE3A2E"/>
    <w:rsid w:val="00AE3DD8"/>
    <w:rsid w:val="00AE57E7"/>
    <w:rsid w:val="00AE5A90"/>
    <w:rsid w:val="00AE5B62"/>
    <w:rsid w:val="00AE6027"/>
    <w:rsid w:val="00AE784A"/>
    <w:rsid w:val="00AF19AE"/>
    <w:rsid w:val="00AF21BD"/>
    <w:rsid w:val="00AF2CC2"/>
    <w:rsid w:val="00AF2EC9"/>
    <w:rsid w:val="00AF3C79"/>
    <w:rsid w:val="00AF44AA"/>
    <w:rsid w:val="00AF4542"/>
    <w:rsid w:val="00AF4D05"/>
    <w:rsid w:val="00AF4F8A"/>
    <w:rsid w:val="00AF622E"/>
    <w:rsid w:val="00AF7101"/>
    <w:rsid w:val="00AF71E8"/>
    <w:rsid w:val="00AF7CC8"/>
    <w:rsid w:val="00B0046C"/>
    <w:rsid w:val="00B00E2A"/>
    <w:rsid w:val="00B00E5C"/>
    <w:rsid w:val="00B01A65"/>
    <w:rsid w:val="00B021DC"/>
    <w:rsid w:val="00B0293A"/>
    <w:rsid w:val="00B02E0D"/>
    <w:rsid w:val="00B031D4"/>
    <w:rsid w:val="00B034C3"/>
    <w:rsid w:val="00B0416F"/>
    <w:rsid w:val="00B04C40"/>
    <w:rsid w:val="00B054ED"/>
    <w:rsid w:val="00B05722"/>
    <w:rsid w:val="00B0580A"/>
    <w:rsid w:val="00B05BCA"/>
    <w:rsid w:val="00B0692D"/>
    <w:rsid w:val="00B076B6"/>
    <w:rsid w:val="00B10157"/>
    <w:rsid w:val="00B11B3C"/>
    <w:rsid w:val="00B12102"/>
    <w:rsid w:val="00B12489"/>
    <w:rsid w:val="00B127A9"/>
    <w:rsid w:val="00B129F4"/>
    <w:rsid w:val="00B13282"/>
    <w:rsid w:val="00B15B3D"/>
    <w:rsid w:val="00B161A8"/>
    <w:rsid w:val="00B16950"/>
    <w:rsid w:val="00B17E71"/>
    <w:rsid w:val="00B17FDE"/>
    <w:rsid w:val="00B21B8C"/>
    <w:rsid w:val="00B235C8"/>
    <w:rsid w:val="00B23A88"/>
    <w:rsid w:val="00B247D8"/>
    <w:rsid w:val="00B25F29"/>
    <w:rsid w:val="00B2746E"/>
    <w:rsid w:val="00B27879"/>
    <w:rsid w:val="00B27CC2"/>
    <w:rsid w:val="00B30132"/>
    <w:rsid w:val="00B3057F"/>
    <w:rsid w:val="00B31DB7"/>
    <w:rsid w:val="00B31E02"/>
    <w:rsid w:val="00B322F8"/>
    <w:rsid w:val="00B32B8B"/>
    <w:rsid w:val="00B32DDB"/>
    <w:rsid w:val="00B33525"/>
    <w:rsid w:val="00B33853"/>
    <w:rsid w:val="00B33C76"/>
    <w:rsid w:val="00B33DCD"/>
    <w:rsid w:val="00B33FEC"/>
    <w:rsid w:val="00B34DAB"/>
    <w:rsid w:val="00B35131"/>
    <w:rsid w:val="00B35919"/>
    <w:rsid w:val="00B360DE"/>
    <w:rsid w:val="00B36297"/>
    <w:rsid w:val="00B36792"/>
    <w:rsid w:val="00B36B2F"/>
    <w:rsid w:val="00B4079B"/>
    <w:rsid w:val="00B40DC8"/>
    <w:rsid w:val="00B41A0A"/>
    <w:rsid w:val="00B42254"/>
    <w:rsid w:val="00B42534"/>
    <w:rsid w:val="00B43764"/>
    <w:rsid w:val="00B437AD"/>
    <w:rsid w:val="00B4439F"/>
    <w:rsid w:val="00B4480E"/>
    <w:rsid w:val="00B449C1"/>
    <w:rsid w:val="00B45197"/>
    <w:rsid w:val="00B45667"/>
    <w:rsid w:val="00B46DC2"/>
    <w:rsid w:val="00B478DF"/>
    <w:rsid w:val="00B479AF"/>
    <w:rsid w:val="00B5004C"/>
    <w:rsid w:val="00B508DA"/>
    <w:rsid w:val="00B50C8B"/>
    <w:rsid w:val="00B515C6"/>
    <w:rsid w:val="00B51944"/>
    <w:rsid w:val="00B52135"/>
    <w:rsid w:val="00B52757"/>
    <w:rsid w:val="00B537E2"/>
    <w:rsid w:val="00B55082"/>
    <w:rsid w:val="00B55C66"/>
    <w:rsid w:val="00B561B9"/>
    <w:rsid w:val="00B568BA"/>
    <w:rsid w:val="00B57330"/>
    <w:rsid w:val="00B603C3"/>
    <w:rsid w:val="00B609BE"/>
    <w:rsid w:val="00B60ECF"/>
    <w:rsid w:val="00B6147E"/>
    <w:rsid w:val="00B6182F"/>
    <w:rsid w:val="00B6186C"/>
    <w:rsid w:val="00B6189F"/>
    <w:rsid w:val="00B61CB6"/>
    <w:rsid w:val="00B62322"/>
    <w:rsid w:val="00B624AB"/>
    <w:rsid w:val="00B626F7"/>
    <w:rsid w:val="00B62D55"/>
    <w:rsid w:val="00B64260"/>
    <w:rsid w:val="00B65838"/>
    <w:rsid w:val="00B65DB6"/>
    <w:rsid w:val="00B6608F"/>
    <w:rsid w:val="00B6725C"/>
    <w:rsid w:val="00B67D22"/>
    <w:rsid w:val="00B702B7"/>
    <w:rsid w:val="00B71822"/>
    <w:rsid w:val="00B71987"/>
    <w:rsid w:val="00B719B0"/>
    <w:rsid w:val="00B722D1"/>
    <w:rsid w:val="00B72398"/>
    <w:rsid w:val="00B72769"/>
    <w:rsid w:val="00B72A90"/>
    <w:rsid w:val="00B737B5"/>
    <w:rsid w:val="00B745E6"/>
    <w:rsid w:val="00B747C8"/>
    <w:rsid w:val="00B75310"/>
    <w:rsid w:val="00B761EC"/>
    <w:rsid w:val="00B765A7"/>
    <w:rsid w:val="00B76D1E"/>
    <w:rsid w:val="00B7748E"/>
    <w:rsid w:val="00B801E5"/>
    <w:rsid w:val="00B804F8"/>
    <w:rsid w:val="00B8069F"/>
    <w:rsid w:val="00B8081C"/>
    <w:rsid w:val="00B8153B"/>
    <w:rsid w:val="00B82220"/>
    <w:rsid w:val="00B82631"/>
    <w:rsid w:val="00B828F3"/>
    <w:rsid w:val="00B83323"/>
    <w:rsid w:val="00B8352B"/>
    <w:rsid w:val="00B8395F"/>
    <w:rsid w:val="00B83B65"/>
    <w:rsid w:val="00B83C7A"/>
    <w:rsid w:val="00B84108"/>
    <w:rsid w:val="00B8426F"/>
    <w:rsid w:val="00B849FD"/>
    <w:rsid w:val="00B853CF"/>
    <w:rsid w:val="00B858DD"/>
    <w:rsid w:val="00B858F9"/>
    <w:rsid w:val="00B86762"/>
    <w:rsid w:val="00B868BF"/>
    <w:rsid w:val="00B9198D"/>
    <w:rsid w:val="00B91E6C"/>
    <w:rsid w:val="00B924C5"/>
    <w:rsid w:val="00B933B1"/>
    <w:rsid w:val="00B938C2"/>
    <w:rsid w:val="00B94C93"/>
    <w:rsid w:val="00B95276"/>
    <w:rsid w:val="00B954CB"/>
    <w:rsid w:val="00B95656"/>
    <w:rsid w:val="00B95940"/>
    <w:rsid w:val="00B95FD1"/>
    <w:rsid w:val="00B96320"/>
    <w:rsid w:val="00B96887"/>
    <w:rsid w:val="00B96E42"/>
    <w:rsid w:val="00B96ED6"/>
    <w:rsid w:val="00B96F8B"/>
    <w:rsid w:val="00B9769B"/>
    <w:rsid w:val="00B977AC"/>
    <w:rsid w:val="00BA0710"/>
    <w:rsid w:val="00BA0AA3"/>
    <w:rsid w:val="00BA0F35"/>
    <w:rsid w:val="00BA1262"/>
    <w:rsid w:val="00BA1C37"/>
    <w:rsid w:val="00BA2164"/>
    <w:rsid w:val="00BA2CDF"/>
    <w:rsid w:val="00BA2D14"/>
    <w:rsid w:val="00BA3499"/>
    <w:rsid w:val="00BA3657"/>
    <w:rsid w:val="00BA437A"/>
    <w:rsid w:val="00BA43A1"/>
    <w:rsid w:val="00BA43D0"/>
    <w:rsid w:val="00BA44C3"/>
    <w:rsid w:val="00BA486D"/>
    <w:rsid w:val="00BA4FCB"/>
    <w:rsid w:val="00BA5329"/>
    <w:rsid w:val="00BA54F8"/>
    <w:rsid w:val="00BA5B40"/>
    <w:rsid w:val="00BA5C78"/>
    <w:rsid w:val="00BA7341"/>
    <w:rsid w:val="00BA7A16"/>
    <w:rsid w:val="00BB17F2"/>
    <w:rsid w:val="00BB1D98"/>
    <w:rsid w:val="00BB1DB3"/>
    <w:rsid w:val="00BB1E2D"/>
    <w:rsid w:val="00BB303C"/>
    <w:rsid w:val="00BB375C"/>
    <w:rsid w:val="00BB3AC8"/>
    <w:rsid w:val="00BB4E67"/>
    <w:rsid w:val="00BB51A2"/>
    <w:rsid w:val="00BB52C7"/>
    <w:rsid w:val="00BB6777"/>
    <w:rsid w:val="00BB6799"/>
    <w:rsid w:val="00BB6DC2"/>
    <w:rsid w:val="00BB7800"/>
    <w:rsid w:val="00BC0276"/>
    <w:rsid w:val="00BC05DF"/>
    <w:rsid w:val="00BC1769"/>
    <w:rsid w:val="00BC2A09"/>
    <w:rsid w:val="00BC31D2"/>
    <w:rsid w:val="00BC4B88"/>
    <w:rsid w:val="00BC529D"/>
    <w:rsid w:val="00BC5B5C"/>
    <w:rsid w:val="00BC6AC1"/>
    <w:rsid w:val="00BC7245"/>
    <w:rsid w:val="00BC74B1"/>
    <w:rsid w:val="00BC7B1E"/>
    <w:rsid w:val="00BC7B72"/>
    <w:rsid w:val="00BD0613"/>
    <w:rsid w:val="00BD0645"/>
    <w:rsid w:val="00BD15AC"/>
    <w:rsid w:val="00BD2014"/>
    <w:rsid w:val="00BD2D19"/>
    <w:rsid w:val="00BD366B"/>
    <w:rsid w:val="00BD38AF"/>
    <w:rsid w:val="00BD3E29"/>
    <w:rsid w:val="00BD47C9"/>
    <w:rsid w:val="00BD52C8"/>
    <w:rsid w:val="00BD5326"/>
    <w:rsid w:val="00BD5E35"/>
    <w:rsid w:val="00BD6D50"/>
    <w:rsid w:val="00BD713B"/>
    <w:rsid w:val="00BD7C40"/>
    <w:rsid w:val="00BD7E0B"/>
    <w:rsid w:val="00BE0470"/>
    <w:rsid w:val="00BE0A1A"/>
    <w:rsid w:val="00BE0AC1"/>
    <w:rsid w:val="00BE1C95"/>
    <w:rsid w:val="00BE1F41"/>
    <w:rsid w:val="00BE22F5"/>
    <w:rsid w:val="00BE28F1"/>
    <w:rsid w:val="00BE2CA1"/>
    <w:rsid w:val="00BE2E1E"/>
    <w:rsid w:val="00BE2FB5"/>
    <w:rsid w:val="00BE4815"/>
    <w:rsid w:val="00BE5F85"/>
    <w:rsid w:val="00BE67A9"/>
    <w:rsid w:val="00BE7298"/>
    <w:rsid w:val="00BE73BB"/>
    <w:rsid w:val="00BE7F40"/>
    <w:rsid w:val="00BF09A3"/>
    <w:rsid w:val="00BF12BF"/>
    <w:rsid w:val="00BF1395"/>
    <w:rsid w:val="00BF1D10"/>
    <w:rsid w:val="00BF2796"/>
    <w:rsid w:val="00BF2DC9"/>
    <w:rsid w:val="00BF2DF0"/>
    <w:rsid w:val="00BF4984"/>
    <w:rsid w:val="00BF51D7"/>
    <w:rsid w:val="00BF5417"/>
    <w:rsid w:val="00BF5985"/>
    <w:rsid w:val="00BF5D73"/>
    <w:rsid w:val="00BF6041"/>
    <w:rsid w:val="00BF737E"/>
    <w:rsid w:val="00C01BB8"/>
    <w:rsid w:val="00C038D5"/>
    <w:rsid w:val="00C04182"/>
    <w:rsid w:val="00C04563"/>
    <w:rsid w:val="00C04C70"/>
    <w:rsid w:val="00C0501A"/>
    <w:rsid w:val="00C058F6"/>
    <w:rsid w:val="00C05D9B"/>
    <w:rsid w:val="00C05EE7"/>
    <w:rsid w:val="00C061EF"/>
    <w:rsid w:val="00C06587"/>
    <w:rsid w:val="00C06C03"/>
    <w:rsid w:val="00C07B44"/>
    <w:rsid w:val="00C1039F"/>
    <w:rsid w:val="00C10BA5"/>
    <w:rsid w:val="00C11E5A"/>
    <w:rsid w:val="00C12206"/>
    <w:rsid w:val="00C12BB5"/>
    <w:rsid w:val="00C12E93"/>
    <w:rsid w:val="00C13AA4"/>
    <w:rsid w:val="00C15BF2"/>
    <w:rsid w:val="00C15C15"/>
    <w:rsid w:val="00C21823"/>
    <w:rsid w:val="00C21F94"/>
    <w:rsid w:val="00C238D3"/>
    <w:rsid w:val="00C23AD0"/>
    <w:rsid w:val="00C23DBA"/>
    <w:rsid w:val="00C2411E"/>
    <w:rsid w:val="00C25199"/>
    <w:rsid w:val="00C255DA"/>
    <w:rsid w:val="00C260B7"/>
    <w:rsid w:val="00C26612"/>
    <w:rsid w:val="00C31499"/>
    <w:rsid w:val="00C322CD"/>
    <w:rsid w:val="00C32936"/>
    <w:rsid w:val="00C32C17"/>
    <w:rsid w:val="00C32C99"/>
    <w:rsid w:val="00C32CF5"/>
    <w:rsid w:val="00C3398D"/>
    <w:rsid w:val="00C33AC2"/>
    <w:rsid w:val="00C33E33"/>
    <w:rsid w:val="00C3509F"/>
    <w:rsid w:val="00C354FF"/>
    <w:rsid w:val="00C356EE"/>
    <w:rsid w:val="00C358EB"/>
    <w:rsid w:val="00C36302"/>
    <w:rsid w:val="00C363FA"/>
    <w:rsid w:val="00C364B9"/>
    <w:rsid w:val="00C364C1"/>
    <w:rsid w:val="00C36C5C"/>
    <w:rsid w:val="00C37461"/>
    <w:rsid w:val="00C37613"/>
    <w:rsid w:val="00C376BC"/>
    <w:rsid w:val="00C37861"/>
    <w:rsid w:val="00C44980"/>
    <w:rsid w:val="00C45446"/>
    <w:rsid w:val="00C45F47"/>
    <w:rsid w:val="00C463A9"/>
    <w:rsid w:val="00C47406"/>
    <w:rsid w:val="00C4767C"/>
    <w:rsid w:val="00C505B7"/>
    <w:rsid w:val="00C5084D"/>
    <w:rsid w:val="00C53131"/>
    <w:rsid w:val="00C53308"/>
    <w:rsid w:val="00C53991"/>
    <w:rsid w:val="00C53A4C"/>
    <w:rsid w:val="00C549A0"/>
    <w:rsid w:val="00C54C37"/>
    <w:rsid w:val="00C56136"/>
    <w:rsid w:val="00C56E91"/>
    <w:rsid w:val="00C56EB6"/>
    <w:rsid w:val="00C57976"/>
    <w:rsid w:val="00C60D29"/>
    <w:rsid w:val="00C6126C"/>
    <w:rsid w:val="00C61AF5"/>
    <w:rsid w:val="00C61D66"/>
    <w:rsid w:val="00C623D8"/>
    <w:rsid w:val="00C62F18"/>
    <w:rsid w:val="00C63645"/>
    <w:rsid w:val="00C63732"/>
    <w:rsid w:val="00C64473"/>
    <w:rsid w:val="00C65C41"/>
    <w:rsid w:val="00C66AE9"/>
    <w:rsid w:val="00C67030"/>
    <w:rsid w:val="00C70260"/>
    <w:rsid w:val="00C7101F"/>
    <w:rsid w:val="00C713F5"/>
    <w:rsid w:val="00C71A57"/>
    <w:rsid w:val="00C71A7D"/>
    <w:rsid w:val="00C72D58"/>
    <w:rsid w:val="00C73568"/>
    <w:rsid w:val="00C73855"/>
    <w:rsid w:val="00C73CCA"/>
    <w:rsid w:val="00C73D12"/>
    <w:rsid w:val="00C74848"/>
    <w:rsid w:val="00C74970"/>
    <w:rsid w:val="00C74B2A"/>
    <w:rsid w:val="00C75024"/>
    <w:rsid w:val="00C75328"/>
    <w:rsid w:val="00C75550"/>
    <w:rsid w:val="00C75A31"/>
    <w:rsid w:val="00C7674B"/>
    <w:rsid w:val="00C76A45"/>
    <w:rsid w:val="00C76F15"/>
    <w:rsid w:val="00C774BB"/>
    <w:rsid w:val="00C77721"/>
    <w:rsid w:val="00C7796A"/>
    <w:rsid w:val="00C80D1B"/>
    <w:rsid w:val="00C81620"/>
    <w:rsid w:val="00C8168F"/>
    <w:rsid w:val="00C81910"/>
    <w:rsid w:val="00C81C3A"/>
    <w:rsid w:val="00C81E0D"/>
    <w:rsid w:val="00C820B0"/>
    <w:rsid w:val="00C82966"/>
    <w:rsid w:val="00C82CA9"/>
    <w:rsid w:val="00C82E31"/>
    <w:rsid w:val="00C82F33"/>
    <w:rsid w:val="00C83283"/>
    <w:rsid w:val="00C838B4"/>
    <w:rsid w:val="00C83D3C"/>
    <w:rsid w:val="00C84283"/>
    <w:rsid w:val="00C84769"/>
    <w:rsid w:val="00C84CD5"/>
    <w:rsid w:val="00C84D42"/>
    <w:rsid w:val="00C84E00"/>
    <w:rsid w:val="00C85411"/>
    <w:rsid w:val="00C8549F"/>
    <w:rsid w:val="00C8555B"/>
    <w:rsid w:val="00C8657B"/>
    <w:rsid w:val="00C866FE"/>
    <w:rsid w:val="00C86840"/>
    <w:rsid w:val="00C86C49"/>
    <w:rsid w:val="00C87715"/>
    <w:rsid w:val="00C87A76"/>
    <w:rsid w:val="00C90196"/>
    <w:rsid w:val="00C902C8"/>
    <w:rsid w:val="00C903FE"/>
    <w:rsid w:val="00C90CAC"/>
    <w:rsid w:val="00C90CF4"/>
    <w:rsid w:val="00C9101A"/>
    <w:rsid w:val="00C919C4"/>
    <w:rsid w:val="00C92798"/>
    <w:rsid w:val="00C93389"/>
    <w:rsid w:val="00C93954"/>
    <w:rsid w:val="00C94A40"/>
    <w:rsid w:val="00C951CA"/>
    <w:rsid w:val="00C95339"/>
    <w:rsid w:val="00C958DA"/>
    <w:rsid w:val="00C95B18"/>
    <w:rsid w:val="00C95E3D"/>
    <w:rsid w:val="00C96297"/>
    <w:rsid w:val="00C967C3"/>
    <w:rsid w:val="00C96820"/>
    <w:rsid w:val="00CA0C7F"/>
    <w:rsid w:val="00CA0FAE"/>
    <w:rsid w:val="00CA2DD6"/>
    <w:rsid w:val="00CA30E3"/>
    <w:rsid w:val="00CA3510"/>
    <w:rsid w:val="00CA35BA"/>
    <w:rsid w:val="00CA37E1"/>
    <w:rsid w:val="00CA3D3B"/>
    <w:rsid w:val="00CA492E"/>
    <w:rsid w:val="00CA6419"/>
    <w:rsid w:val="00CA71AD"/>
    <w:rsid w:val="00CA76B8"/>
    <w:rsid w:val="00CB0001"/>
    <w:rsid w:val="00CB0E00"/>
    <w:rsid w:val="00CB1981"/>
    <w:rsid w:val="00CB2215"/>
    <w:rsid w:val="00CB29D1"/>
    <w:rsid w:val="00CB3349"/>
    <w:rsid w:val="00CB4C7E"/>
    <w:rsid w:val="00CB4F69"/>
    <w:rsid w:val="00CB560F"/>
    <w:rsid w:val="00CB567C"/>
    <w:rsid w:val="00CB62F8"/>
    <w:rsid w:val="00CB6325"/>
    <w:rsid w:val="00CB7DC2"/>
    <w:rsid w:val="00CC01D0"/>
    <w:rsid w:val="00CC051E"/>
    <w:rsid w:val="00CC0FC5"/>
    <w:rsid w:val="00CC113F"/>
    <w:rsid w:val="00CC1887"/>
    <w:rsid w:val="00CC386B"/>
    <w:rsid w:val="00CC38DB"/>
    <w:rsid w:val="00CC3B3E"/>
    <w:rsid w:val="00CC5AE2"/>
    <w:rsid w:val="00CC5B99"/>
    <w:rsid w:val="00CC5D9D"/>
    <w:rsid w:val="00CC5E9B"/>
    <w:rsid w:val="00CC62CA"/>
    <w:rsid w:val="00CC68C2"/>
    <w:rsid w:val="00CC6A86"/>
    <w:rsid w:val="00CC6E16"/>
    <w:rsid w:val="00CC6FFF"/>
    <w:rsid w:val="00CC7383"/>
    <w:rsid w:val="00CC747E"/>
    <w:rsid w:val="00CD0328"/>
    <w:rsid w:val="00CD075C"/>
    <w:rsid w:val="00CD254B"/>
    <w:rsid w:val="00CD276D"/>
    <w:rsid w:val="00CD27D9"/>
    <w:rsid w:val="00CD3737"/>
    <w:rsid w:val="00CD379F"/>
    <w:rsid w:val="00CD3C89"/>
    <w:rsid w:val="00CD4F02"/>
    <w:rsid w:val="00CD56D8"/>
    <w:rsid w:val="00CD58AA"/>
    <w:rsid w:val="00CD5A48"/>
    <w:rsid w:val="00CD6406"/>
    <w:rsid w:val="00CD6441"/>
    <w:rsid w:val="00CD64B0"/>
    <w:rsid w:val="00CD79FE"/>
    <w:rsid w:val="00CD7BE9"/>
    <w:rsid w:val="00CD7C12"/>
    <w:rsid w:val="00CD7E62"/>
    <w:rsid w:val="00CE00F3"/>
    <w:rsid w:val="00CE025C"/>
    <w:rsid w:val="00CE036F"/>
    <w:rsid w:val="00CE0E95"/>
    <w:rsid w:val="00CE0FC5"/>
    <w:rsid w:val="00CE1019"/>
    <w:rsid w:val="00CE1280"/>
    <w:rsid w:val="00CE158D"/>
    <w:rsid w:val="00CE175B"/>
    <w:rsid w:val="00CE1F86"/>
    <w:rsid w:val="00CE20DC"/>
    <w:rsid w:val="00CE24FC"/>
    <w:rsid w:val="00CE276E"/>
    <w:rsid w:val="00CE2DB2"/>
    <w:rsid w:val="00CE31DA"/>
    <w:rsid w:val="00CE35FE"/>
    <w:rsid w:val="00CE3B0A"/>
    <w:rsid w:val="00CE4610"/>
    <w:rsid w:val="00CE47B3"/>
    <w:rsid w:val="00CE4BF5"/>
    <w:rsid w:val="00CE4C45"/>
    <w:rsid w:val="00CE4EF1"/>
    <w:rsid w:val="00CE4F4B"/>
    <w:rsid w:val="00CE50E8"/>
    <w:rsid w:val="00CE6861"/>
    <w:rsid w:val="00CE68EA"/>
    <w:rsid w:val="00CE6B14"/>
    <w:rsid w:val="00CE7908"/>
    <w:rsid w:val="00CF0173"/>
    <w:rsid w:val="00CF0DE0"/>
    <w:rsid w:val="00CF10F5"/>
    <w:rsid w:val="00CF2091"/>
    <w:rsid w:val="00CF23FB"/>
    <w:rsid w:val="00CF261D"/>
    <w:rsid w:val="00CF2A7A"/>
    <w:rsid w:val="00CF2C7E"/>
    <w:rsid w:val="00CF2CB6"/>
    <w:rsid w:val="00CF2E4E"/>
    <w:rsid w:val="00CF31F6"/>
    <w:rsid w:val="00CF3468"/>
    <w:rsid w:val="00CF468C"/>
    <w:rsid w:val="00CF47FD"/>
    <w:rsid w:val="00CF4BE2"/>
    <w:rsid w:val="00CF4D24"/>
    <w:rsid w:val="00CF51EC"/>
    <w:rsid w:val="00CF619B"/>
    <w:rsid w:val="00CF62CF"/>
    <w:rsid w:val="00CF6E52"/>
    <w:rsid w:val="00CF7035"/>
    <w:rsid w:val="00D00862"/>
    <w:rsid w:val="00D00D5A"/>
    <w:rsid w:val="00D02A33"/>
    <w:rsid w:val="00D03D9E"/>
    <w:rsid w:val="00D040DD"/>
    <w:rsid w:val="00D044EA"/>
    <w:rsid w:val="00D045D0"/>
    <w:rsid w:val="00D04748"/>
    <w:rsid w:val="00D04839"/>
    <w:rsid w:val="00D04A5D"/>
    <w:rsid w:val="00D054F3"/>
    <w:rsid w:val="00D056BE"/>
    <w:rsid w:val="00D0584D"/>
    <w:rsid w:val="00D05A86"/>
    <w:rsid w:val="00D06814"/>
    <w:rsid w:val="00D07345"/>
    <w:rsid w:val="00D0774F"/>
    <w:rsid w:val="00D0796B"/>
    <w:rsid w:val="00D07A40"/>
    <w:rsid w:val="00D07CBB"/>
    <w:rsid w:val="00D10123"/>
    <w:rsid w:val="00D1176D"/>
    <w:rsid w:val="00D11CDE"/>
    <w:rsid w:val="00D11DEF"/>
    <w:rsid w:val="00D120A5"/>
    <w:rsid w:val="00D13098"/>
    <w:rsid w:val="00D13328"/>
    <w:rsid w:val="00D13906"/>
    <w:rsid w:val="00D15A54"/>
    <w:rsid w:val="00D1607F"/>
    <w:rsid w:val="00D16834"/>
    <w:rsid w:val="00D17A53"/>
    <w:rsid w:val="00D17E3D"/>
    <w:rsid w:val="00D202B5"/>
    <w:rsid w:val="00D20597"/>
    <w:rsid w:val="00D20688"/>
    <w:rsid w:val="00D23446"/>
    <w:rsid w:val="00D24B30"/>
    <w:rsid w:val="00D24BC3"/>
    <w:rsid w:val="00D25455"/>
    <w:rsid w:val="00D256C5"/>
    <w:rsid w:val="00D267E2"/>
    <w:rsid w:val="00D27195"/>
    <w:rsid w:val="00D27BAA"/>
    <w:rsid w:val="00D27F3D"/>
    <w:rsid w:val="00D3037D"/>
    <w:rsid w:val="00D303F9"/>
    <w:rsid w:val="00D30D73"/>
    <w:rsid w:val="00D30E23"/>
    <w:rsid w:val="00D317AA"/>
    <w:rsid w:val="00D31B66"/>
    <w:rsid w:val="00D31CF6"/>
    <w:rsid w:val="00D32F7C"/>
    <w:rsid w:val="00D33BC7"/>
    <w:rsid w:val="00D345A8"/>
    <w:rsid w:val="00D34AF7"/>
    <w:rsid w:val="00D3503E"/>
    <w:rsid w:val="00D35107"/>
    <w:rsid w:val="00D353B5"/>
    <w:rsid w:val="00D355C0"/>
    <w:rsid w:val="00D35662"/>
    <w:rsid w:val="00D362C3"/>
    <w:rsid w:val="00D3656A"/>
    <w:rsid w:val="00D369F8"/>
    <w:rsid w:val="00D36CBA"/>
    <w:rsid w:val="00D3743F"/>
    <w:rsid w:val="00D379AD"/>
    <w:rsid w:val="00D379D4"/>
    <w:rsid w:val="00D37AAE"/>
    <w:rsid w:val="00D4082D"/>
    <w:rsid w:val="00D40EB6"/>
    <w:rsid w:val="00D40FD0"/>
    <w:rsid w:val="00D41A0E"/>
    <w:rsid w:val="00D41AF1"/>
    <w:rsid w:val="00D41F3D"/>
    <w:rsid w:val="00D42B88"/>
    <w:rsid w:val="00D43524"/>
    <w:rsid w:val="00D43C99"/>
    <w:rsid w:val="00D43E8C"/>
    <w:rsid w:val="00D44919"/>
    <w:rsid w:val="00D44CF1"/>
    <w:rsid w:val="00D450AC"/>
    <w:rsid w:val="00D45211"/>
    <w:rsid w:val="00D456A4"/>
    <w:rsid w:val="00D46277"/>
    <w:rsid w:val="00D4701B"/>
    <w:rsid w:val="00D50475"/>
    <w:rsid w:val="00D519AC"/>
    <w:rsid w:val="00D51D55"/>
    <w:rsid w:val="00D52BED"/>
    <w:rsid w:val="00D52DF7"/>
    <w:rsid w:val="00D52F5C"/>
    <w:rsid w:val="00D53090"/>
    <w:rsid w:val="00D536B3"/>
    <w:rsid w:val="00D54225"/>
    <w:rsid w:val="00D54886"/>
    <w:rsid w:val="00D55DF8"/>
    <w:rsid w:val="00D56036"/>
    <w:rsid w:val="00D5626F"/>
    <w:rsid w:val="00D56389"/>
    <w:rsid w:val="00D5723E"/>
    <w:rsid w:val="00D579E9"/>
    <w:rsid w:val="00D57D9C"/>
    <w:rsid w:val="00D600F9"/>
    <w:rsid w:val="00D60199"/>
    <w:rsid w:val="00D6097A"/>
    <w:rsid w:val="00D60C38"/>
    <w:rsid w:val="00D61468"/>
    <w:rsid w:val="00D615AE"/>
    <w:rsid w:val="00D61B8E"/>
    <w:rsid w:val="00D625FC"/>
    <w:rsid w:val="00D6280A"/>
    <w:rsid w:val="00D62884"/>
    <w:rsid w:val="00D62D84"/>
    <w:rsid w:val="00D6488C"/>
    <w:rsid w:val="00D64A75"/>
    <w:rsid w:val="00D64B4E"/>
    <w:rsid w:val="00D652EC"/>
    <w:rsid w:val="00D66145"/>
    <w:rsid w:val="00D676E8"/>
    <w:rsid w:val="00D70113"/>
    <w:rsid w:val="00D703DB"/>
    <w:rsid w:val="00D71377"/>
    <w:rsid w:val="00D71A0E"/>
    <w:rsid w:val="00D72382"/>
    <w:rsid w:val="00D726A7"/>
    <w:rsid w:val="00D72C5F"/>
    <w:rsid w:val="00D733B6"/>
    <w:rsid w:val="00D73499"/>
    <w:rsid w:val="00D734FC"/>
    <w:rsid w:val="00D738AE"/>
    <w:rsid w:val="00D73CCD"/>
    <w:rsid w:val="00D75019"/>
    <w:rsid w:val="00D758C8"/>
    <w:rsid w:val="00D75EAA"/>
    <w:rsid w:val="00D75F12"/>
    <w:rsid w:val="00D768AA"/>
    <w:rsid w:val="00D76CAD"/>
    <w:rsid w:val="00D7724C"/>
    <w:rsid w:val="00D77F41"/>
    <w:rsid w:val="00D801D1"/>
    <w:rsid w:val="00D8023E"/>
    <w:rsid w:val="00D81C3D"/>
    <w:rsid w:val="00D81ED0"/>
    <w:rsid w:val="00D81FA6"/>
    <w:rsid w:val="00D81FAD"/>
    <w:rsid w:val="00D82256"/>
    <w:rsid w:val="00D83397"/>
    <w:rsid w:val="00D83A64"/>
    <w:rsid w:val="00D859B3"/>
    <w:rsid w:val="00D87A8C"/>
    <w:rsid w:val="00D87B45"/>
    <w:rsid w:val="00D87F49"/>
    <w:rsid w:val="00D90556"/>
    <w:rsid w:val="00D90839"/>
    <w:rsid w:val="00D90983"/>
    <w:rsid w:val="00D90999"/>
    <w:rsid w:val="00D90E79"/>
    <w:rsid w:val="00D911C5"/>
    <w:rsid w:val="00D9164E"/>
    <w:rsid w:val="00D92223"/>
    <w:rsid w:val="00D92C97"/>
    <w:rsid w:val="00D92D6A"/>
    <w:rsid w:val="00D9320F"/>
    <w:rsid w:val="00D943B6"/>
    <w:rsid w:val="00D94457"/>
    <w:rsid w:val="00D94B8F"/>
    <w:rsid w:val="00D9565D"/>
    <w:rsid w:val="00D95BF2"/>
    <w:rsid w:val="00D95CEF"/>
    <w:rsid w:val="00D9612F"/>
    <w:rsid w:val="00D961C7"/>
    <w:rsid w:val="00D96D64"/>
    <w:rsid w:val="00D9700D"/>
    <w:rsid w:val="00D97A22"/>
    <w:rsid w:val="00DA01A1"/>
    <w:rsid w:val="00DA2C60"/>
    <w:rsid w:val="00DA3BF0"/>
    <w:rsid w:val="00DA3D2E"/>
    <w:rsid w:val="00DA4844"/>
    <w:rsid w:val="00DA5440"/>
    <w:rsid w:val="00DA55A4"/>
    <w:rsid w:val="00DA598D"/>
    <w:rsid w:val="00DA6192"/>
    <w:rsid w:val="00DA6934"/>
    <w:rsid w:val="00DA7676"/>
    <w:rsid w:val="00DB09B8"/>
    <w:rsid w:val="00DB17CC"/>
    <w:rsid w:val="00DB1C29"/>
    <w:rsid w:val="00DB2397"/>
    <w:rsid w:val="00DB25CC"/>
    <w:rsid w:val="00DB2894"/>
    <w:rsid w:val="00DB2C03"/>
    <w:rsid w:val="00DB2D67"/>
    <w:rsid w:val="00DB2DD2"/>
    <w:rsid w:val="00DB303E"/>
    <w:rsid w:val="00DB38C5"/>
    <w:rsid w:val="00DB4B28"/>
    <w:rsid w:val="00DB52B1"/>
    <w:rsid w:val="00DB5CBA"/>
    <w:rsid w:val="00DB5E79"/>
    <w:rsid w:val="00DB7839"/>
    <w:rsid w:val="00DC0216"/>
    <w:rsid w:val="00DC0B5D"/>
    <w:rsid w:val="00DC0F7E"/>
    <w:rsid w:val="00DC14C1"/>
    <w:rsid w:val="00DC1785"/>
    <w:rsid w:val="00DC1B7E"/>
    <w:rsid w:val="00DC2C0B"/>
    <w:rsid w:val="00DC4034"/>
    <w:rsid w:val="00DC44F7"/>
    <w:rsid w:val="00DC48FC"/>
    <w:rsid w:val="00DC4FDB"/>
    <w:rsid w:val="00DC5115"/>
    <w:rsid w:val="00DC56BB"/>
    <w:rsid w:val="00DC5815"/>
    <w:rsid w:val="00DC5B3B"/>
    <w:rsid w:val="00DC5F2B"/>
    <w:rsid w:val="00DC66ED"/>
    <w:rsid w:val="00DC6F2A"/>
    <w:rsid w:val="00DC701F"/>
    <w:rsid w:val="00DC7F5F"/>
    <w:rsid w:val="00DD12D8"/>
    <w:rsid w:val="00DD1BD7"/>
    <w:rsid w:val="00DD2DAD"/>
    <w:rsid w:val="00DD2E81"/>
    <w:rsid w:val="00DD3BD4"/>
    <w:rsid w:val="00DD4278"/>
    <w:rsid w:val="00DD6460"/>
    <w:rsid w:val="00DD699C"/>
    <w:rsid w:val="00DD7047"/>
    <w:rsid w:val="00DD70DE"/>
    <w:rsid w:val="00DD741F"/>
    <w:rsid w:val="00DD7498"/>
    <w:rsid w:val="00DD787B"/>
    <w:rsid w:val="00DD7CF8"/>
    <w:rsid w:val="00DE024D"/>
    <w:rsid w:val="00DE0501"/>
    <w:rsid w:val="00DE092B"/>
    <w:rsid w:val="00DE0C0F"/>
    <w:rsid w:val="00DE10E8"/>
    <w:rsid w:val="00DE1356"/>
    <w:rsid w:val="00DE141E"/>
    <w:rsid w:val="00DE1B71"/>
    <w:rsid w:val="00DE2E22"/>
    <w:rsid w:val="00DE3179"/>
    <w:rsid w:val="00DE36E5"/>
    <w:rsid w:val="00DE3973"/>
    <w:rsid w:val="00DE4A51"/>
    <w:rsid w:val="00DE539E"/>
    <w:rsid w:val="00DE66BB"/>
    <w:rsid w:val="00DE736E"/>
    <w:rsid w:val="00DF0EDC"/>
    <w:rsid w:val="00DF1241"/>
    <w:rsid w:val="00DF137E"/>
    <w:rsid w:val="00DF1398"/>
    <w:rsid w:val="00DF1A3D"/>
    <w:rsid w:val="00DF2F65"/>
    <w:rsid w:val="00DF33EF"/>
    <w:rsid w:val="00DF3F1A"/>
    <w:rsid w:val="00DF4938"/>
    <w:rsid w:val="00DF4FE9"/>
    <w:rsid w:val="00DF51B3"/>
    <w:rsid w:val="00DF5D00"/>
    <w:rsid w:val="00DF7587"/>
    <w:rsid w:val="00DF7E65"/>
    <w:rsid w:val="00DF7F7E"/>
    <w:rsid w:val="00DF7FCF"/>
    <w:rsid w:val="00E00057"/>
    <w:rsid w:val="00E00B39"/>
    <w:rsid w:val="00E00DD1"/>
    <w:rsid w:val="00E013A1"/>
    <w:rsid w:val="00E01C0E"/>
    <w:rsid w:val="00E02641"/>
    <w:rsid w:val="00E03E18"/>
    <w:rsid w:val="00E0428C"/>
    <w:rsid w:val="00E0437D"/>
    <w:rsid w:val="00E04694"/>
    <w:rsid w:val="00E05426"/>
    <w:rsid w:val="00E0599E"/>
    <w:rsid w:val="00E05C11"/>
    <w:rsid w:val="00E06F79"/>
    <w:rsid w:val="00E079D7"/>
    <w:rsid w:val="00E079FB"/>
    <w:rsid w:val="00E07A54"/>
    <w:rsid w:val="00E100A3"/>
    <w:rsid w:val="00E106F6"/>
    <w:rsid w:val="00E11327"/>
    <w:rsid w:val="00E1136E"/>
    <w:rsid w:val="00E1175F"/>
    <w:rsid w:val="00E11AF4"/>
    <w:rsid w:val="00E12A52"/>
    <w:rsid w:val="00E12D30"/>
    <w:rsid w:val="00E139DE"/>
    <w:rsid w:val="00E13A71"/>
    <w:rsid w:val="00E13FE3"/>
    <w:rsid w:val="00E144EF"/>
    <w:rsid w:val="00E14754"/>
    <w:rsid w:val="00E14AE7"/>
    <w:rsid w:val="00E14C18"/>
    <w:rsid w:val="00E14E65"/>
    <w:rsid w:val="00E158E3"/>
    <w:rsid w:val="00E15F96"/>
    <w:rsid w:val="00E17EE3"/>
    <w:rsid w:val="00E2070C"/>
    <w:rsid w:val="00E22904"/>
    <w:rsid w:val="00E22AE6"/>
    <w:rsid w:val="00E22EF3"/>
    <w:rsid w:val="00E230B3"/>
    <w:rsid w:val="00E23119"/>
    <w:rsid w:val="00E26A6C"/>
    <w:rsid w:val="00E30C67"/>
    <w:rsid w:val="00E30CDC"/>
    <w:rsid w:val="00E30F7E"/>
    <w:rsid w:val="00E31CE4"/>
    <w:rsid w:val="00E31E16"/>
    <w:rsid w:val="00E323BD"/>
    <w:rsid w:val="00E32A90"/>
    <w:rsid w:val="00E32BA0"/>
    <w:rsid w:val="00E32F41"/>
    <w:rsid w:val="00E33D7D"/>
    <w:rsid w:val="00E33EAE"/>
    <w:rsid w:val="00E340F9"/>
    <w:rsid w:val="00E34191"/>
    <w:rsid w:val="00E34404"/>
    <w:rsid w:val="00E344C3"/>
    <w:rsid w:val="00E34ACC"/>
    <w:rsid w:val="00E3521E"/>
    <w:rsid w:val="00E358FF"/>
    <w:rsid w:val="00E35EFB"/>
    <w:rsid w:val="00E369B0"/>
    <w:rsid w:val="00E36F83"/>
    <w:rsid w:val="00E3735A"/>
    <w:rsid w:val="00E40637"/>
    <w:rsid w:val="00E4134B"/>
    <w:rsid w:val="00E41720"/>
    <w:rsid w:val="00E4383A"/>
    <w:rsid w:val="00E443AC"/>
    <w:rsid w:val="00E45F0C"/>
    <w:rsid w:val="00E4626C"/>
    <w:rsid w:val="00E46C3D"/>
    <w:rsid w:val="00E4771F"/>
    <w:rsid w:val="00E504C3"/>
    <w:rsid w:val="00E50763"/>
    <w:rsid w:val="00E513B0"/>
    <w:rsid w:val="00E5231C"/>
    <w:rsid w:val="00E52622"/>
    <w:rsid w:val="00E528B7"/>
    <w:rsid w:val="00E52C47"/>
    <w:rsid w:val="00E538D9"/>
    <w:rsid w:val="00E53E7A"/>
    <w:rsid w:val="00E54B9A"/>
    <w:rsid w:val="00E54C11"/>
    <w:rsid w:val="00E55566"/>
    <w:rsid w:val="00E555D7"/>
    <w:rsid w:val="00E5607D"/>
    <w:rsid w:val="00E56D60"/>
    <w:rsid w:val="00E57564"/>
    <w:rsid w:val="00E609BA"/>
    <w:rsid w:val="00E60E7C"/>
    <w:rsid w:val="00E6101E"/>
    <w:rsid w:val="00E6176C"/>
    <w:rsid w:val="00E61C43"/>
    <w:rsid w:val="00E63D3F"/>
    <w:rsid w:val="00E644A7"/>
    <w:rsid w:val="00E64FE4"/>
    <w:rsid w:val="00E65196"/>
    <w:rsid w:val="00E651DE"/>
    <w:rsid w:val="00E6616C"/>
    <w:rsid w:val="00E6657D"/>
    <w:rsid w:val="00E67DC3"/>
    <w:rsid w:val="00E70317"/>
    <w:rsid w:val="00E70F4B"/>
    <w:rsid w:val="00E71A58"/>
    <w:rsid w:val="00E72178"/>
    <w:rsid w:val="00E72736"/>
    <w:rsid w:val="00E729DB"/>
    <w:rsid w:val="00E72A9C"/>
    <w:rsid w:val="00E72E6D"/>
    <w:rsid w:val="00E7308A"/>
    <w:rsid w:val="00E74500"/>
    <w:rsid w:val="00E74F05"/>
    <w:rsid w:val="00E767D1"/>
    <w:rsid w:val="00E76F70"/>
    <w:rsid w:val="00E771F5"/>
    <w:rsid w:val="00E77708"/>
    <w:rsid w:val="00E77B74"/>
    <w:rsid w:val="00E8026B"/>
    <w:rsid w:val="00E80688"/>
    <w:rsid w:val="00E81251"/>
    <w:rsid w:val="00E816B7"/>
    <w:rsid w:val="00E81E1F"/>
    <w:rsid w:val="00E8264F"/>
    <w:rsid w:val="00E82D69"/>
    <w:rsid w:val="00E83717"/>
    <w:rsid w:val="00E84E9F"/>
    <w:rsid w:val="00E85123"/>
    <w:rsid w:val="00E85EA4"/>
    <w:rsid w:val="00E870DD"/>
    <w:rsid w:val="00E875B7"/>
    <w:rsid w:val="00E90A06"/>
    <w:rsid w:val="00E90DF6"/>
    <w:rsid w:val="00E9276C"/>
    <w:rsid w:val="00E92FE8"/>
    <w:rsid w:val="00E9412D"/>
    <w:rsid w:val="00E94CAA"/>
    <w:rsid w:val="00E95554"/>
    <w:rsid w:val="00E95AF8"/>
    <w:rsid w:val="00E95C73"/>
    <w:rsid w:val="00E9718F"/>
    <w:rsid w:val="00EA04B6"/>
    <w:rsid w:val="00EA0A1A"/>
    <w:rsid w:val="00EA0B97"/>
    <w:rsid w:val="00EA0C68"/>
    <w:rsid w:val="00EA1EC2"/>
    <w:rsid w:val="00EA238B"/>
    <w:rsid w:val="00EA2568"/>
    <w:rsid w:val="00EA2C15"/>
    <w:rsid w:val="00EA3AF5"/>
    <w:rsid w:val="00EA5C46"/>
    <w:rsid w:val="00EA5FBD"/>
    <w:rsid w:val="00EA6979"/>
    <w:rsid w:val="00EA7285"/>
    <w:rsid w:val="00EA7A84"/>
    <w:rsid w:val="00EB00C7"/>
    <w:rsid w:val="00EB0F76"/>
    <w:rsid w:val="00EB20D3"/>
    <w:rsid w:val="00EB2376"/>
    <w:rsid w:val="00EB2A81"/>
    <w:rsid w:val="00EB2AB5"/>
    <w:rsid w:val="00EB3116"/>
    <w:rsid w:val="00EB4211"/>
    <w:rsid w:val="00EB46C1"/>
    <w:rsid w:val="00EB4980"/>
    <w:rsid w:val="00EB56F0"/>
    <w:rsid w:val="00EB6795"/>
    <w:rsid w:val="00EB7084"/>
    <w:rsid w:val="00EB7D19"/>
    <w:rsid w:val="00EB7D4C"/>
    <w:rsid w:val="00EB7F5D"/>
    <w:rsid w:val="00EC205E"/>
    <w:rsid w:val="00EC26D3"/>
    <w:rsid w:val="00EC3BCA"/>
    <w:rsid w:val="00EC3F5E"/>
    <w:rsid w:val="00EC63F0"/>
    <w:rsid w:val="00EC6650"/>
    <w:rsid w:val="00EC7950"/>
    <w:rsid w:val="00ED2269"/>
    <w:rsid w:val="00ED26B4"/>
    <w:rsid w:val="00ED3025"/>
    <w:rsid w:val="00ED35A8"/>
    <w:rsid w:val="00ED422B"/>
    <w:rsid w:val="00ED4469"/>
    <w:rsid w:val="00ED48F5"/>
    <w:rsid w:val="00ED49BF"/>
    <w:rsid w:val="00ED5B4F"/>
    <w:rsid w:val="00ED696E"/>
    <w:rsid w:val="00ED7FFB"/>
    <w:rsid w:val="00EE01F9"/>
    <w:rsid w:val="00EE25C3"/>
    <w:rsid w:val="00EE27A4"/>
    <w:rsid w:val="00EE3594"/>
    <w:rsid w:val="00EE3E17"/>
    <w:rsid w:val="00EE3E78"/>
    <w:rsid w:val="00EE4B21"/>
    <w:rsid w:val="00EE4E51"/>
    <w:rsid w:val="00EE52F3"/>
    <w:rsid w:val="00EE52FC"/>
    <w:rsid w:val="00EE577D"/>
    <w:rsid w:val="00EE595E"/>
    <w:rsid w:val="00EE5A03"/>
    <w:rsid w:val="00EE5A55"/>
    <w:rsid w:val="00EE6B11"/>
    <w:rsid w:val="00EE78D4"/>
    <w:rsid w:val="00EE7BEA"/>
    <w:rsid w:val="00EF0C14"/>
    <w:rsid w:val="00EF0DAB"/>
    <w:rsid w:val="00EF0E4F"/>
    <w:rsid w:val="00EF1662"/>
    <w:rsid w:val="00EF1F5A"/>
    <w:rsid w:val="00EF267A"/>
    <w:rsid w:val="00EF390C"/>
    <w:rsid w:val="00EF472B"/>
    <w:rsid w:val="00EF4AB7"/>
    <w:rsid w:val="00EF55A5"/>
    <w:rsid w:val="00EF5726"/>
    <w:rsid w:val="00EF6170"/>
    <w:rsid w:val="00EF69EB"/>
    <w:rsid w:val="00EF745D"/>
    <w:rsid w:val="00EF7BAC"/>
    <w:rsid w:val="00EF7E64"/>
    <w:rsid w:val="00F000ED"/>
    <w:rsid w:val="00F02751"/>
    <w:rsid w:val="00F02958"/>
    <w:rsid w:val="00F02B19"/>
    <w:rsid w:val="00F02B9B"/>
    <w:rsid w:val="00F02C58"/>
    <w:rsid w:val="00F03497"/>
    <w:rsid w:val="00F039DC"/>
    <w:rsid w:val="00F04811"/>
    <w:rsid w:val="00F0488C"/>
    <w:rsid w:val="00F05682"/>
    <w:rsid w:val="00F0688F"/>
    <w:rsid w:val="00F075C8"/>
    <w:rsid w:val="00F1001C"/>
    <w:rsid w:val="00F1015A"/>
    <w:rsid w:val="00F1085F"/>
    <w:rsid w:val="00F10DA0"/>
    <w:rsid w:val="00F10EFB"/>
    <w:rsid w:val="00F11826"/>
    <w:rsid w:val="00F11ADB"/>
    <w:rsid w:val="00F1216F"/>
    <w:rsid w:val="00F121B5"/>
    <w:rsid w:val="00F1233C"/>
    <w:rsid w:val="00F12D74"/>
    <w:rsid w:val="00F1307F"/>
    <w:rsid w:val="00F14398"/>
    <w:rsid w:val="00F15234"/>
    <w:rsid w:val="00F15239"/>
    <w:rsid w:val="00F15BEF"/>
    <w:rsid w:val="00F16380"/>
    <w:rsid w:val="00F17073"/>
    <w:rsid w:val="00F17441"/>
    <w:rsid w:val="00F202B4"/>
    <w:rsid w:val="00F20738"/>
    <w:rsid w:val="00F21B06"/>
    <w:rsid w:val="00F22503"/>
    <w:rsid w:val="00F22E88"/>
    <w:rsid w:val="00F22E95"/>
    <w:rsid w:val="00F2440F"/>
    <w:rsid w:val="00F24469"/>
    <w:rsid w:val="00F24FAA"/>
    <w:rsid w:val="00F25828"/>
    <w:rsid w:val="00F26446"/>
    <w:rsid w:val="00F26CFB"/>
    <w:rsid w:val="00F274C6"/>
    <w:rsid w:val="00F276B5"/>
    <w:rsid w:val="00F309E3"/>
    <w:rsid w:val="00F30D8A"/>
    <w:rsid w:val="00F31577"/>
    <w:rsid w:val="00F31A2C"/>
    <w:rsid w:val="00F3235A"/>
    <w:rsid w:val="00F32BE9"/>
    <w:rsid w:val="00F3364D"/>
    <w:rsid w:val="00F33F9B"/>
    <w:rsid w:val="00F352A5"/>
    <w:rsid w:val="00F35998"/>
    <w:rsid w:val="00F36ACD"/>
    <w:rsid w:val="00F36B49"/>
    <w:rsid w:val="00F36C27"/>
    <w:rsid w:val="00F372F9"/>
    <w:rsid w:val="00F37C80"/>
    <w:rsid w:val="00F37E2F"/>
    <w:rsid w:val="00F37F01"/>
    <w:rsid w:val="00F37FEB"/>
    <w:rsid w:val="00F404C8"/>
    <w:rsid w:val="00F40A99"/>
    <w:rsid w:val="00F42294"/>
    <w:rsid w:val="00F4260E"/>
    <w:rsid w:val="00F42C2A"/>
    <w:rsid w:val="00F42D42"/>
    <w:rsid w:val="00F42DEA"/>
    <w:rsid w:val="00F4335A"/>
    <w:rsid w:val="00F43694"/>
    <w:rsid w:val="00F43800"/>
    <w:rsid w:val="00F44551"/>
    <w:rsid w:val="00F4477E"/>
    <w:rsid w:val="00F44A25"/>
    <w:rsid w:val="00F45337"/>
    <w:rsid w:val="00F458F1"/>
    <w:rsid w:val="00F4616D"/>
    <w:rsid w:val="00F46950"/>
    <w:rsid w:val="00F46BFB"/>
    <w:rsid w:val="00F4733D"/>
    <w:rsid w:val="00F47D51"/>
    <w:rsid w:val="00F5099C"/>
    <w:rsid w:val="00F50BB7"/>
    <w:rsid w:val="00F50BEA"/>
    <w:rsid w:val="00F50EBA"/>
    <w:rsid w:val="00F511BD"/>
    <w:rsid w:val="00F5228D"/>
    <w:rsid w:val="00F52794"/>
    <w:rsid w:val="00F52C0D"/>
    <w:rsid w:val="00F53796"/>
    <w:rsid w:val="00F53831"/>
    <w:rsid w:val="00F543ED"/>
    <w:rsid w:val="00F549DE"/>
    <w:rsid w:val="00F54C1F"/>
    <w:rsid w:val="00F5594A"/>
    <w:rsid w:val="00F56447"/>
    <w:rsid w:val="00F56B28"/>
    <w:rsid w:val="00F5725D"/>
    <w:rsid w:val="00F57279"/>
    <w:rsid w:val="00F5744D"/>
    <w:rsid w:val="00F57A19"/>
    <w:rsid w:val="00F606CF"/>
    <w:rsid w:val="00F613E9"/>
    <w:rsid w:val="00F61DC8"/>
    <w:rsid w:val="00F61E6A"/>
    <w:rsid w:val="00F63DDE"/>
    <w:rsid w:val="00F63E5F"/>
    <w:rsid w:val="00F63FB7"/>
    <w:rsid w:val="00F64E8C"/>
    <w:rsid w:val="00F6656E"/>
    <w:rsid w:val="00F666F0"/>
    <w:rsid w:val="00F66E5A"/>
    <w:rsid w:val="00F67313"/>
    <w:rsid w:val="00F67741"/>
    <w:rsid w:val="00F702F8"/>
    <w:rsid w:val="00F70397"/>
    <w:rsid w:val="00F71448"/>
    <w:rsid w:val="00F72167"/>
    <w:rsid w:val="00F727D5"/>
    <w:rsid w:val="00F728AD"/>
    <w:rsid w:val="00F72A84"/>
    <w:rsid w:val="00F73A0C"/>
    <w:rsid w:val="00F746EF"/>
    <w:rsid w:val="00F750F8"/>
    <w:rsid w:val="00F753BE"/>
    <w:rsid w:val="00F75C57"/>
    <w:rsid w:val="00F75EB3"/>
    <w:rsid w:val="00F76803"/>
    <w:rsid w:val="00F769DC"/>
    <w:rsid w:val="00F779AB"/>
    <w:rsid w:val="00F77C3D"/>
    <w:rsid w:val="00F8074E"/>
    <w:rsid w:val="00F8097A"/>
    <w:rsid w:val="00F80F53"/>
    <w:rsid w:val="00F80FFE"/>
    <w:rsid w:val="00F818FF"/>
    <w:rsid w:val="00F82398"/>
    <w:rsid w:val="00F8375F"/>
    <w:rsid w:val="00F8413A"/>
    <w:rsid w:val="00F84C32"/>
    <w:rsid w:val="00F85378"/>
    <w:rsid w:val="00F85821"/>
    <w:rsid w:val="00F85A84"/>
    <w:rsid w:val="00F85DCF"/>
    <w:rsid w:val="00F85E69"/>
    <w:rsid w:val="00F86893"/>
    <w:rsid w:val="00F87148"/>
    <w:rsid w:val="00F87B8E"/>
    <w:rsid w:val="00F90D7C"/>
    <w:rsid w:val="00F9186B"/>
    <w:rsid w:val="00F92429"/>
    <w:rsid w:val="00F9249A"/>
    <w:rsid w:val="00F92CD2"/>
    <w:rsid w:val="00F92EB8"/>
    <w:rsid w:val="00F935B2"/>
    <w:rsid w:val="00F9362A"/>
    <w:rsid w:val="00F93823"/>
    <w:rsid w:val="00F9409F"/>
    <w:rsid w:val="00F95893"/>
    <w:rsid w:val="00F9678A"/>
    <w:rsid w:val="00FA05E2"/>
    <w:rsid w:val="00FA3174"/>
    <w:rsid w:val="00FA32CF"/>
    <w:rsid w:val="00FA3AAC"/>
    <w:rsid w:val="00FA4E62"/>
    <w:rsid w:val="00FA5F09"/>
    <w:rsid w:val="00FA62C4"/>
    <w:rsid w:val="00FA6538"/>
    <w:rsid w:val="00FA767A"/>
    <w:rsid w:val="00FA7B38"/>
    <w:rsid w:val="00FA7E78"/>
    <w:rsid w:val="00FB0DB3"/>
    <w:rsid w:val="00FB0EC2"/>
    <w:rsid w:val="00FB1007"/>
    <w:rsid w:val="00FB1074"/>
    <w:rsid w:val="00FB1EAF"/>
    <w:rsid w:val="00FB2577"/>
    <w:rsid w:val="00FB259D"/>
    <w:rsid w:val="00FB3BAB"/>
    <w:rsid w:val="00FB408F"/>
    <w:rsid w:val="00FB4548"/>
    <w:rsid w:val="00FB46C8"/>
    <w:rsid w:val="00FB5750"/>
    <w:rsid w:val="00FB57C8"/>
    <w:rsid w:val="00FB58E5"/>
    <w:rsid w:val="00FB5CFD"/>
    <w:rsid w:val="00FB6621"/>
    <w:rsid w:val="00FB6874"/>
    <w:rsid w:val="00FB6C52"/>
    <w:rsid w:val="00FC075C"/>
    <w:rsid w:val="00FC09F2"/>
    <w:rsid w:val="00FC0E5F"/>
    <w:rsid w:val="00FC1992"/>
    <w:rsid w:val="00FC1AC0"/>
    <w:rsid w:val="00FC3949"/>
    <w:rsid w:val="00FC4559"/>
    <w:rsid w:val="00FC489B"/>
    <w:rsid w:val="00FC4BF3"/>
    <w:rsid w:val="00FC4EB9"/>
    <w:rsid w:val="00FC5692"/>
    <w:rsid w:val="00FC56DE"/>
    <w:rsid w:val="00FC58DB"/>
    <w:rsid w:val="00FC5975"/>
    <w:rsid w:val="00FC67B0"/>
    <w:rsid w:val="00FC6C48"/>
    <w:rsid w:val="00FC7229"/>
    <w:rsid w:val="00FD2325"/>
    <w:rsid w:val="00FD293E"/>
    <w:rsid w:val="00FD29E1"/>
    <w:rsid w:val="00FD2BEE"/>
    <w:rsid w:val="00FD32DD"/>
    <w:rsid w:val="00FD3913"/>
    <w:rsid w:val="00FD3DC1"/>
    <w:rsid w:val="00FD40D6"/>
    <w:rsid w:val="00FD44DE"/>
    <w:rsid w:val="00FD460E"/>
    <w:rsid w:val="00FD55E5"/>
    <w:rsid w:val="00FD605D"/>
    <w:rsid w:val="00FD623B"/>
    <w:rsid w:val="00FD63DE"/>
    <w:rsid w:val="00FD69BD"/>
    <w:rsid w:val="00FD6C67"/>
    <w:rsid w:val="00FD6F70"/>
    <w:rsid w:val="00FD7699"/>
    <w:rsid w:val="00FD7D17"/>
    <w:rsid w:val="00FE0416"/>
    <w:rsid w:val="00FE0419"/>
    <w:rsid w:val="00FE1134"/>
    <w:rsid w:val="00FE1BF4"/>
    <w:rsid w:val="00FE2F78"/>
    <w:rsid w:val="00FE328B"/>
    <w:rsid w:val="00FE5513"/>
    <w:rsid w:val="00FE5601"/>
    <w:rsid w:val="00FE5C7A"/>
    <w:rsid w:val="00FE6D31"/>
    <w:rsid w:val="00FF0617"/>
    <w:rsid w:val="00FF084B"/>
    <w:rsid w:val="00FF0AC6"/>
    <w:rsid w:val="00FF2431"/>
    <w:rsid w:val="00FF3978"/>
    <w:rsid w:val="00FF3BF1"/>
    <w:rsid w:val="00FF3F47"/>
    <w:rsid w:val="00FF4035"/>
    <w:rsid w:val="00FF4622"/>
    <w:rsid w:val="00FF4CF3"/>
    <w:rsid w:val="00FF500B"/>
    <w:rsid w:val="00FF6F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78F43B5"/>
  <w15:docId w15:val="{D9DE0143-2C42-430E-A150-9DC0AA59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5D9D"/>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aliases w:val="Text pozn. pod čarou_martin_ang"/>
    <w:basedOn w:val="Normln"/>
    <w:link w:val="TextpoznpodarouChar"/>
    <w:unhideWhenUsed/>
    <w:qFormat/>
    <w:rsid w:val="00ED48F5"/>
    <w:pPr>
      <w:spacing w:line="240" w:lineRule="auto"/>
      <w:jc w:val="both"/>
    </w:pPr>
    <w:rPr>
      <w:szCs w:val="20"/>
    </w:rPr>
  </w:style>
  <w:style w:type="character" w:customStyle="1" w:styleId="TextpoznpodarouChar">
    <w:name w:val="Text pozn. pod čarou Char"/>
    <w:aliases w:val="Text pozn. pod čarou_martin_ang Char"/>
    <w:link w:val="Textpoznpodarou"/>
    <w:qFormat/>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7E1850"/>
  </w:style>
  <w:style w:type="character" w:styleId="Odkaznakoment">
    <w:name w:val="annotation reference"/>
    <w:basedOn w:val="Standardnpsmoodstavce"/>
    <w:uiPriority w:val="99"/>
    <w:semiHidden/>
    <w:unhideWhenUsed/>
    <w:rsid w:val="000B1F4E"/>
    <w:rPr>
      <w:sz w:val="16"/>
      <w:szCs w:val="16"/>
    </w:rPr>
  </w:style>
  <w:style w:type="paragraph" w:styleId="Textkomente">
    <w:name w:val="annotation text"/>
    <w:basedOn w:val="Normln"/>
    <w:link w:val="TextkomenteChar"/>
    <w:uiPriority w:val="99"/>
    <w:semiHidden/>
    <w:unhideWhenUsed/>
    <w:rsid w:val="000B1F4E"/>
    <w:pPr>
      <w:spacing w:line="240" w:lineRule="auto"/>
    </w:pPr>
    <w:rPr>
      <w:szCs w:val="20"/>
    </w:rPr>
  </w:style>
  <w:style w:type="character" w:customStyle="1" w:styleId="TextkomenteChar">
    <w:name w:val="Text komentáře Char"/>
    <w:basedOn w:val="Standardnpsmoodstavce"/>
    <w:link w:val="Textkomente"/>
    <w:uiPriority w:val="99"/>
    <w:semiHidden/>
    <w:rsid w:val="000B1F4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1F4E"/>
    <w:rPr>
      <w:b/>
      <w:bCs/>
    </w:rPr>
  </w:style>
  <w:style w:type="character" w:customStyle="1" w:styleId="PedmtkomenteChar">
    <w:name w:val="Předmět komentáře Char"/>
    <w:basedOn w:val="TextkomenteChar"/>
    <w:link w:val="Pedmtkomente"/>
    <w:uiPriority w:val="99"/>
    <w:semiHidden/>
    <w:rsid w:val="000B1F4E"/>
    <w:rPr>
      <w:rFonts w:ascii="Arial" w:eastAsia="Times New Roman" w:hAnsi="Arial"/>
      <w:b/>
      <w:bCs/>
    </w:rPr>
  </w:style>
  <w:style w:type="paragraph" w:styleId="Normlnweb">
    <w:name w:val="Normal (Web)"/>
    <w:basedOn w:val="Normln"/>
    <w:uiPriority w:val="99"/>
    <w:semiHidden/>
    <w:unhideWhenUsed/>
    <w:rsid w:val="008F0FD2"/>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34DAB"/>
    <w:rPr>
      <w:color w:val="800080" w:themeColor="followedHyperlink"/>
      <w:u w:val="single"/>
    </w:rPr>
  </w:style>
  <w:style w:type="paragraph" w:styleId="Zkladntext2">
    <w:name w:val="Body Text 2"/>
    <w:basedOn w:val="Normln"/>
    <w:link w:val="Zkladntext2Char"/>
    <w:rsid w:val="00953AA1"/>
    <w:pPr>
      <w:spacing w:line="240" w:lineRule="auto"/>
      <w:jc w:val="both"/>
    </w:pPr>
    <w:rPr>
      <w:rFonts w:ascii="Times New Roman" w:hAnsi="Times New Roman"/>
      <w:sz w:val="24"/>
    </w:rPr>
  </w:style>
  <w:style w:type="character" w:customStyle="1" w:styleId="Zkladntext2Char">
    <w:name w:val="Základní text 2 Char"/>
    <w:basedOn w:val="Standardnpsmoodstavce"/>
    <w:link w:val="Zkladntext2"/>
    <w:rsid w:val="00953AA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23793249">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151602033">
      <w:bodyDiv w:val="1"/>
      <w:marLeft w:val="0"/>
      <w:marRight w:val="0"/>
      <w:marTop w:val="0"/>
      <w:marBottom w:val="0"/>
      <w:divBdr>
        <w:top w:val="none" w:sz="0" w:space="0" w:color="auto"/>
        <w:left w:val="none" w:sz="0" w:space="0" w:color="auto"/>
        <w:bottom w:val="none" w:sz="0" w:space="0" w:color="auto"/>
        <w:right w:val="none" w:sz="0" w:space="0" w:color="auto"/>
      </w:divBdr>
    </w:div>
    <w:div w:id="173492758">
      <w:bodyDiv w:val="1"/>
      <w:marLeft w:val="0"/>
      <w:marRight w:val="0"/>
      <w:marTop w:val="0"/>
      <w:marBottom w:val="0"/>
      <w:divBdr>
        <w:top w:val="none" w:sz="0" w:space="0" w:color="auto"/>
        <w:left w:val="none" w:sz="0" w:space="0" w:color="auto"/>
        <w:bottom w:val="none" w:sz="0" w:space="0" w:color="auto"/>
        <w:right w:val="none" w:sz="0" w:space="0" w:color="auto"/>
      </w:divBdr>
    </w:div>
    <w:div w:id="180515983">
      <w:bodyDiv w:val="1"/>
      <w:marLeft w:val="0"/>
      <w:marRight w:val="0"/>
      <w:marTop w:val="0"/>
      <w:marBottom w:val="0"/>
      <w:divBdr>
        <w:top w:val="none" w:sz="0" w:space="0" w:color="auto"/>
        <w:left w:val="none" w:sz="0" w:space="0" w:color="auto"/>
        <w:bottom w:val="none" w:sz="0" w:space="0" w:color="auto"/>
        <w:right w:val="none" w:sz="0" w:space="0" w:color="auto"/>
      </w:divBdr>
    </w:div>
    <w:div w:id="266084662">
      <w:bodyDiv w:val="1"/>
      <w:marLeft w:val="0"/>
      <w:marRight w:val="0"/>
      <w:marTop w:val="0"/>
      <w:marBottom w:val="0"/>
      <w:divBdr>
        <w:top w:val="none" w:sz="0" w:space="0" w:color="auto"/>
        <w:left w:val="none" w:sz="0" w:space="0" w:color="auto"/>
        <w:bottom w:val="none" w:sz="0" w:space="0" w:color="auto"/>
        <w:right w:val="none" w:sz="0" w:space="0" w:color="auto"/>
      </w:divBdr>
    </w:div>
    <w:div w:id="345446908">
      <w:bodyDiv w:val="1"/>
      <w:marLeft w:val="0"/>
      <w:marRight w:val="0"/>
      <w:marTop w:val="0"/>
      <w:marBottom w:val="0"/>
      <w:divBdr>
        <w:top w:val="none" w:sz="0" w:space="0" w:color="auto"/>
        <w:left w:val="none" w:sz="0" w:space="0" w:color="auto"/>
        <w:bottom w:val="none" w:sz="0" w:space="0" w:color="auto"/>
        <w:right w:val="none" w:sz="0" w:space="0" w:color="auto"/>
      </w:divBdr>
    </w:div>
    <w:div w:id="388461544">
      <w:bodyDiv w:val="1"/>
      <w:marLeft w:val="0"/>
      <w:marRight w:val="0"/>
      <w:marTop w:val="0"/>
      <w:marBottom w:val="0"/>
      <w:divBdr>
        <w:top w:val="none" w:sz="0" w:space="0" w:color="auto"/>
        <w:left w:val="none" w:sz="0" w:space="0" w:color="auto"/>
        <w:bottom w:val="none" w:sz="0" w:space="0" w:color="auto"/>
        <w:right w:val="none" w:sz="0" w:space="0" w:color="auto"/>
      </w:divBdr>
    </w:div>
    <w:div w:id="408891177">
      <w:bodyDiv w:val="1"/>
      <w:marLeft w:val="0"/>
      <w:marRight w:val="0"/>
      <w:marTop w:val="0"/>
      <w:marBottom w:val="0"/>
      <w:divBdr>
        <w:top w:val="none" w:sz="0" w:space="0" w:color="auto"/>
        <w:left w:val="none" w:sz="0" w:space="0" w:color="auto"/>
        <w:bottom w:val="none" w:sz="0" w:space="0" w:color="auto"/>
        <w:right w:val="none" w:sz="0" w:space="0" w:color="auto"/>
      </w:divBdr>
    </w:div>
    <w:div w:id="47830380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26068265">
      <w:bodyDiv w:val="1"/>
      <w:marLeft w:val="0"/>
      <w:marRight w:val="0"/>
      <w:marTop w:val="0"/>
      <w:marBottom w:val="0"/>
      <w:divBdr>
        <w:top w:val="none" w:sz="0" w:space="0" w:color="auto"/>
        <w:left w:val="none" w:sz="0" w:space="0" w:color="auto"/>
        <w:bottom w:val="none" w:sz="0" w:space="0" w:color="auto"/>
        <w:right w:val="none" w:sz="0" w:space="0" w:color="auto"/>
      </w:divBdr>
    </w:div>
    <w:div w:id="547842021">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15336240">
      <w:bodyDiv w:val="1"/>
      <w:marLeft w:val="0"/>
      <w:marRight w:val="0"/>
      <w:marTop w:val="0"/>
      <w:marBottom w:val="0"/>
      <w:divBdr>
        <w:top w:val="none" w:sz="0" w:space="0" w:color="auto"/>
        <w:left w:val="none" w:sz="0" w:space="0" w:color="auto"/>
        <w:bottom w:val="none" w:sz="0" w:space="0" w:color="auto"/>
        <w:right w:val="none" w:sz="0" w:space="0" w:color="auto"/>
      </w:divBdr>
    </w:div>
    <w:div w:id="680426242">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7974538">
      <w:bodyDiv w:val="1"/>
      <w:marLeft w:val="0"/>
      <w:marRight w:val="0"/>
      <w:marTop w:val="0"/>
      <w:marBottom w:val="0"/>
      <w:divBdr>
        <w:top w:val="none" w:sz="0" w:space="0" w:color="auto"/>
        <w:left w:val="none" w:sz="0" w:space="0" w:color="auto"/>
        <w:bottom w:val="none" w:sz="0" w:space="0" w:color="auto"/>
        <w:right w:val="none" w:sz="0" w:space="0" w:color="auto"/>
      </w:divBdr>
    </w:div>
    <w:div w:id="789662293">
      <w:bodyDiv w:val="1"/>
      <w:marLeft w:val="0"/>
      <w:marRight w:val="0"/>
      <w:marTop w:val="0"/>
      <w:marBottom w:val="0"/>
      <w:divBdr>
        <w:top w:val="none" w:sz="0" w:space="0" w:color="auto"/>
        <w:left w:val="none" w:sz="0" w:space="0" w:color="auto"/>
        <w:bottom w:val="none" w:sz="0" w:space="0" w:color="auto"/>
        <w:right w:val="none" w:sz="0" w:space="0" w:color="auto"/>
      </w:divBdr>
    </w:div>
    <w:div w:id="804928322">
      <w:bodyDiv w:val="1"/>
      <w:marLeft w:val="0"/>
      <w:marRight w:val="0"/>
      <w:marTop w:val="0"/>
      <w:marBottom w:val="0"/>
      <w:divBdr>
        <w:top w:val="none" w:sz="0" w:space="0" w:color="auto"/>
        <w:left w:val="none" w:sz="0" w:space="0" w:color="auto"/>
        <w:bottom w:val="none" w:sz="0" w:space="0" w:color="auto"/>
        <w:right w:val="none" w:sz="0" w:space="0" w:color="auto"/>
      </w:divBdr>
    </w:div>
    <w:div w:id="805004840">
      <w:bodyDiv w:val="1"/>
      <w:marLeft w:val="0"/>
      <w:marRight w:val="0"/>
      <w:marTop w:val="0"/>
      <w:marBottom w:val="0"/>
      <w:divBdr>
        <w:top w:val="none" w:sz="0" w:space="0" w:color="auto"/>
        <w:left w:val="none" w:sz="0" w:space="0" w:color="auto"/>
        <w:bottom w:val="none" w:sz="0" w:space="0" w:color="auto"/>
        <w:right w:val="none" w:sz="0" w:space="0" w:color="auto"/>
      </w:divBdr>
    </w:div>
    <w:div w:id="836457702">
      <w:bodyDiv w:val="1"/>
      <w:marLeft w:val="0"/>
      <w:marRight w:val="0"/>
      <w:marTop w:val="0"/>
      <w:marBottom w:val="0"/>
      <w:divBdr>
        <w:top w:val="none" w:sz="0" w:space="0" w:color="auto"/>
        <w:left w:val="none" w:sz="0" w:space="0" w:color="auto"/>
        <w:bottom w:val="none" w:sz="0" w:space="0" w:color="auto"/>
        <w:right w:val="none" w:sz="0" w:space="0" w:color="auto"/>
      </w:divBdr>
    </w:div>
    <w:div w:id="851801949">
      <w:bodyDiv w:val="1"/>
      <w:marLeft w:val="0"/>
      <w:marRight w:val="0"/>
      <w:marTop w:val="0"/>
      <w:marBottom w:val="0"/>
      <w:divBdr>
        <w:top w:val="none" w:sz="0" w:space="0" w:color="auto"/>
        <w:left w:val="none" w:sz="0" w:space="0" w:color="auto"/>
        <w:bottom w:val="none" w:sz="0" w:space="0" w:color="auto"/>
        <w:right w:val="none" w:sz="0" w:space="0" w:color="auto"/>
      </w:divBdr>
    </w:div>
    <w:div w:id="948005180">
      <w:bodyDiv w:val="1"/>
      <w:marLeft w:val="0"/>
      <w:marRight w:val="0"/>
      <w:marTop w:val="0"/>
      <w:marBottom w:val="0"/>
      <w:divBdr>
        <w:top w:val="none" w:sz="0" w:space="0" w:color="auto"/>
        <w:left w:val="none" w:sz="0" w:space="0" w:color="auto"/>
        <w:bottom w:val="none" w:sz="0" w:space="0" w:color="auto"/>
        <w:right w:val="none" w:sz="0" w:space="0" w:color="auto"/>
      </w:divBdr>
    </w:div>
    <w:div w:id="1036783050">
      <w:bodyDiv w:val="1"/>
      <w:marLeft w:val="0"/>
      <w:marRight w:val="0"/>
      <w:marTop w:val="0"/>
      <w:marBottom w:val="0"/>
      <w:divBdr>
        <w:top w:val="none" w:sz="0" w:space="0" w:color="auto"/>
        <w:left w:val="none" w:sz="0" w:space="0" w:color="auto"/>
        <w:bottom w:val="none" w:sz="0" w:space="0" w:color="auto"/>
        <w:right w:val="none" w:sz="0" w:space="0" w:color="auto"/>
      </w:divBdr>
    </w:div>
    <w:div w:id="1078554010">
      <w:bodyDiv w:val="1"/>
      <w:marLeft w:val="0"/>
      <w:marRight w:val="0"/>
      <w:marTop w:val="0"/>
      <w:marBottom w:val="0"/>
      <w:divBdr>
        <w:top w:val="none" w:sz="0" w:space="0" w:color="auto"/>
        <w:left w:val="none" w:sz="0" w:space="0" w:color="auto"/>
        <w:bottom w:val="none" w:sz="0" w:space="0" w:color="auto"/>
        <w:right w:val="none" w:sz="0" w:space="0" w:color="auto"/>
      </w:divBdr>
    </w:div>
    <w:div w:id="1130397507">
      <w:bodyDiv w:val="1"/>
      <w:marLeft w:val="0"/>
      <w:marRight w:val="0"/>
      <w:marTop w:val="0"/>
      <w:marBottom w:val="0"/>
      <w:divBdr>
        <w:top w:val="none" w:sz="0" w:space="0" w:color="auto"/>
        <w:left w:val="none" w:sz="0" w:space="0" w:color="auto"/>
        <w:bottom w:val="none" w:sz="0" w:space="0" w:color="auto"/>
        <w:right w:val="none" w:sz="0" w:space="0" w:color="auto"/>
      </w:divBdr>
    </w:div>
    <w:div w:id="1161845320">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39247130">
      <w:bodyDiv w:val="1"/>
      <w:marLeft w:val="0"/>
      <w:marRight w:val="0"/>
      <w:marTop w:val="0"/>
      <w:marBottom w:val="0"/>
      <w:divBdr>
        <w:top w:val="none" w:sz="0" w:space="0" w:color="auto"/>
        <w:left w:val="none" w:sz="0" w:space="0" w:color="auto"/>
        <w:bottom w:val="none" w:sz="0" w:space="0" w:color="auto"/>
        <w:right w:val="none" w:sz="0" w:space="0" w:color="auto"/>
      </w:divBdr>
    </w:div>
    <w:div w:id="1290823002">
      <w:bodyDiv w:val="1"/>
      <w:marLeft w:val="0"/>
      <w:marRight w:val="0"/>
      <w:marTop w:val="0"/>
      <w:marBottom w:val="0"/>
      <w:divBdr>
        <w:top w:val="none" w:sz="0" w:space="0" w:color="auto"/>
        <w:left w:val="none" w:sz="0" w:space="0" w:color="auto"/>
        <w:bottom w:val="none" w:sz="0" w:space="0" w:color="auto"/>
        <w:right w:val="none" w:sz="0" w:space="0" w:color="auto"/>
      </w:divBdr>
    </w:div>
    <w:div w:id="1307708523">
      <w:bodyDiv w:val="1"/>
      <w:marLeft w:val="0"/>
      <w:marRight w:val="0"/>
      <w:marTop w:val="0"/>
      <w:marBottom w:val="0"/>
      <w:divBdr>
        <w:top w:val="none" w:sz="0" w:space="0" w:color="auto"/>
        <w:left w:val="none" w:sz="0" w:space="0" w:color="auto"/>
        <w:bottom w:val="none" w:sz="0" w:space="0" w:color="auto"/>
        <w:right w:val="none" w:sz="0" w:space="0" w:color="auto"/>
      </w:divBdr>
    </w:div>
    <w:div w:id="1309437458">
      <w:bodyDiv w:val="1"/>
      <w:marLeft w:val="0"/>
      <w:marRight w:val="0"/>
      <w:marTop w:val="0"/>
      <w:marBottom w:val="0"/>
      <w:divBdr>
        <w:top w:val="none" w:sz="0" w:space="0" w:color="auto"/>
        <w:left w:val="none" w:sz="0" w:space="0" w:color="auto"/>
        <w:bottom w:val="none" w:sz="0" w:space="0" w:color="auto"/>
        <w:right w:val="none" w:sz="0" w:space="0" w:color="auto"/>
      </w:divBdr>
    </w:div>
    <w:div w:id="1368722812">
      <w:bodyDiv w:val="1"/>
      <w:marLeft w:val="0"/>
      <w:marRight w:val="0"/>
      <w:marTop w:val="0"/>
      <w:marBottom w:val="0"/>
      <w:divBdr>
        <w:top w:val="none" w:sz="0" w:space="0" w:color="auto"/>
        <w:left w:val="none" w:sz="0" w:space="0" w:color="auto"/>
        <w:bottom w:val="none" w:sz="0" w:space="0" w:color="auto"/>
        <w:right w:val="none" w:sz="0" w:space="0" w:color="auto"/>
      </w:divBdr>
    </w:div>
    <w:div w:id="1383627858">
      <w:bodyDiv w:val="1"/>
      <w:marLeft w:val="0"/>
      <w:marRight w:val="0"/>
      <w:marTop w:val="0"/>
      <w:marBottom w:val="0"/>
      <w:divBdr>
        <w:top w:val="none" w:sz="0" w:space="0" w:color="auto"/>
        <w:left w:val="none" w:sz="0" w:space="0" w:color="auto"/>
        <w:bottom w:val="none" w:sz="0" w:space="0" w:color="auto"/>
        <w:right w:val="none" w:sz="0" w:space="0" w:color="auto"/>
      </w:divBdr>
    </w:div>
    <w:div w:id="138533104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2251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007885">
      <w:bodyDiv w:val="1"/>
      <w:marLeft w:val="0"/>
      <w:marRight w:val="0"/>
      <w:marTop w:val="0"/>
      <w:marBottom w:val="0"/>
      <w:divBdr>
        <w:top w:val="none" w:sz="0" w:space="0" w:color="auto"/>
        <w:left w:val="none" w:sz="0" w:space="0" w:color="auto"/>
        <w:bottom w:val="none" w:sz="0" w:space="0" w:color="auto"/>
        <w:right w:val="none" w:sz="0" w:space="0" w:color="auto"/>
      </w:divBdr>
    </w:div>
    <w:div w:id="1715612790">
      <w:bodyDiv w:val="1"/>
      <w:marLeft w:val="0"/>
      <w:marRight w:val="0"/>
      <w:marTop w:val="0"/>
      <w:marBottom w:val="0"/>
      <w:divBdr>
        <w:top w:val="none" w:sz="0" w:space="0" w:color="auto"/>
        <w:left w:val="none" w:sz="0" w:space="0" w:color="auto"/>
        <w:bottom w:val="none" w:sz="0" w:space="0" w:color="auto"/>
        <w:right w:val="none" w:sz="0" w:space="0" w:color="auto"/>
      </w:divBdr>
    </w:div>
    <w:div w:id="1718897665">
      <w:bodyDiv w:val="1"/>
      <w:marLeft w:val="0"/>
      <w:marRight w:val="0"/>
      <w:marTop w:val="0"/>
      <w:marBottom w:val="0"/>
      <w:divBdr>
        <w:top w:val="none" w:sz="0" w:space="0" w:color="auto"/>
        <w:left w:val="none" w:sz="0" w:space="0" w:color="auto"/>
        <w:bottom w:val="none" w:sz="0" w:space="0" w:color="auto"/>
        <w:right w:val="none" w:sz="0" w:space="0" w:color="auto"/>
      </w:divBdr>
    </w:div>
    <w:div w:id="1719814834">
      <w:bodyDiv w:val="1"/>
      <w:marLeft w:val="0"/>
      <w:marRight w:val="0"/>
      <w:marTop w:val="0"/>
      <w:marBottom w:val="0"/>
      <w:divBdr>
        <w:top w:val="none" w:sz="0" w:space="0" w:color="auto"/>
        <w:left w:val="none" w:sz="0" w:space="0" w:color="auto"/>
        <w:bottom w:val="none" w:sz="0" w:space="0" w:color="auto"/>
        <w:right w:val="none" w:sz="0" w:space="0" w:color="auto"/>
      </w:divBdr>
    </w:div>
    <w:div w:id="1753618958">
      <w:bodyDiv w:val="1"/>
      <w:marLeft w:val="0"/>
      <w:marRight w:val="0"/>
      <w:marTop w:val="0"/>
      <w:marBottom w:val="0"/>
      <w:divBdr>
        <w:top w:val="none" w:sz="0" w:space="0" w:color="auto"/>
        <w:left w:val="none" w:sz="0" w:space="0" w:color="auto"/>
        <w:bottom w:val="none" w:sz="0" w:space="0" w:color="auto"/>
        <w:right w:val="none" w:sz="0" w:space="0" w:color="auto"/>
      </w:divBdr>
    </w:div>
    <w:div w:id="1754817308">
      <w:bodyDiv w:val="1"/>
      <w:marLeft w:val="0"/>
      <w:marRight w:val="0"/>
      <w:marTop w:val="0"/>
      <w:marBottom w:val="0"/>
      <w:divBdr>
        <w:top w:val="none" w:sz="0" w:space="0" w:color="auto"/>
        <w:left w:val="none" w:sz="0" w:space="0" w:color="auto"/>
        <w:bottom w:val="none" w:sz="0" w:space="0" w:color="auto"/>
        <w:right w:val="none" w:sz="0" w:space="0" w:color="auto"/>
      </w:divBdr>
    </w:div>
    <w:div w:id="1774937289">
      <w:bodyDiv w:val="1"/>
      <w:marLeft w:val="0"/>
      <w:marRight w:val="0"/>
      <w:marTop w:val="0"/>
      <w:marBottom w:val="0"/>
      <w:divBdr>
        <w:top w:val="none" w:sz="0" w:space="0" w:color="auto"/>
        <w:left w:val="none" w:sz="0" w:space="0" w:color="auto"/>
        <w:bottom w:val="none" w:sz="0" w:space="0" w:color="auto"/>
        <w:right w:val="none" w:sz="0" w:space="0" w:color="auto"/>
      </w:divBdr>
    </w:div>
    <w:div w:id="1781874047">
      <w:bodyDiv w:val="1"/>
      <w:marLeft w:val="0"/>
      <w:marRight w:val="0"/>
      <w:marTop w:val="0"/>
      <w:marBottom w:val="0"/>
      <w:divBdr>
        <w:top w:val="none" w:sz="0" w:space="0" w:color="auto"/>
        <w:left w:val="none" w:sz="0" w:space="0" w:color="auto"/>
        <w:bottom w:val="none" w:sz="0" w:space="0" w:color="auto"/>
        <w:right w:val="none" w:sz="0" w:space="0" w:color="auto"/>
      </w:divBdr>
    </w:div>
    <w:div w:id="1790657884">
      <w:bodyDiv w:val="1"/>
      <w:marLeft w:val="0"/>
      <w:marRight w:val="0"/>
      <w:marTop w:val="0"/>
      <w:marBottom w:val="0"/>
      <w:divBdr>
        <w:top w:val="none" w:sz="0" w:space="0" w:color="auto"/>
        <w:left w:val="none" w:sz="0" w:space="0" w:color="auto"/>
        <w:bottom w:val="none" w:sz="0" w:space="0" w:color="auto"/>
        <w:right w:val="none" w:sz="0" w:space="0" w:color="auto"/>
      </w:divBdr>
    </w:div>
    <w:div w:id="1820687007">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352319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2190396">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46241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header" Target="header1.xml"/><Relationship Id="rId8" Type="http://schemas.openxmlformats.org/officeDocument/2006/relationships/chart" Target="charts/chart1.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neprima-verejna-podpora-vyzkumu-a-vyvo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chartUserShapes" Target="../drawings/drawing1.xml"/></Relationships>
</file>

<file path=word/charts/_rels/chart27.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40.xml"/><Relationship Id="rId1" Type="http://schemas.microsoft.com/office/2011/relationships/chartStyle" Target="style40.xml"/></Relationships>
</file>

<file path=word/charts/_rels/chart5.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sojka7725\Documents\_PRACOVNI\04_Publikace\02_INOVACE\Inovace_2020\2_TEXTY\ANAL&#221;ZA\213003-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'G7'!$B$3</c:f>
              <c:strCache>
                <c:ptCount val="1"/>
                <c:pt idx="0">
                  <c:v>2016–2018</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'G7'!$A$4:$A$9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'G7'!$B$4:$B$9</c:f>
              <c:numCache>
                <c:formatCode>0.0%</c:formatCode>
                <c:ptCount val="6"/>
                <c:pt idx="0">
                  <c:v>0.46809582114689235</c:v>
                </c:pt>
                <c:pt idx="1">
                  <c:v>0.41235028681039487</c:v>
                </c:pt>
                <c:pt idx="2">
                  <c:v>0.59817877955262266</c:v>
                </c:pt>
                <c:pt idx="3">
                  <c:v>0.73640176665761403</c:v>
                </c:pt>
                <c:pt idx="4">
                  <c:v>0.43621866934037334</c:v>
                </c:pt>
                <c:pt idx="5">
                  <c:v>0.58126078222174415</c:v>
                </c:pt>
              </c:numCache>
            </c:numRef>
          </c:val>
          <c:extLst>
            <c:ext xmlns:c16="http://schemas.microsoft.com/office/drawing/2014/chart" uri="{C3380CC4-5D6E-409C-BE32-E72D297353CC}">
              <c16:uniqueId val="{00000000-6B28-4168-ACB3-BCC8D88F6D51}"/>
            </c:ext>
          </c:extLst>
        </c:ser>
        <c:ser>
          <c:idx val="1"/>
          <c:order val="1"/>
          <c:tx>
            <c:strRef>
              <c:f>'G7'!$C$3</c:f>
              <c:strCache>
                <c:ptCount val="1"/>
                <c:pt idx="0">
                  <c:v>2018–2020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'G7'!$A$4:$A$9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'G7'!$C$4:$C$9</c:f>
              <c:numCache>
                <c:formatCode>0.0%</c:formatCode>
                <c:ptCount val="6"/>
                <c:pt idx="0">
                  <c:v>0.56921713704374399</c:v>
                </c:pt>
                <c:pt idx="1">
                  <c:v>0.52406890596959899</c:v>
                </c:pt>
                <c:pt idx="2">
                  <c:v>0.66586964112777502</c:v>
                </c:pt>
                <c:pt idx="3">
                  <c:v>0.83285803950067805</c:v>
                </c:pt>
                <c:pt idx="4">
                  <c:v>0.54284895985208403</c:v>
                </c:pt>
                <c:pt idx="5">
                  <c:v>0.68580026960615603</c:v>
                </c:pt>
              </c:numCache>
            </c:numRef>
          </c:val>
          <c:extLst>
            <c:ext xmlns:c16="http://schemas.microsoft.com/office/drawing/2014/chart" uri="{C3380CC4-5D6E-409C-BE32-E72D297353CC}">
              <c16:uniqueId val="{00000001-6B28-4168-ACB3-BCC8D88F6D51}"/>
            </c:ext>
          </c:extLst>
        </c:ser>
        <c:dLbls>
          <c:showLegendKey val="0"/>
          <c:showVal val="0"/>
          <c:showCatName val="0"/>
          <c:showSerName val="0"/>
          <c:showPercent val="0"/>
          <c:showBubbleSize val="0"/>
        </c:dLbls>
        <c:gapWidth val="20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1"/>
        <c:axPos val="l"/>
        <c:numFmt formatCode="0%" sourceLinked="0"/>
        <c:majorTickMark val="out"/>
        <c:minorTickMark val="none"/>
        <c:tickLblPos val="nextTo"/>
        <c:crossAx val="1179695728"/>
        <c:crosses val="autoZero"/>
        <c:crossBetween val="between"/>
        <c:majorUnit val="0.2"/>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'G16'!$B$3</c:f>
              <c:strCache>
                <c:ptCount val="1"/>
                <c:pt idx="0">
                  <c:v>Inovace výrobku</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'G16'!$A$4:$A$9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'G16'!$B$4:$B$9</c:f>
              <c:numCache>
                <c:formatCode>0.0%</c:formatCode>
                <c:ptCount val="6"/>
                <c:pt idx="0">
                  <c:v>0.27671986277185101</c:v>
                </c:pt>
                <c:pt idx="1">
                  <c:v>0.23940821380608099</c:v>
                </c:pt>
                <c:pt idx="2">
                  <c:v>0.35381451739964997</c:v>
                </c:pt>
                <c:pt idx="3">
                  <c:v>0.50537625167009403</c:v>
                </c:pt>
                <c:pt idx="4">
                  <c:v>0.25512852740326503</c:v>
                </c:pt>
                <c:pt idx="5">
                  <c:v>0.372182870896337</c:v>
                </c:pt>
              </c:numCache>
            </c:numRef>
          </c:val>
          <c:extLst>
            <c:ext xmlns:c16="http://schemas.microsoft.com/office/drawing/2014/chart" uri="{C3380CC4-5D6E-409C-BE32-E72D297353CC}">
              <c16:uniqueId val="{00000000-A66E-4161-8F94-680B72EF9C6D}"/>
            </c:ext>
          </c:extLst>
        </c:ser>
        <c:ser>
          <c:idx val="1"/>
          <c:order val="1"/>
          <c:tx>
            <c:strRef>
              <c:f>'G16'!$C$3</c:f>
              <c:strCache>
                <c:ptCount val="1"/>
                <c:pt idx="0">
                  <c:v>Inovace služby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'G16'!$A$4:$A$9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'G16'!$C$4:$C$9</c:f>
              <c:numCache>
                <c:formatCode>0.0%</c:formatCode>
                <c:ptCount val="6"/>
                <c:pt idx="0">
                  <c:v>0.19586450191828</c:v>
                </c:pt>
                <c:pt idx="1">
                  <c:v>0.18545748407999199</c:v>
                </c:pt>
                <c:pt idx="2">
                  <c:v>0.213639732913363</c:v>
                </c:pt>
                <c:pt idx="3">
                  <c:v>0.27408645501308998</c:v>
                </c:pt>
                <c:pt idx="4">
                  <c:v>0.192695617682518</c:v>
                </c:pt>
                <c:pt idx="5">
                  <c:v>0.20987527134870201</c:v>
                </c:pt>
              </c:numCache>
            </c:numRef>
          </c:val>
          <c:extLst>
            <c:ext xmlns:c16="http://schemas.microsoft.com/office/drawing/2014/chart" uri="{C3380CC4-5D6E-409C-BE32-E72D297353CC}">
              <c16:uniqueId val="{00000001-A66E-4161-8F94-680B72EF9C6D}"/>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1"/>
        <c:axPos val="l"/>
        <c:numFmt formatCode="0%" sourceLinked="0"/>
        <c:majorTickMark val="out"/>
        <c:minorTickMark val="none"/>
        <c:tickLblPos val="nextTo"/>
        <c:crossAx val="1179695728"/>
        <c:crosses val="autoZero"/>
        <c:crossBetween val="between"/>
        <c:majorUnit val="0.1"/>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'G17'!$B$4</c:f>
              <c:strCache>
                <c:ptCount val="1"/>
                <c:pt idx="0">
                  <c:v>Inovace výrobku</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'G17'!$A$5:$A$10</c:f>
              <c:strCache>
                <c:ptCount val="6"/>
                <c:pt idx="0">
                  <c:v>PRŮMYSL</c:v>
                </c:pt>
                <c:pt idx="1">
                  <c:v>Zpracovatelský průmysl</c:v>
                </c:pt>
                <c:pt idx="2">
                  <c:v>SLUŽBY</c:v>
                </c:pt>
                <c:pt idx="3">
                  <c:v>Informační a komunikační činnosti</c:v>
                </c:pt>
                <c:pt idx="4">
                  <c:v>Peněžnictví a pojišťovnictví</c:v>
                </c:pt>
                <c:pt idx="5">
                  <c:v>Vědecké a technické činnosti</c:v>
                </c:pt>
              </c:strCache>
            </c:strRef>
          </c:cat>
          <c:val>
            <c:numRef>
              <c:f>'G17'!$B$5:$B$10</c:f>
              <c:numCache>
                <c:formatCode>0.0%</c:formatCode>
                <c:ptCount val="6"/>
                <c:pt idx="0">
                  <c:v>0.34787508148747559</c:v>
                </c:pt>
                <c:pt idx="1">
                  <c:v>0.37059026658900102</c:v>
                </c:pt>
                <c:pt idx="2">
                  <c:v>0.19536777620156004</c:v>
                </c:pt>
                <c:pt idx="3">
                  <c:v>0.33774900614304199</c:v>
                </c:pt>
                <c:pt idx="4">
                  <c:v>0.105357226990603</c:v>
                </c:pt>
                <c:pt idx="5">
                  <c:v>0.193129227451135</c:v>
                </c:pt>
              </c:numCache>
            </c:numRef>
          </c:val>
          <c:extLst>
            <c:ext xmlns:c16="http://schemas.microsoft.com/office/drawing/2014/chart" uri="{C3380CC4-5D6E-409C-BE32-E72D297353CC}">
              <c16:uniqueId val="{00000000-3DF6-4BFD-BCA0-C904AAD939B3}"/>
            </c:ext>
          </c:extLst>
        </c:ser>
        <c:ser>
          <c:idx val="1"/>
          <c:order val="1"/>
          <c:tx>
            <c:strRef>
              <c:f>'G17'!$C$4</c:f>
              <c:strCache>
                <c:ptCount val="1"/>
                <c:pt idx="0">
                  <c:v>Inovace služby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'G17'!$A$5:$A$10</c:f>
              <c:strCache>
                <c:ptCount val="6"/>
                <c:pt idx="0">
                  <c:v>PRŮMYSL</c:v>
                </c:pt>
                <c:pt idx="1">
                  <c:v>Zpracovatelský průmysl</c:v>
                </c:pt>
                <c:pt idx="2">
                  <c:v>SLUŽBY</c:v>
                </c:pt>
                <c:pt idx="3">
                  <c:v>Informační a komunikační činnosti</c:v>
                </c:pt>
                <c:pt idx="4">
                  <c:v>Peněžnictví a pojišťovnictví</c:v>
                </c:pt>
                <c:pt idx="5">
                  <c:v>Vědecké a technické činnosti</c:v>
                </c:pt>
              </c:strCache>
            </c:strRef>
          </c:cat>
          <c:val>
            <c:numRef>
              <c:f>'G17'!$C$5:$C$10</c:f>
              <c:numCache>
                <c:formatCode>0.0%</c:formatCode>
                <c:ptCount val="6"/>
                <c:pt idx="0">
                  <c:v>0.1510528257967417</c:v>
                </c:pt>
                <c:pt idx="1">
                  <c:v>0.15234959317077901</c:v>
                </c:pt>
                <c:pt idx="2">
                  <c:v>0.24709789591245332</c:v>
                </c:pt>
                <c:pt idx="3">
                  <c:v>0.501897628129372</c:v>
                </c:pt>
                <c:pt idx="4">
                  <c:v>0.38672620781912398</c:v>
                </c:pt>
                <c:pt idx="5">
                  <c:v>0.29999707381227703</c:v>
                </c:pt>
              </c:numCache>
            </c:numRef>
          </c:val>
          <c:extLst>
            <c:ext xmlns:c16="http://schemas.microsoft.com/office/drawing/2014/chart" uri="{C3380CC4-5D6E-409C-BE32-E72D297353CC}">
              <c16:uniqueId val="{00000001-3DF6-4BFD-BCA0-C904AAD939B3}"/>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1"/>
        <c:axPos val="l"/>
        <c:numFmt formatCode="0%" sourceLinked="0"/>
        <c:majorTickMark val="out"/>
        <c:minorTickMark val="none"/>
        <c:tickLblPos val="nextTo"/>
        <c:crossAx val="1179695728"/>
        <c:crosses val="autoZero"/>
        <c:crossBetween val="between"/>
        <c:majorUnit val="0.1"/>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'G18'!$B$19</c:f>
              <c:strCache>
                <c:ptCount val="1"/>
                <c:pt idx="0">
                  <c:v>Inovace služby</c:v>
                </c:pt>
              </c:strCache>
            </c:strRef>
          </c:tx>
          <c:spPr>
            <a:solidFill>
              <a:schemeClr val="accent6"/>
            </a:solidFill>
            <a:ln>
              <a:noFill/>
            </a:ln>
            <a:effectLst/>
          </c:spPr>
          <c:invertIfNegative val="0"/>
          <c:cat>
            <c:strRef>
              <c:f>'G18'!$A$20:$A$33</c:f>
              <c:strCache>
                <c:ptCount val="14"/>
                <c:pt idx="0">
                  <c:v>Dřevozpracující a papírenský průmysl /16–18/</c:v>
                </c:pt>
                <c:pt idx="1">
                  <c:v>Výroba kovů, hutních a kovodělných výrobků /24–25/ </c:v>
                </c:pt>
                <c:pt idx="2">
                  <c:v>Ostatní odvětví zpracovatelského průmyslu /31–33/</c:v>
                </c:pt>
                <c:pt idx="3">
                  <c:v>Gumárenský a plastový průmysl /22/</c:v>
                </c:pt>
                <c:pt idx="4">
                  <c:v>Textilní, oděvní, kožedělný a obuvnický průmysl /13–15/</c:v>
                </c:pt>
                <c:pt idx="5">
                  <c:v>Průmysl skla, keramiky, porcelánu a staveb. hmot /23/</c:v>
                </c:pt>
                <c:pt idx="6">
                  <c:v>Automobilový průmysl /29/</c:v>
                </c:pt>
                <c:pt idx="7">
                  <c:v>Elektrotechnický průmysl /27/</c:v>
                </c:pt>
                <c:pt idx="8">
                  <c:v>Strojírenský průmysl /28/</c:v>
                </c:pt>
                <c:pt idx="9">
                  <c:v>Potravinářský, nápojový a tabákový průmysl /10–12/</c:v>
                </c:pt>
                <c:pt idx="10">
                  <c:v>Farmaceutický průmysl /21/</c:v>
                </c:pt>
                <c:pt idx="11">
                  <c:v>Výroba ostatních dopravních prostředků a zařízení /30/</c:v>
                </c:pt>
                <c:pt idx="12">
                  <c:v>Elektronický průmysl /26/</c:v>
                </c:pt>
                <c:pt idx="13">
                  <c:v>Petrochemický a chemický průmysl /19-20/</c:v>
                </c:pt>
              </c:strCache>
            </c:strRef>
          </c:cat>
          <c:val>
            <c:numRef>
              <c:f>'G18'!$B$20:$B$33</c:f>
              <c:numCache>
                <c:formatCode>0%</c:formatCode>
                <c:ptCount val="14"/>
                <c:pt idx="0">
                  <c:v>0.166722782127841</c:v>
                </c:pt>
                <c:pt idx="1">
                  <c:v>0.13262553486488399</c:v>
                </c:pt>
                <c:pt idx="2">
                  <c:v>0.19248360073453799</c:v>
                </c:pt>
                <c:pt idx="3">
                  <c:v>0.14045095396748999</c:v>
                </c:pt>
                <c:pt idx="4">
                  <c:v>0.120726025828998</c:v>
                </c:pt>
                <c:pt idx="5">
                  <c:v>0.14797862905053899</c:v>
                </c:pt>
                <c:pt idx="6">
                  <c:v>7.8482282989759303E-2</c:v>
                </c:pt>
                <c:pt idx="7">
                  <c:v>0.18978616240239701</c:v>
                </c:pt>
                <c:pt idx="8">
                  <c:v>0.10822717062022701</c:v>
                </c:pt>
                <c:pt idx="9">
                  <c:v>0.173495149092985</c:v>
                </c:pt>
                <c:pt idx="10">
                  <c:v>0.13766081952006701</c:v>
                </c:pt>
                <c:pt idx="11">
                  <c:v>0.185151913141157</c:v>
                </c:pt>
                <c:pt idx="12">
                  <c:v>0.24867307804550601</c:v>
                </c:pt>
                <c:pt idx="13">
                  <c:v>0.18861027855788701</c:v>
                </c:pt>
              </c:numCache>
            </c:numRef>
          </c:val>
          <c:extLst>
            <c:ext xmlns:c16="http://schemas.microsoft.com/office/drawing/2014/chart" uri="{C3380CC4-5D6E-409C-BE32-E72D297353CC}">
              <c16:uniqueId val="{00000000-0E9D-40C1-8062-53CB2DEE4DCF}"/>
            </c:ext>
          </c:extLst>
        </c:ser>
        <c:ser>
          <c:idx val="1"/>
          <c:order val="1"/>
          <c:tx>
            <c:strRef>
              <c:f>'G18'!$C$19</c:f>
              <c:strCache>
                <c:ptCount val="1"/>
                <c:pt idx="0">
                  <c:v>Inovace výrobku</c:v>
                </c:pt>
              </c:strCache>
            </c:strRef>
          </c:tx>
          <c:spPr>
            <a:solidFill>
              <a:schemeClr val="accent5"/>
            </a:solidFill>
            <a:ln>
              <a:noFill/>
            </a:ln>
            <a:effectLst/>
          </c:spPr>
          <c:invertIfNegative val="0"/>
          <c:cat>
            <c:strRef>
              <c:f>'G18'!$A$20:$A$33</c:f>
              <c:strCache>
                <c:ptCount val="14"/>
                <c:pt idx="0">
                  <c:v>Dřevozpracující a papírenský průmysl /16–18/</c:v>
                </c:pt>
                <c:pt idx="1">
                  <c:v>Výroba kovů, hutních a kovodělných výrobků /24–25/ </c:v>
                </c:pt>
                <c:pt idx="2">
                  <c:v>Ostatní odvětví zpracovatelského průmyslu /31–33/</c:v>
                </c:pt>
                <c:pt idx="3">
                  <c:v>Gumárenský a plastový průmysl /22/</c:v>
                </c:pt>
                <c:pt idx="4">
                  <c:v>Textilní, oděvní, kožedělný a obuvnický průmysl /13–15/</c:v>
                </c:pt>
                <c:pt idx="5">
                  <c:v>Průmysl skla, keramiky, porcelánu a staveb. hmot /23/</c:v>
                </c:pt>
                <c:pt idx="6">
                  <c:v>Automobilový průmysl /29/</c:v>
                </c:pt>
                <c:pt idx="7">
                  <c:v>Elektrotechnický průmysl /27/</c:v>
                </c:pt>
                <c:pt idx="8">
                  <c:v>Strojírenský průmysl /28/</c:v>
                </c:pt>
                <c:pt idx="9">
                  <c:v>Potravinářský, nápojový a tabákový průmysl /10–12/</c:v>
                </c:pt>
                <c:pt idx="10">
                  <c:v>Farmaceutický průmysl /21/</c:v>
                </c:pt>
                <c:pt idx="11">
                  <c:v>Výroba ostatních dopravních prostředků a zařízení /30/</c:v>
                </c:pt>
                <c:pt idx="12">
                  <c:v>Elektronický průmysl /26/</c:v>
                </c:pt>
                <c:pt idx="13">
                  <c:v>Petrochemický a chemický průmysl /19-20/</c:v>
                </c:pt>
              </c:strCache>
            </c:strRef>
          </c:cat>
          <c:val>
            <c:numRef>
              <c:f>'G18'!$C$20:$C$33</c:f>
              <c:numCache>
                <c:formatCode>0%</c:formatCode>
                <c:ptCount val="14"/>
                <c:pt idx="0">
                  <c:v>0.256865267223789</c:v>
                </c:pt>
                <c:pt idx="1">
                  <c:v>0.26107869306527998</c:v>
                </c:pt>
                <c:pt idx="2">
                  <c:v>0.29410629309490899</c:v>
                </c:pt>
                <c:pt idx="3">
                  <c:v>0.363870636731221</c:v>
                </c:pt>
                <c:pt idx="4">
                  <c:v>0.39861088645879</c:v>
                </c:pt>
                <c:pt idx="5">
                  <c:v>0.40504492378437401</c:v>
                </c:pt>
                <c:pt idx="6">
                  <c:v>0.42818351953571598</c:v>
                </c:pt>
                <c:pt idx="7">
                  <c:v>0.42868238348966298</c:v>
                </c:pt>
                <c:pt idx="8">
                  <c:v>0.47884701776248501</c:v>
                </c:pt>
                <c:pt idx="9">
                  <c:v>0.48575288641674402</c:v>
                </c:pt>
                <c:pt idx="10">
                  <c:v>0.52697078265787101</c:v>
                </c:pt>
                <c:pt idx="11">
                  <c:v>0.54331397312834195</c:v>
                </c:pt>
                <c:pt idx="12">
                  <c:v>0.59836124378641797</c:v>
                </c:pt>
                <c:pt idx="13">
                  <c:v>0.61971971145147497</c:v>
                </c:pt>
              </c:numCache>
            </c:numRef>
          </c:val>
          <c:extLst>
            <c:ext xmlns:c16="http://schemas.microsoft.com/office/drawing/2014/chart" uri="{C3380CC4-5D6E-409C-BE32-E72D297353CC}">
              <c16:uniqueId val="{00000001-0E9D-40C1-8062-53CB2DEE4DCF}"/>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0"/>
        <c:axPos val="b"/>
        <c:majorGridlines>
          <c:spPr>
            <a:ln w="9525" cap="flat" cmpd="sng" algn="ctr">
              <a:solidFill>
                <a:schemeClr val="bg1">
                  <a:lumMod val="75000"/>
                </a:schemeClr>
              </a:solidFill>
              <a:prstDash val="solid"/>
              <a:round/>
            </a:ln>
            <a:effectLst/>
          </c:spPr>
        </c:majorGridlines>
        <c:numFmt formatCode="0%"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695728"/>
        <c:crosses val="autoZero"/>
        <c:crossBetween val="between"/>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'G19'!$B$3</c:f>
              <c:strCache>
                <c:ptCount val="1"/>
                <c:pt idx="0">
                  <c:v> Ve vlastní režii</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'G19'!$A$4:$A$9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'G19'!$B$4:$B$9</c:f>
              <c:numCache>
                <c:formatCode>0.0%</c:formatCode>
                <c:ptCount val="6"/>
                <c:pt idx="0">
                  <c:v>0.70551163628355495</c:v>
                </c:pt>
                <c:pt idx="1">
                  <c:v>0.74522391539149302</c:v>
                </c:pt>
                <c:pt idx="2">
                  <c:v>0.64044943562888701</c:v>
                </c:pt>
                <c:pt idx="3">
                  <c:v>0.59239636004879803</c:v>
                </c:pt>
                <c:pt idx="4">
                  <c:v>0.79320591243926797</c:v>
                </c:pt>
                <c:pt idx="5">
                  <c:v>0.420825034880635</c:v>
                </c:pt>
              </c:numCache>
            </c:numRef>
          </c:val>
          <c:extLst>
            <c:ext xmlns:c16="http://schemas.microsoft.com/office/drawing/2014/chart" uri="{C3380CC4-5D6E-409C-BE32-E72D297353CC}">
              <c16:uniqueId val="{00000000-6199-4E48-8DFD-8D97174EBA07}"/>
            </c:ext>
          </c:extLst>
        </c:ser>
        <c:ser>
          <c:idx val="1"/>
          <c:order val="1"/>
          <c:tx>
            <c:strRef>
              <c:f>'G19'!$C$3</c:f>
              <c:strCache>
                <c:ptCount val="1"/>
                <c:pt idx="0">
                  <c:v> Ve spolupráci v rámci podnikové skupiny</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'G19'!$A$4:$A$9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'G19'!$C$4:$C$9</c:f>
              <c:numCache>
                <c:formatCode>0.0%</c:formatCode>
                <c:ptCount val="6"/>
                <c:pt idx="0">
                  <c:v>0.23261245321968499</c:v>
                </c:pt>
                <c:pt idx="1">
                  <c:v>0.14660212390409699</c:v>
                </c:pt>
                <c:pt idx="2">
                  <c:v>0.33333315011008702</c:v>
                </c:pt>
                <c:pt idx="3">
                  <c:v>0.59149453642592498</c:v>
                </c:pt>
                <c:pt idx="4">
                  <c:v>9.6246662784977399E-2</c:v>
                </c:pt>
                <c:pt idx="5">
                  <c:v>0.67530398484880705</c:v>
                </c:pt>
              </c:numCache>
            </c:numRef>
          </c:val>
          <c:extLst>
            <c:ext xmlns:c16="http://schemas.microsoft.com/office/drawing/2014/chart" uri="{C3380CC4-5D6E-409C-BE32-E72D297353CC}">
              <c16:uniqueId val="{00000001-6199-4E48-8DFD-8D97174EBA07}"/>
            </c:ext>
          </c:extLst>
        </c:ser>
        <c:ser>
          <c:idx val="2"/>
          <c:order val="2"/>
          <c:tx>
            <c:strRef>
              <c:f>'G19'!$D$3</c:f>
              <c:strCache>
                <c:ptCount val="1"/>
                <c:pt idx="0">
                  <c:v> Ve spolupráci s ostatními podniky</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'G19'!$A$4:$A$9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'G19'!$D$4:$D$9</c:f>
              <c:numCache>
                <c:formatCode>0.0%</c:formatCode>
                <c:ptCount val="6"/>
                <c:pt idx="0">
                  <c:v>0.17449620621526499</c:v>
                </c:pt>
                <c:pt idx="1">
                  <c:v>0.15177752739281899</c:v>
                </c:pt>
                <c:pt idx="2">
                  <c:v>0.19268681820053599</c:v>
                </c:pt>
                <c:pt idx="3">
                  <c:v>0.29313200566586101</c:v>
                </c:pt>
                <c:pt idx="4">
                  <c:v>0.17248029761862901</c:v>
                </c:pt>
                <c:pt idx="5">
                  <c:v>0.18104055770858499</c:v>
                </c:pt>
              </c:numCache>
            </c:numRef>
          </c:val>
          <c:extLst>
            <c:ext xmlns:c16="http://schemas.microsoft.com/office/drawing/2014/chart" uri="{C3380CC4-5D6E-409C-BE32-E72D297353CC}">
              <c16:uniqueId val="{00000002-6199-4E48-8DFD-8D97174EBA07}"/>
            </c:ext>
          </c:extLst>
        </c:ser>
        <c:ser>
          <c:idx val="3"/>
          <c:order val="3"/>
          <c:tx>
            <c:strRef>
              <c:f>'G19'!$E$3</c:f>
              <c:strCache>
                <c:ptCount val="1"/>
                <c:pt idx="0">
                  <c:v> Ve spolupráci s veřejnou VŠ či výzkumnou organizací</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'G19'!$A$4:$A$9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'G19'!$E$4:$E$9</c:f>
              <c:numCache>
                <c:formatCode>0.0%</c:formatCode>
                <c:ptCount val="6"/>
                <c:pt idx="0">
                  <c:v>0.11609196308689</c:v>
                </c:pt>
                <c:pt idx="1">
                  <c:v>8.34021722545088E-2</c:v>
                </c:pt>
                <c:pt idx="2">
                  <c:v>0.152469727969821</c:v>
                </c:pt>
                <c:pt idx="3">
                  <c:v>0.25788391525921101</c:v>
                </c:pt>
                <c:pt idx="4">
                  <c:v>0.126768826846161</c:v>
                </c:pt>
                <c:pt idx="5">
                  <c:v>8.1431091357112295E-2</c:v>
                </c:pt>
              </c:numCache>
            </c:numRef>
          </c:val>
          <c:extLst>
            <c:ext xmlns:c16="http://schemas.microsoft.com/office/drawing/2014/chart" uri="{C3380CC4-5D6E-409C-BE32-E72D297353CC}">
              <c16:uniqueId val="{00000003-6199-4E48-8DFD-8D97174EBA07}"/>
            </c:ext>
          </c:extLst>
        </c:ser>
        <c:ser>
          <c:idx val="4"/>
          <c:order val="4"/>
          <c:tx>
            <c:strRef>
              <c:f>'G19'!$F$3</c:f>
              <c:strCache>
                <c:ptCount val="1"/>
                <c:pt idx="0">
                  <c:v> Adaptací produktu vyvinutého jiným subjektem</c:v>
                </c:pt>
              </c:strCache>
            </c:strRef>
          </c:tx>
          <c:spPr>
            <a:solidFill>
              <a:schemeClr val="accent5">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'G19'!$A$4:$A$9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'G19'!$F$4:$F$9</c:f>
              <c:numCache>
                <c:formatCode>0.0%</c:formatCode>
                <c:ptCount val="6"/>
                <c:pt idx="0">
                  <c:v>8.3598958285457201E-2</c:v>
                </c:pt>
                <c:pt idx="1">
                  <c:v>8.5378432937248297E-2</c:v>
                </c:pt>
                <c:pt idx="2">
                  <c:v>8.1467926015002995E-2</c:v>
                </c:pt>
                <c:pt idx="3">
                  <c:v>7.6307803253444204E-2</c:v>
                </c:pt>
                <c:pt idx="4">
                  <c:v>8.7249733329389401E-2</c:v>
                </c:pt>
                <c:pt idx="5">
                  <c:v>7.1747252731742497E-2</c:v>
                </c:pt>
              </c:numCache>
            </c:numRef>
          </c:val>
          <c:extLst>
            <c:ext xmlns:c16="http://schemas.microsoft.com/office/drawing/2014/chart" uri="{C3380CC4-5D6E-409C-BE32-E72D297353CC}">
              <c16:uniqueId val="{00000004-6199-4E48-8DFD-8D97174EBA07}"/>
            </c:ext>
          </c:extLst>
        </c:ser>
        <c:ser>
          <c:idx val="5"/>
          <c:order val="5"/>
          <c:tx>
            <c:strRef>
              <c:f>'G19'!$G$3</c:f>
              <c:strCache>
                <c:ptCount val="1"/>
                <c:pt idx="0">
                  <c:v> Zadáním vývoje jinému subjektu</c:v>
                </c:pt>
              </c:strCache>
            </c:strRef>
          </c:tx>
          <c:spPr>
            <a:solidFill>
              <a:schemeClr val="accent4">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'G19'!$A$4:$A$9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'G19'!$G$4:$G$9</c:f>
              <c:numCache>
                <c:formatCode>0.0%</c:formatCode>
                <c:ptCount val="6"/>
                <c:pt idx="0">
                  <c:v>7.2995458378949593E-2</c:v>
                </c:pt>
                <c:pt idx="1">
                  <c:v>7.6430938427352296E-2</c:v>
                </c:pt>
                <c:pt idx="2">
                  <c:v>5.95092154650863E-2</c:v>
                </c:pt>
                <c:pt idx="3">
                  <c:v>8.5475824234731698E-2</c:v>
                </c:pt>
                <c:pt idx="4">
                  <c:v>8.08082001402044E-2</c:v>
                </c:pt>
                <c:pt idx="5">
                  <c:v>4.7632538503757899E-2</c:v>
                </c:pt>
              </c:numCache>
            </c:numRef>
          </c:val>
          <c:extLst>
            <c:ext xmlns:c16="http://schemas.microsoft.com/office/drawing/2014/chart" uri="{C3380CC4-5D6E-409C-BE32-E72D297353CC}">
              <c16:uniqueId val="{00000005-6199-4E48-8DFD-8D97174EBA07}"/>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1.1000000000000001"/>
          <c:min val="0"/>
        </c:scaling>
        <c:delete val="1"/>
        <c:axPos val="l"/>
        <c:numFmt formatCode="0%" sourceLinked="0"/>
        <c:majorTickMark val="out"/>
        <c:minorTickMark val="none"/>
        <c:tickLblPos val="nextTo"/>
        <c:crossAx val="1179695728"/>
        <c:crosses val="autoZero"/>
        <c:crossBetween val="between"/>
        <c:majorUnit val="0.2"/>
      </c:valAx>
      <c:spPr>
        <a:noFill/>
        <a:ln>
          <a:solidFill>
            <a:schemeClr val="bg1">
              <a:lumMod val="50000"/>
            </a:schemeClr>
          </a:solidFill>
        </a:ln>
        <a:effectLst/>
      </c:spPr>
    </c:plotArea>
    <c:legend>
      <c:legendPos val="b"/>
      <c:layout>
        <c:manualLayout>
          <c:xMode val="edge"/>
          <c:yMode val="edge"/>
          <c:x val="5.8805065359477132E-2"/>
          <c:y val="0.7890811531623062"/>
          <c:w val="0.90521666666666656"/>
          <c:h val="0.18068048323596644"/>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'G20'!$B$3</c:f>
              <c:strCache>
                <c:ptCount val="1"/>
                <c:pt idx="0">
                  <c:v>Nová na trhu</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'G20'!$A$4:$A$9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'G20'!$B$4:$B$9</c:f>
              <c:numCache>
                <c:formatCode>0.0%</c:formatCode>
                <c:ptCount val="6"/>
                <c:pt idx="0">
                  <c:v>0.48262612120144999</c:v>
                </c:pt>
                <c:pt idx="1">
                  <c:v>0.47932508758747</c:v>
                </c:pt>
                <c:pt idx="2">
                  <c:v>0.467376757517455</c:v>
                </c:pt>
                <c:pt idx="3">
                  <c:v>0.55056436013290599</c:v>
                </c:pt>
                <c:pt idx="4">
                  <c:v>0.47904105954553999</c:v>
                </c:pt>
                <c:pt idx="5">
                  <c:v>0.49426449788214499</c:v>
                </c:pt>
              </c:numCache>
            </c:numRef>
          </c:val>
          <c:extLst>
            <c:ext xmlns:c16="http://schemas.microsoft.com/office/drawing/2014/chart" uri="{C3380CC4-5D6E-409C-BE32-E72D297353CC}">
              <c16:uniqueId val="{00000000-3911-4606-AB41-4088F64E1483}"/>
            </c:ext>
          </c:extLst>
        </c:ser>
        <c:ser>
          <c:idx val="1"/>
          <c:order val="1"/>
          <c:tx>
            <c:strRef>
              <c:f>'G20'!$C$3</c:f>
              <c:strCache>
                <c:ptCount val="1"/>
                <c:pt idx="0">
                  <c:v>Nová pouze pro podnik</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'G20'!$A$4:$A$9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'G20'!$C$4:$C$9</c:f>
              <c:numCache>
                <c:formatCode>0.0%</c:formatCode>
                <c:ptCount val="6"/>
                <c:pt idx="0">
                  <c:v>0.78572102678417799</c:v>
                </c:pt>
                <c:pt idx="1">
                  <c:v>0.76965094031881298</c:v>
                </c:pt>
                <c:pt idx="2">
                  <c:v>0.80974602005900598</c:v>
                </c:pt>
                <c:pt idx="3">
                  <c:v>0.83802115910814001</c:v>
                </c:pt>
                <c:pt idx="4">
                  <c:v>0.77930174000914898</c:v>
                </c:pt>
                <c:pt idx="5">
                  <c:v>0.80656029948846297</c:v>
                </c:pt>
              </c:numCache>
            </c:numRef>
          </c:val>
          <c:extLst>
            <c:ext xmlns:c16="http://schemas.microsoft.com/office/drawing/2014/chart" uri="{C3380CC4-5D6E-409C-BE32-E72D297353CC}">
              <c16:uniqueId val="{00000001-3911-4606-AB41-4088F64E1483}"/>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1"/>
        </c:scaling>
        <c:delete val="1"/>
        <c:axPos val="l"/>
        <c:numFmt formatCode="0%" sourceLinked="0"/>
        <c:majorTickMark val="out"/>
        <c:minorTickMark val="none"/>
        <c:tickLblPos val="nextTo"/>
        <c:crossAx val="1179695728"/>
        <c:crosses val="autoZero"/>
        <c:crossBetween val="between"/>
        <c:majorUnit val="0.25"/>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2254901960784E-2"/>
          <c:y val="5.2650423050106469E-2"/>
          <c:w val="0.90785065359477124"/>
          <c:h val="0.59484123843443193"/>
        </c:manualLayout>
      </c:layout>
      <c:barChart>
        <c:barDir val="col"/>
        <c:grouping val="clustered"/>
        <c:varyColors val="0"/>
        <c:ser>
          <c:idx val="0"/>
          <c:order val="0"/>
          <c:tx>
            <c:strRef>
              <c:f>'G21'!$B$3</c:f>
              <c:strCache>
                <c:ptCount val="1"/>
                <c:pt idx="0">
                  <c:v>Tržby za produkty nové na trhu</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'G21'!$A$4:$A$9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'G21'!$B$4:$B$9</c:f>
              <c:numCache>
                <c:formatCode>#,##0</c:formatCode>
                <c:ptCount val="6"/>
                <c:pt idx="0">
                  <c:v>563.88421144889003</c:v>
                </c:pt>
                <c:pt idx="1">
                  <c:v>58.721141750324897</c:v>
                </c:pt>
                <c:pt idx="2">
                  <c:v>70.9346838660244</c:v>
                </c:pt>
                <c:pt idx="3">
                  <c:v>434.22838583254003</c:v>
                </c:pt>
                <c:pt idx="4">
                  <c:v>148.43073358652299</c:v>
                </c:pt>
                <c:pt idx="5">
                  <c:v>415.45347786236601</c:v>
                </c:pt>
              </c:numCache>
            </c:numRef>
          </c:val>
          <c:extLst>
            <c:ext xmlns:c16="http://schemas.microsoft.com/office/drawing/2014/chart" uri="{C3380CC4-5D6E-409C-BE32-E72D297353CC}">
              <c16:uniqueId val="{00000000-C6F6-4D07-ABEE-FCEC4D5CACE3}"/>
            </c:ext>
          </c:extLst>
        </c:ser>
        <c:ser>
          <c:idx val="1"/>
          <c:order val="1"/>
          <c:tx>
            <c:strRef>
              <c:f>'G21'!$C$3</c:f>
              <c:strCache>
                <c:ptCount val="1"/>
                <c:pt idx="0">
                  <c:v>Tržby za produkty nové pouze pro podnik</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'G21'!$A$4:$A$9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'G21'!$C$4:$C$9</c:f>
              <c:numCache>
                <c:formatCode>#,##0</c:formatCode>
                <c:ptCount val="6"/>
                <c:pt idx="0">
                  <c:v>771.72903371007396</c:v>
                </c:pt>
                <c:pt idx="1">
                  <c:v>64.593615929187706</c:v>
                </c:pt>
                <c:pt idx="2">
                  <c:v>151.726374276098</c:v>
                </c:pt>
                <c:pt idx="3">
                  <c:v>555.40904350478797</c:v>
                </c:pt>
                <c:pt idx="4">
                  <c:v>233.040343410064</c:v>
                </c:pt>
                <c:pt idx="5">
                  <c:v>538.68869030000997</c:v>
                </c:pt>
              </c:numCache>
            </c:numRef>
          </c:val>
          <c:extLst>
            <c:ext xmlns:c16="http://schemas.microsoft.com/office/drawing/2014/chart" uri="{C3380CC4-5D6E-409C-BE32-E72D297353CC}">
              <c16:uniqueId val="{00000001-C6F6-4D07-ABEE-FCEC4D5CACE3}"/>
            </c:ext>
          </c:extLst>
        </c:ser>
        <c:ser>
          <c:idx val="2"/>
          <c:order val="2"/>
          <c:tx>
            <c:strRef>
              <c:f>'G21'!$D$3</c:f>
              <c:strCache>
                <c:ptCount val="1"/>
                <c:pt idx="0">
                  <c:v>Tržby za produkty nezměněné nebo málo modifikované</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'G21'!$A$4:$A$9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'G21'!$D$4:$D$9</c:f>
              <c:numCache>
                <c:formatCode>#,##0</c:formatCode>
                <c:ptCount val="6"/>
                <c:pt idx="0">
                  <c:v>3988.9175022710101</c:v>
                </c:pt>
                <c:pt idx="1">
                  <c:v>307.80795849877899</c:v>
                </c:pt>
                <c:pt idx="2">
                  <c:v>666.81271260776305</c:v>
                </c:pt>
                <c:pt idx="3">
                  <c:v>3014.2968311644699</c:v>
                </c:pt>
                <c:pt idx="4">
                  <c:v>1654.53304882205</c:v>
                </c:pt>
                <c:pt idx="5">
                  <c:v>2334.3844534489599</c:v>
                </c:pt>
              </c:numCache>
            </c:numRef>
          </c:val>
          <c:extLst>
            <c:ext xmlns:c16="http://schemas.microsoft.com/office/drawing/2014/chart" uri="{C3380CC4-5D6E-409C-BE32-E72D297353CC}">
              <c16:uniqueId val="{00000002-C6F6-4D07-ABEE-FCEC4D5CACE3}"/>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1"/>
        <c:axPos val="l"/>
        <c:numFmt formatCode="#,##0" sourceLinked="0"/>
        <c:majorTickMark val="out"/>
        <c:minorTickMark val="none"/>
        <c:tickLblPos val="nextTo"/>
        <c:crossAx val="1179695728"/>
        <c:crosses val="autoZero"/>
        <c:crossBetween val="between"/>
      </c:valAx>
      <c:spPr>
        <a:noFill/>
        <a:ln>
          <a:solidFill>
            <a:schemeClr val="bg1">
              <a:lumMod val="50000"/>
            </a:schemeClr>
          </a:solidFill>
        </a:ln>
        <a:effectLst/>
      </c:spPr>
    </c:plotArea>
    <c:legend>
      <c:legendPos val="b"/>
      <c:layout>
        <c:manualLayout>
          <c:xMode val="edge"/>
          <c:yMode val="edge"/>
          <c:x val="0.13762009803921571"/>
          <c:y val="0.81872499682499367"/>
          <c:w val="0.73306045751633986"/>
          <c:h val="0.15255627698755397"/>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'G22'!$B$3</c:f>
              <c:strCache>
                <c:ptCount val="1"/>
                <c:pt idx="0">
                  <c:v>Tržby za produkty nové na trhu</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'G22'!$A$4:$A$9</c:f>
              <c:strCache>
                <c:ptCount val="6"/>
                <c:pt idx="0">
                  <c:v>Vědecké a technické činnosti</c:v>
                </c:pt>
                <c:pt idx="1">
                  <c:v>Peněžnictví a pojišťovnictví</c:v>
                </c:pt>
                <c:pt idx="2">
                  <c:v>Informační a komunikační činnosti</c:v>
                </c:pt>
                <c:pt idx="3">
                  <c:v>SLUŽBY</c:v>
                </c:pt>
                <c:pt idx="4">
                  <c:v>Zpracovatelský průmysl</c:v>
                </c:pt>
                <c:pt idx="5">
                  <c:v>PRŮMYSL</c:v>
                </c:pt>
              </c:strCache>
            </c:strRef>
          </c:cat>
          <c:val>
            <c:numRef>
              <c:f>'G22'!$B$4:$B$9</c:f>
              <c:numCache>
                <c:formatCode>0%</c:formatCode>
                <c:ptCount val="6"/>
                <c:pt idx="0">
                  <c:v>0.15341234863928599</c:v>
                </c:pt>
                <c:pt idx="1">
                  <c:v>7.7830635152597596E-2</c:v>
                </c:pt>
                <c:pt idx="2">
                  <c:v>0.13512020160862701</c:v>
                </c:pt>
                <c:pt idx="3">
                  <c:v>9.1578579847544556E-2</c:v>
                </c:pt>
                <c:pt idx="4">
                  <c:v>0.13266049758470599</c:v>
                </c:pt>
                <c:pt idx="5">
                  <c:v>0.11129439279107464</c:v>
                </c:pt>
              </c:numCache>
            </c:numRef>
          </c:val>
          <c:extLst>
            <c:ext xmlns:c16="http://schemas.microsoft.com/office/drawing/2014/chart" uri="{C3380CC4-5D6E-409C-BE32-E72D297353CC}">
              <c16:uniqueId val="{00000000-F11F-45C0-BE8E-80E1ED1D70D3}"/>
            </c:ext>
          </c:extLst>
        </c:ser>
        <c:ser>
          <c:idx val="1"/>
          <c:order val="1"/>
          <c:tx>
            <c:strRef>
              <c:f>'G22'!$C$3</c:f>
              <c:strCache>
                <c:ptCount val="1"/>
                <c:pt idx="0">
                  <c:v>Tržby za produkty nové pouze pro podnik</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'G22'!$A$4:$A$9</c:f>
              <c:strCache>
                <c:ptCount val="6"/>
                <c:pt idx="0">
                  <c:v>Vědecké a technické činnosti</c:v>
                </c:pt>
                <c:pt idx="1">
                  <c:v>Peněžnictví a pojišťovnictví</c:v>
                </c:pt>
                <c:pt idx="2">
                  <c:v>Informační a komunikační činnosti</c:v>
                </c:pt>
                <c:pt idx="3">
                  <c:v>SLUŽBY</c:v>
                </c:pt>
                <c:pt idx="4">
                  <c:v>Zpracovatelský průmysl</c:v>
                </c:pt>
                <c:pt idx="5">
                  <c:v>PRŮMYSL</c:v>
                </c:pt>
              </c:strCache>
            </c:strRef>
          </c:cat>
          <c:val>
            <c:numRef>
              <c:f>'G22'!$C$4:$C$9</c:f>
              <c:numCache>
                <c:formatCode>0%</c:formatCode>
                <c:ptCount val="6"/>
                <c:pt idx="0">
                  <c:v>0.140249522382765</c:v>
                </c:pt>
                <c:pt idx="1">
                  <c:v>0.227872602725989</c:v>
                </c:pt>
                <c:pt idx="2">
                  <c:v>0.16789284830467099</c:v>
                </c:pt>
                <c:pt idx="3">
                  <c:v>0.15820444035625497</c:v>
                </c:pt>
                <c:pt idx="4">
                  <c:v>0.15209039464638199</c:v>
                </c:pt>
                <c:pt idx="5">
                  <c:v>0.13994547831733969</c:v>
                </c:pt>
              </c:numCache>
            </c:numRef>
          </c:val>
          <c:extLst>
            <c:ext xmlns:c16="http://schemas.microsoft.com/office/drawing/2014/chart" uri="{C3380CC4-5D6E-409C-BE32-E72D297353CC}">
              <c16:uniqueId val="{00000001-F11F-45C0-BE8E-80E1ED1D70D3}"/>
            </c:ext>
          </c:extLst>
        </c:ser>
        <c:ser>
          <c:idx val="2"/>
          <c:order val="2"/>
          <c:tx>
            <c:strRef>
              <c:f>'G22'!$D$3</c:f>
              <c:strCache>
                <c:ptCount val="1"/>
                <c:pt idx="0">
                  <c:v>Tržby za produkty nezměněné nebo málo modifikované</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'G22'!$A$4:$A$9</c:f>
              <c:strCache>
                <c:ptCount val="6"/>
                <c:pt idx="0">
                  <c:v>Vědecké a technické činnosti</c:v>
                </c:pt>
                <c:pt idx="1">
                  <c:v>Peněžnictví a pojišťovnictví</c:v>
                </c:pt>
                <c:pt idx="2">
                  <c:v>Informační a komunikační činnosti</c:v>
                </c:pt>
                <c:pt idx="3">
                  <c:v>SLUŽBY</c:v>
                </c:pt>
                <c:pt idx="4">
                  <c:v>Zpracovatelský průmysl</c:v>
                </c:pt>
                <c:pt idx="5">
                  <c:v>PRŮMYSL</c:v>
                </c:pt>
              </c:strCache>
            </c:strRef>
          </c:cat>
          <c:val>
            <c:numRef>
              <c:f>'G22'!$D$4:$D$9</c:f>
              <c:numCache>
                <c:formatCode>0%</c:formatCode>
                <c:ptCount val="6"/>
                <c:pt idx="0">
                  <c:v>0.70633812897795001</c:v>
                </c:pt>
                <c:pt idx="1">
                  <c:v>0.694296762121413</c:v>
                </c:pt>
                <c:pt idx="2">
                  <c:v>0.69698695008670197</c:v>
                </c:pt>
                <c:pt idx="3">
                  <c:v>0.75021697979620039</c:v>
                </c:pt>
                <c:pt idx="4">
                  <c:v>0.71524910776891204</c:v>
                </c:pt>
                <c:pt idx="5">
                  <c:v>0.74876012889158561</c:v>
                </c:pt>
              </c:numCache>
            </c:numRef>
          </c:val>
          <c:extLst>
            <c:ext xmlns:c16="http://schemas.microsoft.com/office/drawing/2014/chart" uri="{C3380CC4-5D6E-409C-BE32-E72D297353CC}">
              <c16:uniqueId val="{00000002-F11F-45C0-BE8E-80E1ED1D70D3}"/>
            </c:ext>
          </c:extLst>
        </c:ser>
        <c:dLbls>
          <c:showLegendKey val="0"/>
          <c:showVal val="0"/>
          <c:showCatName val="0"/>
          <c:showSerName val="0"/>
          <c:showPercent val="0"/>
          <c:showBubbleSize val="0"/>
        </c:dLbls>
        <c:gapWidth val="100"/>
        <c:overlap val="100"/>
        <c:axId val="1179695728"/>
        <c:axId val="1179701552"/>
      </c:barChart>
      <c:catAx>
        <c:axId val="1179695728"/>
        <c:scaling>
          <c:orientation val="minMax"/>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0"/>
        <c:axPos val="b"/>
        <c:majorGridlines>
          <c:spPr>
            <a:ln w="9525" cap="flat" cmpd="sng" algn="ctr">
              <a:solidFill>
                <a:schemeClr val="bg1">
                  <a:lumMod val="75000"/>
                </a:schemeClr>
              </a:solidFill>
              <a:prstDash val="solid"/>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695728"/>
        <c:crosses val="autoZero"/>
        <c:crossBetween val="between"/>
        <c:majorUnit val="0.25"/>
      </c:valAx>
      <c:spPr>
        <a:noFill/>
        <a:ln>
          <a:solidFill>
            <a:schemeClr val="bg1">
              <a:lumMod val="50000"/>
            </a:schemeClr>
          </a:solidFill>
        </a:ln>
        <a:effectLst/>
      </c:spPr>
    </c:plotArea>
    <c:legend>
      <c:legendPos val="b"/>
      <c:layout>
        <c:manualLayout>
          <c:xMode val="edge"/>
          <c:yMode val="edge"/>
          <c:x val="0.11700081699346405"/>
          <c:y val="0.83262000662400226"/>
          <c:w val="0.8297193304884547"/>
          <c:h val="0.15218503046684972"/>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61274509803928E-2"/>
          <c:y val="1.4327525252525253E-2"/>
          <c:w val="0.91617205882352937"/>
          <c:h val="0.58791237373737382"/>
        </c:manualLayout>
      </c:layout>
      <c:barChart>
        <c:barDir val="col"/>
        <c:grouping val="clustered"/>
        <c:varyColors val="0"/>
        <c:ser>
          <c:idx val="0"/>
          <c:order val="0"/>
          <c:tx>
            <c:strRef>
              <c:f>'G23'!$K$3</c:f>
              <c:strCache>
                <c:ptCount val="1"/>
                <c:pt idx="0">
                  <c:v>Zvýšení kvality/jakosti stávajících produktů</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'G23'!$J$4:$J$9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'G23'!$K$4:$K$9</c:f>
              <c:numCache>
                <c:formatCode>0.0%</c:formatCode>
                <c:ptCount val="6"/>
                <c:pt idx="0">
                  <c:v>0.38712180637147298</c:v>
                </c:pt>
                <c:pt idx="1">
                  <c:v>0.41326067210051998</c:v>
                </c:pt>
                <c:pt idx="2">
                  <c:v>0.34054664930259998</c:v>
                </c:pt>
                <c:pt idx="3">
                  <c:v>0.32329701940024003</c:v>
                </c:pt>
                <c:pt idx="4">
                  <c:v>0.39280157789062897</c:v>
                </c:pt>
                <c:pt idx="5">
                  <c:v>0.36868326144680302</c:v>
                </c:pt>
              </c:numCache>
            </c:numRef>
          </c:val>
          <c:extLst>
            <c:ext xmlns:c16="http://schemas.microsoft.com/office/drawing/2014/chart" uri="{C3380CC4-5D6E-409C-BE32-E72D297353CC}">
              <c16:uniqueId val="{00000000-A1B3-4BAD-BE53-AC9999E28D35}"/>
            </c:ext>
          </c:extLst>
        </c:ser>
        <c:ser>
          <c:idx val="1"/>
          <c:order val="1"/>
          <c:tx>
            <c:strRef>
              <c:f>'G23'!$L$3</c:f>
              <c:strCache>
                <c:ptCount val="1"/>
                <c:pt idx="0">
                  <c:v>Rozšíření/obměna nabídky produktů ve stávajícím odvětví</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'G23'!$J$4:$J$9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'G23'!$L$4:$L$9</c:f>
              <c:numCache>
                <c:formatCode>0.0%</c:formatCode>
                <c:ptCount val="6"/>
                <c:pt idx="0">
                  <c:v>0.25626898459743902</c:v>
                </c:pt>
                <c:pt idx="1">
                  <c:v>0.25800404290114798</c:v>
                </c:pt>
                <c:pt idx="2">
                  <c:v>0.24794617047612999</c:v>
                </c:pt>
                <c:pt idx="3">
                  <c:v>0.26685568446764601</c:v>
                </c:pt>
                <c:pt idx="4">
                  <c:v>0.26191886709806</c:v>
                </c:pt>
                <c:pt idx="5">
                  <c:v>0.237927469986252</c:v>
                </c:pt>
              </c:numCache>
            </c:numRef>
          </c:val>
          <c:extLst>
            <c:ext xmlns:c16="http://schemas.microsoft.com/office/drawing/2014/chart" uri="{C3380CC4-5D6E-409C-BE32-E72D297353CC}">
              <c16:uniqueId val="{00000001-A1B3-4BAD-BE53-AC9999E28D35}"/>
            </c:ext>
          </c:extLst>
        </c:ser>
        <c:ser>
          <c:idx val="2"/>
          <c:order val="2"/>
          <c:tx>
            <c:strRef>
              <c:f>'G23'!$M$3</c:f>
              <c:strCache>
                <c:ptCount val="1"/>
                <c:pt idx="0">
                  <c:v>Zvýšení tržního podílu na stávajících trzích</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'G23'!$J$4:$J$9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'G23'!$M$4:$M$9</c:f>
              <c:numCache>
                <c:formatCode>0.0%</c:formatCode>
                <c:ptCount val="6"/>
                <c:pt idx="0">
                  <c:v>0.22166582679736399</c:v>
                </c:pt>
                <c:pt idx="1">
                  <c:v>0.207066059823723</c:v>
                </c:pt>
                <c:pt idx="2">
                  <c:v>0.25275536842965401</c:v>
                </c:pt>
                <c:pt idx="3">
                  <c:v>0.24293386535908301</c:v>
                </c:pt>
                <c:pt idx="4">
                  <c:v>0.20991292195773201</c:v>
                </c:pt>
                <c:pt idx="5">
                  <c:v>0.25981990802229499</c:v>
                </c:pt>
              </c:numCache>
            </c:numRef>
          </c:val>
          <c:extLst>
            <c:ext xmlns:c16="http://schemas.microsoft.com/office/drawing/2014/chart" uri="{C3380CC4-5D6E-409C-BE32-E72D297353CC}">
              <c16:uniqueId val="{00000002-A1B3-4BAD-BE53-AC9999E28D35}"/>
            </c:ext>
          </c:extLst>
        </c:ser>
        <c:ser>
          <c:idx val="3"/>
          <c:order val="3"/>
          <c:tx>
            <c:strRef>
              <c:f>'G23'!$N$3</c:f>
              <c:strCache>
                <c:ptCount val="1"/>
                <c:pt idx="0">
                  <c:v>Vstup do nového odvětví</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'G23'!$J$4:$J$9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'G23'!$N$4:$N$9</c:f>
              <c:numCache>
                <c:formatCode>0.0%</c:formatCode>
                <c:ptCount val="6"/>
                <c:pt idx="0">
                  <c:v>5.00735595305421E-2</c:v>
                </c:pt>
                <c:pt idx="1">
                  <c:v>4.7458326793679097E-2</c:v>
                </c:pt>
                <c:pt idx="2">
                  <c:v>5.4522657409495398E-2</c:v>
                </c:pt>
                <c:pt idx="3">
                  <c:v>5.7056698461098003E-2</c:v>
                </c:pt>
                <c:pt idx="4">
                  <c:v>4.9881440665513699E-2</c:v>
                </c:pt>
                <c:pt idx="5">
                  <c:v>5.0697245238982502E-2</c:v>
                </c:pt>
              </c:numCache>
            </c:numRef>
          </c:val>
          <c:extLst>
            <c:ext xmlns:c16="http://schemas.microsoft.com/office/drawing/2014/chart" uri="{C3380CC4-5D6E-409C-BE32-E72D297353CC}">
              <c16:uniqueId val="{00000003-A1B3-4BAD-BE53-AC9999E28D35}"/>
            </c:ext>
          </c:extLst>
        </c:ser>
        <c:ser>
          <c:idx val="4"/>
          <c:order val="4"/>
          <c:tx>
            <c:strRef>
              <c:f>'G23'!$O$3</c:f>
              <c:strCache>
                <c:ptCount val="1"/>
                <c:pt idx="0">
                  <c:v>Vstup na nové trhy z hlediska geografického</c:v>
                </c:pt>
              </c:strCache>
            </c:strRef>
          </c:tx>
          <c:spPr>
            <a:solidFill>
              <a:schemeClr val="accent5">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'G23'!$J$4:$J$9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'G23'!$O$4:$O$9</c:f>
              <c:numCache>
                <c:formatCode>0.0%</c:formatCode>
                <c:ptCount val="6"/>
                <c:pt idx="0">
                  <c:v>3.9194923437639702E-2</c:v>
                </c:pt>
                <c:pt idx="1">
                  <c:v>3.1217724445696898E-2</c:v>
                </c:pt>
                <c:pt idx="2">
                  <c:v>5.9554013548717803E-2</c:v>
                </c:pt>
                <c:pt idx="3">
                  <c:v>4.1260637280905697E-2</c:v>
                </c:pt>
                <c:pt idx="4">
                  <c:v>4.1070324955618097E-2</c:v>
                </c:pt>
                <c:pt idx="5">
                  <c:v>3.3106707560571998E-2</c:v>
                </c:pt>
              </c:numCache>
            </c:numRef>
          </c:val>
          <c:extLst>
            <c:ext xmlns:c16="http://schemas.microsoft.com/office/drawing/2014/chart" uri="{C3380CC4-5D6E-409C-BE32-E72D297353CC}">
              <c16:uniqueId val="{00000004-A1B3-4BAD-BE53-AC9999E28D35}"/>
            </c:ext>
          </c:extLst>
        </c:ser>
        <c:ser>
          <c:idx val="5"/>
          <c:order val="5"/>
          <c:tx>
            <c:strRef>
              <c:f>'G23'!$P$3</c:f>
              <c:strCache>
                <c:ptCount val="1"/>
                <c:pt idx="0">
                  <c:v>Snížení negativních dopadů na životní prostředí</c:v>
                </c:pt>
              </c:strCache>
            </c:strRef>
          </c:tx>
          <c:spPr>
            <a:solidFill>
              <a:schemeClr val="accent4">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'G23'!$J$4:$J$9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'G23'!$P$4:$P$9</c:f>
              <c:numCache>
                <c:formatCode>0.0%</c:formatCode>
                <c:ptCount val="6"/>
                <c:pt idx="0">
                  <c:v>3.3692463326999697E-2</c:v>
                </c:pt>
                <c:pt idx="1">
                  <c:v>2.8858909154144699E-2</c:v>
                </c:pt>
                <c:pt idx="2">
                  <c:v>3.5723860764807699E-2</c:v>
                </c:pt>
                <c:pt idx="3">
                  <c:v>6.4143438240203104E-2</c:v>
                </c:pt>
                <c:pt idx="4">
                  <c:v>3.1180398086085401E-2</c:v>
                </c:pt>
                <c:pt idx="5">
                  <c:v>4.1847514571945903E-2</c:v>
                </c:pt>
              </c:numCache>
            </c:numRef>
          </c:val>
          <c:extLst>
            <c:ext xmlns:c16="http://schemas.microsoft.com/office/drawing/2014/chart" uri="{C3380CC4-5D6E-409C-BE32-E72D297353CC}">
              <c16:uniqueId val="{00000005-A1B3-4BAD-BE53-AC9999E28D35}"/>
            </c:ext>
          </c:extLst>
        </c:ser>
        <c:dLbls>
          <c:showLegendKey val="0"/>
          <c:showVal val="0"/>
          <c:showCatName val="0"/>
          <c:showSerName val="0"/>
          <c:showPercent val="0"/>
          <c:showBubbleSize val="0"/>
        </c:dLbls>
        <c:gapWidth val="219"/>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1"/>
        <c:axPos val="l"/>
        <c:numFmt formatCode="0%" sourceLinked="0"/>
        <c:majorTickMark val="out"/>
        <c:minorTickMark val="none"/>
        <c:tickLblPos val="nextTo"/>
        <c:crossAx val="1179695728"/>
        <c:crosses val="autoZero"/>
        <c:crossBetween val="between"/>
        <c:majorUnit val="0.1"/>
      </c:valAx>
      <c:spPr>
        <a:noFill/>
        <a:ln>
          <a:solidFill>
            <a:schemeClr val="bg1">
              <a:lumMod val="50000"/>
            </a:schemeClr>
          </a:solidFill>
        </a:ln>
        <a:effectLst/>
      </c:spPr>
    </c:plotArea>
    <c:legend>
      <c:legendPos val="b"/>
      <c:layout>
        <c:manualLayout>
          <c:xMode val="edge"/>
          <c:yMode val="edge"/>
          <c:x val="0.25775833333333331"/>
          <c:y val="0.67474166666666668"/>
          <c:w val="0.53013676470588234"/>
          <c:h val="0.30601590909090909"/>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'G24'!$B$12</c:f>
              <c:strCache>
                <c:ptCount val="1"/>
                <c:pt idx="0">
                  <c:v>Interní procesy</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'G24'!$A$13:$A$18</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'G24'!$B$13:$B$18</c:f>
              <c:numCache>
                <c:formatCode>0.0%</c:formatCode>
                <c:ptCount val="6"/>
                <c:pt idx="0">
                  <c:v>0.437781262784815</c:v>
                </c:pt>
                <c:pt idx="1">
                  <c:v>0.39168173510788101</c:v>
                </c:pt>
                <c:pt idx="2">
                  <c:v>0.54210302556891998</c:v>
                </c:pt>
                <c:pt idx="3">
                  <c:v>0.68515287112888201</c:v>
                </c:pt>
                <c:pt idx="4">
                  <c:v>0.41074397132810703</c:v>
                </c:pt>
                <c:pt idx="5">
                  <c:v>0.557322788583684</c:v>
                </c:pt>
              </c:numCache>
            </c:numRef>
          </c:val>
          <c:extLst>
            <c:ext xmlns:c16="http://schemas.microsoft.com/office/drawing/2014/chart" uri="{C3380CC4-5D6E-409C-BE32-E72D297353CC}">
              <c16:uniqueId val="{00000000-5DD4-4D47-9E4D-0A8AEBF1C969}"/>
            </c:ext>
          </c:extLst>
        </c:ser>
        <c:ser>
          <c:idx val="1"/>
          <c:order val="1"/>
          <c:tx>
            <c:strRef>
              <c:f>'G24'!$C$12</c:f>
              <c:strCache>
                <c:ptCount val="1"/>
                <c:pt idx="0">
                  <c:v> Organizační činnosti</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'G24'!$A$13:$A$18</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'G24'!$C$13:$C$18</c:f>
              <c:numCache>
                <c:formatCode>0.0%</c:formatCode>
                <c:ptCount val="6"/>
                <c:pt idx="0">
                  <c:v>0.40785239201446799</c:v>
                </c:pt>
                <c:pt idx="1">
                  <c:v>0.361733897567586</c:v>
                </c:pt>
                <c:pt idx="2">
                  <c:v>0.51418803020657999</c:v>
                </c:pt>
                <c:pt idx="3">
                  <c:v>0.64768921250516598</c:v>
                </c:pt>
                <c:pt idx="4">
                  <c:v>0.37452180160848098</c:v>
                </c:pt>
                <c:pt idx="5">
                  <c:v>0.55521884102762598</c:v>
                </c:pt>
              </c:numCache>
            </c:numRef>
          </c:val>
          <c:extLst>
            <c:ext xmlns:c16="http://schemas.microsoft.com/office/drawing/2014/chart" uri="{C3380CC4-5D6E-409C-BE32-E72D297353CC}">
              <c16:uniqueId val="{00000001-5DD4-4D47-9E4D-0A8AEBF1C969}"/>
            </c:ext>
          </c:extLst>
        </c:ser>
        <c:ser>
          <c:idx val="2"/>
          <c:order val="2"/>
          <c:tx>
            <c:strRef>
              <c:f>'G24'!$D$12</c:f>
              <c:strCache>
                <c:ptCount val="1"/>
                <c:pt idx="0">
                  <c:v> Marketingové činnosti</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'G24'!$A$13:$A$18</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'G24'!$D$13:$D$18</c:f>
              <c:numCache>
                <c:formatCode>0.0%</c:formatCode>
                <c:ptCount val="6"/>
                <c:pt idx="0">
                  <c:v>0.34829203802623598</c:v>
                </c:pt>
                <c:pt idx="1">
                  <c:v>0.32425822524736297</c:v>
                </c:pt>
                <c:pt idx="2">
                  <c:v>0.40370778211381803</c:v>
                </c:pt>
                <c:pt idx="3">
                  <c:v>0.473275276261307</c:v>
                </c:pt>
                <c:pt idx="4">
                  <c:v>0.33986166740831297</c:v>
                </c:pt>
                <c:pt idx="5">
                  <c:v>0.38556571865102102</c:v>
                </c:pt>
              </c:numCache>
            </c:numRef>
          </c:val>
          <c:extLst>
            <c:ext xmlns:c16="http://schemas.microsoft.com/office/drawing/2014/chart" uri="{C3380CC4-5D6E-409C-BE32-E72D297353CC}">
              <c16:uniqueId val="{00000002-5DD4-4D47-9E4D-0A8AEBF1C969}"/>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1"/>
        </c:scaling>
        <c:delete val="1"/>
        <c:axPos val="l"/>
        <c:numFmt formatCode="0%" sourceLinked="0"/>
        <c:majorTickMark val="out"/>
        <c:minorTickMark val="none"/>
        <c:tickLblPos val="nextTo"/>
        <c:crossAx val="1179695728"/>
        <c:crosses val="autoZero"/>
        <c:crossBetween val="between"/>
        <c:majorUnit val="0.25"/>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'G25'!$B$18</c:f>
              <c:strCache>
                <c:ptCount val="1"/>
                <c:pt idx="0">
                  <c:v>Interní procesy</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'G25'!$A$19:$A$24</c:f>
              <c:strCache>
                <c:ptCount val="6"/>
                <c:pt idx="0">
                  <c:v>PRŮMYSL</c:v>
                </c:pt>
                <c:pt idx="1">
                  <c:v>Zpracovatelský průmysl</c:v>
                </c:pt>
                <c:pt idx="2">
                  <c:v>SLUŽBY</c:v>
                </c:pt>
                <c:pt idx="3">
                  <c:v>Informační a komunikační činnosti</c:v>
                </c:pt>
                <c:pt idx="4">
                  <c:v>Peněžnictví a pojišťovnictví</c:v>
                </c:pt>
                <c:pt idx="5">
                  <c:v>Vědecké a technické činnosti</c:v>
                </c:pt>
              </c:strCache>
            </c:strRef>
          </c:cat>
          <c:val>
            <c:numRef>
              <c:f>'G25'!$B$19:$B$24</c:f>
              <c:numCache>
                <c:formatCode>0.0%</c:formatCode>
                <c:ptCount val="6"/>
                <c:pt idx="0">
                  <c:v>0.43710049043879995</c:v>
                </c:pt>
                <c:pt idx="1">
                  <c:v>0.44751130640168901</c:v>
                </c:pt>
                <c:pt idx="2">
                  <c:v>0.43855959291754759</c:v>
                </c:pt>
                <c:pt idx="3">
                  <c:v>0.615399501183161</c:v>
                </c:pt>
                <c:pt idx="4">
                  <c:v>0.52232031411700497</c:v>
                </c:pt>
                <c:pt idx="5">
                  <c:v>0.46663550585916702</c:v>
                </c:pt>
              </c:numCache>
            </c:numRef>
          </c:val>
          <c:extLst>
            <c:ext xmlns:c16="http://schemas.microsoft.com/office/drawing/2014/chart" uri="{C3380CC4-5D6E-409C-BE32-E72D297353CC}">
              <c16:uniqueId val="{00000000-8D37-418A-BBE5-2C65D3395A77}"/>
            </c:ext>
          </c:extLst>
        </c:ser>
        <c:ser>
          <c:idx val="1"/>
          <c:order val="1"/>
          <c:tx>
            <c:strRef>
              <c:f>'G25'!$C$18</c:f>
              <c:strCache>
                <c:ptCount val="1"/>
                <c:pt idx="0">
                  <c:v> Organizační činnosti</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'G25'!$A$19:$A$24</c:f>
              <c:strCache>
                <c:ptCount val="6"/>
                <c:pt idx="0">
                  <c:v>PRŮMYSL</c:v>
                </c:pt>
                <c:pt idx="1">
                  <c:v>Zpracovatelský průmysl</c:v>
                </c:pt>
                <c:pt idx="2">
                  <c:v>SLUŽBY</c:v>
                </c:pt>
                <c:pt idx="3">
                  <c:v>Informační a komunikační činnosti</c:v>
                </c:pt>
                <c:pt idx="4">
                  <c:v>Peněžnictví a pojišťovnictví</c:v>
                </c:pt>
                <c:pt idx="5">
                  <c:v>Vědecké a technické činnosti</c:v>
                </c:pt>
              </c:strCache>
            </c:strRef>
          </c:cat>
          <c:val>
            <c:numRef>
              <c:f>'G25'!$C$19:$C$24</c:f>
              <c:numCache>
                <c:formatCode>0.0%</c:formatCode>
                <c:ptCount val="6"/>
                <c:pt idx="0">
                  <c:v>0.40071917273724877</c:v>
                </c:pt>
                <c:pt idx="1">
                  <c:v>0.40728896894122801</c:v>
                </c:pt>
                <c:pt idx="2">
                  <c:v>0.41600783419621901</c:v>
                </c:pt>
                <c:pt idx="3">
                  <c:v>0.632723324146233</c:v>
                </c:pt>
                <c:pt idx="4">
                  <c:v>0.53762744712425503</c:v>
                </c:pt>
                <c:pt idx="5">
                  <c:v>0.466268565509175</c:v>
                </c:pt>
              </c:numCache>
            </c:numRef>
          </c:val>
          <c:extLst>
            <c:ext xmlns:c16="http://schemas.microsoft.com/office/drawing/2014/chart" uri="{C3380CC4-5D6E-409C-BE32-E72D297353CC}">
              <c16:uniqueId val="{00000001-8D37-418A-BBE5-2C65D3395A77}"/>
            </c:ext>
          </c:extLst>
        </c:ser>
        <c:ser>
          <c:idx val="2"/>
          <c:order val="2"/>
          <c:tx>
            <c:strRef>
              <c:f>'G25'!$D$18</c:f>
              <c:strCache>
                <c:ptCount val="1"/>
                <c:pt idx="0">
                  <c:v>Marketingové činnosti</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'G25'!$A$19:$A$24</c:f>
              <c:strCache>
                <c:ptCount val="6"/>
                <c:pt idx="0">
                  <c:v>PRŮMYSL</c:v>
                </c:pt>
                <c:pt idx="1">
                  <c:v>Zpracovatelský průmysl</c:v>
                </c:pt>
                <c:pt idx="2">
                  <c:v>SLUŽBY</c:v>
                </c:pt>
                <c:pt idx="3">
                  <c:v>Informační a komunikační činnosti</c:v>
                </c:pt>
                <c:pt idx="4">
                  <c:v>Peněžnictví a pojišťovnictví</c:v>
                </c:pt>
                <c:pt idx="5">
                  <c:v>Vědecké a technické činnosti</c:v>
                </c:pt>
              </c:strCache>
            </c:strRef>
          </c:cat>
          <c:val>
            <c:numRef>
              <c:f>'G25'!$D$19:$D$24</c:f>
              <c:numCache>
                <c:formatCode>0.0%</c:formatCode>
                <c:ptCount val="6"/>
                <c:pt idx="0">
                  <c:v>0.3358816225550838</c:v>
                </c:pt>
                <c:pt idx="1">
                  <c:v>0.34737008365895899</c:v>
                </c:pt>
                <c:pt idx="2">
                  <c:v>0.36248092272094024</c:v>
                </c:pt>
                <c:pt idx="3">
                  <c:v>0.50939853789318001</c:v>
                </c:pt>
                <c:pt idx="4">
                  <c:v>0.41606415667783397</c:v>
                </c:pt>
                <c:pt idx="5">
                  <c:v>0.34493655528343498</c:v>
                </c:pt>
              </c:numCache>
            </c:numRef>
          </c:val>
          <c:extLst>
            <c:ext xmlns:c16="http://schemas.microsoft.com/office/drawing/2014/chart" uri="{C3380CC4-5D6E-409C-BE32-E72D297353CC}">
              <c16:uniqueId val="{00000002-8D37-418A-BBE5-2C65D3395A77}"/>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1"/>
        </c:scaling>
        <c:delete val="1"/>
        <c:axPos val="l"/>
        <c:numFmt formatCode="0%" sourceLinked="0"/>
        <c:majorTickMark val="out"/>
        <c:minorTickMark val="none"/>
        <c:tickLblPos val="nextTo"/>
        <c:crossAx val="1179695728"/>
        <c:crosses val="autoZero"/>
        <c:crossBetween val="between"/>
        <c:majorUnit val="0.25"/>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'G8'!$C$3</c:f>
              <c:strCache>
                <c:ptCount val="1"/>
                <c:pt idx="0">
                  <c:v>2016–2018</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'G8'!$A$4:$B$9</c:f>
              <c:multiLvlStrCache>
                <c:ptCount val="6"/>
                <c:lvl>
                  <c:pt idx="0">
                    <c:v>Domácí 
podniky</c:v>
                  </c:pt>
                  <c:pt idx="1">
                    <c:v>Podniky pod zahraniční kontrolou</c:v>
                  </c:pt>
                  <c:pt idx="2">
                    <c:v>Domácí 
podniky</c:v>
                  </c:pt>
                  <c:pt idx="3">
                    <c:v>Podniky pod zahraniční kontrolou</c:v>
                  </c:pt>
                  <c:pt idx="4">
                    <c:v>Domácí 
podniky</c:v>
                  </c:pt>
                  <c:pt idx="5">
                    <c:v>Podniky pod zahraniční kontrolou</c:v>
                  </c:pt>
                </c:lvl>
                <c:lvl>
                  <c:pt idx="0">
                    <c:v>Malé podniky</c:v>
                  </c:pt>
                  <c:pt idx="2">
                    <c:v>Střední podniky</c:v>
                  </c:pt>
                  <c:pt idx="4">
                    <c:v>Velké podniky</c:v>
                  </c:pt>
                </c:lvl>
              </c:multiLvlStrCache>
            </c:multiLvlStrRef>
          </c:cat>
          <c:val>
            <c:numRef>
              <c:f>'G8'!$C$4:$C$9</c:f>
              <c:numCache>
                <c:formatCode>0.0%</c:formatCode>
                <c:ptCount val="6"/>
                <c:pt idx="0">
                  <c:v>0.39122859568826979</c:v>
                </c:pt>
                <c:pt idx="1">
                  <c:v>0.52270974737864639</c:v>
                </c:pt>
                <c:pt idx="2">
                  <c:v>0.59027536008636983</c:v>
                </c:pt>
                <c:pt idx="3">
                  <c:v>0.6140559942243492</c:v>
                </c:pt>
                <c:pt idx="4">
                  <c:v>0.74978735089904447</c:v>
                </c:pt>
                <c:pt idx="5">
                  <c:v>0.72760400854186802</c:v>
                </c:pt>
              </c:numCache>
            </c:numRef>
          </c:val>
          <c:extLst>
            <c:ext xmlns:c16="http://schemas.microsoft.com/office/drawing/2014/chart" uri="{C3380CC4-5D6E-409C-BE32-E72D297353CC}">
              <c16:uniqueId val="{00000000-67BB-4654-987D-48E56F666E38}"/>
            </c:ext>
          </c:extLst>
        </c:ser>
        <c:ser>
          <c:idx val="1"/>
          <c:order val="1"/>
          <c:tx>
            <c:strRef>
              <c:f>'G8'!$D$3</c:f>
              <c:strCache>
                <c:ptCount val="1"/>
                <c:pt idx="0">
                  <c:v>2018–2020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'G8'!$A$4:$B$9</c:f>
              <c:multiLvlStrCache>
                <c:ptCount val="6"/>
                <c:lvl>
                  <c:pt idx="0">
                    <c:v>Domácí 
podniky</c:v>
                  </c:pt>
                  <c:pt idx="1">
                    <c:v>Podniky pod zahraniční kontrolou</c:v>
                  </c:pt>
                  <c:pt idx="2">
                    <c:v>Domácí 
podniky</c:v>
                  </c:pt>
                  <c:pt idx="3">
                    <c:v>Podniky pod zahraniční kontrolou</c:v>
                  </c:pt>
                  <c:pt idx="4">
                    <c:v>Domácí 
podniky</c:v>
                  </c:pt>
                  <c:pt idx="5">
                    <c:v>Podniky pod zahraniční kontrolou</c:v>
                  </c:pt>
                </c:lvl>
                <c:lvl>
                  <c:pt idx="0">
                    <c:v>Malé podniky</c:v>
                  </c:pt>
                  <c:pt idx="2">
                    <c:v>Střední podniky</c:v>
                  </c:pt>
                  <c:pt idx="4">
                    <c:v>Velké podniky</c:v>
                  </c:pt>
                </c:lvl>
              </c:multiLvlStrCache>
            </c:multiLvlStrRef>
          </c:cat>
          <c:val>
            <c:numRef>
              <c:f>'G8'!$D$4:$D$9</c:f>
              <c:numCache>
                <c:formatCode>0.0%</c:formatCode>
                <c:ptCount val="6"/>
                <c:pt idx="0">
                  <c:v>0.51581211634938107</c:v>
                </c:pt>
                <c:pt idx="1">
                  <c:v>0.5904790834968684</c:v>
                </c:pt>
                <c:pt idx="2">
                  <c:v>0.633495278867094</c:v>
                </c:pt>
                <c:pt idx="3">
                  <c:v>0.7270747513379674</c:v>
                </c:pt>
                <c:pt idx="4">
                  <c:v>0.82025843024216949</c:v>
                </c:pt>
                <c:pt idx="5">
                  <c:v>0.84115840280824927</c:v>
                </c:pt>
              </c:numCache>
            </c:numRef>
          </c:val>
          <c:extLst>
            <c:ext xmlns:c16="http://schemas.microsoft.com/office/drawing/2014/chart" uri="{C3380CC4-5D6E-409C-BE32-E72D297353CC}">
              <c16:uniqueId val="{00000001-67BB-4654-987D-48E56F666E38}"/>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1"/>
        </c:scaling>
        <c:delete val="1"/>
        <c:axPos val="l"/>
        <c:numFmt formatCode="0%" sourceLinked="0"/>
        <c:majorTickMark val="out"/>
        <c:minorTickMark val="none"/>
        <c:tickLblPos val="nextTo"/>
        <c:crossAx val="1179695728"/>
        <c:crosses val="autoZero"/>
        <c:crossBetween val="between"/>
        <c:majorUnit val="0.25"/>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'G26'!$B$13</c:f>
              <c:strCache>
                <c:ptCount val="1"/>
                <c:pt idx="0">
                  <c:v> Výroba či poskytování služeb</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'G26'!$A$14:$A$19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'G26'!$B$14:$B$19</c:f>
              <c:numCache>
                <c:formatCode>0.0%</c:formatCode>
                <c:ptCount val="6"/>
                <c:pt idx="0">
                  <c:v>0.301224385255145</c:v>
                </c:pt>
                <c:pt idx="1">
                  <c:v>0.26066105998717498</c:v>
                </c:pt>
                <c:pt idx="2">
                  <c:v>0.38790178287455102</c:v>
                </c:pt>
                <c:pt idx="3">
                  <c:v>0.53871120048518595</c:v>
                </c:pt>
                <c:pt idx="4">
                  <c:v>0.278909602637047</c:v>
                </c:pt>
                <c:pt idx="5">
                  <c:v>0.39988601215327102</c:v>
                </c:pt>
              </c:numCache>
            </c:numRef>
          </c:val>
          <c:extLst>
            <c:ext xmlns:c16="http://schemas.microsoft.com/office/drawing/2014/chart" uri="{C3380CC4-5D6E-409C-BE32-E72D297353CC}">
              <c16:uniqueId val="{00000000-14CD-4F4E-8084-DEA3F915DDD0}"/>
            </c:ext>
          </c:extLst>
        </c:ser>
        <c:ser>
          <c:idx val="1"/>
          <c:order val="1"/>
          <c:tx>
            <c:strRef>
              <c:f>'G26'!$C$13</c:f>
              <c:strCache>
                <c:ptCount val="1"/>
                <c:pt idx="0">
                  <c:v> Zpracování podnikových informací</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'G26'!$A$14:$A$19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'G26'!$C$14:$C$19</c:f>
              <c:numCache>
                <c:formatCode>0.0%</c:formatCode>
                <c:ptCount val="6"/>
                <c:pt idx="0">
                  <c:v>0.29731075434717702</c:v>
                </c:pt>
                <c:pt idx="1">
                  <c:v>0.25079686820857799</c:v>
                </c:pt>
                <c:pt idx="2">
                  <c:v>0.40872116620702897</c:v>
                </c:pt>
                <c:pt idx="3">
                  <c:v>0.52307357580361702</c:v>
                </c:pt>
                <c:pt idx="4">
                  <c:v>0.264809814991249</c:v>
                </c:pt>
                <c:pt idx="5">
                  <c:v>0.44100901963847</c:v>
                </c:pt>
              </c:numCache>
            </c:numRef>
          </c:val>
          <c:extLst>
            <c:ext xmlns:c16="http://schemas.microsoft.com/office/drawing/2014/chart" uri="{C3380CC4-5D6E-409C-BE32-E72D297353CC}">
              <c16:uniqueId val="{00000001-14CD-4F4E-8084-DEA3F915DDD0}"/>
            </c:ext>
          </c:extLst>
        </c:ser>
        <c:ser>
          <c:idx val="2"/>
          <c:order val="2"/>
          <c:tx>
            <c:strRef>
              <c:f>'G26'!$D$13</c:f>
              <c:strCache>
                <c:ptCount val="1"/>
                <c:pt idx="0">
                  <c:v> Administrativa či účetnictví</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'G26'!$A$14:$A$19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'G26'!$D$14:$D$19</c:f>
              <c:numCache>
                <c:formatCode>0.0%</c:formatCode>
                <c:ptCount val="6"/>
                <c:pt idx="0">
                  <c:v>0.23654237908057499</c:v>
                </c:pt>
                <c:pt idx="1">
                  <c:v>0.20342266984785801</c:v>
                </c:pt>
                <c:pt idx="2">
                  <c:v>0.31083675604505501</c:v>
                </c:pt>
                <c:pt idx="3">
                  <c:v>0.41679962559021799</c:v>
                </c:pt>
                <c:pt idx="4">
                  <c:v>0.21302277748668899</c:v>
                </c:pt>
                <c:pt idx="5">
                  <c:v>0.34053094114555199</c:v>
                </c:pt>
              </c:numCache>
            </c:numRef>
          </c:val>
          <c:extLst>
            <c:ext xmlns:c16="http://schemas.microsoft.com/office/drawing/2014/chart" uri="{C3380CC4-5D6E-409C-BE32-E72D297353CC}">
              <c16:uniqueId val="{00000002-14CD-4F4E-8084-DEA3F915DDD0}"/>
            </c:ext>
          </c:extLst>
        </c:ser>
        <c:ser>
          <c:idx val="3"/>
          <c:order val="3"/>
          <c:tx>
            <c:strRef>
              <c:f>'G26'!$E$13</c:f>
              <c:strCache>
                <c:ptCount val="1"/>
                <c:pt idx="0">
                  <c:v> Logistické činnosti</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'G26'!$A$14:$A$19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'G26'!$E$14:$E$19</c:f>
              <c:numCache>
                <c:formatCode>0.0%</c:formatCode>
                <c:ptCount val="6"/>
                <c:pt idx="0">
                  <c:v>0.22025769979071999</c:v>
                </c:pt>
                <c:pt idx="1">
                  <c:v>0.18918900125511501</c:v>
                </c:pt>
                <c:pt idx="2">
                  <c:v>0.28218637342863701</c:v>
                </c:pt>
                <c:pt idx="3">
                  <c:v>0.41943747651881302</c:v>
                </c:pt>
                <c:pt idx="4">
                  <c:v>0.20352779289349199</c:v>
                </c:pt>
                <c:pt idx="5">
                  <c:v>0.294226595682892</c:v>
                </c:pt>
              </c:numCache>
            </c:numRef>
          </c:val>
          <c:extLst>
            <c:ext xmlns:c16="http://schemas.microsoft.com/office/drawing/2014/chart" uri="{C3380CC4-5D6E-409C-BE32-E72D297353CC}">
              <c16:uniqueId val="{00000003-14CD-4F4E-8084-DEA3F915DDD0}"/>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75000000000000011"/>
        </c:scaling>
        <c:delete val="1"/>
        <c:axPos val="l"/>
        <c:numFmt formatCode="0%" sourceLinked="0"/>
        <c:majorTickMark val="out"/>
        <c:minorTickMark val="none"/>
        <c:tickLblPos val="nextTo"/>
        <c:crossAx val="1179695728"/>
        <c:crosses val="autoZero"/>
        <c:crossBetween val="between"/>
        <c:majorUnit val="0.25"/>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'G27'!$B$12</c:f>
              <c:strCache>
                <c:ptCount val="1"/>
                <c:pt idx="0">
                  <c:v> Výroba či poskytování služeb</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'G27'!$A$13:$A$18</c:f>
              <c:strCache>
                <c:ptCount val="6"/>
                <c:pt idx="0">
                  <c:v>PRŮMYSL</c:v>
                </c:pt>
                <c:pt idx="1">
                  <c:v>Zpracovatelský průmysl</c:v>
                </c:pt>
                <c:pt idx="2">
                  <c:v>SLUŽBY</c:v>
                </c:pt>
                <c:pt idx="3">
                  <c:v>Informační a komunikační činnosti</c:v>
                </c:pt>
                <c:pt idx="4">
                  <c:v>Peněžnictví a pojišťovnictví</c:v>
                </c:pt>
                <c:pt idx="5">
                  <c:v>Vědecké a technické činnosti</c:v>
                </c:pt>
              </c:strCache>
            </c:strRef>
          </c:cat>
          <c:val>
            <c:numRef>
              <c:f>'G27'!$B$13:$B$18</c:f>
              <c:numCache>
                <c:formatCode>0.0%</c:formatCode>
                <c:ptCount val="6"/>
                <c:pt idx="0">
                  <c:v>0.33183431382008594</c:v>
                </c:pt>
                <c:pt idx="1">
                  <c:v>0.34411848539073497</c:v>
                </c:pt>
                <c:pt idx="2">
                  <c:v>0.26622791411115793</c:v>
                </c:pt>
                <c:pt idx="3">
                  <c:v>0.443977961345348</c:v>
                </c:pt>
                <c:pt idx="4">
                  <c:v>0.354585986858035</c:v>
                </c:pt>
                <c:pt idx="5">
                  <c:v>0.32361757227788401</c:v>
                </c:pt>
              </c:numCache>
            </c:numRef>
          </c:val>
          <c:extLst>
            <c:ext xmlns:c16="http://schemas.microsoft.com/office/drawing/2014/chart" uri="{C3380CC4-5D6E-409C-BE32-E72D297353CC}">
              <c16:uniqueId val="{00000000-96BF-4B80-9611-08A5AAEE7770}"/>
            </c:ext>
          </c:extLst>
        </c:ser>
        <c:ser>
          <c:idx val="1"/>
          <c:order val="1"/>
          <c:tx>
            <c:strRef>
              <c:f>'G27'!$C$12</c:f>
              <c:strCache>
                <c:ptCount val="1"/>
                <c:pt idx="0">
                  <c:v> Zpracování podnikových informací</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'G27'!$A$13:$A$18</c:f>
              <c:strCache>
                <c:ptCount val="6"/>
                <c:pt idx="0">
                  <c:v>PRŮMYSL</c:v>
                </c:pt>
                <c:pt idx="1">
                  <c:v>Zpracovatelský průmysl</c:v>
                </c:pt>
                <c:pt idx="2">
                  <c:v>SLUŽBY</c:v>
                </c:pt>
                <c:pt idx="3">
                  <c:v>Informační a komunikační činnosti</c:v>
                </c:pt>
                <c:pt idx="4">
                  <c:v>Peněžnictví a pojišťovnictví</c:v>
                </c:pt>
                <c:pt idx="5">
                  <c:v>Vědecké a technické činnosti</c:v>
                </c:pt>
              </c:strCache>
            </c:strRef>
          </c:cat>
          <c:val>
            <c:numRef>
              <c:f>'G27'!$C$13:$C$18</c:f>
              <c:numCache>
                <c:formatCode>0.0%</c:formatCode>
                <c:ptCount val="6"/>
                <c:pt idx="0">
                  <c:v>0.27939562918690969</c:v>
                </c:pt>
                <c:pt idx="1">
                  <c:v>0.284299585675032</c:v>
                </c:pt>
                <c:pt idx="2">
                  <c:v>0.31779319877307699</c:v>
                </c:pt>
                <c:pt idx="3">
                  <c:v>0.55650905739533396</c:v>
                </c:pt>
                <c:pt idx="4">
                  <c:v>0.45674808452805898</c:v>
                </c:pt>
                <c:pt idx="5">
                  <c:v>0.33097869968714899</c:v>
                </c:pt>
              </c:numCache>
            </c:numRef>
          </c:val>
          <c:extLst>
            <c:ext xmlns:c16="http://schemas.microsoft.com/office/drawing/2014/chart" uri="{C3380CC4-5D6E-409C-BE32-E72D297353CC}">
              <c16:uniqueId val="{00000001-96BF-4B80-9611-08A5AAEE7770}"/>
            </c:ext>
          </c:extLst>
        </c:ser>
        <c:ser>
          <c:idx val="2"/>
          <c:order val="2"/>
          <c:tx>
            <c:strRef>
              <c:f>'G27'!$D$12</c:f>
              <c:strCache>
                <c:ptCount val="1"/>
                <c:pt idx="0">
                  <c:v> Logistické činnosti</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'G27'!$A$13:$A$18</c:f>
              <c:strCache>
                <c:ptCount val="6"/>
                <c:pt idx="0">
                  <c:v>PRŮMYSL</c:v>
                </c:pt>
                <c:pt idx="1">
                  <c:v>Zpracovatelský průmysl</c:v>
                </c:pt>
                <c:pt idx="2">
                  <c:v>SLUŽBY</c:v>
                </c:pt>
                <c:pt idx="3">
                  <c:v>Informační a komunikační činnosti</c:v>
                </c:pt>
                <c:pt idx="4">
                  <c:v>Peněžnictví a pojišťovnictví</c:v>
                </c:pt>
                <c:pt idx="5">
                  <c:v>Vědecké a technické činnosti</c:v>
                </c:pt>
              </c:strCache>
            </c:strRef>
          </c:cat>
          <c:val>
            <c:numRef>
              <c:f>'G27'!$D$13:$D$18</c:f>
              <c:numCache>
                <c:formatCode>0.0%</c:formatCode>
                <c:ptCount val="6"/>
                <c:pt idx="0">
                  <c:v>0.23334299151516294</c:v>
                </c:pt>
                <c:pt idx="1">
                  <c:v>0.24153566161738901</c:v>
                </c:pt>
                <c:pt idx="2">
                  <c:v>0.20529722599302397</c:v>
                </c:pt>
                <c:pt idx="3">
                  <c:v>0.14709523752307299</c:v>
                </c:pt>
                <c:pt idx="4">
                  <c:v>8.6872075985524294E-2</c:v>
                </c:pt>
                <c:pt idx="5">
                  <c:v>9.9241267648457504E-2</c:v>
                </c:pt>
              </c:numCache>
            </c:numRef>
          </c:val>
          <c:extLst>
            <c:ext xmlns:c16="http://schemas.microsoft.com/office/drawing/2014/chart" uri="{C3380CC4-5D6E-409C-BE32-E72D297353CC}">
              <c16:uniqueId val="{00000002-96BF-4B80-9611-08A5AAEE7770}"/>
            </c:ext>
          </c:extLst>
        </c:ser>
        <c:ser>
          <c:idx val="3"/>
          <c:order val="3"/>
          <c:tx>
            <c:strRef>
              <c:f>'G27'!$E$12</c:f>
              <c:strCache>
                <c:ptCount val="1"/>
                <c:pt idx="0">
                  <c:v> Administrativa či účetnictví</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'G27'!$A$13:$A$18</c:f>
              <c:strCache>
                <c:ptCount val="6"/>
                <c:pt idx="0">
                  <c:v>PRŮMYSL</c:v>
                </c:pt>
                <c:pt idx="1">
                  <c:v>Zpracovatelský průmysl</c:v>
                </c:pt>
                <c:pt idx="2">
                  <c:v>SLUŽBY</c:v>
                </c:pt>
                <c:pt idx="3">
                  <c:v>Informační a komunikační činnosti</c:v>
                </c:pt>
                <c:pt idx="4">
                  <c:v>Peněžnictví a pojišťovnictví</c:v>
                </c:pt>
                <c:pt idx="5">
                  <c:v>Vědecké a technické činnosti</c:v>
                </c:pt>
              </c:strCache>
            </c:strRef>
          </c:cat>
          <c:val>
            <c:numRef>
              <c:f>'G27'!$E$13:$E$18</c:f>
              <c:numCache>
                <c:formatCode>0.0%</c:formatCode>
                <c:ptCount val="6"/>
                <c:pt idx="0">
                  <c:v>0.21650290060173819</c:v>
                </c:pt>
                <c:pt idx="1">
                  <c:v>0.21831552096454199</c:v>
                </c:pt>
                <c:pt idx="2">
                  <c:v>0.25945360635891718</c:v>
                </c:pt>
                <c:pt idx="3">
                  <c:v>0.34333559292478799</c:v>
                </c:pt>
                <c:pt idx="4">
                  <c:v>0.37551243137597801</c:v>
                </c:pt>
                <c:pt idx="5">
                  <c:v>0.268502018680567</c:v>
                </c:pt>
              </c:numCache>
            </c:numRef>
          </c:val>
          <c:extLst>
            <c:ext xmlns:c16="http://schemas.microsoft.com/office/drawing/2014/chart" uri="{C3380CC4-5D6E-409C-BE32-E72D297353CC}">
              <c16:uniqueId val="{00000003-96BF-4B80-9611-08A5AAEE7770}"/>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70000000000000007"/>
        </c:scaling>
        <c:delete val="1"/>
        <c:axPos val="l"/>
        <c:numFmt formatCode="0%" sourceLinked="0"/>
        <c:majorTickMark val="out"/>
        <c:minorTickMark val="none"/>
        <c:tickLblPos val="nextTo"/>
        <c:crossAx val="1179695728"/>
        <c:crosses val="autoZero"/>
        <c:crossBetween val="between"/>
        <c:majorUnit val="0.1"/>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'G28'!$B$12</c:f>
              <c:strCache>
                <c:ptCount val="1"/>
                <c:pt idx="0">
                  <c:v>Propagace nebo reklama</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'G28'!$A$13:$A$18</c:f>
              <c:strCache>
                <c:ptCount val="6"/>
                <c:pt idx="0">
                  <c:v>PODNIKY 
CELKEM</c:v>
                </c:pt>
                <c:pt idx="1">
                  <c:v>Malé 
podniky</c:v>
                </c:pt>
                <c:pt idx="2">
                  <c:v>Střední 
podniky</c:v>
                </c:pt>
                <c:pt idx="3">
                  <c:v>Velké 
podniky</c:v>
                </c:pt>
                <c:pt idx="4">
                  <c:v>Domácí 
podniky</c:v>
                </c:pt>
                <c:pt idx="5">
                  <c:v>Zahraniční 
podniky</c:v>
                </c:pt>
              </c:strCache>
            </c:strRef>
          </c:cat>
          <c:val>
            <c:numRef>
              <c:f>'G28'!$B$13:$B$18</c:f>
              <c:numCache>
                <c:formatCode>0.0%</c:formatCode>
                <c:ptCount val="6"/>
                <c:pt idx="0">
                  <c:v>0.225979347712636</c:v>
                </c:pt>
                <c:pt idx="1">
                  <c:v>0.211150699612386</c:v>
                </c:pt>
                <c:pt idx="2">
                  <c:v>0.25812908026292603</c:v>
                </c:pt>
                <c:pt idx="3">
                  <c:v>0.311001963964252</c:v>
                </c:pt>
                <c:pt idx="4">
                  <c:v>0.22272867994461701</c:v>
                </c:pt>
                <c:pt idx="5">
                  <c:v>0.24035171135994801</c:v>
                </c:pt>
              </c:numCache>
            </c:numRef>
          </c:val>
          <c:extLst>
            <c:ext xmlns:c16="http://schemas.microsoft.com/office/drawing/2014/chart" uri="{C3380CC4-5D6E-409C-BE32-E72D297353CC}">
              <c16:uniqueId val="{00000000-D87B-4972-A9BD-0669C1E2B5E8}"/>
            </c:ext>
          </c:extLst>
        </c:ser>
        <c:ser>
          <c:idx val="1"/>
          <c:order val="1"/>
          <c:tx>
            <c:strRef>
              <c:f>'G28'!$C$12</c:f>
              <c:strCache>
                <c:ptCount val="1"/>
                <c:pt idx="0">
                  <c:v>Cenová strategie</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'G28'!$A$13:$A$18</c:f>
              <c:strCache>
                <c:ptCount val="6"/>
                <c:pt idx="0">
                  <c:v>PODNIKY 
CELKEM</c:v>
                </c:pt>
                <c:pt idx="1">
                  <c:v>Malé 
podniky</c:v>
                </c:pt>
                <c:pt idx="2">
                  <c:v>Střední 
podniky</c:v>
                </c:pt>
                <c:pt idx="3">
                  <c:v>Velké 
podniky</c:v>
                </c:pt>
                <c:pt idx="4">
                  <c:v>Domácí 
podniky</c:v>
                </c:pt>
                <c:pt idx="5">
                  <c:v>Zahraniční 
podniky</c:v>
                </c:pt>
              </c:strCache>
            </c:strRef>
          </c:cat>
          <c:val>
            <c:numRef>
              <c:f>'G28'!$C$13:$C$18</c:f>
              <c:numCache>
                <c:formatCode>0.0%</c:formatCode>
                <c:ptCount val="6"/>
                <c:pt idx="0">
                  <c:v>0.15552446696283001</c:v>
                </c:pt>
                <c:pt idx="1">
                  <c:v>0.15127715205709399</c:v>
                </c:pt>
                <c:pt idx="2">
                  <c:v>0.157875960725917</c:v>
                </c:pt>
                <c:pt idx="3">
                  <c:v>0.20644511965746101</c:v>
                </c:pt>
                <c:pt idx="4">
                  <c:v>0.150601243480602</c:v>
                </c:pt>
                <c:pt idx="5">
                  <c:v>0.17729179701720099</c:v>
                </c:pt>
              </c:numCache>
            </c:numRef>
          </c:val>
          <c:extLst>
            <c:ext xmlns:c16="http://schemas.microsoft.com/office/drawing/2014/chart" uri="{C3380CC4-5D6E-409C-BE32-E72D297353CC}">
              <c16:uniqueId val="{00000001-D87B-4972-A9BD-0669C1E2B5E8}"/>
            </c:ext>
          </c:extLst>
        </c:ser>
        <c:ser>
          <c:idx val="2"/>
          <c:order val="2"/>
          <c:tx>
            <c:strRef>
              <c:f>'G28'!$D$12</c:f>
              <c:strCache>
                <c:ptCount val="1"/>
                <c:pt idx="0">
                  <c:v>Způsob prodeje</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'G28'!$A$13:$A$18</c:f>
              <c:strCache>
                <c:ptCount val="6"/>
                <c:pt idx="0">
                  <c:v>PODNIKY 
CELKEM</c:v>
                </c:pt>
                <c:pt idx="1">
                  <c:v>Malé 
podniky</c:v>
                </c:pt>
                <c:pt idx="2">
                  <c:v>Střední 
podniky</c:v>
                </c:pt>
                <c:pt idx="3">
                  <c:v>Velké 
podniky</c:v>
                </c:pt>
                <c:pt idx="4">
                  <c:v>Domácí 
podniky</c:v>
                </c:pt>
                <c:pt idx="5">
                  <c:v>Zahraniční 
podniky</c:v>
                </c:pt>
              </c:strCache>
            </c:strRef>
          </c:cat>
          <c:val>
            <c:numRef>
              <c:f>'G28'!$D$13:$D$18</c:f>
              <c:numCache>
                <c:formatCode>0.0%</c:formatCode>
                <c:ptCount val="6"/>
                <c:pt idx="0">
                  <c:v>0.127531282117266</c:v>
                </c:pt>
                <c:pt idx="1">
                  <c:v>0.119865452034065</c:v>
                </c:pt>
                <c:pt idx="2">
                  <c:v>0.142229551447665</c:v>
                </c:pt>
                <c:pt idx="3">
                  <c:v>0.178931077897973</c:v>
                </c:pt>
                <c:pt idx="4">
                  <c:v>0.121022398720565</c:v>
                </c:pt>
                <c:pt idx="5">
                  <c:v>0.15630938120069399</c:v>
                </c:pt>
              </c:numCache>
            </c:numRef>
          </c:val>
          <c:extLst>
            <c:ext xmlns:c16="http://schemas.microsoft.com/office/drawing/2014/chart" uri="{C3380CC4-5D6E-409C-BE32-E72D297353CC}">
              <c16:uniqueId val="{00000002-D87B-4972-A9BD-0669C1E2B5E8}"/>
            </c:ext>
          </c:extLst>
        </c:ser>
        <c:ser>
          <c:idx val="3"/>
          <c:order val="3"/>
          <c:tx>
            <c:strRef>
              <c:f>'G28'!$E$12</c:f>
              <c:strCache>
                <c:ptCount val="1"/>
                <c:pt idx="0">
                  <c:v>Estetický design produktů</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'G28'!$A$13:$A$18</c:f>
              <c:strCache>
                <c:ptCount val="6"/>
                <c:pt idx="0">
                  <c:v>PODNIKY 
CELKEM</c:v>
                </c:pt>
                <c:pt idx="1">
                  <c:v>Malé 
podniky</c:v>
                </c:pt>
                <c:pt idx="2">
                  <c:v>Střední 
podniky</c:v>
                </c:pt>
                <c:pt idx="3">
                  <c:v>Velké 
podniky</c:v>
                </c:pt>
                <c:pt idx="4">
                  <c:v>Domácí 
podniky</c:v>
                </c:pt>
                <c:pt idx="5">
                  <c:v>Zahraniční 
podniky</c:v>
                </c:pt>
              </c:strCache>
            </c:strRef>
          </c:cat>
          <c:val>
            <c:numRef>
              <c:f>'G28'!$E$13:$E$18</c:f>
              <c:numCache>
                <c:formatCode>0.0%</c:formatCode>
                <c:ptCount val="6"/>
                <c:pt idx="0">
                  <c:v>0.124993871410826</c:v>
                </c:pt>
                <c:pt idx="1">
                  <c:v>0.110655412963893</c:v>
                </c:pt>
                <c:pt idx="2">
                  <c:v>0.15354737571767499</c:v>
                </c:pt>
                <c:pt idx="3">
                  <c:v>0.21702190951376299</c:v>
                </c:pt>
                <c:pt idx="4">
                  <c:v>0.124101002834955</c:v>
                </c:pt>
                <c:pt idx="5">
                  <c:v>0.12894156240155999</c:v>
                </c:pt>
              </c:numCache>
            </c:numRef>
          </c:val>
          <c:extLst>
            <c:ext xmlns:c16="http://schemas.microsoft.com/office/drawing/2014/chart" uri="{C3380CC4-5D6E-409C-BE32-E72D297353CC}">
              <c16:uniqueId val="{00000003-D87B-4972-A9BD-0669C1E2B5E8}"/>
            </c:ext>
          </c:extLst>
        </c:ser>
        <c:ser>
          <c:idx val="4"/>
          <c:order val="4"/>
          <c:tx>
            <c:strRef>
              <c:f>'G28'!$F$12</c:f>
              <c:strCache>
                <c:ptCount val="1"/>
                <c:pt idx="0">
                  <c:v>Balení produktu</c:v>
                </c:pt>
              </c:strCache>
            </c:strRef>
          </c:tx>
          <c:spPr>
            <a:solidFill>
              <a:schemeClr val="accent5">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'G28'!$A$13:$A$18</c:f>
              <c:strCache>
                <c:ptCount val="6"/>
                <c:pt idx="0">
                  <c:v>PODNIKY 
CELKEM</c:v>
                </c:pt>
                <c:pt idx="1">
                  <c:v>Malé 
podniky</c:v>
                </c:pt>
                <c:pt idx="2">
                  <c:v>Střední 
podniky</c:v>
                </c:pt>
                <c:pt idx="3">
                  <c:v>Velké 
podniky</c:v>
                </c:pt>
                <c:pt idx="4">
                  <c:v>Domácí 
podniky</c:v>
                </c:pt>
                <c:pt idx="5">
                  <c:v>Zahraniční 
podniky</c:v>
                </c:pt>
              </c:strCache>
            </c:strRef>
          </c:cat>
          <c:val>
            <c:numRef>
              <c:f>'G28'!$F$13:$F$18</c:f>
              <c:numCache>
                <c:formatCode>0.0%</c:formatCode>
                <c:ptCount val="6"/>
                <c:pt idx="0">
                  <c:v>0.112808170070111</c:v>
                </c:pt>
                <c:pt idx="1">
                  <c:v>9.7992725471895803E-2</c:v>
                </c:pt>
                <c:pt idx="2">
                  <c:v>0.146264240348807</c:v>
                </c:pt>
                <c:pt idx="3">
                  <c:v>0.19258269456150101</c:v>
                </c:pt>
                <c:pt idx="4">
                  <c:v>0.106847149429683</c:v>
                </c:pt>
                <c:pt idx="5">
                  <c:v>0.139163972159838</c:v>
                </c:pt>
              </c:numCache>
            </c:numRef>
          </c:val>
          <c:extLst>
            <c:ext xmlns:c16="http://schemas.microsoft.com/office/drawing/2014/chart" uri="{C3380CC4-5D6E-409C-BE32-E72D297353CC}">
              <c16:uniqueId val="{00000004-D87B-4972-A9BD-0669C1E2B5E8}"/>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5"/>
        </c:scaling>
        <c:delete val="1"/>
        <c:axPos val="l"/>
        <c:numFmt formatCode="0%" sourceLinked="0"/>
        <c:majorTickMark val="out"/>
        <c:minorTickMark val="none"/>
        <c:tickLblPos val="nextTo"/>
        <c:crossAx val="1179695728"/>
        <c:crosses val="autoZero"/>
        <c:crossBetween val="between"/>
        <c:majorUnit val="0.1"/>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'G29'!$B$16</c:f>
              <c:strCache>
                <c:ptCount val="1"/>
                <c:pt idx="0">
                  <c:v>Ostatní podnikové činnosti</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'G29'!$A$17:$A$22</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'G29'!$B$17:$B$22</c:f>
              <c:numCache>
                <c:formatCode>0.0%</c:formatCode>
                <c:ptCount val="6"/>
                <c:pt idx="0">
                  <c:v>0.23396885936098699</c:v>
                </c:pt>
                <c:pt idx="1">
                  <c:v>0.19874983198142099</c:v>
                </c:pt>
                <c:pt idx="2">
                  <c:v>0.31289384394151598</c:v>
                </c:pt>
                <c:pt idx="3">
                  <c:v>0.42595638310664502</c:v>
                </c:pt>
                <c:pt idx="4">
                  <c:v>0.21068657222345799</c:v>
                </c:pt>
                <c:pt idx="5">
                  <c:v>0.33690816942331703</c:v>
                </c:pt>
              </c:numCache>
            </c:numRef>
          </c:val>
          <c:extLst>
            <c:ext xmlns:c16="http://schemas.microsoft.com/office/drawing/2014/chart" uri="{C3380CC4-5D6E-409C-BE32-E72D297353CC}">
              <c16:uniqueId val="{00000000-2CA4-420E-8A57-6701A84245E6}"/>
            </c:ext>
          </c:extLst>
        </c:ser>
        <c:ser>
          <c:idx val="1"/>
          <c:order val="1"/>
          <c:tx>
            <c:strRef>
              <c:f>'G29'!$C$16</c:f>
              <c:strCache>
                <c:ptCount val="1"/>
                <c:pt idx="0">
                  <c:v>Outsourcing podnikových činností</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'G29'!$A$17:$A$22</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'G29'!$C$17:$C$22</c:f>
              <c:numCache>
                <c:formatCode>0.0%</c:formatCode>
                <c:ptCount val="6"/>
                <c:pt idx="0">
                  <c:v>0.211512050754109</c:v>
                </c:pt>
                <c:pt idx="1">
                  <c:v>0.17383047174977401</c:v>
                </c:pt>
                <c:pt idx="2">
                  <c:v>0.30613920397636601</c:v>
                </c:pt>
                <c:pt idx="3">
                  <c:v>0.37746646462799199</c:v>
                </c:pt>
                <c:pt idx="4">
                  <c:v>0.18037188915528299</c:v>
                </c:pt>
                <c:pt idx="5">
                  <c:v>0.34919383138319099</c:v>
                </c:pt>
              </c:numCache>
            </c:numRef>
          </c:val>
          <c:extLst>
            <c:ext xmlns:c16="http://schemas.microsoft.com/office/drawing/2014/chart" uri="{C3380CC4-5D6E-409C-BE32-E72D297353CC}">
              <c16:uniqueId val="{00000001-2CA4-420E-8A57-6701A84245E6}"/>
            </c:ext>
          </c:extLst>
        </c:ser>
        <c:ser>
          <c:idx val="2"/>
          <c:order val="2"/>
          <c:tx>
            <c:strRef>
              <c:f>'G29'!$D$16</c:f>
              <c:strCache>
                <c:ptCount val="1"/>
                <c:pt idx="0">
                  <c:v>Lidské zdroje</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'G29'!$A$17:$A$22</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'G29'!$D$17:$D$22</c:f>
              <c:numCache>
                <c:formatCode>0.0%</c:formatCode>
                <c:ptCount val="6"/>
                <c:pt idx="0">
                  <c:v>0.20406481484547701</c:v>
                </c:pt>
                <c:pt idx="1">
                  <c:v>0.169834280093942</c:v>
                </c:pt>
                <c:pt idx="2">
                  <c:v>0.27310675214855401</c:v>
                </c:pt>
                <c:pt idx="3">
                  <c:v>0.42037334181341901</c:v>
                </c:pt>
                <c:pt idx="4">
                  <c:v>0.18461341368831499</c:v>
                </c:pt>
                <c:pt idx="5">
                  <c:v>0.29006640923507199</c:v>
                </c:pt>
              </c:numCache>
            </c:numRef>
          </c:val>
          <c:extLst>
            <c:ext xmlns:c16="http://schemas.microsoft.com/office/drawing/2014/chart" uri="{C3380CC4-5D6E-409C-BE32-E72D297353CC}">
              <c16:uniqueId val="{00000002-2CA4-420E-8A57-6701A84245E6}"/>
            </c:ext>
          </c:extLst>
        </c:ser>
        <c:ser>
          <c:idx val="3"/>
          <c:order val="3"/>
          <c:tx>
            <c:strRef>
              <c:f>'G29'!$E$16</c:f>
              <c:strCache>
                <c:ptCount val="1"/>
                <c:pt idx="0">
                  <c:v>Dodavatelsko-odběratelské vztahy</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'G29'!$A$17:$A$22</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'G29'!$E$17:$E$22</c:f>
              <c:numCache>
                <c:formatCode>0.0%</c:formatCode>
                <c:ptCount val="6"/>
                <c:pt idx="0">
                  <c:v>0.18737553458661299</c:v>
                </c:pt>
                <c:pt idx="1">
                  <c:v>0.17245282778991</c:v>
                </c:pt>
                <c:pt idx="2">
                  <c:v>0.21394139285640401</c:v>
                </c:pt>
                <c:pt idx="3">
                  <c:v>0.29536258851427499</c:v>
                </c:pt>
                <c:pt idx="4">
                  <c:v>0.17562859088344901</c:v>
                </c:pt>
                <c:pt idx="5">
                  <c:v>0.23931296981373801</c:v>
                </c:pt>
              </c:numCache>
            </c:numRef>
          </c:val>
          <c:extLst>
            <c:ext xmlns:c16="http://schemas.microsoft.com/office/drawing/2014/chart" uri="{C3380CC4-5D6E-409C-BE32-E72D297353CC}">
              <c16:uniqueId val="{00000003-2CA4-420E-8A57-6701A84245E6}"/>
            </c:ext>
          </c:extLst>
        </c:ser>
        <c:ser>
          <c:idx val="4"/>
          <c:order val="4"/>
          <c:tx>
            <c:strRef>
              <c:f>'G29'!$F$16</c:f>
              <c:strCache>
                <c:ptCount val="1"/>
                <c:pt idx="0">
                  <c:v>Spolupráce s jinými subjekty</c:v>
                </c:pt>
              </c:strCache>
            </c:strRef>
          </c:tx>
          <c:spPr>
            <a:solidFill>
              <a:schemeClr val="accent5">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'G29'!$A$17:$A$22</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'G29'!$F$17:$F$22</c:f>
              <c:numCache>
                <c:formatCode>0.0%</c:formatCode>
                <c:ptCount val="6"/>
                <c:pt idx="0">
                  <c:v>9.4814318264908895E-2</c:v>
                </c:pt>
                <c:pt idx="1">
                  <c:v>8.7564276167798896E-2</c:v>
                </c:pt>
                <c:pt idx="2">
                  <c:v>0.103135166350352</c:v>
                </c:pt>
                <c:pt idx="3">
                  <c:v>0.16504700693805599</c:v>
                </c:pt>
                <c:pt idx="4">
                  <c:v>8.9282065506169905E-2</c:v>
                </c:pt>
                <c:pt idx="5">
                  <c:v>0.11927438435339199</c:v>
                </c:pt>
              </c:numCache>
            </c:numRef>
          </c:val>
          <c:extLst>
            <c:ext xmlns:c16="http://schemas.microsoft.com/office/drawing/2014/chart" uri="{C3380CC4-5D6E-409C-BE32-E72D297353CC}">
              <c16:uniqueId val="{00000004-2CA4-420E-8A57-6701A84245E6}"/>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60000000000000009"/>
        </c:scaling>
        <c:delete val="1"/>
        <c:axPos val="l"/>
        <c:numFmt formatCode="0%" sourceLinked="0"/>
        <c:majorTickMark val="out"/>
        <c:minorTickMark val="none"/>
        <c:tickLblPos val="nextTo"/>
        <c:crossAx val="1179695728"/>
        <c:crosses val="autoZero"/>
        <c:crossBetween val="between"/>
        <c:majorUnit val="0.1"/>
      </c:valAx>
      <c:spPr>
        <a:noFill/>
        <a:ln>
          <a:solidFill>
            <a:schemeClr val="bg1">
              <a:lumMod val="50000"/>
            </a:schemeClr>
          </a:solidFill>
        </a:ln>
        <a:effectLst/>
      </c:spPr>
    </c:plotArea>
    <c:legend>
      <c:legendPos val="b"/>
      <c:layout>
        <c:manualLayout>
          <c:xMode val="edge"/>
          <c:yMode val="edge"/>
          <c:x val="0.15651830065359479"/>
          <c:y val="0.82768730158730164"/>
          <c:w val="0.79279656862745118"/>
          <c:h val="0.14207460317460319"/>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'G30'!$B$11</c:f>
              <c:strCache>
                <c:ptCount val="1"/>
                <c:pt idx="0">
                  <c:v> Ve vlastní režii</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'G30'!$A$12:$A$17</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'G30'!$B$12:$B$17</c:f>
              <c:numCache>
                <c:formatCode>0.0%</c:formatCode>
                <c:ptCount val="6"/>
                <c:pt idx="0">
                  <c:v>0.72891667457386899</c:v>
                </c:pt>
                <c:pt idx="1">
                  <c:v>0.75432969260369598</c:v>
                </c:pt>
                <c:pt idx="2">
                  <c:v>0.68122181252346703</c:v>
                </c:pt>
                <c:pt idx="3">
                  <c:v>0.65365324938087899</c:v>
                </c:pt>
                <c:pt idx="4">
                  <c:v>0.78340448809650398</c:v>
                </c:pt>
                <c:pt idx="5">
                  <c:v>0.54096177412791702</c:v>
                </c:pt>
              </c:numCache>
            </c:numRef>
          </c:val>
          <c:extLst>
            <c:ext xmlns:c16="http://schemas.microsoft.com/office/drawing/2014/chart" uri="{C3380CC4-5D6E-409C-BE32-E72D297353CC}">
              <c16:uniqueId val="{00000000-5047-4A40-B9AC-6C3BD6D44C97}"/>
            </c:ext>
          </c:extLst>
        </c:ser>
        <c:ser>
          <c:idx val="1"/>
          <c:order val="1"/>
          <c:tx>
            <c:strRef>
              <c:f>'G30'!$C$11</c:f>
              <c:strCache>
                <c:ptCount val="1"/>
                <c:pt idx="0">
                  <c:v> Ve spolupráci v rámci podnikové skupiny</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'G30'!$A$12:$A$17</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'G30'!$C$12:$C$17</c:f>
              <c:numCache>
                <c:formatCode>0.0%</c:formatCode>
                <c:ptCount val="6"/>
                <c:pt idx="0">
                  <c:v>0.204098745516507</c:v>
                </c:pt>
                <c:pt idx="1">
                  <c:v>0.13063514328539999</c:v>
                </c:pt>
                <c:pt idx="2">
                  <c:v>0.30289803621337502</c:v>
                </c:pt>
                <c:pt idx="3">
                  <c:v>0.54342610437301897</c:v>
                </c:pt>
                <c:pt idx="4">
                  <c:v>9.5837612486347007E-2</c:v>
                </c:pt>
                <c:pt idx="5">
                  <c:v>0.577543909954914</c:v>
                </c:pt>
              </c:numCache>
            </c:numRef>
          </c:val>
          <c:extLst>
            <c:ext xmlns:c16="http://schemas.microsoft.com/office/drawing/2014/chart" uri="{C3380CC4-5D6E-409C-BE32-E72D297353CC}">
              <c16:uniqueId val="{00000001-5047-4A40-B9AC-6C3BD6D44C97}"/>
            </c:ext>
          </c:extLst>
        </c:ser>
        <c:ser>
          <c:idx val="2"/>
          <c:order val="2"/>
          <c:tx>
            <c:strRef>
              <c:f>'G30'!$D$11</c:f>
              <c:strCache>
                <c:ptCount val="1"/>
                <c:pt idx="0">
                  <c:v> Ve spolupráci s ostatními podniky</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'G30'!$A$12:$A$17</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'G30'!$D$12:$D$17</c:f>
              <c:numCache>
                <c:formatCode>0.0%</c:formatCode>
                <c:ptCount val="6"/>
                <c:pt idx="0">
                  <c:v>0.13476950450769901</c:v>
                </c:pt>
                <c:pt idx="1">
                  <c:v>0.11167679963036301</c:v>
                </c:pt>
                <c:pt idx="2">
                  <c:v>0.168505950576161</c:v>
                </c:pt>
                <c:pt idx="3">
                  <c:v>0.23308489148417599</c:v>
                </c:pt>
                <c:pt idx="4">
                  <c:v>0.131983185043061</c:v>
                </c:pt>
                <c:pt idx="5">
                  <c:v>0.14438087196271601</c:v>
                </c:pt>
              </c:numCache>
            </c:numRef>
          </c:val>
          <c:extLst>
            <c:ext xmlns:c16="http://schemas.microsoft.com/office/drawing/2014/chart" uri="{C3380CC4-5D6E-409C-BE32-E72D297353CC}">
              <c16:uniqueId val="{00000002-5047-4A40-B9AC-6C3BD6D44C97}"/>
            </c:ext>
          </c:extLst>
        </c:ser>
        <c:ser>
          <c:idx val="3"/>
          <c:order val="3"/>
          <c:tx>
            <c:strRef>
              <c:f>'G30'!$E$11</c:f>
              <c:strCache>
                <c:ptCount val="1"/>
                <c:pt idx="0">
                  <c:v> Zadáním vývoje jinému subjektu</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'G30'!$A$12:$A$17</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'G30'!$E$12:$E$17</c:f>
              <c:numCache>
                <c:formatCode>0.0%</c:formatCode>
                <c:ptCount val="6"/>
                <c:pt idx="0">
                  <c:v>7.3472365210145996E-2</c:v>
                </c:pt>
                <c:pt idx="1">
                  <c:v>7.2062164908260701E-2</c:v>
                </c:pt>
                <c:pt idx="2">
                  <c:v>6.7103112624013195E-2</c:v>
                </c:pt>
                <c:pt idx="3">
                  <c:v>0.105741208167123</c:v>
                </c:pt>
                <c:pt idx="4">
                  <c:v>7.6696135431467499E-2</c:v>
                </c:pt>
                <c:pt idx="5">
                  <c:v>6.23520178914303E-2</c:v>
                </c:pt>
              </c:numCache>
            </c:numRef>
          </c:val>
          <c:extLst>
            <c:ext xmlns:c16="http://schemas.microsoft.com/office/drawing/2014/chart" uri="{C3380CC4-5D6E-409C-BE32-E72D297353CC}">
              <c16:uniqueId val="{00000003-5047-4A40-B9AC-6C3BD6D44C97}"/>
            </c:ext>
          </c:extLst>
        </c:ser>
        <c:ser>
          <c:idx val="4"/>
          <c:order val="4"/>
          <c:tx>
            <c:strRef>
              <c:f>'G30'!$F$11</c:f>
              <c:strCache>
                <c:ptCount val="1"/>
                <c:pt idx="0">
                  <c:v> Adaptací produktu vyvinutého jiným subjektem</c:v>
                </c:pt>
              </c:strCache>
            </c:strRef>
          </c:tx>
          <c:spPr>
            <a:solidFill>
              <a:schemeClr val="accent5">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'G30'!$A$12:$A$17</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'G30'!$F$12:$F$17</c:f>
              <c:numCache>
                <c:formatCode>0.0%</c:formatCode>
                <c:ptCount val="6"/>
                <c:pt idx="0">
                  <c:v>3.56746894873676E-2</c:v>
                </c:pt>
                <c:pt idx="1">
                  <c:v>3.4311598328343303E-2</c:v>
                </c:pt>
                <c:pt idx="2">
                  <c:v>3.81911367519297E-2</c:v>
                </c:pt>
                <c:pt idx="3">
                  <c:v>3.9841834481108201E-2</c:v>
                </c:pt>
                <c:pt idx="4">
                  <c:v>3.8559971372969799E-2</c:v>
                </c:pt>
                <c:pt idx="5">
                  <c:v>2.5721952636556099E-2</c:v>
                </c:pt>
              </c:numCache>
            </c:numRef>
          </c:val>
          <c:extLst>
            <c:ext xmlns:c16="http://schemas.microsoft.com/office/drawing/2014/chart" uri="{C3380CC4-5D6E-409C-BE32-E72D297353CC}">
              <c16:uniqueId val="{00000004-5047-4A40-B9AC-6C3BD6D44C97}"/>
            </c:ext>
          </c:extLst>
        </c:ser>
        <c:ser>
          <c:idx val="5"/>
          <c:order val="5"/>
          <c:tx>
            <c:strRef>
              <c:f>'G30'!$G$11</c:f>
              <c:strCache>
                <c:ptCount val="1"/>
                <c:pt idx="0">
                  <c:v> Ve spolupráci s veřejnou VŠ či výzkumnou organizací</c:v>
                </c:pt>
              </c:strCache>
            </c:strRef>
          </c:tx>
          <c:spPr>
            <a:solidFill>
              <a:schemeClr val="accent4">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'G30'!$A$12:$A$17</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'G30'!$G$12:$G$17</c:f>
              <c:numCache>
                <c:formatCode>0.0%</c:formatCode>
                <c:ptCount val="6"/>
                <c:pt idx="0">
                  <c:v>3.1380555676023998E-2</c:v>
                </c:pt>
                <c:pt idx="1">
                  <c:v>2.2588307798842001E-2</c:v>
                </c:pt>
                <c:pt idx="2">
                  <c:v>3.90639358443612E-2</c:v>
                </c:pt>
                <c:pt idx="3">
                  <c:v>8.48949144854102E-2</c:v>
                </c:pt>
                <c:pt idx="4">
                  <c:v>3.3372560580724402E-2</c:v>
                </c:pt>
                <c:pt idx="5">
                  <c:v>2.45091644539247E-2</c:v>
                </c:pt>
              </c:numCache>
            </c:numRef>
          </c:val>
          <c:extLst>
            <c:ext xmlns:c16="http://schemas.microsoft.com/office/drawing/2014/chart" uri="{C3380CC4-5D6E-409C-BE32-E72D297353CC}">
              <c16:uniqueId val="{00000005-5047-4A40-B9AC-6C3BD6D44C97}"/>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1"/>
        </c:scaling>
        <c:delete val="1"/>
        <c:axPos val="l"/>
        <c:numFmt formatCode="0%" sourceLinked="0"/>
        <c:majorTickMark val="out"/>
        <c:minorTickMark val="none"/>
        <c:tickLblPos val="nextTo"/>
        <c:crossAx val="1179695728"/>
        <c:crosses val="autoZero"/>
        <c:crossBetween val="between"/>
      </c:valAx>
      <c:spPr>
        <a:noFill/>
        <a:ln>
          <a:solidFill>
            <a:schemeClr val="bg1">
              <a:lumMod val="50000"/>
            </a:schemeClr>
          </a:solidFill>
        </a:ln>
        <a:effectLst/>
      </c:spPr>
    </c:plotArea>
    <c:legend>
      <c:legendPos val="b"/>
      <c:layout>
        <c:manualLayout>
          <c:xMode val="edge"/>
          <c:yMode val="edge"/>
          <c:x val="7.403169934640523E-2"/>
          <c:y val="0.7781617505035735"/>
          <c:w val="0.90314150326797382"/>
          <c:h val="0.1795704680702335"/>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792741884747029E-2"/>
          <c:y val="5.5436507936507937E-2"/>
          <c:w val="0.94038053793654541"/>
          <c:h val="0.60538134920634923"/>
        </c:manualLayout>
      </c:layout>
      <c:barChart>
        <c:barDir val="col"/>
        <c:grouping val="clustered"/>
        <c:varyColors val="0"/>
        <c:ser>
          <c:idx val="0"/>
          <c:order val="0"/>
          <c:tx>
            <c:strRef>
              <c:f>'G31'!$B$13</c:f>
              <c:strCache>
                <c:ptCount val="1"/>
                <c:pt idx="0">
                  <c:v>Náklady na inovační činnosti celkem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'G31'!$A$14:$A$22</c:f>
              <c:strCache>
                <c:ptCount val="8"/>
                <c:pt idx="0">
                  <c:v>PODNIKY 
CELKEM</c:v>
                </c:pt>
                <c:pt idx="1">
                  <c:v>Malé 
podniky</c:v>
                </c:pt>
                <c:pt idx="2">
                  <c:v>Střední 
podniky</c:v>
                </c:pt>
                <c:pt idx="3">
                  <c:v>Velké 
podniky</c:v>
                </c:pt>
                <c:pt idx="4">
                  <c:v>Domácí 
podniky</c:v>
                </c:pt>
                <c:pt idx="5">
                  <c:v>Podniky pod 
zahraniční kontrolou</c:v>
                </c:pt>
                <c:pt idx="6">
                  <c:v>PRŮMYSL</c:v>
                </c:pt>
                <c:pt idx="7">
                  <c:v>SLUŽBY</c:v>
                </c:pt>
              </c:strCache>
              <c:extLst/>
            </c:strRef>
          </c:cat>
          <c:val>
            <c:numRef>
              <c:f>'G31'!$B$14:$B$22</c:f>
              <c:numCache>
                <c:formatCode>#,##0</c:formatCode>
                <c:ptCount val="8"/>
                <c:pt idx="0">
                  <c:v>266.7518171342</c:v>
                </c:pt>
                <c:pt idx="1">
                  <c:v>32.448186386000003</c:v>
                </c:pt>
                <c:pt idx="2">
                  <c:v>60.440790880400002</c:v>
                </c:pt>
                <c:pt idx="3">
                  <c:v>173.86283986780001</c:v>
                </c:pt>
                <c:pt idx="4">
                  <c:v>94.833752111899997</c:v>
                </c:pt>
                <c:pt idx="5">
                  <c:v>171.9180650223</c:v>
                </c:pt>
                <c:pt idx="6">
                  <c:v>174.11726905310019</c:v>
                </c:pt>
                <c:pt idx="7">
                  <c:v>92.634548081100135</c:v>
                </c:pt>
              </c:numCache>
              <c:extLst/>
            </c:numRef>
          </c:val>
          <c:extLst>
            <c:ext xmlns:c16="http://schemas.microsoft.com/office/drawing/2014/chart" uri="{C3380CC4-5D6E-409C-BE32-E72D297353CC}">
              <c16:uniqueId val="{00000000-CF3D-44A9-A710-4025AEE1D22E}"/>
            </c:ext>
          </c:extLst>
        </c:ser>
        <c:ser>
          <c:idx val="1"/>
          <c:order val="1"/>
          <c:tx>
            <c:strRef>
              <c:f>'G31'!$C$13</c:f>
              <c:strCache>
                <c:ptCount val="1"/>
                <c:pt idx="0">
                  <c:v>z toho náklady na výzkum a vývoj (vlastní a nakoupený)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'G31'!$A$14:$A$22</c:f>
              <c:strCache>
                <c:ptCount val="8"/>
                <c:pt idx="0">
                  <c:v>PODNIKY 
CELKEM</c:v>
                </c:pt>
                <c:pt idx="1">
                  <c:v>Malé 
podniky</c:v>
                </c:pt>
                <c:pt idx="2">
                  <c:v>Střední 
podniky</c:v>
                </c:pt>
                <c:pt idx="3">
                  <c:v>Velké 
podniky</c:v>
                </c:pt>
                <c:pt idx="4">
                  <c:v>Domácí 
podniky</c:v>
                </c:pt>
                <c:pt idx="5">
                  <c:v>Podniky pod 
zahraniční kontrolou</c:v>
                </c:pt>
                <c:pt idx="6">
                  <c:v>PRŮMYSL</c:v>
                </c:pt>
                <c:pt idx="7">
                  <c:v>SLUŽBY</c:v>
                </c:pt>
              </c:strCache>
              <c:extLst/>
            </c:strRef>
          </c:cat>
          <c:val>
            <c:numRef>
              <c:f>'G31'!$C$14:$C$22</c:f>
              <c:numCache>
                <c:formatCode>#,##0</c:formatCode>
                <c:ptCount val="8"/>
                <c:pt idx="0">
                  <c:v>96.451591652800062</c:v>
                </c:pt>
                <c:pt idx="1">
                  <c:v>10.159361389600008</c:v>
                </c:pt>
                <c:pt idx="2">
                  <c:v>21.124895566200003</c:v>
                </c:pt>
                <c:pt idx="3">
                  <c:v>65.167334697000044</c:v>
                </c:pt>
                <c:pt idx="4">
                  <c:v>29.798321947199977</c:v>
                </c:pt>
                <c:pt idx="5">
                  <c:v>66.653269705599996</c:v>
                </c:pt>
                <c:pt idx="6">
                  <c:v>58.543179703000014</c:v>
                </c:pt>
                <c:pt idx="7">
                  <c:v>37.908411949800048</c:v>
                </c:pt>
              </c:numCache>
              <c:extLst/>
            </c:numRef>
          </c:val>
          <c:extLst>
            <c:ext xmlns:c16="http://schemas.microsoft.com/office/drawing/2014/chart" uri="{C3380CC4-5D6E-409C-BE32-E72D297353CC}">
              <c16:uniqueId val="{00000001-CF3D-44A9-A710-4025AEE1D22E}"/>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1"/>
        <c:axPos val="l"/>
        <c:numFmt formatCode="#,##0" sourceLinked="0"/>
        <c:majorTickMark val="out"/>
        <c:minorTickMark val="none"/>
        <c:tickLblPos val="nextTo"/>
        <c:crossAx val="1179695728"/>
        <c:crosses val="autoZero"/>
        <c:crossBetween val="between"/>
      </c:valAx>
      <c:spPr>
        <a:noFill/>
        <a:ln>
          <a:solidFill>
            <a:schemeClr val="bg1">
              <a:lumMod val="50000"/>
            </a:schemeClr>
          </a:solidFill>
        </a:ln>
        <a:effectLst/>
      </c:spPr>
    </c:plotArea>
    <c:legend>
      <c:legendPos val="b"/>
      <c:layout>
        <c:manualLayout>
          <c:xMode val="edge"/>
          <c:yMode val="edge"/>
          <c:x val="0.25820130718954248"/>
          <c:y val="0.86800476190476195"/>
          <c:w val="0.52095016339869293"/>
          <c:h val="9.6717460317460299E-2"/>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'G33'!$B$19</c:f>
              <c:strCache>
                <c:ptCount val="1"/>
                <c:pt idx="0">
                  <c:v> z toho náklady na výzkum a vývoj (vlastní a nakoupený)</c:v>
                </c:pt>
              </c:strCache>
            </c:strRef>
          </c:tx>
          <c:spPr>
            <a:solidFill>
              <a:schemeClr val="accent6"/>
            </a:solidFill>
            <a:ln>
              <a:noFill/>
            </a:ln>
            <a:effectLst/>
          </c:spPr>
          <c:invertIfNegative val="0"/>
          <c:cat>
            <c:strRef>
              <c:f>'G33'!$A$20:$A$33</c:f>
              <c:strCache>
                <c:ptCount val="14"/>
                <c:pt idx="0">
                  <c:v>Textilní, oděvní, kožedělný a obuvnický průmysl /13–15/</c:v>
                </c:pt>
                <c:pt idx="1">
                  <c:v>Farmaceutický průmysl /21/</c:v>
                </c:pt>
                <c:pt idx="2">
                  <c:v>Elektronický průmysl /26/</c:v>
                </c:pt>
                <c:pt idx="3">
                  <c:v>Ostatní odvětví zpracovatelského průmyslu /31–33/</c:v>
                </c:pt>
                <c:pt idx="4">
                  <c:v>Petrochemický a chemický průmysl /19-20/</c:v>
                </c:pt>
                <c:pt idx="5">
                  <c:v>Průmysl skla, keramiky, porcelánu a staveb. hmot /23/</c:v>
                </c:pt>
                <c:pt idx="6">
                  <c:v>Výroba ostatních dopravních prostředků a zařízení /30/</c:v>
                </c:pt>
                <c:pt idx="7">
                  <c:v>Gumárenský a plastový průmysl /22/</c:v>
                </c:pt>
                <c:pt idx="8">
                  <c:v>Potravinářský, nápojový a tabákový průmysl /10–12/</c:v>
                </c:pt>
                <c:pt idx="9">
                  <c:v>Dřevozpracující a papírenský průmysl /16–18/</c:v>
                </c:pt>
                <c:pt idx="10">
                  <c:v>Strojírenský průmysl /28/</c:v>
                </c:pt>
                <c:pt idx="11">
                  <c:v>Elektrotechnický průmysl /27/</c:v>
                </c:pt>
                <c:pt idx="12">
                  <c:v>Výroba kovů, hutních a kovodělných výrobků /24–25/ </c:v>
                </c:pt>
                <c:pt idx="13">
                  <c:v>Automobilový průmysl /29/</c:v>
                </c:pt>
              </c:strCache>
            </c:strRef>
          </c:cat>
          <c:val>
            <c:numRef>
              <c:f>'G33'!$B$20:$B$33</c:f>
              <c:numCache>
                <c:formatCode>0</c:formatCode>
                <c:ptCount val="14"/>
                <c:pt idx="0">
                  <c:v>0.35458657030000018</c:v>
                </c:pt>
                <c:pt idx="1">
                  <c:v>0.73687218220000006</c:v>
                </c:pt>
                <c:pt idx="2">
                  <c:v>3.4377140349999999</c:v>
                </c:pt>
                <c:pt idx="3">
                  <c:v>2.1636547394999992</c:v>
                </c:pt>
                <c:pt idx="4">
                  <c:v>1.2196045703</c:v>
                </c:pt>
                <c:pt idx="5">
                  <c:v>0.78486498059999987</c:v>
                </c:pt>
                <c:pt idx="6">
                  <c:v>3.6949174428000005</c:v>
                </c:pt>
                <c:pt idx="7">
                  <c:v>3.3459668944999992</c:v>
                </c:pt>
                <c:pt idx="8">
                  <c:v>0.84186596920000045</c:v>
                </c:pt>
                <c:pt idx="9">
                  <c:v>0.67752004680000011</c:v>
                </c:pt>
                <c:pt idx="10">
                  <c:v>4.9237845612999998</c:v>
                </c:pt>
                <c:pt idx="11">
                  <c:v>5.6786705572000002</c:v>
                </c:pt>
                <c:pt idx="12">
                  <c:v>2.8274833359999993</c:v>
                </c:pt>
                <c:pt idx="13">
                  <c:v>26.361190767700005</c:v>
                </c:pt>
              </c:numCache>
            </c:numRef>
          </c:val>
          <c:extLst>
            <c:ext xmlns:c16="http://schemas.microsoft.com/office/drawing/2014/chart" uri="{C3380CC4-5D6E-409C-BE32-E72D297353CC}">
              <c16:uniqueId val="{00000000-41FA-4958-B04A-5B4B9937E08E}"/>
            </c:ext>
          </c:extLst>
        </c:ser>
        <c:ser>
          <c:idx val="1"/>
          <c:order val="1"/>
          <c:tx>
            <c:strRef>
              <c:f>'G33'!$C$19</c:f>
              <c:strCache>
                <c:ptCount val="1"/>
                <c:pt idx="0">
                  <c:v> Náklady na inovační činnosti celkem</c:v>
                </c:pt>
              </c:strCache>
            </c:strRef>
          </c:tx>
          <c:spPr>
            <a:solidFill>
              <a:schemeClr val="accent5"/>
            </a:solidFill>
            <a:ln>
              <a:noFill/>
            </a:ln>
            <a:effectLst/>
          </c:spPr>
          <c:invertIfNegative val="0"/>
          <c:dLbls>
            <c:dLbl>
              <c:idx val="13"/>
              <c:layout>
                <c:manualLayout>
                  <c:x val="-3.69253267973857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FA-4958-B04A-5B4B9937E08E}"/>
                </c:ext>
              </c:extLst>
            </c:dLbl>
            <c:spPr>
              <a:solidFill>
                <a:schemeClr val="accent5"/>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Base"/>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'G33'!$A$20:$A$33</c:f>
              <c:strCache>
                <c:ptCount val="14"/>
                <c:pt idx="0">
                  <c:v>Textilní, oděvní, kožedělný a obuvnický průmysl /13–15/</c:v>
                </c:pt>
                <c:pt idx="1">
                  <c:v>Farmaceutický průmysl /21/</c:v>
                </c:pt>
                <c:pt idx="2">
                  <c:v>Elektronický průmysl /26/</c:v>
                </c:pt>
                <c:pt idx="3">
                  <c:v>Ostatní odvětví zpracovatelského průmyslu /31–33/</c:v>
                </c:pt>
                <c:pt idx="4">
                  <c:v>Petrochemický a chemický průmysl /19-20/</c:v>
                </c:pt>
                <c:pt idx="5">
                  <c:v>Průmysl skla, keramiky, porcelánu a staveb. hmot /23/</c:v>
                </c:pt>
                <c:pt idx="6">
                  <c:v>Výroba ostatních dopravních prostředků a zařízení /30/</c:v>
                </c:pt>
                <c:pt idx="7">
                  <c:v>Gumárenský a plastový průmysl /22/</c:v>
                </c:pt>
                <c:pt idx="8">
                  <c:v>Potravinářský, nápojový a tabákový průmysl /10–12/</c:v>
                </c:pt>
                <c:pt idx="9">
                  <c:v>Dřevozpracující a papírenský průmysl /16–18/</c:v>
                </c:pt>
                <c:pt idx="10">
                  <c:v>Strojírenský průmysl /28/</c:v>
                </c:pt>
                <c:pt idx="11">
                  <c:v>Elektrotechnický průmysl /27/</c:v>
                </c:pt>
                <c:pt idx="12">
                  <c:v>Výroba kovů, hutních a kovodělných výrobků /24–25/ </c:v>
                </c:pt>
                <c:pt idx="13">
                  <c:v>Automobilový průmysl /29/</c:v>
                </c:pt>
              </c:strCache>
            </c:strRef>
          </c:cat>
          <c:val>
            <c:numRef>
              <c:f>'G33'!$C$20:$C$33</c:f>
              <c:numCache>
                <c:formatCode>0</c:formatCode>
                <c:ptCount val="14"/>
                <c:pt idx="0">
                  <c:v>1.0504306681000002</c:v>
                </c:pt>
                <c:pt idx="1">
                  <c:v>1.7087468413999998</c:v>
                </c:pt>
                <c:pt idx="2">
                  <c:v>4.8312520502000007</c:v>
                </c:pt>
                <c:pt idx="3">
                  <c:v>5.3054512164000007</c:v>
                </c:pt>
                <c:pt idx="4">
                  <c:v>5.3626693173000008</c:v>
                </c:pt>
                <c:pt idx="5">
                  <c:v>5.740164097900001</c:v>
                </c:pt>
                <c:pt idx="6">
                  <c:v>5.8922630567000001</c:v>
                </c:pt>
                <c:pt idx="7">
                  <c:v>7.6336268415999964</c:v>
                </c:pt>
                <c:pt idx="8">
                  <c:v>9.1169595637000036</c:v>
                </c:pt>
                <c:pt idx="9">
                  <c:v>11.303204663200006</c:v>
                </c:pt>
                <c:pt idx="10">
                  <c:v>12.0883412857</c:v>
                </c:pt>
                <c:pt idx="11">
                  <c:v>13.065163366399997</c:v>
                </c:pt>
                <c:pt idx="12">
                  <c:v>15.511706966700004</c:v>
                </c:pt>
                <c:pt idx="13">
                  <c:v>69.343851050899985</c:v>
                </c:pt>
              </c:numCache>
            </c:numRef>
          </c:val>
          <c:extLst>
            <c:ext xmlns:c16="http://schemas.microsoft.com/office/drawing/2014/chart" uri="{C3380CC4-5D6E-409C-BE32-E72D297353CC}">
              <c16:uniqueId val="{00000002-41FA-4958-B04A-5B4B9937E08E}"/>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30"/>
        </c:scaling>
        <c:delete val="0"/>
        <c:axPos val="b"/>
        <c:majorGridlines>
          <c:spPr>
            <a:ln w="9525" cap="flat" cmpd="sng" algn="ctr">
              <a:solidFill>
                <a:schemeClr val="bg1">
                  <a:lumMod val="75000"/>
                </a:schemeClr>
              </a:solidFill>
              <a:prstDash val="solid"/>
              <a:round/>
            </a:ln>
            <a:effectLst/>
          </c:spPr>
        </c:majorGridlines>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695728"/>
        <c:crosses val="autoZero"/>
        <c:crossBetween val="between"/>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70751633986931E-2"/>
          <c:y val="5.5436507936507937E-2"/>
          <c:w val="0.92170245098039216"/>
          <c:h val="0.60538134920634923"/>
        </c:manualLayout>
      </c:layout>
      <c:barChart>
        <c:barDir val="col"/>
        <c:grouping val="percentStacked"/>
        <c:varyColors val="0"/>
        <c:ser>
          <c:idx val="0"/>
          <c:order val="0"/>
          <c:tx>
            <c:strRef>
              <c:f>'G32'!$B$8</c:f>
              <c:strCache>
                <c:ptCount val="1"/>
                <c:pt idx="0">
                  <c:v> Pořízení budov, strojů, zařízení či softwaru</c:v>
                </c:pt>
              </c:strCache>
            </c:strRef>
          </c:tx>
          <c:spPr>
            <a:solidFill>
              <a:schemeClr val="accent6"/>
            </a:solidFill>
            <a:ln>
              <a:noFill/>
            </a:ln>
            <a:effectLst/>
          </c:spPr>
          <c:invertIfNegative val="0"/>
          <c:cat>
            <c:strRef>
              <c:f>'G32'!$A$9:$A$16</c:f>
              <c:strCache>
                <c:ptCount val="8"/>
                <c:pt idx="0">
                  <c:v>PODNIKY 
CELKEM</c:v>
                </c:pt>
                <c:pt idx="1">
                  <c:v>Malé 
podniky</c:v>
                </c:pt>
                <c:pt idx="2">
                  <c:v>Střední 
podniky</c:v>
                </c:pt>
                <c:pt idx="3">
                  <c:v>Velké 
podniky</c:v>
                </c:pt>
                <c:pt idx="4">
                  <c:v>Domácí 
podniky</c:v>
                </c:pt>
                <c:pt idx="5">
                  <c:v>Podniky pod 
zahraniční kontrolou</c:v>
                </c:pt>
                <c:pt idx="6">
                  <c:v>PRŮMYSL</c:v>
                </c:pt>
                <c:pt idx="7">
                  <c:v>SLUŽBY</c:v>
                </c:pt>
              </c:strCache>
            </c:strRef>
          </c:cat>
          <c:val>
            <c:numRef>
              <c:f>'G32'!$B$9:$B$16</c:f>
              <c:numCache>
                <c:formatCode>#\ ##0.0</c:formatCode>
                <c:ptCount val="8"/>
                <c:pt idx="0">
                  <c:v>141.10549186079999</c:v>
                </c:pt>
                <c:pt idx="1">
                  <c:v>17.848629152500003</c:v>
                </c:pt>
                <c:pt idx="2">
                  <c:v>33.360928215400001</c:v>
                </c:pt>
                <c:pt idx="3">
                  <c:v>89.895934492900011</c:v>
                </c:pt>
                <c:pt idx="4">
                  <c:v>58.637871706799999</c:v>
                </c:pt>
                <c:pt idx="5">
                  <c:v>82.467620154000002</c:v>
                </c:pt>
                <c:pt idx="6">
                  <c:v>94.505435159499996</c:v>
                </c:pt>
                <c:pt idx="7">
                  <c:v>46.600056701299998</c:v>
                </c:pt>
              </c:numCache>
            </c:numRef>
          </c:val>
          <c:extLst>
            <c:ext xmlns:c16="http://schemas.microsoft.com/office/drawing/2014/chart" uri="{C3380CC4-5D6E-409C-BE32-E72D297353CC}">
              <c16:uniqueId val="{00000000-F4FC-4BBA-9D90-AA9FF4573D08}"/>
            </c:ext>
          </c:extLst>
        </c:ser>
        <c:ser>
          <c:idx val="1"/>
          <c:order val="1"/>
          <c:tx>
            <c:strRef>
              <c:f>'G32'!$C$8</c:f>
              <c:strCache>
                <c:ptCount val="1"/>
                <c:pt idx="0">
                  <c:v> Výdaje na vnitroponikový VaV</c:v>
                </c:pt>
              </c:strCache>
            </c:strRef>
          </c:tx>
          <c:spPr>
            <a:solidFill>
              <a:schemeClr val="accent5"/>
            </a:solidFill>
            <a:ln>
              <a:noFill/>
            </a:ln>
            <a:effectLst/>
          </c:spPr>
          <c:invertIfNegative val="0"/>
          <c:cat>
            <c:strRef>
              <c:f>'G32'!$A$9:$A$16</c:f>
              <c:strCache>
                <c:ptCount val="8"/>
                <c:pt idx="0">
                  <c:v>PODNIKY 
CELKEM</c:v>
                </c:pt>
                <c:pt idx="1">
                  <c:v>Malé 
podniky</c:v>
                </c:pt>
                <c:pt idx="2">
                  <c:v>Střední 
podniky</c:v>
                </c:pt>
                <c:pt idx="3">
                  <c:v>Velké 
podniky</c:v>
                </c:pt>
                <c:pt idx="4">
                  <c:v>Domácí 
podniky</c:v>
                </c:pt>
                <c:pt idx="5">
                  <c:v>Podniky pod 
zahraniční kontrolou</c:v>
                </c:pt>
                <c:pt idx="6">
                  <c:v>PRŮMYSL</c:v>
                </c:pt>
                <c:pt idx="7">
                  <c:v>SLUŽBY</c:v>
                </c:pt>
              </c:strCache>
            </c:strRef>
          </c:cat>
          <c:val>
            <c:numRef>
              <c:f>'G32'!$C$9:$C$16</c:f>
              <c:numCache>
                <c:formatCode>#\ ##0.0</c:formatCode>
                <c:ptCount val="8"/>
                <c:pt idx="0">
                  <c:v>68.442956805699993</c:v>
                </c:pt>
                <c:pt idx="1">
                  <c:v>9.1543018234999991</c:v>
                </c:pt>
                <c:pt idx="2">
                  <c:v>18.623349772299999</c:v>
                </c:pt>
                <c:pt idx="3">
                  <c:v>40.665305209899998</c:v>
                </c:pt>
                <c:pt idx="4">
                  <c:v>26.368908560200001</c:v>
                </c:pt>
                <c:pt idx="5">
                  <c:v>42.074048245500002</c:v>
                </c:pt>
                <c:pt idx="6">
                  <c:v>34.804562616299997</c:v>
                </c:pt>
                <c:pt idx="7">
                  <c:v>33.638394189400003</c:v>
                </c:pt>
              </c:numCache>
            </c:numRef>
          </c:val>
          <c:extLst>
            <c:ext xmlns:c16="http://schemas.microsoft.com/office/drawing/2014/chart" uri="{C3380CC4-5D6E-409C-BE32-E72D297353CC}">
              <c16:uniqueId val="{00000001-F4FC-4BBA-9D90-AA9FF4573D08}"/>
            </c:ext>
          </c:extLst>
        </c:ser>
        <c:ser>
          <c:idx val="2"/>
          <c:order val="2"/>
          <c:tx>
            <c:strRef>
              <c:f>'G32'!$D$8</c:f>
              <c:strCache>
                <c:ptCount val="1"/>
                <c:pt idx="0">
                  <c:v> Nákup služeb VaV</c:v>
                </c:pt>
              </c:strCache>
            </c:strRef>
          </c:tx>
          <c:spPr>
            <a:solidFill>
              <a:schemeClr val="accent4"/>
            </a:solidFill>
            <a:ln>
              <a:noFill/>
            </a:ln>
            <a:effectLst/>
          </c:spPr>
          <c:invertIfNegative val="0"/>
          <c:cat>
            <c:strRef>
              <c:f>'G32'!$A$9:$A$16</c:f>
              <c:strCache>
                <c:ptCount val="8"/>
                <c:pt idx="0">
                  <c:v>PODNIKY 
CELKEM</c:v>
                </c:pt>
                <c:pt idx="1">
                  <c:v>Malé 
podniky</c:v>
                </c:pt>
                <c:pt idx="2">
                  <c:v>Střední 
podniky</c:v>
                </c:pt>
                <c:pt idx="3">
                  <c:v>Velké 
podniky</c:v>
                </c:pt>
                <c:pt idx="4">
                  <c:v>Domácí 
podniky</c:v>
                </c:pt>
                <c:pt idx="5">
                  <c:v>Podniky pod 
zahraniční kontrolou</c:v>
                </c:pt>
                <c:pt idx="6">
                  <c:v>PRŮMYSL</c:v>
                </c:pt>
                <c:pt idx="7">
                  <c:v>SLUŽBY</c:v>
                </c:pt>
              </c:strCache>
            </c:strRef>
          </c:cat>
          <c:val>
            <c:numRef>
              <c:f>'G32'!$D$9:$D$16</c:f>
              <c:numCache>
                <c:formatCode>#\ ##0.0</c:formatCode>
                <c:ptCount val="8"/>
                <c:pt idx="0">
                  <c:v>28.008634847099998</c:v>
                </c:pt>
                <c:pt idx="1">
                  <c:v>1.0050595660999999</c:v>
                </c:pt>
                <c:pt idx="2">
                  <c:v>2.5015457938999996</c:v>
                </c:pt>
                <c:pt idx="3">
                  <c:v>24.5020294871</c:v>
                </c:pt>
                <c:pt idx="4">
                  <c:v>3.4294133869999999</c:v>
                </c:pt>
                <c:pt idx="5">
                  <c:v>24.579221460100001</c:v>
                </c:pt>
                <c:pt idx="6">
                  <c:v>23.7386170867</c:v>
                </c:pt>
                <c:pt idx="7">
                  <c:v>4.2700177604</c:v>
                </c:pt>
              </c:numCache>
            </c:numRef>
          </c:val>
          <c:extLst>
            <c:ext xmlns:c16="http://schemas.microsoft.com/office/drawing/2014/chart" uri="{C3380CC4-5D6E-409C-BE32-E72D297353CC}">
              <c16:uniqueId val="{00000002-F4FC-4BBA-9D90-AA9FF4573D08}"/>
            </c:ext>
          </c:extLst>
        </c:ser>
        <c:ser>
          <c:idx val="3"/>
          <c:order val="3"/>
          <c:tx>
            <c:strRef>
              <c:f>'G32'!$E$8</c:f>
              <c:strCache>
                <c:ptCount val="1"/>
                <c:pt idx="0">
                  <c:v> Pořízení jiných externích znalostí</c:v>
                </c:pt>
              </c:strCache>
            </c:strRef>
          </c:tx>
          <c:spPr>
            <a:solidFill>
              <a:schemeClr val="accent6">
                <a:lumMod val="60000"/>
              </a:schemeClr>
            </a:solidFill>
            <a:ln>
              <a:noFill/>
            </a:ln>
            <a:effectLst/>
          </c:spPr>
          <c:invertIfNegative val="0"/>
          <c:cat>
            <c:strRef>
              <c:f>'G32'!$A$9:$A$16</c:f>
              <c:strCache>
                <c:ptCount val="8"/>
                <c:pt idx="0">
                  <c:v>PODNIKY 
CELKEM</c:v>
                </c:pt>
                <c:pt idx="1">
                  <c:v>Malé 
podniky</c:v>
                </c:pt>
                <c:pt idx="2">
                  <c:v>Střední 
podniky</c:v>
                </c:pt>
                <c:pt idx="3">
                  <c:v>Velké 
podniky</c:v>
                </c:pt>
                <c:pt idx="4">
                  <c:v>Domácí 
podniky</c:v>
                </c:pt>
                <c:pt idx="5">
                  <c:v>Podniky pod 
zahraniční kontrolou</c:v>
                </c:pt>
                <c:pt idx="6">
                  <c:v>PRŮMYSL</c:v>
                </c:pt>
                <c:pt idx="7">
                  <c:v>SLUŽBY</c:v>
                </c:pt>
              </c:strCache>
            </c:strRef>
          </c:cat>
          <c:val>
            <c:numRef>
              <c:f>'G32'!$E$9:$E$16</c:f>
              <c:numCache>
                <c:formatCode>#\ ##0.0</c:formatCode>
                <c:ptCount val="8"/>
                <c:pt idx="0">
                  <c:v>12.596428931799998</c:v>
                </c:pt>
                <c:pt idx="1">
                  <c:v>0.88391512669999994</c:v>
                </c:pt>
                <c:pt idx="2">
                  <c:v>1.2592917223</c:v>
                </c:pt>
                <c:pt idx="3">
                  <c:v>10.4532220828</c:v>
                </c:pt>
                <c:pt idx="4">
                  <c:v>1.0198536276999999</c:v>
                </c:pt>
                <c:pt idx="5">
                  <c:v>11.5765753041</c:v>
                </c:pt>
                <c:pt idx="6">
                  <c:v>10.745126533700001</c:v>
                </c:pt>
                <c:pt idx="7">
                  <c:v>1.8513023980999999</c:v>
                </c:pt>
              </c:numCache>
            </c:numRef>
          </c:val>
          <c:extLst>
            <c:ext xmlns:c16="http://schemas.microsoft.com/office/drawing/2014/chart" uri="{C3380CC4-5D6E-409C-BE32-E72D297353CC}">
              <c16:uniqueId val="{00000003-F4FC-4BBA-9D90-AA9FF4573D08}"/>
            </c:ext>
          </c:extLst>
        </c:ser>
        <c:ser>
          <c:idx val="4"/>
          <c:order val="4"/>
          <c:tx>
            <c:strRef>
              <c:f>'G32'!$F$8</c:f>
              <c:strCache>
                <c:ptCount val="1"/>
                <c:pt idx="0">
                  <c:v> Ostatní inovační náklady</c:v>
                </c:pt>
              </c:strCache>
            </c:strRef>
          </c:tx>
          <c:spPr>
            <a:solidFill>
              <a:schemeClr val="accent5">
                <a:lumMod val="60000"/>
              </a:schemeClr>
            </a:solidFill>
            <a:ln>
              <a:noFill/>
            </a:ln>
            <a:effectLst/>
          </c:spPr>
          <c:invertIfNegative val="0"/>
          <c:cat>
            <c:strRef>
              <c:f>'G32'!$A$9:$A$16</c:f>
              <c:strCache>
                <c:ptCount val="8"/>
                <c:pt idx="0">
                  <c:v>PODNIKY 
CELKEM</c:v>
                </c:pt>
                <c:pt idx="1">
                  <c:v>Malé 
podniky</c:v>
                </c:pt>
                <c:pt idx="2">
                  <c:v>Střední 
podniky</c:v>
                </c:pt>
                <c:pt idx="3">
                  <c:v>Velké 
podniky</c:v>
                </c:pt>
                <c:pt idx="4">
                  <c:v>Domácí 
podniky</c:v>
                </c:pt>
                <c:pt idx="5">
                  <c:v>Podniky pod 
zahraniční kontrolou</c:v>
                </c:pt>
                <c:pt idx="6">
                  <c:v>PRŮMYSL</c:v>
                </c:pt>
                <c:pt idx="7">
                  <c:v>SLUŽBY</c:v>
                </c:pt>
              </c:strCache>
            </c:strRef>
          </c:cat>
          <c:val>
            <c:numRef>
              <c:f>'G32'!$F$9:$F$16</c:f>
              <c:numCache>
                <c:formatCode>#\ ##0.0</c:formatCode>
                <c:ptCount val="8"/>
                <c:pt idx="0">
                  <c:v>16.598304688800003</c:v>
                </c:pt>
                <c:pt idx="1">
                  <c:v>3.5562807171999999</c:v>
                </c:pt>
                <c:pt idx="2">
                  <c:v>4.6956753765000006</c:v>
                </c:pt>
                <c:pt idx="3">
                  <c:v>8.3463485951000003</c:v>
                </c:pt>
                <c:pt idx="4">
                  <c:v>5.3777048301999999</c:v>
                </c:pt>
                <c:pt idx="5">
                  <c:v>11.2205998586</c:v>
                </c:pt>
                <c:pt idx="6">
                  <c:v>10.3235276569</c:v>
                </c:pt>
                <c:pt idx="7">
                  <c:v>6.2747770318999994</c:v>
                </c:pt>
              </c:numCache>
            </c:numRef>
          </c:val>
          <c:extLst>
            <c:ext xmlns:c16="http://schemas.microsoft.com/office/drawing/2014/chart" uri="{C3380CC4-5D6E-409C-BE32-E72D297353CC}">
              <c16:uniqueId val="{00000004-F4FC-4BBA-9D90-AA9FF4573D08}"/>
            </c:ext>
          </c:extLst>
        </c:ser>
        <c:dLbls>
          <c:showLegendKey val="0"/>
          <c:showVal val="0"/>
          <c:showCatName val="0"/>
          <c:showSerName val="0"/>
          <c:showPercent val="0"/>
          <c:showBubbleSize val="0"/>
        </c:dLbls>
        <c:gapWidth val="150"/>
        <c:overlap val="10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0"/>
        <c:axPos val="l"/>
        <c:majorGridlines>
          <c:spPr>
            <a:ln w="9525" cap="flat" cmpd="sng" algn="ctr">
              <a:solidFill>
                <a:schemeClr val="bg1">
                  <a:lumMod val="75000"/>
                </a:schemeClr>
              </a:solidFill>
              <a:prstDash val="solid"/>
              <a:round/>
            </a:ln>
            <a:effectLst/>
          </c:spPr>
        </c:majorGridlines>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695728"/>
        <c:crosses val="autoZero"/>
        <c:crossBetween val="between"/>
        <c:majorUnit val="0.25"/>
      </c:valAx>
      <c:spPr>
        <a:noFill/>
        <a:ln>
          <a:solidFill>
            <a:schemeClr val="bg1">
              <a:lumMod val="50000"/>
            </a:schemeClr>
          </a:solidFill>
        </a:ln>
        <a:effectLst/>
      </c:spPr>
    </c:plotArea>
    <c:legend>
      <c:legendPos val="b"/>
      <c:layout>
        <c:manualLayout>
          <c:xMode val="edge"/>
          <c:yMode val="edge"/>
          <c:x val="0.13784183006535949"/>
          <c:y val="0.82350177199060248"/>
          <c:w val="0.78757581699346402"/>
          <c:h val="0.15551407407407405"/>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'G34'!$B$3</c:f>
              <c:strCache>
                <c:ptCount val="1"/>
                <c:pt idx="0">
                  <c:v>Podniky, které obdržely veřejnou podporu pro své inovační aktivity</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'G34'!$A$4:$A$9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'G34'!$B$4:$B$9</c:f>
              <c:numCache>
                <c:formatCode>0.0%</c:formatCode>
                <c:ptCount val="6"/>
                <c:pt idx="0">
                  <c:v>0.241456787178397</c:v>
                </c:pt>
                <c:pt idx="1">
                  <c:v>0.19116218437596799</c:v>
                </c:pt>
                <c:pt idx="2">
                  <c:v>0.31768007139680698</c:v>
                </c:pt>
                <c:pt idx="3">
                  <c:v>0.45264551932900299</c:v>
                </c:pt>
                <c:pt idx="4">
                  <c:v>0.26006163815213701</c:v>
                </c:pt>
                <c:pt idx="5">
                  <c:v>0.17634446772113499</c:v>
                </c:pt>
              </c:numCache>
            </c:numRef>
          </c:val>
          <c:extLst>
            <c:ext xmlns:c16="http://schemas.microsoft.com/office/drawing/2014/chart" uri="{C3380CC4-5D6E-409C-BE32-E72D297353CC}">
              <c16:uniqueId val="{00000000-38A2-4810-AA81-181D5ECF9627}"/>
            </c:ext>
          </c:extLst>
        </c:ser>
        <c:ser>
          <c:idx val="1"/>
          <c:order val="1"/>
          <c:tx>
            <c:strRef>
              <c:f>'G34'!$C$3</c:f>
              <c:strCache>
                <c:ptCount val="1"/>
                <c:pt idx="0">
                  <c:v>ze zdrojů ČR</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'G34'!$A$4:$A$9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'G34'!$C$4:$C$9</c:f>
              <c:numCache>
                <c:formatCode>0.0%</c:formatCode>
                <c:ptCount val="6"/>
                <c:pt idx="0">
                  <c:v>0.168437269245964</c:v>
                </c:pt>
                <c:pt idx="1">
                  <c:v>0.118330145226446</c:v>
                </c:pt>
                <c:pt idx="2">
                  <c:v>0.238266762498243</c:v>
                </c:pt>
                <c:pt idx="3">
                  <c:v>0.39776468092669098</c:v>
                </c:pt>
                <c:pt idx="4">
                  <c:v>0.17456413056112999</c:v>
                </c:pt>
                <c:pt idx="5">
                  <c:v>0.14699478890647999</c:v>
                </c:pt>
              </c:numCache>
            </c:numRef>
          </c:val>
          <c:extLst>
            <c:ext xmlns:c16="http://schemas.microsoft.com/office/drawing/2014/chart" uri="{C3380CC4-5D6E-409C-BE32-E72D297353CC}">
              <c16:uniqueId val="{00000001-38A2-4810-AA81-181D5ECF9627}"/>
            </c:ext>
          </c:extLst>
        </c:ser>
        <c:ser>
          <c:idx val="2"/>
          <c:order val="2"/>
          <c:tx>
            <c:strRef>
              <c:f>'G34'!$D$3</c:f>
              <c:strCache>
                <c:ptCount val="1"/>
                <c:pt idx="0">
                  <c:v>ze zdrojů Evropské unie</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'G34'!$A$4:$A$9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'G34'!$D$4:$D$9</c:f>
              <c:numCache>
                <c:formatCode>0.0%</c:formatCode>
                <c:ptCount val="6"/>
                <c:pt idx="0">
                  <c:v>0.142777109660014</c:v>
                </c:pt>
                <c:pt idx="1">
                  <c:v>0.124057209685109</c:v>
                </c:pt>
                <c:pt idx="2">
                  <c:v>0.18098173200552201</c:v>
                </c:pt>
                <c:pt idx="3">
                  <c:v>0.190919983718117</c:v>
                </c:pt>
                <c:pt idx="4">
                  <c:v>0.16301997970788701</c:v>
                </c:pt>
                <c:pt idx="5">
                  <c:v>7.1932133629333705E-2</c:v>
                </c:pt>
              </c:numCache>
            </c:numRef>
          </c:val>
          <c:extLst>
            <c:ext xmlns:c16="http://schemas.microsoft.com/office/drawing/2014/chart" uri="{C3380CC4-5D6E-409C-BE32-E72D297353CC}">
              <c16:uniqueId val="{00000002-38A2-4810-AA81-181D5ECF9627}"/>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60000000000000009"/>
        </c:scaling>
        <c:delete val="1"/>
        <c:axPos val="l"/>
        <c:numFmt formatCode="0%" sourceLinked="0"/>
        <c:majorTickMark val="out"/>
        <c:minorTickMark val="none"/>
        <c:tickLblPos val="nextTo"/>
        <c:crossAx val="1179695728"/>
        <c:crosses val="autoZero"/>
        <c:crossBetween val="between"/>
        <c:majorUnit val="0.1"/>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'G35'!$B$3</c:f>
              <c:strCache>
                <c:ptCount val="1"/>
                <c:pt idx="0">
                  <c:v>Obecní a krajské úřady (přímá podpora)</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'G35'!$A$4:$A$9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'G35'!$B$4:$B$9</c:f>
              <c:numCache>
                <c:formatCode>0.0%</c:formatCode>
                <c:ptCount val="6"/>
                <c:pt idx="0">
                  <c:v>2.04206177136592E-2</c:v>
                </c:pt>
                <c:pt idx="1">
                  <c:v>2.0786966868062098E-2</c:v>
                </c:pt>
                <c:pt idx="2">
                  <c:v>1.84101625395207E-2</c:v>
                </c:pt>
                <c:pt idx="3">
                  <c:v>2.3390205262564499E-2</c:v>
                </c:pt>
                <c:pt idx="4">
                  <c:v>2.4450594062315902E-2</c:v>
                </c:pt>
                <c:pt idx="5">
                  <c:v>6.3167096635855001E-3</c:v>
                </c:pt>
              </c:numCache>
            </c:numRef>
          </c:val>
          <c:extLst>
            <c:ext xmlns:c16="http://schemas.microsoft.com/office/drawing/2014/chart" uri="{C3380CC4-5D6E-409C-BE32-E72D297353CC}">
              <c16:uniqueId val="{00000000-EE10-4D47-8980-74BA5F8DB74A}"/>
            </c:ext>
          </c:extLst>
        </c:ser>
        <c:ser>
          <c:idx val="1"/>
          <c:order val="1"/>
          <c:tx>
            <c:strRef>
              <c:f>'G35'!$C$3</c:f>
              <c:strCache>
                <c:ptCount val="1"/>
                <c:pt idx="0">
                  <c:v>Ústřední vláda (přímá podpora)</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'G35'!$A$4:$A$9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'G35'!$C$4:$C$9</c:f>
              <c:numCache>
                <c:formatCode>0.0%</c:formatCode>
                <c:ptCount val="6"/>
                <c:pt idx="0">
                  <c:v>0.114183465627319</c:v>
                </c:pt>
                <c:pt idx="1">
                  <c:v>8.6497834627832296E-2</c:v>
                </c:pt>
                <c:pt idx="2">
                  <c:v>0.15731804469900801</c:v>
                </c:pt>
                <c:pt idx="3">
                  <c:v>0.22679344367557799</c:v>
                </c:pt>
                <c:pt idx="4">
                  <c:v>0.12517409869162699</c:v>
                </c:pt>
                <c:pt idx="5">
                  <c:v>7.5719002131704197E-2</c:v>
                </c:pt>
              </c:numCache>
            </c:numRef>
          </c:val>
          <c:extLst>
            <c:ext xmlns:c16="http://schemas.microsoft.com/office/drawing/2014/chart" uri="{C3380CC4-5D6E-409C-BE32-E72D297353CC}">
              <c16:uniqueId val="{00000001-EE10-4D47-8980-74BA5F8DB74A}"/>
            </c:ext>
          </c:extLst>
        </c:ser>
        <c:ser>
          <c:idx val="2"/>
          <c:order val="2"/>
          <c:tx>
            <c:strRef>
              <c:f>'G35'!$D$3</c:f>
              <c:strCache>
                <c:ptCount val="1"/>
                <c:pt idx="0">
                  <c:v>Ústřední vláda (daňová podpora VaV)</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'G35'!$A$4:$A$9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'G35'!$D$4:$D$9</c:f>
              <c:numCache>
                <c:formatCode>0.0%</c:formatCode>
                <c:ptCount val="6"/>
                <c:pt idx="0">
                  <c:v>6.4762667475159796E-2</c:v>
                </c:pt>
                <c:pt idx="1">
                  <c:v>2.85052381638644E-2</c:v>
                </c:pt>
                <c:pt idx="2">
                  <c:v>0.105482471177654</c:v>
                </c:pt>
                <c:pt idx="3">
                  <c:v>0.26108801962998801</c:v>
                </c:pt>
                <c:pt idx="4">
                  <c:v>5.6232860822836302E-2</c:v>
                </c:pt>
                <c:pt idx="5">
                  <c:v>9.46148547589334E-2</c:v>
                </c:pt>
              </c:numCache>
            </c:numRef>
          </c:val>
          <c:extLst>
            <c:ext xmlns:c16="http://schemas.microsoft.com/office/drawing/2014/chart" uri="{C3380CC4-5D6E-409C-BE32-E72D297353CC}">
              <c16:uniqueId val="{00000002-EE10-4D47-8980-74BA5F8DB74A}"/>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35000000000000003"/>
        </c:scaling>
        <c:delete val="1"/>
        <c:axPos val="l"/>
        <c:numFmt formatCode="0%" sourceLinked="0"/>
        <c:majorTickMark val="out"/>
        <c:minorTickMark val="none"/>
        <c:tickLblPos val="nextTo"/>
        <c:crossAx val="1179695728"/>
        <c:crosses val="autoZero"/>
        <c:crossBetween val="between"/>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'G9'!$B$3</c:f>
              <c:strCache>
                <c:ptCount val="1"/>
                <c:pt idx="0">
                  <c:v>2016–2018</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'G9'!$A$4:$A$9</c:f>
              <c:strCache>
                <c:ptCount val="6"/>
                <c:pt idx="0">
                  <c:v>PRŮMYSL</c:v>
                </c:pt>
                <c:pt idx="1">
                  <c:v>Zpracovatelský průmysl</c:v>
                </c:pt>
                <c:pt idx="2">
                  <c:v>SLUŽBY</c:v>
                </c:pt>
                <c:pt idx="3">
                  <c:v>Informační a komunikační činnosti</c:v>
                </c:pt>
                <c:pt idx="4">
                  <c:v>Peněžnictví a pojišťovnictví</c:v>
                </c:pt>
                <c:pt idx="5">
                  <c:v>Vědecké a technické činnosti</c:v>
                </c:pt>
              </c:strCache>
            </c:strRef>
          </c:cat>
          <c:val>
            <c:numRef>
              <c:f>'G9'!$B$4:$B$9</c:f>
              <c:numCache>
                <c:formatCode>0.0%</c:formatCode>
                <c:ptCount val="6"/>
                <c:pt idx="0">
                  <c:v>0.49398411589272045</c:v>
                </c:pt>
                <c:pt idx="1">
                  <c:v>0.50944506422537794</c:v>
                </c:pt>
                <c:pt idx="2">
                  <c:v>0.4374637156414044</c:v>
                </c:pt>
                <c:pt idx="3">
                  <c:v>0.65204143293745198</c:v>
                </c:pt>
                <c:pt idx="4">
                  <c:v>0.51416736023154708</c:v>
                </c:pt>
                <c:pt idx="5">
                  <c:v>0.41156950787063429</c:v>
                </c:pt>
              </c:numCache>
            </c:numRef>
          </c:val>
          <c:extLst>
            <c:ext xmlns:c16="http://schemas.microsoft.com/office/drawing/2014/chart" uri="{C3380CC4-5D6E-409C-BE32-E72D297353CC}">
              <c16:uniqueId val="{00000000-15C2-4581-8BFE-A59E5731D85F}"/>
            </c:ext>
          </c:extLst>
        </c:ser>
        <c:ser>
          <c:idx val="1"/>
          <c:order val="1"/>
          <c:tx>
            <c:strRef>
              <c:f>'G9'!$C$3</c:f>
              <c:strCache>
                <c:ptCount val="1"/>
                <c:pt idx="0">
                  <c:v>2018–2020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'G9'!$A$4:$A$9</c:f>
              <c:strCache>
                <c:ptCount val="6"/>
                <c:pt idx="0">
                  <c:v>PRŮMYSL</c:v>
                </c:pt>
                <c:pt idx="1">
                  <c:v>Zpracovatelský průmysl</c:v>
                </c:pt>
                <c:pt idx="2">
                  <c:v>SLUŽBY</c:v>
                </c:pt>
                <c:pt idx="3">
                  <c:v>Informační a komunikační činnosti</c:v>
                </c:pt>
                <c:pt idx="4">
                  <c:v>Peněžnictví a pojišťovnictví</c:v>
                </c:pt>
                <c:pt idx="5">
                  <c:v>Vědecké a technické činnosti</c:v>
                </c:pt>
              </c:strCache>
            </c:strRef>
          </c:cat>
          <c:val>
            <c:numRef>
              <c:f>'G9'!$C$4:$C$9</c:f>
              <c:numCache>
                <c:formatCode>0.0%</c:formatCode>
                <c:ptCount val="6"/>
                <c:pt idx="0">
                  <c:v>0.57280000140642406</c:v>
                </c:pt>
                <c:pt idx="1">
                  <c:v>0.5832517538483023</c:v>
                </c:pt>
                <c:pt idx="2">
                  <c:v>0.56512083185259254</c:v>
                </c:pt>
                <c:pt idx="3">
                  <c:v>0.77206738006318176</c:v>
                </c:pt>
                <c:pt idx="4">
                  <c:v>0.64860140720705461</c:v>
                </c:pt>
                <c:pt idx="5">
                  <c:v>0.61303596883113376</c:v>
                </c:pt>
              </c:numCache>
            </c:numRef>
          </c:val>
          <c:extLst>
            <c:ext xmlns:c16="http://schemas.microsoft.com/office/drawing/2014/chart" uri="{C3380CC4-5D6E-409C-BE32-E72D297353CC}">
              <c16:uniqueId val="{00000001-15C2-4581-8BFE-A59E5731D85F}"/>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9"/>
        </c:scaling>
        <c:delete val="1"/>
        <c:axPos val="l"/>
        <c:numFmt formatCode="0%" sourceLinked="0"/>
        <c:majorTickMark val="out"/>
        <c:minorTickMark val="none"/>
        <c:tickLblPos val="nextTo"/>
        <c:crossAx val="1179695728"/>
        <c:crosses val="autoZero"/>
        <c:crossBetween val="between"/>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'G36'!$B$3</c:f>
              <c:strCache>
                <c:ptCount val="1"/>
                <c:pt idx="0">
                  <c:v> Evropské strukturální 
a investiční fondy (ESIF)</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'G36'!$A$4:$A$9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'G36'!$B$4:$B$9</c:f>
              <c:numCache>
                <c:formatCode>0.0%</c:formatCode>
                <c:ptCount val="6"/>
                <c:pt idx="0">
                  <c:v>0.11942875170000899</c:v>
                </c:pt>
                <c:pt idx="1">
                  <c:v>0.101955520725116</c:v>
                </c:pt>
                <c:pt idx="2">
                  <c:v>0.15671584312061301</c:v>
                </c:pt>
                <c:pt idx="3">
                  <c:v>0.159326346647403</c:v>
                </c:pt>
                <c:pt idx="4">
                  <c:v>0.13650730364366501</c:v>
                </c:pt>
                <c:pt idx="5">
                  <c:v>5.96580966384695E-2</c:v>
                </c:pt>
              </c:numCache>
            </c:numRef>
          </c:val>
          <c:extLst>
            <c:ext xmlns:c16="http://schemas.microsoft.com/office/drawing/2014/chart" uri="{C3380CC4-5D6E-409C-BE32-E72D297353CC}">
              <c16:uniqueId val="{00000000-31CD-4719-BCF3-287C4EE3B797}"/>
            </c:ext>
          </c:extLst>
        </c:ser>
        <c:ser>
          <c:idx val="1"/>
          <c:order val="1"/>
          <c:tx>
            <c:strRef>
              <c:f>'G36'!$C$3</c:f>
              <c:strCache>
                <c:ptCount val="1"/>
                <c:pt idx="0">
                  <c:v> Rámcový program 
Horizont 2020</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'G36'!$A$4:$A$9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'G36'!$C$4:$C$9</c:f>
              <c:numCache>
                <c:formatCode>0.0%</c:formatCode>
                <c:ptCount val="6"/>
                <c:pt idx="0">
                  <c:v>6.7721548495507499E-3</c:v>
                </c:pt>
                <c:pt idx="1">
                  <c:v>3.3903847716221002E-3</c:v>
                </c:pt>
                <c:pt idx="2">
                  <c:v>1.1069275020306499E-2</c:v>
                </c:pt>
                <c:pt idx="3">
                  <c:v>2.3537449286329899E-2</c:v>
                </c:pt>
                <c:pt idx="4">
                  <c:v>7.1489638732992397E-3</c:v>
                </c:pt>
                <c:pt idx="5">
                  <c:v>5.4534176254084302E-3</c:v>
                </c:pt>
              </c:numCache>
            </c:numRef>
          </c:val>
          <c:extLst>
            <c:ext xmlns:c16="http://schemas.microsoft.com/office/drawing/2014/chart" uri="{C3380CC4-5D6E-409C-BE32-E72D297353CC}">
              <c16:uniqueId val="{00000001-31CD-4719-BCF3-287C4EE3B797}"/>
            </c:ext>
          </c:extLst>
        </c:ser>
        <c:ser>
          <c:idx val="2"/>
          <c:order val="2"/>
          <c:tx>
            <c:strRef>
              <c:f>'G36'!$D$3</c:f>
              <c:strCache>
                <c:ptCount val="1"/>
                <c:pt idx="0">
                  <c:v> jiné programy EU</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'G36'!$A$4:$A$9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'G36'!$D$4:$D$9</c:f>
              <c:numCache>
                <c:formatCode>0.0%</c:formatCode>
                <c:ptCount val="6"/>
                <c:pt idx="0">
                  <c:v>2.53215018299471E-2</c:v>
                </c:pt>
                <c:pt idx="1">
                  <c:v>2.3750184065605199E-2</c:v>
                </c:pt>
                <c:pt idx="2">
                  <c:v>2.8792348477270201E-2</c:v>
                </c:pt>
                <c:pt idx="3">
                  <c:v>2.85447016039184E-2</c:v>
                </c:pt>
                <c:pt idx="4">
                  <c:v>2.9400763471534599E-2</c:v>
                </c:pt>
                <c:pt idx="5">
                  <c:v>1.10451075964371E-2</c:v>
                </c:pt>
              </c:numCache>
            </c:numRef>
          </c:val>
          <c:extLst>
            <c:ext xmlns:c16="http://schemas.microsoft.com/office/drawing/2014/chart" uri="{C3380CC4-5D6E-409C-BE32-E72D297353CC}">
              <c16:uniqueId val="{00000002-31CD-4719-BCF3-287C4EE3B797}"/>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2"/>
        </c:scaling>
        <c:delete val="1"/>
        <c:axPos val="l"/>
        <c:numFmt formatCode="0%" sourceLinked="0"/>
        <c:majorTickMark val="out"/>
        <c:minorTickMark val="none"/>
        <c:tickLblPos val="nextTo"/>
        <c:crossAx val="1179695728"/>
        <c:crosses val="autoZero"/>
        <c:crossBetween val="between"/>
        <c:majorUnit val="2.0000000000000004E-2"/>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Aft>
          <a:spcPts val="300"/>
        </a:spcAft>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001143790849671E-2"/>
          <c:y val="5.2089450674422291E-2"/>
          <c:w val="0.91617205882352937"/>
          <c:h val="0.60389347203967303"/>
        </c:manualLayout>
      </c:layout>
      <c:barChart>
        <c:barDir val="col"/>
        <c:grouping val="clustered"/>
        <c:varyColors val="0"/>
        <c:ser>
          <c:idx val="0"/>
          <c:order val="0"/>
          <c:tx>
            <c:strRef>
              <c:f>'G37'!$B$3</c:f>
              <c:strCache>
                <c:ptCount val="1"/>
                <c:pt idx="0">
                  <c:v>Podniky, které spolupracovaly na inovačních činnostech</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'G37'!$A$4:$A$9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'G37'!$B$4:$B$9</c:f>
              <c:numCache>
                <c:formatCode>0.0%</c:formatCode>
                <c:ptCount val="6"/>
                <c:pt idx="0">
                  <c:v>0.28605146407863558</c:v>
                </c:pt>
                <c:pt idx="1">
                  <c:v>0.21670088555404957</c:v>
                </c:pt>
                <c:pt idx="2">
                  <c:v>0.39132942005640642</c:v>
                </c:pt>
                <c:pt idx="3">
                  <c:v>0.5767158562990059</c:v>
                </c:pt>
                <c:pt idx="4">
                  <c:v>0.26305965724463654</c:v>
                </c:pt>
                <c:pt idx="5">
                  <c:v>0.36651703048322803</c:v>
                </c:pt>
              </c:numCache>
            </c:numRef>
          </c:val>
          <c:extLst>
            <c:ext xmlns:c16="http://schemas.microsoft.com/office/drawing/2014/chart" uri="{C3380CC4-5D6E-409C-BE32-E72D297353CC}">
              <c16:uniqueId val="{00000000-9E63-44EF-AEA7-179C3F526D71}"/>
            </c:ext>
          </c:extLst>
        </c:ser>
        <c:ser>
          <c:idx val="1"/>
          <c:order val="1"/>
          <c:tx>
            <c:strRef>
              <c:f>'G37'!$C$3</c:f>
              <c:strCache>
                <c:ptCount val="1"/>
                <c:pt idx="0">
                  <c:v>s partnerem z ČR</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'G37'!$A$4:$A$9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'G37'!$C$4:$C$9</c:f>
              <c:numCache>
                <c:formatCode>0.0%</c:formatCode>
                <c:ptCount val="6"/>
                <c:pt idx="0">
                  <c:v>0.24985678664001701</c:v>
                </c:pt>
                <c:pt idx="1">
                  <c:v>0.19347595859852301</c:v>
                </c:pt>
                <c:pt idx="2">
                  <c:v>0.33545857466662599</c:v>
                </c:pt>
                <c:pt idx="3">
                  <c:v>0.48612284795358501</c:v>
                </c:pt>
                <c:pt idx="4">
                  <c:v>0.24951792710128801</c:v>
                </c:pt>
                <c:pt idx="5">
                  <c:v>0.251042710169746</c:v>
                </c:pt>
              </c:numCache>
            </c:numRef>
          </c:val>
          <c:extLst>
            <c:ext xmlns:c16="http://schemas.microsoft.com/office/drawing/2014/chart" uri="{C3380CC4-5D6E-409C-BE32-E72D297353CC}">
              <c16:uniqueId val="{00000001-9E63-44EF-AEA7-179C3F526D71}"/>
            </c:ext>
          </c:extLst>
        </c:ser>
        <c:ser>
          <c:idx val="2"/>
          <c:order val="2"/>
          <c:tx>
            <c:strRef>
              <c:f>'G37'!$D$3</c:f>
              <c:strCache>
                <c:ptCount val="1"/>
                <c:pt idx="0">
                  <c:v>s partnerem z evropských zemí</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'G37'!$A$4:$A$9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'G37'!$D$4:$D$9</c:f>
              <c:numCache>
                <c:formatCode>0.0%</c:formatCode>
                <c:ptCount val="6"/>
                <c:pt idx="0">
                  <c:v>0.111737870468104</c:v>
                </c:pt>
                <c:pt idx="1">
                  <c:v>6.5213909427109196E-2</c:v>
                </c:pt>
                <c:pt idx="2">
                  <c:v>0.15895428835662101</c:v>
                </c:pt>
                <c:pt idx="3">
                  <c:v>0.379246236725583</c:v>
                </c:pt>
                <c:pt idx="4">
                  <c:v>6.9899501730026806E-2</c:v>
                </c:pt>
                <c:pt idx="5">
                  <c:v>0.25816168405788398</c:v>
                </c:pt>
              </c:numCache>
            </c:numRef>
          </c:val>
          <c:extLst>
            <c:ext xmlns:c16="http://schemas.microsoft.com/office/drawing/2014/chart" uri="{C3380CC4-5D6E-409C-BE32-E72D297353CC}">
              <c16:uniqueId val="{00000002-9E63-44EF-AEA7-179C3F526D71}"/>
            </c:ext>
          </c:extLst>
        </c:ser>
        <c:ser>
          <c:idx val="3"/>
          <c:order val="3"/>
          <c:tx>
            <c:strRef>
              <c:f>'G37'!$E$3</c:f>
              <c:strCache>
                <c:ptCount val="1"/>
                <c:pt idx="0">
                  <c:v>s partnerem s ostatních zemí</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'G37'!$A$4:$A$9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'G37'!$E$4:$E$9</c:f>
              <c:numCache>
                <c:formatCode>0.0%</c:formatCode>
                <c:ptCount val="6"/>
                <c:pt idx="0">
                  <c:v>3.84414320628454E-2</c:v>
                </c:pt>
                <c:pt idx="1">
                  <c:v>2.1955102582208601E-2</c:v>
                </c:pt>
                <c:pt idx="2">
                  <c:v>5.8335420819468603E-2</c:v>
                </c:pt>
                <c:pt idx="3">
                  <c:v>0.123440465065615</c:v>
                </c:pt>
                <c:pt idx="4">
                  <c:v>2.53425963047899E-2</c:v>
                </c:pt>
                <c:pt idx="5">
                  <c:v>8.4284077059065696E-2</c:v>
                </c:pt>
              </c:numCache>
            </c:numRef>
          </c:val>
          <c:extLst>
            <c:ext xmlns:c16="http://schemas.microsoft.com/office/drawing/2014/chart" uri="{C3380CC4-5D6E-409C-BE32-E72D297353CC}">
              <c16:uniqueId val="{00000003-9E63-44EF-AEA7-179C3F526D71}"/>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8"/>
        </c:scaling>
        <c:delete val="1"/>
        <c:axPos val="l"/>
        <c:numFmt formatCode="0%" sourceLinked="0"/>
        <c:majorTickMark val="out"/>
        <c:minorTickMark val="none"/>
        <c:tickLblPos val="nextTo"/>
        <c:crossAx val="1179695728"/>
        <c:crosses val="autoZero"/>
        <c:crossBetween val="between"/>
      </c:valAx>
      <c:spPr>
        <a:noFill/>
        <a:ln>
          <a:solidFill>
            <a:schemeClr val="bg1">
              <a:lumMod val="50000"/>
            </a:schemeClr>
          </a:solidFill>
        </a:ln>
        <a:effectLst/>
      </c:spPr>
    </c:plotArea>
    <c:legend>
      <c:legendPos val="b"/>
      <c:layout>
        <c:manualLayout>
          <c:xMode val="edge"/>
          <c:yMode val="edge"/>
          <c:x val="0.20240669934640523"/>
          <c:y val="0.80494309124975527"/>
          <c:w val="0.6574415032679739"/>
          <c:h val="0.18558609953671337"/>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'G38'!$B$16</c:f>
              <c:strCache>
                <c:ptCount val="1"/>
                <c:pt idx="0">
                  <c:v>Podniky pod zahraniční kontrolou</c:v>
                </c:pt>
              </c:strCache>
            </c:strRef>
          </c:tx>
          <c:spPr>
            <a:solidFill>
              <a:schemeClr val="accent6"/>
            </a:solidFill>
            <a:ln>
              <a:noFill/>
            </a:ln>
            <a:effectLst/>
          </c:spPr>
          <c:invertIfNegative val="0"/>
          <c:cat>
            <c:strRef>
              <c:f>'G38'!$A$17:$A$26</c:f>
              <c:strCache>
                <c:ptCount val="10"/>
                <c:pt idx="0">
                  <c:v>Soukromé neziskové organizace</c:v>
                </c:pt>
                <c:pt idx="1">
                  <c:v>Konkurenční a jiné podniky z téhož odvětví</c:v>
                </c:pt>
                <c:pt idx="2">
                  <c:v>Klienti nebo zákazníci z veřejného sektoru</c:v>
                </c:pt>
                <c:pt idx="3">
                  <c:v>Ostatní podniky</c:v>
                </c:pt>
                <c:pt idx="4">
                  <c:v>Veřejné výzkumné instituce</c:v>
                </c:pt>
                <c:pt idx="5">
                  <c:v>Konzultanti, komerční laboratoře nebo soukromé VaV instituce</c:v>
                </c:pt>
                <c:pt idx="6">
                  <c:v>Univerzity nebo ostatní instituce vyššího vzdělávání</c:v>
                </c:pt>
                <c:pt idx="7">
                  <c:v>Klienti nebo zákazníci ze soukromého sektoru </c:v>
                </c:pt>
                <c:pt idx="8">
                  <c:v>Ostatní podniky uvnitř skupiny podniků</c:v>
                </c:pt>
                <c:pt idx="9">
                  <c:v>Dodavatelé zařízení, materiálů, součástí nebo SW</c:v>
                </c:pt>
              </c:strCache>
            </c:strRef>
          </c:cat>
          <c:val>
            <c:numRef>
              <c:f>'G38'!$B$17:$B$26</c:f>
              <c:numCache>
                <c:formatCode>0.0%</c:formatCode>
                <c:ptCount val="10"/>
                <c:pt idx="0">
                  <c:v>1.4543947323333001E-2</c:v>
                </c:pt>
                <c:pt idx="1">
                  <c:v>1.8263202038699598E-2</c:v>
                </c:pt>
                <c:pt idx="2">
                  <c:v>1.8737127359255298E-2</c:v>
                </c:pt>
                <c:pt idx="3">
                  <c:v>3.78883436578119E-2</c:v>
                </c:pt>
                <c:pt idx="4">
                  <c:v>3.8667242569772699E-2</c:v>
                </c:pt>
                <c:pt idx="5">
                  <c:v>0.118054069252867</c:v>
                </c:pt>
                <c:pt idx="6">
                  <c:v>9.01392721559508E-2</c:v>
                </c:pt>
                <c:pt idx="7">
                  <c:v>9.9258925756255903E-2</c:v>
                </c:pt>
                <c:pt idx="8">
                  <c:v>0.26829666970492999</c:v>
                </c:pt>
                <c:pt idx="9">
                  <c:v>0.181401072176609</c:v>
                </c:pt>
              </c:numCache>
            </c:numRef>
          </c:val>
          <c:extLst>
            <c:ext xmlns:c16="http://schemas.microsoft.com/office/drawing/2014/chart" uri="{C3380CC4-5D6E-409C-BE32-E72D297353CC}">
              <c16:uniqueId val="{00000000-F21A-48AC-A703-2BFB7454A522}"/>
            </c:ext>
          </c:extLst>
        </c:ser>
        <c:ser>
          <c:idx val="1"/>
          <c:order val="1"/>
          <c:tx>
            <c:strRef>
              <c:f>'G38'!$C$16</c:f>
              <c:strCache>
                <c:ptCount val="1"/>
                <c:pt idx="0">
                  <c:v>Domácí podniky</c:v>
                </c:pt>
              </c:strCache>
            </c:strRef>
          </c:tx>
          <c:spPr>
            <a:solidFill>
              <a:schemeClr val="accent5"/>
            </a:solidFill>
            <a:ln>
              <a:noFill/>
            </a:ln>
            <a:effectLst/>
          </c:spPr>
          <c:invertIfNegative val="0"/>
          <c:cat>
            <c:strRef>
              <c:f>'G38'!$A$17:$A$26</c:f>
              <c:strCache>
                <c:ptCount val="10"/>
                <c:pt idx="0">
                  <c:v>Soukromé neziskové organizace</c:v>
                </c:pt>
                <c:pt idx="1">
                  <c:v>Konkurenční a jiné podniky z téhož odvětví</c:v>
                </c:pt>
                <c:pt idx="2">
                  <c:v>Klienti nebo zákazníci z veřejného sektoru</c:v>
                </c:pt>
                <c:pt idx="3">
                  <c:v>Ostatní podniky</c:v>
                </c:pt>
                <c:pt idx="4">
                  <c:v>Veřejné výzkumné instituce</c:v>
                </c:pt>
                <c:pt idx="5">
                  <c:v>Konzultanti, komerční laboratoře nebo soukromé VaV instituce</c:v>
                </c:pt>
                <c:pt idx="6">
                  <c:v>Univerzity nebo ostatní instituce vyššího vzdělávání</c:v>
                </c:pt>
                <c:pt idx="7">
                  <c:v>Klienti nebo zákazníci ze soukromého sektoru </c:v>
                </c:pt>
                <c:pt idx="8">
                  <c:v>Ostatní podniky uvnitř skupiny podniků</c:v>
                </c:pt>
                <c:pt idx="9">
                  <c:v>Dodavatelé zařízení, materiálů, součástí nebo SW</c:v>
                </c:pt>
              </c:strCache>
            </c:strRef>
          </c:cat>
          <c:val>
            <c:numRef>
              <c:f>'G38'!$C$17:$C$26</c:f>
              <c:numCache>
                <c:formatCode>0.0%</c:formatCode>
                <c:ptCount val="10"/>
                <c:pt idx="0">
                  <c:v>8.5703403727059608E-3</c:v>
                </c:pt>
                <c:pt idx="1">
                  <c:v>1.3441538641880999E-2</c:v>
                </c:pt>
                <c:pt idx="2">
                  <c:v>1.9009651784460301E-2</c:v>
                </c:pt>
                <c:pt idx="3">
                  <c:v>3.5981108658349997E-2</c:v>
                </c:pt>
                <c:pt idx="4">
                  <c:v>3.8325570879732998E-2</c:v>
                </c:pt>
                <c:pt idx="5">
                  <c:v>9.0212096945051001E-2</c:v>
                </c:pt>
                <c:pt idx="6">
                  <c:v>0.100550498162169</c:v>
                </c:pt>
                <c:pt idx="7">
                  <c:v>0.10164944621098</c:v>
                </c:pt>
                <c:pt idx="8">
                  <c:v>5.67380075548269E-2</c:v>
                </c:pt>
                <c:pt idx="9">
                  <c:v>0.14381660228878099</c:v>
                </c:pt>
              </c:numCache>
            </c:numRef>
          </c:val>
          <c:extLst>
            <c:ext xmlns:c16="http://schemas.microsoft.com/office/drawing/2014/chart" uri="{C3380CC4-5D6E-409C-BE32-E72D297353CC}">
              <c16:uniqueId val="{00000001-F21A-48AC-A703-2BFB7454A522}"/>
            </c:ext>
          </c:extLst>
        </c:ser>
        <c:ser>
          <c:idx val="2"/>
          <c:order val="2"/>
          <c:tx>
            <c:strRef>
              <c:f>'G38'!$D$16</c:f>
              <c:strCache>
                <c:ptCount val="1"/>
                <c:pt idx="0">
                  <c:v>PODNIKY CELKEM</c:v>
                </c:pt>
              </c:strCache>
            </c:strRef>
          </c:tx>
          <c:spPr>
            <a:solidFill>
              <a:schemeClr val="accent4"/>
            </a:solidFill>
            <a:ln>
              <a:noFill/>
            </a:ln>
            <a:effectLst/>
          </c:spPr>
          <c:invertIfNegative val="0"/>
          <c:cat>
            <c:strRef>
              <c:f>'G38'!$A$17:$A$26</c:f>
              <c:strCache>
                <c:ptCount val="10"/>
                <c:pt idx="0">
                  <c:v>Soukromé neziskové organizace</c:v>
                </c:pt>
                <c:pt idx="1">
                  <c:v>Konkurenční a jiné podniky z téhož odvětví</c:v>
                </c:pt>
                <c:pt idx="2">
                  <c:v>Klienti nebo zákazníci z veřejného sektoru</c:v>
                </c:pt>
                <c:pt idx="3">
                  <c:v>Ostatní podniky</c:v>
                </c:pt>
                <c:pt idx="4">
                  <c:v>Veřejné výzkumné instituce</c:v>
                </c:pt>
                <c:pt idx="5">
                  <c:v>Konzultanti, komerční laboratoře nebo soukromé VaV instituce</c:v>
                </c:pt>
                <c:pt idx="6">
                  <c:v>Univerzity nebo ostatní instituce vyššího vzdělávání</c:v>
                </c:pt>
                <c:pt idx="7">
                  <c:v>Klienti nebo zákazníci ze soukromého sektoru </c:v>
                </c:pt>
                <c:pt idx="8">
                  <c:v>Ostatní podniky uvnitř skupiny podniků</c:v>
                </c:pt>
                <c:pt idx="9">
                  <c:v>Dodavatelé zařízení, materiálů, součástí nebo SW</c:v>
                </c:pt>
              </c:strCache>
            </c:strRef>
          </c:cat>
          <c:val>
            <c:numRef>
              <c:f>'G38'!$D$17:$D$26</c:f>
              <c:numCache>
                <c:formatCode>0.0%</c:formatCode>
                <c:ptCount val="10"/>
                <c:pt idx="0">
                  <c:v>9.8978824589940808E-3</c:v>
                </c:pt>
                <c:pt idx="1">
                  <c:v>1.4513079025789201E-2</c:v>
                </c:pt>
                <c:pt idx="2">
                  <c:v>1.8949087430797401E-2</c:v>
                </c:pt>
                <c:pt idx="3">
                  <c:v>3.6404962244826998E-2</c:v>
                </c:pt>
                <c:pt idx="4">
                  <c:v>3.8401502147385802E-2</c:v>
                </c:pt>
                <c:pt idx="5">
                  <c:v>9.6399546221407201E-2</c:v>
                </c:pt>
                <c:pt idx="6">
                  <c:v>9.8236763628352597E-2</c:v>
                </c:pt>
                <c:pt idx="7">
                  <c:v>0.10111818987992099</c:v>
                </c:pt>
                <c:pt idx="8">
                  <c:v>0.103753659914343</c:v>
                </c:pt>
                <c:pt idx="9">
                  <c:v>0.152169171511917</c:v>
                </c:pt>
              </c:numCache>
            </c:numRef>
          </c:val>
          <c:extLst>
            <c:ext xmlns:c16="http://schemas.microsoft.com/office/drawing/2014/chart" uri="{C3380CC4-5D6E-409C-BE32-E72D297353CC}">
              <c16:uniqueId val="{00000002-F21A-48AC-A703-2BFB7454A522}"/>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0"/>
        <c:axPos val="b"/>
        <c:majorGridlines>
          <c:spPr>
            <a:ln w="9525" cap="flat" cmpd="sng" algn="ctr">
              <a:solidFill>
                <a:schemeClr val="bg1">
                  <a:lumMod val="75000"/>
                </a:schemeClr>
              </a:solidFill>
              <a:prstDash val="solid"/>
              <a:round/>
            </a:ln>
            <a:effectLst/>
          </c:spPr>
        </c:majorGridlines>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695728"/>
        <c:crosses val="autoZero"/>
        <c:crossBetween val="between"/>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720423008761338E-2"/>
          <c:y val="5.2089450674422291E-2"/>
          <c:w val="0.9514526934003541"/>
          <c:h val="0.60389347203967303"/>
        </c:manualLayout>
      </c:layout>
      <c:barChart>
        <c:barDir val="col"/>
        <c:grouping val="clustered"/>
        <c:varyColors val="0"/>
        <c:ser>
          <c:idx val="0"/>
          <c:order val="0"/>
          <c:tx>
            <c:strRef>
              <c:f>'G39'!$B$13</c:f>
              <c:strCache>
                <c:ptCount val="1"/>
                <c:pt idx="0">
                  <c:v> Příliš vysoké náklady spojené s inovačními činnostmi</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'G39'!$A$14:$A$19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'G39'!$B$14:$B$19</c:f>
              <c:numCache>
                <c:formatCode>0.0%</c:formatCode>
                <c:ptCount val="6"/>
                <c:pt idx="0">
                  <c:v>0.264945712562286</c:v>
                </c:pt>
                <c:pt idx="1">
                  <c:v>0.29789595474241198</c:v>
                </c:pt>
                <c:pt idx="2">
                  <c:v>0.203034962701473</c:v>
                </c:pt>
                <c:pt idx="3">
                  <c:v>0.16367678169090799</c:v>
                </c:pt>
                <c:pt idx="4">
                  <c:v>0.28736357170532201</c:v>
                </c:pt>
                <c:pt idx="5">
                  <c:v>0.186488819350424</c:v>
                </c:pt>
              </c:numCache>
            </c:numRef>
          </c:val>
          <c:extLst>
            <c:ext xmlns:c16="http://schemas.microsoft.com/office/drawing/2014/chart" uri="{C3380CC4-5D6E-409C-BE32-E72D297353CC}">
              <c16:uniqueId val="{00000000-DB44-4FA9-AD3E-999E9567E07C}"/>
            </c:ext>
          </c:extLst>
        </c:ser>
        <c:ser>
          <c:idx val="1"/>
          <c:order val="1"/>
          <c:tx>
            <c:strRef>
              <c:f>'G39'!$C$13</c:f>
              <c:strCache>
                <c:ptCount val="1"/>
                <c:pt idx="0">
                  <c:v> Nedostatek vlastních finančních prostředků</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'G39'!$A$14:$A$19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'G39'!$C$14:$C$19</c:f>
              <c:numCache>
                <c:formatCode>0.0%</c:formatCode>
                <c:ptCount val="6"/>
                <c:pt idx="0">
                  <c:v>0.208067184462081</c:v>
                </c:pt>
                <c:pt idx="1">
                  <c:v>0.238456414070462</c:v>
                </c:pt>
                <c:pt idx="2">
                  <c:v>0.15714114432242199</c:v>
                </c:pt>
                <c:pt idx="3">
                  <c:v>9.5547803187962105E-2</c:v>
                </c:pt>
                <c:pt idx="4">
                  <c:v>0.22762689256025101</c:v>
                </c:pt>
                <c:pt idx="5">
                  <c:v>0.139613104180733</c:v>
                </c:pt>
              </c:numCache>
            </c:numRef>
          </c:val>
          <c:extLst>
            <c:ext xmlns:c16="http://schemas.microsoft.com/office/drawing/2014/chart" uri="{C3380CC4-5D6E-409C-BE32-E72D297353CC}">
              <c16:uniqueId val="{00000001-DB44-4FA9-AD3E-999E9567E07C}"/>
            </c:ext>
          </c:extLst>
        </c:ser>
        <c:ser>
          <c:idx val="2"/>
          <c:order val="2"/>
          <c:tx>
            <c:strRef>
              <c:f>'G39'!$D$13</c:f>
              <c:strCache>
                <c:ptCount val="1"/>
                <c:pt idx="0">
                  <c:v> Nízká či nejistá návratnost investic do inovací</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'G39'!$A$14:$A$19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'G39'!$D$14:$D$19</c:f>
              <c:numCache>
                <c:formatCode>0.0%</c:formatCode>
                <c:ptCount val="6"/>
                <c:pt idx="0">
                  <c:v>0.19727570741684999</c:v>
                </c:pt>
                <c:pt idx="1">
                  <c:v>0.212558466681563</c:v>
                </c:pt>
                <c:pt idx="2">
                  <c:v>0.166154488409817</c:v>
                </c:pt>
                <c:pt idx="3">
                  <c:v>0.15775950206485601</c:v>
                </c:pt>
                <c:pt idx="4">
                  <c:v>0.211829439888749</c:v>
                </c:pt>
                <c:pt idx="5">
                  <c:v>0.14634128825147399</c:v>
                </c:pt>
              </c:numCache>
            </c:numRef>
          </c:val>
          <c:extLst>
            <c:ext xmlns:c16="http://schemas.microsoft.com/office/drawing/2014/chart" uri="{C3380CC4-5D6E-409C-BE32-E72D297353CC}">
              <c16:uniqueId val="{00000002-DB44-4FA9-AD3E-999E9567E07C}"/>
            </c:ext>
          </c:extLst>
        </c:ser>
        <c:ser>
          <c:idx val="3"/>
          <c:order val="3"/>
          <c:tx>
            <c:strRef>
              <c:f>'G39'!$E$13</c:f>
              <c:strCache>
                <c:ptCount val="1"/>
                <c:pt idx="0">
                  <c:v> Obtíže při získání finanční podpory z veřejných zdrojů</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'G39'!$A$14:$A$19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'G39'!$E$14:$E$19</c:f>
              <c:numCache>
                <c:formatCode>0.0%</c:formatCode>
                <c:ptCount val="6"/>
                <c:pt idx="0">
                  <c:v>0.16317866339487999</c:v>
                </c:pt>
                <c:pt idx="1">
                  <c:v>0.182140654464128</c:v>
                </c:pt>
                <c:pt idx="2">
                  <c:v>0.136854819881332</c:v>
                </c:pt>
                <c:pt idx="3">
                  <c:v>7.6079582480541003E-2</c:v>
                </c:pt>
                <c:pt idx="4">
                  <c:v>0.18432449442867199</c:v>
                </c:pt>
                <c:pt idx="5">
                  <c:v>8.9173550029287701E-2</c:v>
                </c:pt>
              </c:numCache>
            </c:numRef>
          </c:val>
          <c:extLst>
            <c:ext xmlns:c16="http://schemas.microsoft.com/office/drawing/2014/chart" uri="{C3380CC4-5D6E-409C-BE32-E72D297353CC}">
              <c16:uniqueId val="{00000003-DB44-4FA9-AD3E-999E9567E07C}"/>
            </c:ext>
          </c:extLst>
        </c:ser>
        <c:ser>
          <c:idx val="4"/>
          <c:order val="4"/>
          <c:tx>
            <c:strRef>
              <c:f>'G39'!$F$13</c:f>
              <c:strCache>
                <c:ptCount val="1"/>
                <c:pt idx="0">
                  <c:v> Obtíže při získaní bankovního úvěru</c:v>
                </c:pt>
              </c:strCache>
            </c:strRef>
          </c:tx>
          <c:spPr>
            <a:solidFill>
              <a:schemeClr val="accent5">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'G39'!$A$14:$A$19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'G39'!$F$14:$F$19</c:f>
              <c:numCache>
                <c:formatCode>0.0%</c:formatCode>
                <c:ptCount val="6"/>
                <c:pt idx="0">
                  <c:v>5.7570891799174302E-2</c:v>
                </c:pt>
                <c:pt idx="1">
                  <c:v>6.8613329609440596E-2</c:v>
                </c:pt>
                <c:pt idx="2">
                  <c:v>3.8711015328888002E-2</c:v>
                </c:pt>
                <c:pt idx="3">
                  <c:v>1.7784899509059201E-2</c:v>
                </c:pt>
                <c:pt idx="4">
                  <c:v>6.3722570366018694E-2</c:v>
                </c:pt>
                <c:pt idx="5">
                  <c:v>3.6041557293450897E-2</c:v>
                </c:pt>
              </c:numCache>
            </c:numRef>
          </c:val>
          <c:extLst>
            <c:ext xmlns:c16="http://schemas.microsoft.com/office/drawing/2014/chart" uri="{C3380CC4-5D6E-409C-BE32-E72D297353CC}">
              <c16:uniqueId val="{00000004-DB44-4FA9-AD3E-999E9567E07C}"/>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4"/>
        </c:scaling>
        <c:delete val="1"/>
        <c:axPos val="l"/>
        <c:numFmt formatCode="0%" sourceLinked="0"/>
        <c:majorTickMark val="out"/>
        <c:minorTickMark val="none"/>
        <c:tickLblPos val="nextTo"/>
        <c:crossAx val="1179695728"/>
        <c:crosses val="autoZero"/>
        <c:crossBetween val="between"/>
      </c:valAx>
      <c:spPr>
        <a:noFill/>
        <a:ln>
          <a:solidFill>
            <a:schemeClr val="bg1">
              <a:lumMod val="50000"/>
            </a:schemeClr>
          </a:solidFill>
        </a:ln>
        <a:effectLst/>
      </c:spPr>
    </c:plotArea>
    <c:legend>
      <c:legendPos val="b"/>
      <c:layout>
        <c:manualLayout>
          <c:xMode val="edge"/>
          <c:yMode val="edge"/>
          <c:x val="0.17958344601964704"/>
          <c:y val="0.77814828489547616"/>
          <c:w val="0.638757936725171"/>
          <c:h val="0.21898728835909062"/>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6450883610494E-2"/>
          <c:y val="5.2089450674422291E-2"/>
          <c:w val="0.95352802804806591"/>
          <c:h val="0.60389347203967303"/>
        </c:manualLayout>
      </c:layout>
      <c:barChart>
        <c:barDir val="col"/>
        <c:grouping val="clustered"/>
        <c:varyColors val="0"/>
        <c:ser>
          <c:idx val="0"/>
          <c:order val="0"/>
          <c:tx>
            <c:strRef>
              <c:f>'G40'!$B$13</c:f>
              <c:strCache>
                <c:ptCount val="1"/>
                <c:pt idx="0">
                  <c:v> Nedostatek kvalifikovaných pracovníků</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'G40'!$A$14:$A$19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'G40'!$B$14:$B$19</c:f>
              <c:numCache>
                <c:formatCode>0.0%</c:formatCode>
                <c:ptCount val="6"/>
                <c:pt idx="0">
                  <c:v>0.21675106216039</c:v>
                </c:pt>
                <c:pt idx="1">
                  <c:v>0.21867223812366199</c:v>
                </c:pt>
                <c:pt idx="2">
                  <c:v>0.223316012519303</c:v>
                </c:pt>
                <c:pt idx="3">
                  <c:v>0.17932841054806101</c:v>
                </c:pt>
                <c:pt idx="4">
                  <c:v>0.23360684525738001</c:v>
                </c:pt>
                <c:pt idx="5">
                  <c:v>0.15776004227731599</c:v>
                </c:pt>
              </c:numCache>
            </c:numRef>
          </c:val>
          <c:extLst>
            <c:ext xmlns:c16="http://schemas.microsoft.com/office/drawing/2014/chart" uri="{C3380CC4-5D6E-409C-BE32-E72D297353CC}">
              <c16:uniqueId val="{00000000-09F2-4BE6-8B5E-F217743BB7CF}"/>
            </c:ext>
          </c:extLst>
        </c:ser>
        <c:ser>
          <c:idx val="1"/>
          <c:order val="1"/>
          <c:tx>
            <c:strRef>
              <c:f>'G40'!$C$13</c:f>
              <c:strCache>
                <c:ptCount val="1"/>
                <c:pt idx="0">
                  <c:v> Jiné priority v rámci podniku</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'G40'!$A$14:$A$19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'G40'!$C$14:$C$19</c:f>
              <c:numCache>
                <c:formatCode>0.0%</c:formatCode>
                <c:ptCount val="6"/>
                <c:pt idx="0">
                  <c:v>0.168579256171355</c:v>
                </c:pt>
                <c:pt idx="1">
                  <c:v>0.17447613365557699</c:v>
                </c:pt>
                <c:pt idx="2">
                  <c:v>0.159898630994667</c:v>
                </c:pt>
                <c:pt idx="3">
                  <c:v>0.14302411132833001</c:v>
                </c:pt>
                <c:pt idx="4">
                  <c:v>0.16342150223288501</c:v>
                </c:pt>
                <c:pt idx="5">
                  <c:v>0.18663010337231301</c:v>
                </c:pt>
              </c:numCache>
            </c:numRef>
          </c:val>
          <c:extLst>
            <c:ext xmlns:c16="http://schemas.microsoft.com/office/drawing/2014/chart" uri="{C3380CC4-5D6E-409C-BE32-E72D297353CC}">
              <c16:uniqueId val="{00000001-09F2-4BE6-8B5E-F217743BB7CF}"/>
            </c:ext>
          </c:extLst>
        </c:ser>
        <c:ser>
          <c:idx val="2"/>
          <c:order val="2"/>
          <c:tx>
            <c:strRef>
              <c:f>'G40'!$D$13</c:f>
              <c:strCache>
                <c:ptCount val="1"/>
                <c:pt idx="0">
                  <c:v> Příliš silná soutěž na trhu</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'G40'!$A$14:$A$19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'G40'!$D$14:$D$19</c:f>
              <c:numCache>
                <c:formatCode>0.0%</c:formatCode>
                <c:ptCount val="6"/>
                <c:pt idx="0">
                  <c:v>0.155921700973505</c:v>
                </c:pt>
                <c:pt idx="1">
                  <c:v>0.17821220615012601</c:v>
                </c:pt>
                <c:pt idx="2">
                  <c:v>0.119343872647522</c:v>
                </c:pt>
                <c:pt idx="3">
                  <c:v>7.0983563324485299E-2</c:v>
                </c:pt>
                <c:pt idx="4">
                  <c:v>0.16783906326591699</c:v>
                </c:pt>
                <c:pt idx="5">
                  <c:v>0.114213917247278</c:v>
                </c:pt>
              </c:numCache>
            </c:numRef>
          </c:val>
          <c:extLst>
            <c:ext xmlns:c16="http://schemas.microsoft.com/office/drawing/2014/chart" uri="{C3380CC4-5D6E-409C-BE32-E72D297353CC}">
              <c16:uniqueId val="{00000002-09F2-4BE6-8B5E-F217743BB7CF}"/>
            </c:ext>
          </c:extLst>
        </c:ser>
        <c:ser>
          <c:idx val="3"/>
          <c:order val="3"/>
          <c:tx>
            <c:strRef>
              <c:f>'G40'!$E$13</c:f>
              <c:strCache>
                <c:ptCount val="1"/>
                <c:pt idx="0">
                  <c:v> Nedostatečné rozhodovací pravomoci podniku</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'G40'!$A$14:$A$19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'G40'!$E$14:$E$19</c:f>
              <c:numCache>
                <c:formatCode>0.0%</c:formatCode>
                <c:ptCount val="6"/>
                <c:pt idx="0">
                  <c:v>8.8003812619240396E-2</c:v>
                </c:pt>
                <c:pt idx="1">
                  <c:v>6.8786807346328194E-2</c:v>
                </c:pt>
                <c:pt idx="2">
                  <c:v>0.116936115089442</c:v>
                </c:pt>
                <c:pt idx="3">
                  <c:v>0.169290687030486</c:v>
                </c:pt>
                <c:pt idx="4">
                  <c:v>3.2959202474513498E-2</c:v>
                </c:pt>
                <c:pt idx="5">
                  <c:v>0.28064616407923398</c:v>
                </c:pt>
              </c:numCache>
            </c:numRef>
          </c:val>
          <c:extLst>
            <c:ext xmlns:c16="http://schemas.microsoft.com/office/drawing/2014/chart" uri="{C3380CC4-5D6E-409C-BE32-E72D297353CC}">
              <c16:uniqueId val="{00000003-09F2-4BE6-8B5E-F217743BB7CF}"/>
            </c:ext>
          </c:extLst>
        </c:ser>
        <c:ser>
          <c:idx val="4"/>
          <c:order val="4"/>
          <c:tx>
            <c:strRef>
              <c:f>'G40'!$F$13</c:f>
              <c:strCache>
                <c:ptCount val="1"/>
                <c:pt idx="0">
                  <c:v> Nedostatek vhodných partnerů pro inovační spolupráci</c:v>
                </c:pt>
              </c:strCache>
            </c:strRef>
          </c:tx>
          <c:spPr>
            <a:solidFill>
              <a:schemeClr val="accent5">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'G40'!$A$14:$A$19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'G40'!$F$14:$F$19</c:f>
              <c:numCache>
                <c:formatCode>0.0%</c:formatCode>
                <c:ptCount val="6"/>
                <c:pt idx="0">
                  <c:v>7.7540931785649095E-2</c:v>
                </c:pt>
                <c:pt idx="1">
                  <c:v>8.5993806972642597E-2</c:v>
                </c:pt>
                <c:pt idx="2">
                  <c:v>6.5411250808428606E-2</c:v>
                </c:pt>
                <c:pt idx="3">
                  <c:v>3.9937624335682001E-2</c:v>
                </c:pt>
                <c:pt idx="4">
                  <c:v>8.6433331203732006E-2</c:v>
                </c:pt>
                <c:pt idx="5">
                  <c:v>4.6419760620717697E-2</c:v>
                </c:pt>
              </c:numCache>
            </c:numRef>
          </c:val>
          <c:extLst>
            <c:ext xmlns:c16="http://schemas.microsoft.com/office/drawing/2014/chart" uri="{C3380CC4-5D6E-409C-BE32-E72D297353CC}">
              <c16:uniqueId val="{00000004-09F2-4BE6-8B5E-F217743BB7CF}"/>
            </c:ext>
          </c:extLst>
        </c:ser>
        <c:ser>
          <c:idx val="5"/>
          <c:order val="5"/>
          <c:tx>
            <c:strRef>
              <c:f>'G40'!$G$13</c:f>
              <c:strCache>
                <c:ptCount val="1"/>
                <c:pt idx="0">
                  <c:v> Nedostatečný přístup k externím znalostem</c:v>
                </c:pt>
              </c:strCache>
            </c:strRef>
          </c:tx>
          <c:spPr>
            <a:solidFill>
              <a:schemeClr val="accent4">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'G40'!$A$14:$A$19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'G40'!$G$14:$G$19</c:f>
              <c:numCache>
                <c:formatCode>0.0%</c:formatCode>
                <c:ptCount val="6"/>
                <c:pt idx="0">
                  <c:v>6.01000389642131E-2</c:v>
                </c:pt>
                <c:pt idx="1">
                  <c:v>7.1710906909635302E-2</c:v>
                </c:pt>
                <c:pt idx="2">
                  <c:v>4.0724471663968101E-2</c:v>
                </c:pt>
                <c:pt idx="3">
                  <c:v>1.6856048662191099E-2</c:v>
                </c:pt>
                <c:pt idx="4">
                  <c:v>6.7024076561551002E-2</c:v>
                </c:pt>
                <c:pt idx="5">
                  <c:v>3.5867641262758099E-2</c:v>
                </c:pt>
              </c:numCache>
            </c:numRef>
          </c:val>
          <c:extLst>
            <c:ext xmlns:c16="http://schemas.microsoft.com/office/drawing/2014/chart" uri="{C3380CC4-5D6E-409C-BE32-E72D297353CC}">
              <c16:uniqueId val="{00000005-09F2-4BE6-8B5E-F217743BB7CF}"/>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35000000000000003"/>
        </c:scaling>
        <c:delete val="1"/>
        <c:axPos val="l"/>
        <c:numFmt formatCode="0%" sourceLinked="0"/>
        <c:majorTickMark val="out"/>
        <c:minorTickMark val="none"/>
        <c:tickLblPos val="nextTo"/>
        <c:crossAx val="1179695728"/>
        <c:crosses val="autoZero"/>
        <c:crossBetween val="between"/>
      </c:valAx>
      <c:spPr>
        <a:noFill/>
        <a:ln>
          <a:solidFill>
            <a:schemeClr val="bg1">
              <a:lumMod val="50000"/>
            </a:schemeClr>
          </a:solidFill>
        </a:ln>
        <a:effectLst/>
      </c:spPr>
    </c:plotArea>
    <c:legend>
      <c:legendPos val="b"/>
      <c:layout>
        <c:manualLayout>
          <c:xMode val="edge"/>
          <c:yMode val="edge"/>
          <c:x val="0.18788055555555561"/>
          <c:y val="0.7781482558139533"/>
          <c:w val="0.61178790849673215"/>
          <c:h val="0.2071901589440327"/>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494419065625511E-2"/>
          <c:y val="5.174074074074074E-2"/>
          <c:w val="0.95767869734348998"/>
          <c:h val="0.5595081481481482"/>
        </c:manualLayout>
      </c:layout>
      <c:barChart>
        <c:barDir val="col"/>
        <c:grouping val="clustered"/>
        <c:varyColors val="0"/>
        <c:ser>
          <c:idx val="0"/>
          <c:order val="0"/>
          <c:tx>
            <c:strRef>
              <c:f>'G41'!$B$3</c:f>
              <c:strCache>
                <c:ptCount val="1"/>
                <c:pt idx="0">
                  <c:v> Podnik uplatnil ochranu průmyslového vlastnictví</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'G41'!$A$4:$A$9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'G41'!$B$4:$B$9</c:f>
              <c:numCache>
                <c:formatCode>0.0%</c:formatCode>
                <c:ptCount val="6"/>
                <c:pt idx="0">
                  <c:v>7.2681985480735498E-2</c:v>
                </c:pt>
                <c:pt idx="1">
                  <c:v>4.3292305549527801E-2</c:v>
                </c:pt>
                <c:pt idx="2">
                  <c:v>0.118490432434898</c:v>
                </c:pt>
                <c:pt idx="3">
                  <c:v>0.19216443937387401</c:v>
                </c:pt>
                <c:pt idx="4">
                  <c:v>7.2533048821621204E-2</c:v>
                </c:pt>
                <c:pt idx="5">
                  <c:v>7.3203226491525206E-2</c:v>
                </c:pt>
              </c:numCache>
            </c:numRef>
          </c:val>
          <c:extLst>
            <c:ext xmlns:c16="http://schemas.microsoft.com/office/drawing/2014/chart" uri="{C3380CC4-5D6E-409C-BE32-E72D297353CC}">
              <c16:uniqueId val="{00000000-4B3A-4000-BBBB-0F6032D7D541}"/>
            </c:ext>
          </c:extLst>
        </c:ser>
        <c:ser>
          <c:idx val="1"/>
          <c:order val="1"/>
          <c:tx>
            <c:strRef>
              <c:f>'G41'!$C$3</c:f>
              <c:strCache>
                <c:ptCount val="1"/>
                <c:pt idx="0">
                  <c:v> Patentová přihláška</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'G41'!$A$4:$A$9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'G41'!$C$4:$C$9</c:f>
              <c:numCache>
                <c:formatCode>0.0%</c:formatCode>
                <c:ptCount val="6"/>
                <c:pt idx="0">
                  <c:v>3.5366975671060702E-2</c:v>
                </c:pt>
                <c:pt idx="1">
                  <c:v>1.8488437886643901E-2</c:v>
                </c:pt>
                <c:pt idx="2">
                  <c:v>5.7715883929540003E-2</c:v>
                </c:pt>
                <c:pt idx="3">
                  <c:v>0.116249586742114</c:v>
                </c:pt>
                <c:pt idx="4">
                  <c:v>2.8923087840229799E-2</c:v>
                </c:pt>
                <c:pt idx="5">
                  <c:v>5.7918969426885597E-2</c:v>
                </c:pt>
              </c:numCache>
            </c:numRef>
          </c:val>
          <c:extLst>
            <c:ext xmlns:c16="http://schemas.microsoft.com/office/drawing/2014/chart" uri="{C3380CC4-5D6E-409C-BE32-E72D297353CC}">
              <c16:uniqueId val="{00000001-4B3A-4000-BBBB-0F6032D7D541}"/>
            </c:ext>
          </c:extLst>
        </c:ser>
        <c:ser>
          <c:idx val="2"/>
          <c:order val="2"/>
          <c:tx>
            <c:strRef>
              <c:f>'G41'!$D$3</c:f>
              <c:strCache>
                <c:ptCount val="1"/>
                <c:pt idx="0">
                  <c:v> Přihláška užitného vzoru</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'G41'!$A$4:$A$9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'G41'!$D$4:$D$9</c:f>
              <c:numCache>
                <c:formatCode>0.0%</c:formatCode>
                <c:ptCount val="6"/>
                <c:pt idx="0">
                  <c:v>4.5967356922687802E-2</c:v>
                </c:pt>
                <c:pt idx="1">
                  <c:v>2.7883180755937501E-2</c:v>
                </c:pt>
                <c:pt idx="2">
                  <c:v>7.7159872628027398E-2</c:v>
                </c:pt>
                <c:pt idx="3">
                  <c:v>0.11017770566865601</c:v>
                </c:pt>
                <c:pt idx="4">
                  <c:v>4.9274662703111698E-2</c:v>
                </c:pt>
                <c:pt idx="5">
                  <c:v>3.4392614893215698E-2</c:v>
                </c:pt>
              </c:numCache>
            </c:numRef>
          </c:val>
          <c:extLst>
            <c:ext xmlns:c16="http://schemas.microsoft.com/office/drawing/2014/chart" uri="{C3380CC4-5D6E-409C-BE32-E72D297353CC}">
              <c16:uniqueId val="{00000002-4B3A-4000-BBBB-0F6032D7D541}"/>
            </c:ext>
          </c:extLst>
        </c:ser>
        <c:ser>
          <c:idx val="3"/>
          <c:order val="3"/>
          <c:tx>
            <c:strRef>
              <c:f>'G41'!$E$3</c:f>
              <c:strCache>
                <c:ptCount val="1"/>
                <c:pt idx="0">
                  <c:v> Přihláška průmyslového vzoru</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'G41'!$A$4:$A$9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'G41'!$E$4:$E$9</c:f>
              <c:numCache>
                <c:formatCode>0.0%</c:formatCode>
                <c:ptCount val="6"/>
                <c:pt idx="0">
                  <c:v>2.8232899421632599E-2</c:v>
                </c:pt>
                <c:pt idx="1">
                  <c:v>1.9324970804664901E-2</c:v>
                </c:pt>
                <c:pt idx="2">
                  <c:v>4.2541563954174702E-2</c:v>
                </c:pt>
                <c:pt idx="3">
                  <c:v>6.3133478952990804E-2</c:v>
                </c:pt>
                <c:pt idx="4">
                  <c:v>3.0368124475235798E-2</c:v>
                </c:pt>
                <c:pt idx="5">
                  <c:v>2.0760146428362099E-2</c:v>
                </c:pt>
              </c:numCache>
            </c:numRef>
          </c:val>
          <c:extLst>
            <c:ext xmlns:c16="http://schemas.microsoft.com/office/drawing/2014/chart" uri="{C3380CC4-5D6E-409C-BE32-E72D297353CC}">
              <c16:uniqueId val="{00000003-4B3A-4000-BBBB-0F6032D7D541}"/>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30000000000000004"/>
        </c:scaling>
        <c:delete val="1"/>
        <c:axPos val="l"/>
        <c:numFmt formatCode="0%" sourceLinked="0"/>
        <c:majorTickMark val="out"/>
        <c:minorTickMark val="none"/>
        <c:tickLblPos val="nextTo"/>
        <c:crossAx val="1179695728"/>
        <c:crosses val="autoZero"/>
        <c:crossBetween val="between"/>
      </c:valAx>
      <c:spPr>
        <a:noFill/>
        <a:ln>
          <a:solidFill>
            <a:schemeClr val="bg1">
              <a:lumMod val="50000"/>
            </a:schemeClr>
          </a:solidFill>
        </a:ln>
        <a:effectLst/>
      </c:spPr>
    </c:plotArea>
    <c:legend>
      <c:legendPos val="b"/>
      <c:layout>
        <c:manualLayout>
          <c:xMode val="edge"/>
          <c:yMode val="edge"/>
          <c:x val="0.2061625816993464"/>
          <c:y val="0.79684148148148148"/>
          <c:w val="0.64577941176470588"/>
          <c:h val="0.17493629629629631"/>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494419065625511E-2"/>
          <c:y val="5.174074074074074E-2"/>
          <c:w val="0.95767869734348998"/>
          <c:h val="0.60832132218698953"/>
        </c:manualLayout>
      </c:layout>
      <c:barChart>
        <c:barDir val="col"/>
        <c:grouping val="clustered"/>
        <c:varyColors val="0"/>
        <c:ser>
          <c:idx val="0"/>
          <c:order val="0"/>
          <c:tx>
            <c:strRef>
              <c:f>'G42'!$B$3</c:f>
              <c:strCache>
                <c:ptCount val="1"/>
                <c:pt idx="0">
                  <c:v> Licencovaly či prodaly vlastní práva duševního vlastnictví jinému subjektu</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'G42'!$A$4:$A$9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'G42'!$B$4:$B$9</c:f>
              <c:numCache>
                <c:formatCode>0.0%</c:formatCode>
                <c:ptCount val="6"/>
                <c:pt idx="0">
                  <c:v>6.0643524168296603E-2</c:v>
                </c:pt>
                <c:pt idx="1">
                  <c:v>5.4313981016354998E-2</c:v>
                </c:pt>
                <c:pt idx="2">
                  <c:v>6.8548973041647296E-2</c:v>
                </c:pt>
                <c:pt idx="3">
                  <c:v>9.2447939061422096E-2</c:v>
                </c:pt>
                <c:pt idx="4">
                  <c:v>6.3805910404002797E-2</c:v>
                </c:pt>
                <c:pt idx="5">
                  <c:v>4.9575964255175603E-2</c:v>
                </c:pt>
              </c:numCache>
            </c:numRef>
          </c:val>
          <c:extLst>
            <c:ext xmlns:c16="http://schemas.microsoft.com/office/drawing/2014/chart" uri="{C3380CC4-5D6E-409C-BE32-E72D297353CC}">
              <c16:uniqueId val="{00000000-19D4-45F8-9C74-8F025D842800}"/>
            </c:ext>
          </c:extLst>
        </c:ser>
        <c:ser>
          <c:idx val="1"/>
          <c:order val="1"/>
          <c:tx>
            <c:strRef>
              <c:f>'G42'!$C$3</c:f>
              <c:strCache>
                <c:ptCount val="1"/>
                <c:pt idx="0">
                  <c:v> Nakoupily licenci na právo užívat duševní vlastnictví od jiného subjektu</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'G42'!$A$4:$A$9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'G42'!$C$4:$C$9</c:f>
              <c:numCache>
                <c:formatCode>0.0%</c:formatCode>
                <c:ptCount val="6"/>
                <c:pt idx="0">
                  <c:v>0.114251770863066</c:v>
                </c:pt>
                <c:pt idx="1">
                  <c:v>9.6963375730861098E-2</c:v>
                </c:pt>
                <c:pt idx="2">
                  <c:v>0.13305366725585099</c:v>
                </c:pt>
                <c:pt idx="3">
                  <c:v>0.20976712320913601</c:v>
                </c:pt>
                <c:pt idx="4">
                  <c:v>0.10222843866594999</c:v>
                </c:pt>
                <c:pt idx="5">
                  <c:v>0.15633042271921199</c:v>
                </c:pt>
              </c:numCache>
            </c:numRef>
          </c:val>
          <c:extLst>
            <c:ext xmlns:c16="http://schemas.microsoft.com/office/drawing/2014/chart" uri="{C3380CC4-5D6E-409C-BE32-E72D297353CC}">
              <c16:uniqueId val="{00000001-19D4-45F8-9C74-8F025D842800}"/>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1"/>
        <c:axPos val="l"/>
        <c:numFmt formatCode="0%" sourceLinked="0"/>
        <c:majorTickMark val="out"/>
        <c:minorTickMark val="none"/>
        <c:tickLblPos val="nextTo"/>
        <c:crossAx val="1179695728"/>
        <c:crosses val="autoZero"/>
        <c:crossBetween val="between"/>
        <c:majorUnit val="5.000000000000001E-2"/>
      </c:valAx>
      <c:spPr>
        <a:noFill/>
        <a:ln>
          <a:solidFill>
            <a:schemeClr val="bg1">
              <a:lumMod val="50000"/>
            </a:schemeClr>
          </a:solidFill>
        </a:ln>
        <a:effectLst/>
      </c:spPr>
    </c:plotArea>
    <c:legend>
      <c:legendPos val="b"/>
      <c:layout>
        <c:manualLayout>
          <c:xMode val="edge"/>
          <c:yMode val="edge"/>
          <c:x val="0.2061625816993464"/>
          <c:y val="0.81459192676258108"/>
          <c:w val="0.64577941176470588"/>
          <c:h val="0.15718615966526028"/>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494419065625511E-2"/>
          <c:y val="5.174074074074074E-2"/>
          <c:w val="0.95767869734348998"/>
          <c:h val="0.5595081481481482"/>
        </c:manualLayout>
      </c:layout>
      <c:barChart>
        <c:barDir val="col"/>
        <c:grouping val="clustered"/>
        <c:varyColors val="0"/>
        <c:ser>
          <c:idx val="0"/>
          <c:order val="0"/>
          <c:tx>
            <c:strRef>
              <c:f>'G43'!$B$3</c:f>
              <c:strCache>
                <c:ptCount val="1"/>
                <c:pt idx="0">
                  <c:v>od podniku v rámci podnikové skupiny</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'G43'!$A$4:$A$9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'G43'!$B$4:$B$9</c:f>
              <c:numCache>
                <c:formatCode>0.0%</c:formatCode>
                <c:ptCount val="6"/>
                <c:pt idx="0">
                  <c:v>4.6829134081353703E-2</c:v>
                </c:pt>
                <c:pt idx="1">
                  <c:v>3.3321326944929099E-2</c:v>
                </c:pt>
                <c:pt idx="2">
                  <c:v>5.7074076408069198E-2</c:v>
                </c:pt>
                <c:pt idx="3">
                  <c:v>0.13522791769622799</c:v>
                </c:pt>
                <c:pt idx="4">
                  <c:v>2.8185774845610499E-2</c:v>
                </c:pt>
                <c:pt idx="5">
                  <c:v>0.112076222812548</c:v>
                </c:pt>
              </c:numCache>
            </c:numRef>
          </c:val>
          <c:extLst>
            <c:ext xmlns:c16="http://schemas.microsoft.com/office/drawing/2014/chart" uri="{C3380CC4-5D6E-409C-BE32-E72D297353CC}">
              <c16:uniqueId val="{00000000-9D95-4660-9583-1ADD6D994BF7}"/>
            </c:ext>
          </c:extLst>
        </c:ser>
        <c:ser>
          <c:idx val="1"/>
          <c:order val="1"/>
          <c:tx>
            <c:strRef>
              <c:f>'G43'!$C$3</c:f>
              <c:strCache>
                <c:ptCount val="1"/>
                <c:pt idx="0">
                  <c:v>od podniku mimo podnikovou skupinu</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'G43'!$A$4:$A$9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'G43'!$C$4:$C$9</c:f>
              <c:numCache>
                <c:formatCode>0.0%</c:formatCode>
                <c:ptCount val="6"/>
                <c:pt idx="0">
                  <c:v>6.7780961620775904E-2</c:v>
                </c:pt>
                <c:pt idx="1">
                  <c:v>6.1686661282091902E-2</c:v>
                </c:pt>
                <c:pt idx="2">
                  <c:v>7.9886575241714206E-2</c:v>
                </c:pt>
                <c:pt idx="3">
                  <c:v>8.4482333583676794E-2</c:v>
                </c:pt>
                <c:pt idx="4">
                  <c:v>6.93473657039545E-2</c:v>
                </c:pt>
                <c:pt idx="5">
                  <c:v>6.2298939582166701E-2</c:v>
                </c:pt>
              </c:numCache>
            </c:numRef>
          </c:val>
          <c:extLst>
            <c:ext xmlns:c16="http://schemas.microsoft.com/office/drawing/2014/chart" uri="{C3380CC4-5D6E-409C-BE32-E72D297353CC}">
              <c16:uniqueId val="{00000001-9D95-4660-9583-1ADD6D994BF7}"/>
            </c:ext>
          </c:extLst>
        </c:ser>
        <c:ser>
          <c:idx val="2"/>
          <c:order val="2"/>
          <c:tx>
            <c:strRef>
              <c:f>'G43'!$D$3</c:f>
              <c:strCache>
                <c:ptCount val="1"/>
                <c:pt idx="0">
                  <c:v>od podnikatele (OSVČ) nebo fyzické osoby</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'G43'!$A$4:$A$9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'G43'!$D$4:$D$9</c:f>
              <c:numCache>
                <c:formatCode>0.0%</c:formatCode>
                <c:ptCount val="6"/>
                <c:pt idx="0">
                  <c:v>2.8560083486694001E-2</c:v>
                </c:pt>
                <c:pt idx="1">
                  <c:v>2.6528868309114498E-2</c:v>
                </c:pt>
                <c:pt idx="2">
                  <c:v>3.1837564306063E-2</c:v>
                </c:pt>
                <c:pt idx="3">
                  <c:v>3.6472468902941202E-2</c:v>
                </c:pt>
                <c:pt idx="4">
                  <c:v>3.11584883734169E-2</c:v>
                </c:pt>
                <c:pt idx="5">
                  <c:v>1.94663170651076E-2</c:v>
                </c:pt>
              </c:numCache>
            </c:numRef>
          </c:val>
          <c:extLst>
            <c:ext xmlns:c16="http://schemas.microsoft.com/office/drawing/2014/chart" uri="{C3380CC4-5D6E-409C-BE32-E72D297353CC}">
              <c16:uniqueId val="{00000002-9D95-4660-9583-1ADD6D994BF7}"/>
            </c:ext>
          </c:extLst>
        </c:ser>
        <c:ser>
          <c:idx val="3"/>
          <c:order val="3"/>
          <c:tx>
            <c:strRef>
              <c:f>'G43'!$E$3</c:f>
              <c:strCache>
                <c:ptCount val="1"/>
                <c:pt idx="0">
                  <c:v>od veřejné výzkumné organizace nebo vysoké školy</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'G43'!$A$4:$A$9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'G43'!$E$4:$E$9</c:f>
              <c:numCache>
                <c:formatCode>0.0%</c:formatCode>
                <c:ptCount val="6"/>
                <c:pt idx="0">
                  <c:v>1.3484080176593E-2</c:v>
                </c:pt>
                <c:pt idx="1">
                  <c:v>1.21750386604919E-2</c:v>
                </c:pt>
                <c:pt idx="2">
                  <c:v>1.1957324164495801E-2</c:v>
                </c:pt>
                <c:pt idx="3">
                  <c:v>2.9855756276264599E-2</c:v>
                </c:pt>
                <c:pt idx="4">
                  <c:v>1.4826554940896399E-2</c:v>
                </c:pt>
                <c:pt idx="5">
                  <c:v>8.7857546785811702E-3</c:v>
                </c:pt>
              </c:numCache>
            </c:numRef>
          </c:val>
          <c:extLst>
            <c:ext xmlns:c16="http://schemas.microsoft.com/office/drawing/2014/chart" uri="{C3380CC4-5D6E-409C-BE32-E72D297353CC}">
              <c16:uniqueId val="{00000003-9D95-4660-9583-1ADD6D994BF7}"/>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18000000000000002"/>
        </c:scaling>
        <c:delete val="1"/>
        <c:axPos val="l"/>
        <c:numFmt formatCode="0%" sourceLinked="0"/>
        <c:majorTickMark val="out"/>
        <c:minorTickMark val="none"/>
        <c:tickLblPos val="nextTo"/>
        <c:crossAx val="1179695728"/>
        <c:crosses val="autoZero"/>
        <c:crossBetween val="between"/>
      </c:valAx>
      <c:spPr>
        <a:noFill/>
        <a:ln>
          <a:solidFill>
            <a:schemeClr val="bg1">
              <a:lumMod val="50000"/>
            </a:schemeClr>
          </a:solidFill>
        </a:ln>
        <a:effectLst/>
      </c:spPr>
    </c:plotArea>
    <c:legend>
      <c:legendPos val="b"/>
      <c:layout>
        <c:manualLayout>
          <c:xMode val="edge"/>
          <c:yMode val="edge"/>
          <c:x val="0.2061625816993464"/>
          <c:y val="0.79684148148148148"/>
          <c:w val="0.64577941176470588"/>
          <c:h val="0.17493629629629631"/>
        </c:manualLayout>
      </c:layout>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887696078431372"/>
          <c:y val="3.512754761332372E-2"/>
          <c:w val="0.5590712418300654"/>
          <c:h val="0.87060482180293497"/>
        </c:manualLayout>
      </c:layout>
      <c:barChart>
        <c:barDir val="bar"/>
        <c:grouping val="clustered"/>
        <c:varyColors val="0"/>
        <c:ser>
          <c:idx val="0"/>
          <c:order val="0"/>
          <c:tx>
            <c:strRef>
              <c:f>'G44'!$A$20</c:f>
              <c:strCache>
                <c:ptCount val="1"/>
                <c:pt idx="0">
                  <c:v>Služby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'G44'!$B$19:$I$19</c:f>
              <c:strCache>
                <c:ptCount val="8"/>
                <c:pt idx="0">
                  <c:v>přechod na obnovitelné zdroje energie</c:v>
                </c:pt>
                <c:pt idx="1">
                  <c:v>náhrada materiálu jiným, méně znečišťujícím 
nebo s nižším obsahem nebezpečných látek</c:v>
                </c:pt>
                <c:pt idx="2">
                  <c:v>snížení hluku</c:v>
                </c:pt>
                <c:pt idx="3">
                  <c:v>snížení znečištění půdy, vody a vzduchu</c:v>
                </c:pt>
                <c:pt idx="4">
                  <c:v>snížení produkce emisí CO2</c:v>
                </c:pt>
                <c:pt idx="5">
                  <c:v>recyklace odpadu, vody nebo materiálů 
pro vlastní užití nebo prodej</c:v>
                </c:pt>
                <c:pt idx="6">
                  <c:v>snížení spotřeby materiálu nebo vody</c:v>
                </c:pt>
                <c:pt idx="7">
                  <c:v>snížení spotřeby energie</c:v>
                </c:pt>
              </c:strCache>
            </c:strRef>
          </c:cat>
          <c:val>
            <c:numRef>
              <c:f>'G44'!$B$20:$I$20</c:f>
              <c:numCache>
                <c:formatCode>0.0%</c:formatCode>
                <c:ptCount val="8"/>
                <c:pt idx="0">
                  <c:v>2.1933654322237858E-2</c:v>
                </c:pt>
                <c:pt idx="1">
                  <c:v>4.2523368663262374E-2</c:v>
                </c:pt>
                <c:pt idx="2">
                  <c:v>5.1562083918819064E-2</c:v>
                </c:pt>
                <c:pt idx="3">
                  <c:v>6.341141700680368E-2</c:v>
                </c:pt>
                <c:pt idx="4">
                  <c:v>8.5496897915452022E-2</c:v>
                </c:pt>
                <c:pt idx="5">
                  <c:v>7.7182177311699823E-2</c:v>
                </c:pt>
                <c:pt idx="6">
                  <c:v>8.5079970232335045E-2</c:v>
                </c:pt>
                <c:pt idx="7">
                  <c:v>0.10551844547740087</c:v>
                </c:pt>
              </c:numCache>
            </c:numRef>
          </c:val>
          <c:extLst>
            <c:ext xmlns:c16="http://schemas.microsoft.com/office/drawing/2014/chart" uri="{C3380CC4-5D6E-409C-BE32-E72D297353CC}">
              <c16:uniqueId val="{00000000-72F5-40BF-B92F-9E0C825D783B}"/>
            </c:ext>
          </c:extLst>
        </c:ser>
        <c:ser>
          <c:idx val="1"/>
          <c:order val="1"/>
          <c:tx>
            <c:strRef>
              <c:f>'G44'!$A$21</c:f>
              <c:strCache>
                <c:ptCount val="1"/>
                <c:pt idx="0">
                  <c:v>Průmysl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'G44'!$B$19:$I$19</c:f>
              <c:strCache>
                <c:ptCount val="8"/>
                <c:pt idx="0">
                  <c:v>přechod na obnovitelné zdroje energie</c:v>
                </c:pt>
                <c:pt idx="1">
                  <c:v>náhrada materiálu jiným, méně znečišťujícím 
nebo s nižším obsahem nebezpečných látek</c:v>
                </c:pt>
                <c:pt idx="2">
                  <c:v>snížení hluku</c:v>
                </c:pt>
                <c:pt idx="3">
                  <c:v>snížení znečištění půdy, vody a vzduchu</c:v>
                </c:pt>
                <c:pt idx="4">
                  <c:v>snížení produkce emisí CO2</c:v>
                </c:pt>
                <c:pt idx="5">
                  <c:v>recyklace odpadu, vody nebo materiálů 
pro vlastní užití nebo prodej</c:v>
                </c:pt>
                <c:pt idx="6">
                  <c:v>snížení spotřeby materiálu nebo vody</c:v>
                </c:pt>
                <c:pt idx="7">
                  <c:v>snížení spotřeby energie</c:v>
                </c:pt>
              </c:strCache>
            </c:strRef>
          </c:cat>
          <c:val>
            <c:numRef>
              <c:f>'G44'!$B$21:$I$21</c:f>
              <c:numCache>
                <c:formatCode>0.0%</c:formatCode>
                <c:ptCount val="8"/>
                <c:pt idx="0">
                  <c:v>3.0556217958158088E-2</c:v>
                </c:pt>
                <c:pt idx="1">
                  <c:v>7.7620761718720913E-2</c:v>
                </c:pt>
                <c:pt idx="2">
                  <c:v>7.1238988397866784E-2</c:v>
                </c:pt>
                <c:pt idx="3">
                  <c:v>8.4448101649748586E-2</c:v>
                </c:pt>
                <c:pt idx="4">
                  <c:v>8.7474430513558826E-2</c:v>
                </c:pt>
                <c:pt idx="5">
                  <c:v>0.11340536863440144</c:v>
                </c:pt>
                <c:pt idx="6">
                  <c:v>0.11979271856002026</c:v>
                </c:pt>
                <c:pt idx="7">
                  <c:v>0.17177469047925309</c:v>
                </c:pt>
              </c:numCache>
            </c:numRef>
          </c:val>
          <c:extLst>
            <c:ext xmlns:c16="http://schemas.microsoft.com/office/drawing/2014/chart" uri="{C3380CC4-5D6E-409C-BE32-E72D297353CC}">
              <c16:uniqueId val="{00000001-72F5-40BF-B92F-9E0C825D783B}"/>
            </c:ext>
          </c:extLst>
        </c:ser>
        <c:ser>
          <c:idx val="2"/>
          <c:order val="2"/>
          <c:tx>
            <c:strRef>
              <c:f>'G44'!$A$22</c:f>
              <c:strCache>
                <c:ptCount val="1"/>
                <c:pt idx="0">
                  <c:v>PODNIKY CELKEM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'G44'!$B$19:$I$19</c:f>
              <c:strCache>
                <c:ptCount val="8"/>
                <c:pt idx="0">
                  <c:v>přechod na obnovitelné zdroje energie</c:v>
                </c:pt>
                <c:pt idx="1">
                  <c:v>náhrada materiálu jiným, méně znečišťujícím 
nebo s nižším obsahem nebezpečných látek</c:v>
                </c:pt>
                <c:pt idx="2">
                  <c:v>snížení hluku</c:v>
                </c:pt>
                <c:pt idx="3">
                  <c:v>snížení znečištění půdy, vody a vzduchu</c:v>
                </c:pt>
                <c:pt idx="4">
                  <c:v>snížení produkce emisí CO2</c:v>
                </c:pt>
                <c:pt idx="5">
                  <c:v>recyklace odpadu, vody nebo materiálů 
pro vlastní užití nebo prodej</c:v>
                </c:pt>
                <c:pt idx="6">
                  <c:v>snížení spotřeby materiálu nebo vody</c:v>
                </c:pt>
                <c:pt idx="7">
                  <c:v>snížení spotřeby energie</c:v>
                </c:pt>
              </c:strCache>
            </c:strRef>
          </c:cat>
          <c:val>
            <c:numRef>
              <c:f>'G44'!$B$22:$I$22</c:f>
              <c:numCache>
                <c:formatCode>0.0%</c:formatCode>
                <c:ptCount val="8"/>
                <c:pt idx="0">
                  <c:v>2.65621461474181E-2</c:v>
                </c:pt>
                <c:pt idx="1">
                  <c:v>6.1363240852270802E-2</c:v>
                </c:pt>
                <c:pt idx="2">
                  <c:v>6.21244172771633E-2</c:v>
                </c:pt>
                <c:pt idx="3">
                  <c:v>7.4703664534342504E-2</c:v>
                </c:pt>
                <c:pt idx="4">
                  <c:v>8.6558414402989003E-2</c:v>
                </c:pt>
                <c:pt idx="5">
                  <c:v>9.6626364910458201E-2</c:v>
                </c:pt>
                <c:pt idx="6">
                  <c:v>0.10371336960730899</c:v>
                </c:pt>
                <c:pt idx="7">
                  <c:v>0.14108402681804599</c:v>
                </c:pt>
              </c:numCache>
            </c:numRef>
          </c:val>
          <c:extLst>
            <c:ext xmlns:c16="http://schemas.microsoft.com/office/drawing/2014/chart" uri="{C3380CC4-5D6E-409C-BE32-E72D297353CC}">
              <c16:uniqueId val="{00000002-72F5-40BF-B92F-9E0C825D783B}"/>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l"/>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2"/>
        </c:scaling>
        <c:delete val="1"/>
        <c:axPos val="b"/>
        <c:numFmt formatCode="0%" sourceLinked="0"/>
        <c:majorTickMark val="out"/>
        <c:minorTickMark val="none"/>
        <c:tickLblPos val="nextTo"/>
        <c:crossAx val="1179695728"/>
        <c:crosses val="autoZero"/>
        <c:crossBetween val="between"/>
        <c:majorUnit val="2.0000000000000004E-2"/>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887696078431372"/>
          <c:y val="3.512754761332372E-2"/>
          <c:w val="0.5590712418300654"/>
          <c:h val="0.84324350185352681"/>
        </c:manualLayout>
      </c:layout>
      <c:barChart>
        <c:barDir val="bar"/>
        <c:grouping val="clustered"/>
        <c:varyColors val="0"/>
        <c:ser>
          <c:idx val="0"/>
          <c:order val="0"/>
          <c:tx>
            <c:strRef>
              <c:f>'G45'!$A$19</c:f>
              <c:strCache>
                <c:ptCount val="1"/>
                <c:pt idx="0">
                  <c:v>Služby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'G45'!$B$18:$G$18</c:f>
              <c:strCache>
                <c:ptCount val="6"/>
                <c:pt idx="0">
                  <c:v>snížení hluku</c:v>
                </c:pt>
                <c:pt idx="1">
                  <c:v>snížení znečištění půdy, vody a vzduchu</c:v>
                </c:pt>
                <c:pt idx="2">
                  <c:v>prodloužení trvanlivosti (životnosti) výrobku</c:v>
                </c:pt>
                <c:pt idx="3">
                  <c:v>usnadnění recyklace výrobků po jejich užití</c:v>
                </c:pt>
                <c:pt idx="4">
                  <c:v>snížení emisí CO2</c:v>
                </c:pt>
                <c:pt idx="5">
                  <c:v>snížení spotřeby energie</c:v>
                </c:pt>
              </c:strCache>
            </c:strRef>
          </c:cat>
          <c:val>
            <c:numRef>
              <c:f>'G45'!$B$19:$G$19</c:f>
              <c:numCache>
                <c:formatCode>0.0%</c:formatCode>
                <c:ptCount val="6"/>
                <c:pt idx="0">
                  <c:v>4.5772714837993778E-2</c:v>
                </c:pt>
                <c:pt idx="1">
                  <c:v>5.5328643984549404E-2</c:v>
                </c:pt>
                <c:pt idx="2">
                  <c:v>5.2339190883062658E-2</c:v>
                </c:pt>
                <c:pt idx="3">
                  <c:v>5.9785283037100692E-2</c:v>
                </c:pt>
                <c:pt idx="4">
                  <c:v>7.8881517259826311E-2</c:v>
                </c:pt>
                <c:pt idx="5">
                  <c:v>6.8664629599099483E-2</c:v>
                </c:pt>
              </c:numCache>
            </c:numRef>
          </c:val>
          <c:extLst>
            <c:ext xmlns:c16="http://schemas.microsoft.com/office/drawing/2014/chart" uri="{C3380CC4-5D6E-409C-BE32-E72D297353CC}">
              <c16:uniqueId val="{00000000-FE07-461F-BB93-64909745E7BE}"/>
            </c:ext>
          </c:extLst>
        </c:ser>
        <c:ser>
          <c:idx val="1"/>
          <c:order val="1"/>
          <c:tx>
            <c:strRef>
              <c:f>'G45'!$A$20</c:f>
              <c:strCache>
                <c:ptCount val="1"/>
                <c:pt idx="0">
                  <c:v>Průmysl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'G45'!$B$18:$G$18</c:f>
              <c:strCache>
                <c:ptCount val="6"/>
                <c:pt idx="0">
                  <c:v>snížení hluku</c:v>
                </c:pt>
                <c:pt idx="1">
                  <c:v>snížení znečištění půdy, vody a vzduchu</c:v>
                </c:pt>
                <c:pt idx="2">
                  <c:v>prodloužení trvanlivosti (životnosti) výrobku</c:v>
                </c:pt>
                <c:pt idx="3">
                  <c:v>usnadnění recyklace výrobků po jejich užití</c:v>
                </c:pt>
                <c:pt idx="4">
                  <c:v>snížení emisí CO2</c:v>
                </c:pt>
                <c:pt idx="5">
                  <c:v>snížení spotřeby energie</c:v>
                </c:pt>
              </c:strCache>
            </c:strRef>
          </c:cat>
          <c:val>
            <c:numRef>
              <c:f>'G45'!$B$20:$G$20</c:f>
              <c:numCache>
                <c:formatCode>0.0%</c:formatCode>
                <c:ptCount val="6"/>
                <c:pt idx="0">
                  <c:v>5.505173527224156E-2</c:v>
                </c:pt>
                <c:pt idx="1">
                  <c:v>6.8600610362816825E-2</c:v>
                </c:pt>
                <c:pt idx="2">
                  <c:v>8.3280604502860123E-2</c:v>
                </c:pt>
                <c:pt idx="3">
                  <c:v>8.0425081425280348E-2</c:v>
                </c:pt>
                <c:pt idx="4">
                  <c:v>7.9535318378094064E-2</c:v>
                </c:pt>
                <c:pt idx="5">
                  <c:v>0.12794101503195021</c:v>
                </c:pt>
              </c:numCache>
            </c:numRef>
          </c:val>
          <c:extLst>
            <c:ext xmlns:c16="http://schemas.microsoft.com/office/drawing/2014/chart" uri="{C3380CC4-5D6E-409C-BE32-E72D297353CC}">
              <c16:uniqueId val="{00000001-FE07-461F-BB93-64909745E7BE}"/>
            </c:ext>
          </c:extLst>
        </c:ser>
        <c:ser>
          <c:idx val="2"/>
          <c:order val="2"/>
          <c:tx>
            <c:strRef>
              <c:f>'G45'!$A$21</c:f>
              <c:strCache>
                <c:ptCount val="1"/>
                <c:pt idx="0">
                  <c:v>PODNIKY CELKEM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'G45'!$B$18:$G$18</c:f>
              <c:strCache>
                <c:ptCount val="6"/>
                <c:pt idx="0">
                  <c:v>snížení hluku</c:v>
                </c:pt>
                <c:pt idx="1">
                  <c:v>snížení znečištění půdy, vody a vzduchu</c:v>
                </c:pt>
                <c:pt idx="2">
                  <c:v>prodloužení trvanlivosti (životnosti) výrobku</c:v>
                </c:pt>
                <c:pt idx="3">
                  <c:v>usnadnění recyklace výrobků po jejich užití</c:v>
                </c:pt>
                <c:pt idx="4">
                  <c:v>snížení emisí CO2</c:v>
                </c:pt>
                <c:pt idx="5">
                  <c:v>snížení spotřeby energie</c:v>
                </c:pt>
              </c:strCache>
            </c:strRef>
          </c:cat>
          <c:val>
            <c:numRef>
              <c:f>'G45'!$B$21:$G$21</c:f>
              <c:numCache>
                <c:formatCode>0.0%</c:formatCode>
                <c:ptCount val="6"/>
                <c:pt idx="0">
                  <c:v>5.0753585033799897E-2</c:v>
                </c:pt>
                <c:pt idx="1">
                  <c:v>6.2452881100060399E-2</c:v>
                </c:pt>
                <c:pt idx="2">
                  <c:v>6.8948181671156794E-2</c:v>
                </c:pt>
                <c:pt idx="3">
                  <c:v>7.0864486641361801E-2</c:v>
                </c:pt>
                <c:pt idx="4">
                  <c:v>7.9232470092298404E-2</c:v>
                </c:pt>
                <c:pt idx="5">
                  <c:v>0.100483503542719</c:v>
                </c:pt>
              </c:numCache>
            </c:numRef>
          </c:val>
          <c:extLst>
            <c:ext xmlns:c16="http://schemas.microsoft.com/office/drawing/2014/chart" uri="{C3380CC4-5D6E-409C-BE32-E72D297353CC}">
              <c16:uniqueId val="{00000002-FE07-461F-BB93-64909745E7BE}"/>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l"/>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16000000000000003"/>
          <c:min val="0"/>
        </c:scaling>
        <c:delete val="1"/>
        <c:axPos val="b"/>
        <c:numFmt formatCode="0%" sourceLinked="0"/>
        <c:majorTickMark val="out"/>
        <c:minorTickMark val="none"/>
        <c:tickLblPos val="nextTo"/>
        <c:crossAx val="1179695728"/>
        <c:crosses val="autoZero"/>
        <c:crossBetween val="between"/>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'G10'!$B$19</c:f>
              <c:strCache>
                <c:ptCount val="1"/>
                <c:pt idx="0">
                  <c:v>2016–2018</c:v>
                </c:pt>
              </c:strCache>
            </c:strRef>
          </c:tx>
          <c:spPr>
            <a:solidFill>
              <a:schemeClr val="accent6"/>
            </a:solidFill>
            <a:ln>
              <a:noFill/>
            </a:ln>
            <a:effectLst/>
          </c:spPr>
          <c:invertIfNegative val="0"/>
          <c:cat>
            <c:strRef>
              <c:f>'G10'!$A$20:$A$33</c:f>
              <c:strCache>
                <c:ptCount val="14"/>
                <c:pt idx="0">
                  <c:v>Dřevozpracující a papírenský průmysl /16–18/</c:v>
                </c:pt>
                <c:pt idx="1">
                  <c:v>Textilní, oděvní, kožedělný a obuvnický průmysl /13–15/</c:v>
                </c:pt>
                <c:pt idx="2">
                  <c:v>Ostatní odvětví zpracovatelského průmyslu /31–33/</c:v>
                </c:pt>
                <c:pt idx="3">
                  <c:v>Výroba kovů, hutních a kovodělných výrobků /24–25/ </c:v>
                </c:pt>
                <c:pt idx="4">
                  <c:v>Průmysl skla, keramiky, porcelánu a staveb. hmot /23/</c:v>
                </c:pt>
                <c:pt idx="5">
                  <c:v>Gumárenský a plastový průmysl /22/</c:v>
                </c:pt>
                <c:pt idx="6">
                  <c:v>Strojírenský průmysl /28/</c:v>
                </c:pt>
                <c:pt idx="7">
                  <c:v>Elektrotechnický průmysl /27/</c:v>
                </c:pt>
                <c:pt idx="8">
                  <c:v>Potravinářský, nápojový a tabákový průmysl /10–12/</c:v>
                </c:pt>
                <c:pt idx="9">
                  <c:v>Automobilový průmysl /29/</c:v>
                </c:pt>
                <c:pt idx="10">
                  <c:v>Výroba ostatních dopravních prostředků a zařízení /30/</c:v>
                </c:pt>
                <c:pt idx="11">
                  <c:v>Farmaceutický průmysl /21/</c:v>
                </c:pt>
                <c:pt idx="12">
                  <c:v>Elektronický průmysl /26/</c:v>
                </c:pt>
                <c:pt idx="13">
                  <c:v>Petrochemický a chemický průmysl /19-20/</c:v>
                </c:pt>
              </c:strCache>
            </c:strRef>
          </c:cat>
          <c:val>
            <c:numRef>
              <c:f>'G10'!$B$20:$B$33</c:f>
              <c:numCache>
                <c:formatCode>0.0%</c:formatCode>
                <c:ptCount val="14"/>
                <c:pt idx="0">
                  <c:v>0.37899688673531273</c:v>
                </c:pt>
                <c:pt idx="1">
                  <c:v>0.34980585356459082</c:v>
                </c:pt>
                <c:pt idx="2">
                  <c:v>0.45768020822151262</c:v>
                </c:pt>
                <c:pt idx="3">
                  <c:v>0.49085721758547329</c:v>
                </c:pt>
                <c:pt idx="4">
                  <c:v>0.54668925358489218</c:v>
                </c:pt>
                <c:pt idx="5">
                  <c:v>0.52327795103777675</c:v>
                </c:pt>
                <c:pt idx="6">
                  <c:v>0.65269147935154082</c:v>
                </c:pt>
                <c:pt idx="7">
                  <c:v>0.49924179772178423</c:v>
                </c:pt>
                <c:pt idx="8">
                  <c:v>0.52956655839605238</c:v>
                </c:pt>
                <c:pt idx="9">
                  <c:v>0.56144483948999535</c:v>
                </c:pt>
                <c:pt idx="10">
                  <c:v>0.5850011264434648</c:v>
                </c:pt>
                <c:pt idx="11">
                  <c:v>0.79906346153846153</c:v>
                </c:pt>
                <c:pt idx="12">
                  <c:v>0.7007768704214824</c:v>
                </c:pt>
                <c:pt idx="13">
                  <c:v>0.75134807375720825</c:v>
                </c:pt>
              </c:numCache>
            </c:numRef>
          </c:val>
          <c:extLst>
            <c:ext xmlns:c16="http://schemas.microsoft.com/office/drawing/2014/chart" uri="{C3380CC4-5D6E-409C-BE32-E72D297353CC}">
              <c16:uniqueId val="{00000000-C5AD-4F6C-945B-561DB9B21113}"/>
            </c:ext>
          </c:extLst>
        </c:ser>
        <c:ser>
          <c:idx val="1"/>
          <c:order val="1"/>
          <c:tx>
            <c:strRef>
              <c:f>'G10'!$C$19</c:f>
              <c:strCache>
                <c:ptCount val="1"/>
                <c:pt idx="0">
                  <c:v>2018–2020</c:v>
                </c:pt>
              </c:strCache>
            </c:strRef>
          </c:tx>
          <c:spPr>
            <a:solidFill>
              <a:schemeClr val="accent5"/>
            </a:solidFill>
            <a:ln>
              <a:noFill/>
            </a:ln>
            <a:effectLst/>
          </c:spPr>
          <c:invertIfNegative val="0"/>
          <c:cat>
            <c:strRef>
              <c:f>'G10'!$A$20:$A$33</c:f>
              <c:strCache>
                <c:ptCount val="14"/>
                <c:pt idx="0">
                  <c:v>Dřevozpracující a papírenský průmysl /16–18/</c:v>
                </c:pt>
                <c:pt idx="1">
                  <c:v>Textilní, oděvní, kožedělný a obuvnický průmysl /13–15/</c:v>
                </c:pt>
                <c:pt idx="2">
                  <c:v>Ostatní odvětví zpracovatelského průmyslu /31–33/</c:v>
                </c:pt>
                <c:pt idx="3">
                  <c:v>Výroba kovů, hutních a kovodělných výrobků /24–25/ </c:v>
                </c:pt>
                <c:pt idx="4">
                  <c:v>Průmysl skla, keramiky, porcelánu a staveb. hmot /23/</c:v>
                </c:pt>
                <c:pt idx="5">
                  <c:v>Gumárenský a plastový průmysl /22/</c:v>
                </c:pt>
                <c:pt idx="6">
                  <c:v>Strojírenský průmysl /28/</c:v>
                </c:pt>
                <c:pt idx="7">
                  <c:v>Elektrotechnický průmysl /27/</c:v>
                </c:pt>
                <c:pt idx="8">
                  <c:v>Potravinářský, nápojový a tabákový průmysl /10–12/</c:v>
                </c:pt>
                <c:pt idx="9">
                  <c:v>Automobilový průmysl /29/</c:v>
                </c:pt>
                <c:pt idx="10">
                  <c:v>Výroba ostatních dopravních prostředků a zařízení /30/</c:v>
                </c:pt>
                <c:pt idx="11">
                  <c:v>Farmaceutický průmysl /21/</c:v>
                </c:pt>
                <c:pt idx="12">
                  <c:v>Elektronický průmysl /26/</c:v>
                </c:pt>
                <c:pt idx="13">
                  <c:v>Petrochemický a chemický průmysl /19-20/</c:v>
                </c:pt>
              </c:strCache>
            </c:strRef>
          </c:cat>
          <c:val>
            <c:numRef>
              <c:f>'G10'!$C$20:$C$33</c:f>
              <c:numCache>
                <c:formatCode>0.0%</c:formatCode>
                <c:ptCount val="14"/>
                <c:pt idx="0">
                  <c:v>0.49576609291507101</c:v>
                </c:pt>
                <c:pt idx="1">
                  <c:v>0.50195557500780397</c:v>
                </c:pt>
                <c:pt idx="2">
                  <c:v>0.52319567553131596</c:v>
                </c:pt>
                <c:pt idx="3">
                  <c:v>0.52563422580178099</c:v>
                </c:pt>
                <c:pt idx="4">
                  <c:v>0.56472239568607696</c:v>
                </c:pt>
                <c:pt idx="5">
                  <c:v>0.57191159418399395</c:v>
                </c:pt>
                <c:pt idx="6">
                  <c:v>0.64532869539289694</c:v>
                </c:pt>
                <c:pt idx="7">
                  <c:v>0.66117391224279298</c:v>
                </c:pt>
                <c:pt idx="8">
                  <c:v>0.66242703364893396</c:v>
                </c:pt>
                <c:pt idx="9">
                  <c:v>0.69966260631664901</c:v>
                </c:pt>
                <c:pt idx="10">
                  <c:v>0.71241149258197001</c:v>
                </c:pt>
                <c:pt idx="11">
                  <c:v>0.72645767744026701</c:v>
                </c:pt>
                <c:pt idx="12">
                  <c:v>0.75963682769287599</c:v>
                </c:pt>
                <c:pt idx="13">
                  <c:v>0.77871482626515298</c:v>
                </c:pt>
              </c:numCache>
            </c:numRef>
          </c:val>
          <c:extLst>
            <c:ext xmlns:c16="http://schemas.microsoft.com/office/drawing/2014/chart" uri="{C3380CC4-5D6E-409C-BE32-E72D297353CC}">
              <c16:uniqueId val="{00000001-C5AD-4F6C-945B-561DB9B21113}"/>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1"/>
        </c:scaling>
        <c:delete val="0"/>
        <c:axPos val="b"/>
        <c:majorGridlines>
          <c:spPr>
            <a:ln w="9525" cap="flat" cmpd="sng" algn="ctr">
              <a:solidFill>
                <a:schemeClr val="bg1">
                  <a:lumMod val="75000"/>
                </a:schemeClr>
              </a:solidFill>
              <a:prstDash val="solid"/>
              <a:round/>
            </a:ln>
            <a:effectLst/>
          </c:spPr>
        </c:majorGridlines>
        <c:numFmt formatCode="0%"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695728"/>
        <c:crosses val="autoZero"/>
        <c:crossBetween val="between"/>
        <c:majorUnit val="0.25"/>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887696078431372"/>
          <c:y val="3.512754761332372E-2"/>
          <c:w val="0.5590712418300654"/>
          <c:h val="0.8651116320383615"/>
        </c:manualLayout>
      </c:layout>
      <c:barChart>
        <c:barDir val="bar"/>
        <c:grouping val="clustered"/>
        <c:varyColors val="0"/>
        <c:ser>
          <c:idx val="0"/>
          <c:order val="0"/>
          <c:tx>
            <c:strRef>
              <c:f>'G46'!$A$14</c:f>
              <c:strCache>
                <c:ptCount val="1"/>
                <c:pt idx="0">
                  <c:v>bez vlastního výzkumu a vývoje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'G46'!$B$13:$I$13</c:f>
              <c:strCache>
                <c:ptCount val="8"/>
                <c:pt idx="0">
                  <c:v>přechod na obnovitelné zdroje energie</c:v>
                </c:pt>
                <c:pt idx="1">
                  <c:v>náhrada materiálu jiným, méně znečišťujícím 
nebo s nižším obsahem nebezpečných látek</c:v>
                </c:pt>
                <c:pt idx="2">
                  <c:v>snížení hluku</c:v>
                </c:pt>
                <c:pt idx="3">
                  <c:v>snížení znečištění půdy, vody a vzduchu</c:v>
                </c:pt>
                <c:pt idx="4">
                  <c:v>snížení produkce emisí CO2</c:v>
                </c:pt>
                <c:pt idx="5">
                  <c:v>recyklace odpadu, vody nebo materiálů 
pro vlastní užití nebo prodej</c:v>
                </c:pt>
                <c:pt idx="6">
                  <c:v>snížení spotřeby materiálu nebo vody na</c:v>
                </c:pt>
                <c:pt idx="7">
                  <c:v>snížení spotřeby energie</c:v>
                </c:pt>
              </c:strCache>
            </c:strRef>
          </c:cat>
          <c:val>
            <c:numRef>
              <c:f>'G46'!$B$14:$I$14</c:f>
              <c:numCache>
                <c:formatCode>0.0%</c:formatCode>
                <c:ptCount val="8"/>
                <c:pt idx="0">
                  <c:v>1.9438282205274229E-2</c:v>
                </c:pt>
                <c:pt idx="1">
                  <c:v>4.5359535083463617E-2</c:v>
                </c:pt>
                <c:pt idx="2">
                  <c:v>5.222315726818947E-2</c:v>
                </c:pt>
                <c:pt idx="3">
                  <c:v>5.7313858043169796E-2</c:v>
                </c:pt>
                <c:pt idx="4">
                  <c:v>7.3995930083809558E-2</c:v>
                </c:pt>
                <c:pt idx="5">
                  <c:v>9.1106382366992408E-2</c:v>
                </c:pt>
                <c:pt idx="6">
                  <c:v>6.9704474688820156E-2</c:v>
                </c:pt>
                <c:pt idx="7">
                  <c:v>9.7144389296067876E-2</c:v>
                </c:pt>
              </c:numCache>
            </c:numRef>
          </c:val>
          <c:extLst>
            <c:ext xmlns:c16="http://schemas.microsoft.com/office/drawing/2014/chart" uri="{C3380CC4-5D6E-409C-BE32-E72D297353CC}">
              <c16:uniqueId val="{00000000-0026-4353-BBA6-3E37FB4C4DA0}"/>
            </c:ext>
          </c:extLst>
        </c:ser>
        <c:ser>
          <c:idx val="1"/>
          <c:order val="1"/>
          <c:tx>
            <c:strRef>
              <c:f>'G46'!$A$15</c:f>
              <c:strCache>
                <c:ptCount val="1"/>
                <c:pt idx="0">
                  <c:v>s vlastním výzkumem a vývojem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'G46'!$B$13:$I$13</c:f>
              <c:strCache>
                <c:ptCount val="8"/>
                <c:pt idx="0">
                  <c:v>přechod na obnovitelné zdroje energie</c:v>
                </c:pt>
                <c:pt idx="1">
                  <c:v>náhrada materiálu jiným, méně znečišťujícím 
nebo s nižším obsahem nebezpečných látek</c:v>
                </c:pt>
                <c:pt idx="2">
                  <c:v>snížení hluku</c:v>
                </c:pt>
                <c:pt idx="3">
                  <c:v>snížení znečištění půdy, vody a vzduchu</c:v>
                </c:pt>
                <c:pt idx="4">
                  <c:v>snížení produkce emisí CO2</c:v>
                </c:pt>
                <c:pt idx="5">
                  <c:v>recyklace odpadu, vody nebo materiálů 
pro vlastní užití nebo prodej</c:v>
                </c:pt>
                <c:pt idx="6">
                  <c:v>snížení spotřeby materiálu nebo vody na</c:v>
                </c:pt>
                <c:pt idx="7">
                  <c:v>snížení spotřeby energie</c:v>
                </c:pt>
              </c:strCache>
            </c:strRef>
          </c:cat>
          <c:val>
            <c:numRef>
              <c:f>'G46'!$B$15:$I$15</c:f>
              <c:numCache>
                <c:formatCode>0.0%</c:formatCode>
                <c:ptCount val="8"/>
                <c:pt idx="0">
                  <c:v>3.6940402368417224E-2</c:v>
                </c:pt>
                <c:pt idx="1">
                  <c:v>8.4677913943034241E-2</c:v>
                </c:pt>
                <c:pt idx="2">
                  <c:v>7.6548866441044625E-2</c:v>
                </c:pt>
                <c:pt idx="3">
                  <c:v>0.10003765025679727</c:v>
                </c:pt>
                <c:pt idx="4">
                  <c:v>0.10485981405008706</c:v>
                </c:pt>
                <c:pt idx="5">
                  <c:v>0.1046680391530867</c:v>
                </c:pt>
                <c:pt idx="6">
                  <c:v>0.15325853612418916</c:v>
                </c:pt>
                <c:pt idx="7">
                  <c:v>0.20509659361668794</c:v>
                </c:pt>
              </c:numCache>
            </c:numRef>
          </c:val>
          <c:extLst>
            <c:ext xmlns:c16="http://schemas.microsoft.com/office/drawing/2014/chart" uri="{C3380CC4-5D6E-409C-BE32-E72D297353CC}">
              <c16:uniqueId val="{00000001-0026-4353-BBA6-3E37FB4C4DA0}"/>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l"/>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1"/>
        <c:axPos val="b"/>
        <c:numFmt formatCode="0%" sourceLinked="0"/>
        <c:majorTickMark val="out"/>
        <c:minorTickMark val="none"/>
        <c:tickLblPos val="nextTo"/>
        <c:crossAx val="1179695728"/>
        <c:crosses val="autoZero"/>
        <c:crossBetween val="between"/>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50833333333334"/>
          <c:y val="3.4920634920634921E-2"/>
          <c:w val="0.70886830065359474"/>
          <c:h val="0.83458017747781532"/>
        </c:manualLayout>
      </c:layout>
      <c:barChart>
        <c:barDir val="bar"/>
        <c:grouping val="clustered"/>
        <c:varyColors val="0"/>
        <c:ser>
          <c:idx val="0"/>
          <c:order val="0"/>
          <c:tx>
            <c:strRef>
              <c:f>'G11'!$B$29</c:f>
              <c:strCache>
                <c:ptCount val="1"/>
                <c:pt idx="0">
                  <c:v>Zpracovatelský průmysl (NACE C)</c:v>
                </c:pt>
              </c:strCache>
            </c:strRef>
          </c:tx>
          <c:spPr>
            <a:solidFill>
              <a:schemeClr val="accent6"/>
            </a:solidFill>
            <a:ln>
              <a:noFill/>
            </a:ln>
            <a:effectLst/>
          </c:spPr>
          <c:invertIfNegative val="0"/>
          <c:cat>
            <c:strRef>
              <c:f>'G11'!$A$30:$A$43</c:f>
              <c:strCache>
                <c:ptCount val="14"/>
                <c:pt idx="0">
                  <c:v>Karlovarský</c:v>
                </c:pt>
                <c:pt idx="1">
                  <c:v>Ústecký</c:v>
                </c:pt>
                <c:pt idx="2">
                  <c:v>Jihočeský</c:v>
                </c:pt>
                <c:pt idx="3">
                  <c:v>Vysočina</c:v>
                </c:pt>
                <c:pt idx="4">
                  <c:v>Pardubický</c:v>
                </c:pt>
                <c:pt idx="5">
                  <c:v>Olomoucký</c:v>
                </c:pt>
                <c:pt idx="6">
                  <c:v>Liberecký</c:v>
                </c:pt>
                <c:pt idx="7">
                  <c:v>Středočeský</c:v>
                </c:pt>
                <c:pt idx="8">
                  <c:v>Moravskoslezský</c:v>
                </c:pt>
                <c:pt idx="9">
                  <c:v>Královéhradecký</c:v>
                </c:pt>
                <c:pt idx="10">
                  <c:v>Plzeňský</c:v>
                </c:pt>
                <c:pt idx="11">
                  <c:v>Jihomoravský</c:v>
                </c:pt>
                <c:pt idx="12">
                  <c:v>Zlínský</c:v>
                </c:pt>
                <c:pt idx="13">
                  <c:v>Praha</c:v>
                </c:pt>
              </c:strCache>
            </c:strRef>
          </c:cat>
          <c:val>
            <c:numRef>
              <c:f>'G11'!$B$30:$B$43</c:f>
              <c:numCache>
                <c:formatCode>0.0%</c:formatCode>
                <c:ptCount val="14"/>
                <c:pt idx="0">
                  <c:v>0.45890494941376286</c:v>
                </c:pt>
                <c:pt idx="1">
                  <c:v>0.4927954337833505</c:v>
                </c:pt>
                <c:pt idx="2">
                  <c:v>0.57128302014285193</c:v>
                </c:pt>
                <c:pt idx="3">
                  <c:v>0.5383004014843088</c:v>
                </c:pt>
                <c:pt idx="4">
                  <c:v>0.56297175611869543</c:v>
                </c:pt>
                <c:pt idx="5">
                  <c:v>0.6046888370280844</c:v>
                </c:pt>
                <c:pt idx="6">
                  <c:v>0.60283011087542426</c:v>
                </c:pt>
                <c:pt idx="7">
                  <c:v>0.62416403340695636</c:v>
                </c:pt>
                <c:pt idx="8">
                  <c:v>0.60638712543797901</c:v>
                </c:pt>
                <c:pt idx="9">
                  <c:v>0.55801114113869132</c:v>
                </c:pt>
                <c:pt idx="10">
                  <c:v>0.59348081518318652</c:v>
                </c:pt>
                <c:pt idx="11">
                  <c:v>0.61495300187816626</c:v>
                </c:pt>
                <c:pt idx="12">
                  <c:v>0.58378443969199012</c:v>
                </c:pt>
                <c:pt idx="13">
                  <c:v>0.63770972551508298</c:v>
                </c:pt>
              </c:numCache>
            </c:numRef>
          </c:val>
          <c:extLst>
            <c:ext xmlns:c16="http://schemas.microsoft.com/office/drawing/2014/chart" uri="{C3380CC4-5D6E-409C-BE32-E72D297353CC}">
              <c16:uniqueId val="{00000000-E3D8-4561-9850-32F8C516055F}"/>
            </c:ext>
          </c:extLst>
        </c:ser>
        <c:ser>
          <c:idx val="1"/>
          <c:order val="1"/>
          <c:tx>
            <c:strRef>
              <c:f>'G11'!$C$29</c:f>
              <c:strCache>
                <c:ptCount val="1"/>
                <c:pt idx="0">
                  <c:v>PODNIKY CELKEM</c:v>
                </c:pt>
              </c:strCache>
            </c:strRef>
          </c:tx>
          <c:spPr>
            <a:solidFill>
              <a:schemeClr val="accent5"/>
            </a:solidFill>
            <a:ln>
              <a:noFill/>
            </a:ln>
            <a:effectLst/>
          </c:spPr>
          <c:invertIfNegative val="0"/>
          <c:cat>
            <c:strRef>
              <c:f>'G11'!$A$30:$A$43</c:f>
              <c:strCache>
                <c:ptCount val="14"/>
                <c:pt idx="0">
                  <c:v>Karlovarský</c:v>
                </c:pt>
                <c:pt idx="1">
                  <c:v>Ústecký</c:v>
                </c:pt>
                <c:pt idx="2">
                  <c:v>Jihočeský</c:v>
                </c:pt>
                <c:pt idx="3">
                  <c:v>Vysočina</c:v>
                </c:pt>
                <c:pt idx="4">
                  <c:v>Pardubický</c:v>
                </c:pt>
                <c:pt idx="5">
                  <c:v>Olomoucký</c:v>
                </c:pt>
                <c:pt idx="6">
                  <c:v>Liberecký</c:v>
                </c:pt>
                <c:pt idx="7">
                  <c:v>Středočeský</c:v>
                </c:pt>
                <c:pt idx="8">
                  <c:v>Moravskoslezský</c:v>
                </c:pt>
                <c:pt idx="9">
                  <c:v>Královéhradecký</c:v>
                </c:pt>
                <c:pt idx="10">
                  <c:v>Plzeňský</c:v>
                </c:pt>
                <c:pt idx="11">
                  <c:v>Jihomoravský</c:v>
                </c:pt>
                <c:pt idx="12">
                  <c:v>Zlínský</c:v>
                </c:pt>
                <c:pt idx="13">
                  <c:v>Praha</c:v>
                </c:pt>
              </c:strCache>
            </c:strRef>
          </c:cat>
          <c:val>
            <c:numRef>
              <c:f>'G11'!$C$30:$C$43</c:f>
              <c:numCache>
                <c:formatCode>0.00%</c:formatCode>
                <c:ptCount val="14"/>
                <c:pt idx="0">
                  <c:v>0.4609924340050171</c:v>
                </c:pt>
                <c:pt idx="1">
                  <c:v>0.49645233527345156</c:v>
                </c:pt>
                <c:pt idx="2">
                  <c:v>0.51467126281242159</c:v>
                </c:pt>
                <c:pt idx="3">
                  <c:v>0.51848875977254905</c:v>
                </c:pt>
                <c:pt idx="4">
                  <c:v>0.51955869402839616</c:v>
                </c:pt>
                <c:pt idx="5">
                  <c:v>0.52594060384822794</c:v>
                </c:pt>
                <c:pt idx="6">
                  <c:v>0.5527930773689218</c:v>
                </c:pt>
                <c:pt idx="7">
                  <c:v>0.56066328679636535</c:v>
                </c:pt>
                <c:pt idx="8">
                  <c:v>0.56167050998640455</c:v>
                </c:pt>
                <c:pt idx="9">
                  <c:v>0.56817960967579717</c:v>
                </c:pt>
                <c:pt idx="10">
                  <c:v>0.57687243144500056</c:v>
                </c:pt>
                <c:pt idx="11">
                  <c:v>0.5829861955310105</c:v>
                </c:pt>
                <c:pt idx="12">
                  <c:v>0.58460471475448494</c:v>
                </c:pt>
                <c:pt idx="13">
                  <c:v>0.66416511989761262</c:v>
                </c:pt>
              </c:numCache>
            </c:numRef>
          </c:val>
          <c:extLst>
            <c:ext xmlns:c16="http://schemas.microsoft.com/office/drawing/2014/chart" uri="{C3380CC4-5D6E-409C-BE32-E72D297353CC}">
              <c16:uniqueId val="{00000001-E3D8-4561-9850-32F8C516055F}"/>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0.8"/>
        </c:scaling>
        <c:delete val="0"/>
        <c:axPos val="b"/>
        <c:majorGridlines>
          <c:spPr>
            <a:ln w="9525" cap="flat" cmpd="sng" algn="ctr">
              <a:solidFill>
                <a:schemeClr val="bg1">
                  <a:lumMod val="75000"/>
                </a:schemeClr>
              </a:solidFill>
              <a:prstDash val="solid"/>
              <a:round/>
            </a:ln>
            <a:effectLst/>
          </c:spPr>
        </c:majorGridlines>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695728"/>
        <c:crosses val="autoZero"/>
        <c:crossBetween val="between"/>
        <c:majorUnit val="0.1"/>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'G12'!$B$3</c:f>
              <c:strCache>
                <c:ptCount val="1"/>
                <c:pt idx="0">
                  <c:v>Inovace produktů</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'G12'!$A$4:$A$9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'G12'!$B$4:$B$9</c:f>
              <c:numCache>
                <c:formatCode>0.0%</c:formatCode>
                <c:ptCount val="6"/>
                <c:pt idx="0">
                  <c:v>0.36526706303575801</c:v>
                </c:pt>
                <c:pt idx="1">
                  <c:v>0.32494255134206601</c:v>
                </c:pt>
                <c:pt idx="2">
                  <c:v>0.44839831140265302</c:v>
                </c:pt>
                <c:pt idx="3">
                  <c:v>0.61311822119383097</c:v>
                </c:pt>
                <c:pt idx="4">
                  <c:v>0.34240696302976897</c:v>
                </c:pt>
                <c:pt idx="5">
                  <c:v>0.46633973294450998</c:v>
                </c:pt>
              </c:numCache>
            </c:numRef>
          </c:val>
          <c:extLst>
            <c:ext xmlns:c16="http://schemas.microsoft.com/office/drawing/2014/chart" uri="{C3380CC4-5D6E-409C-BE32-E72D297353CC}">
              <c16:uniqueId val="{00000000-70F8-424C-BA32-55A86CDD8052}"/>
            </c:ext>
          </c:extLst>
        </c:ser>
        <c:ser>
          <c:idx val="1"/>
          <c:order val="1"/>
          <c:tx>
            <c:strRef>
              <c:f>'G12'!$C$3</c:f>
              <c:strCache>
                <c:ptCount val="1"/>
                <c:pt idx="0">
                  <c:v>Inovace podnikových procesů</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'G12'!$A$4:$A$9</c:f>
              <c:strCache>
                <c:ptCount val="6"/>
                <c:pt idx="0">
                  <c:v>PODNIKY CELKEM</c:v>
                </c:pt>
                <c:pt idx="1">
                  <c:v>Malé podniky</c:v>
                </c:pt>
                <c:pt idx="2">
                  <c:v>Střední podniky</c:v>
                </c:pt>
                <c:pt idx="3">
                  <c:v>Velké podniky</c:v>
                </c:pt>
                <c:pt idx="4">
                  <c:v>Domácí podniky</c:v>
                </c:pt>
                <c:pt idx="5">
                  <c:v>Podniky pod zahraniční kontrolou</c:v>
                </c:pt>
              </c:strCache>
            </c:strRef>
          </c:cat>
          <c:val>
            <c:numRef>
              <c:f>'G12'!$C$4:$C$9</c:f>
              <c:numCache>
                <c:formatCode>0.0%</c:formatCode>
                <c:ptCount val="6"/>
                <c:pt idx="0">
                  <c:v>0.53634361288347998</c:v>
                </c:pt>
                <c:pt idx="1">
                  <c:v>0.49162526937939499</c:v>
                </c:pt>
                <c:pt idx="2">
                  <c:v>0.634321745643877</c:v>
                </c:pt>
                <c:pt idx="3">
                  <c:v>0.78877225853342403</c:v>
                </c:pt>
                <c:pt idx="4">
                  <c:v>0.50984721080515505</c:v>
                </c:pt>
                <c:pt idx="5">
                  <c:v>0.65349367348385301</c:v>
                </c:pt>
              </c:numCache>
            </c:numRef>
          </c:val>
          <c:extLst>
            <c:ext xmlns:c16="http://schemas.microsoft.com/office/drawing/2014/chart" uri="{C3380CC4-5D6E-409C-BE32-E72D297353CC}">
              <c16:uniqueId val="{00000001-70F8-424C-BA32-55A86CDD8052}"/>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1"/>
        </c:scaling>
        <c:delete val="1"/>
        <c:axPos val="l"/>
        <c:numFmt formatCode="0%" sourceLinked="0"/>
        <c:majorTickMark val="out"/>
        <c:minorTickMark val="none"/>
        <c:tickLblPos val="nextTo"/>
        <c:crossAx val="1179695728"/>
        <c:crosses val="autoZero"/>
        <c:crossBetween val="between"/>
        <c:majorUnit val="0.25"/>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'G12'!$B$4</c:f>
              <c:strCache>
                <c:ptCount val="1"/>
                <c:pt idx="0">
                  <c:v>Inovace produktů</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'G12'!$A$5:$A$10</c:f>
              <c:strCache>
                <c:ptCount val="6"/>
                <c:pt idx="0">
                  <c:v>PRŮMYSL</c:v>
                </c:pt>
                <c:pt idx="1">
                  <c:v>Zpracovatelský průmysl</c:v>
                </c:pt>
                <c:pt idx="2">
                  <c:v>SLUŽBY</c:v>
                </c:pt>
                <c:pt idx="3">
                  <c:v>Informační a komunikační činnosti</c:v>
                </c:pt>
                <c:pt idx="4">
                  <c:v>Peněžnictví a pojišťovnictví</c:v>
                </c:pt>
                <c:pt idx="5">
                  <c:v>Vědecké a technické činnosti</c:v>
                </c:pt>
              </c:strCache>
            </c:strRef>
          </c:cat>
          <c:val>
            <c:numRef>
              <c:f>'G12'!$B$5:$B$10</c:f>
              <c:numCache>
                <c:formatCode>0.0%</c:formatCode>
                <c:ptCount val="6"/>
                <c:pt idx="0">
                  <c:v>0.38681835239140816</c:v>
                </c:pt>
                <c:pt idx="1">
                  <c:v>0.40434634932614799</c:v>
                </c:pt>
                <c:pt idx="2">
                  <c:v>0.34062737547651889</c:v>
                </c:pt>
                <c:pt idx="3">
                  <c:v>0.57498793472354903</c:v>
                </c:pt>
                <c:pt idx="4">
                  <c:v>0.40703312869285202</c:v>
                </c:pt>
                <c:pt idx="5">
                  <c:v>0.38949144353388199</c:v>
                </c:pt>
              </c:numCache>
            </c:numRef>
          </c:val>
          <c:extLst>
            <c:ext xmlns:c16="http://schemas.microsoft.com/office/drawing/2014/chart" uri="{C3380CC4-5D6E-409C-BE32-E72D297353CC}">
              <c16:uniqueId val="{00000000-97FA-4C30-B051-7EE6B1557165}"/>
            </c:ext>
          </c:extLst>
        </c:ser>
        <c:ser>
          <c:idx val="1"/>
          <c:order val="1"/>
          <c:tx>
            <c:strRef>
              <c:f>'G12'!$C$4</c:f>
              <c:strCache>
                <c:ptCount val="1"/>
                <c:pt idx="0">
                  <c:v>Inovace podnikových procesů</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'G12'!$A$5:$A$10</c:f>
              <c:strCache>
                <c:ptCount val="6"/>
                <c:pt idx="0">
                  <c:v>PRŮMYSL</c:v>
                </c:pt>
                <c:pt idx="1">
                  <c:v>Zpracovatelský průmysl</c:v>
                </c:pt>
                <c:pt idx="2">
                  <c:v>SLUŽBY</c:v>
                </c:pt>
                <c:pt idx="3">
                  <c:v>Informační a komunikační činnosti</c:v>
                </c:pt>
                <c:pt idx="4">
                  <c:v>Peněžnictví a pojišťovnictví</c:v>
                </c:pt>
                <c:pt idx="5">
                  <c:v>Vědecké a technické činnosti</c:v>
                </c:pt>
              </c:strCache>
            </c:strRef>
          </c:cat>
          <c:val>
            <c:numRef>
              <c:f>'G12'!$C$5:$C$10</c:f>
              <c:numCache>
                <c:formatCode>0.0%</c:formatCode>
                <c:ptCount val="6"/>
                <c:pt idx="0">
                  <c:v>0.53671710158857988</c:v>
                </c:pt>
                <c:pt idx="1">
                  <c:v>0.54635701214209498</c:v>
                </c:pt>
                <c:pt idx="2">
                  <c:v>0.53591660154097009</c:v>
                </c:pt>
                <c:pt idx="3">
                  <c:v>0.73338869704735399</c:v>
                </c:pt>
                <c:pt idx="4">
                  <c:v>0.63672544601365899</c:v>
                </c:pt>
                <c:pt idx="5">
                  <c:v>0.57254273685200696</c:v>
                </c:pt>
              </c:numCache>
            </c:numRef>
          </c:val>
          <c:extLst>
            <c:ext xmlns:c16="http://schemas.microsoft.com/office/drawing/2014/chart" uri="{C3380CC4-5D6E-409C-BE32-E72D297353CC}">
              <c16:uniqueId val="{00000001-97FA-4C30-B051-7EE6B1557165}"/>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b"/>
        <c:numFmt formatCode="General" sourceLinked="1"/>
        <c:majorTickMark val="none"/>
        <c:minorTickMark val="none"/>
        <c:tickLblPos val="nextTo"/>
        <c:spPr>
          <a:noFill/>
          <a:ln w="9525" cap="flat" cmpd="sng" algn="ctr">
            <a:solidFill>
              <a:schemeClr val="bg1">
                <a:lumMod val="50000"/>
                <a:alpha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max val="1"/>
        </c:scaling>
        <c:delete val="1"/>
        <c:axPos val="l"/>
        <c:numFmt formatCode="0%" sourceLinked="0"/>
        <c:majorTickMark val="out"/>
        <c:minorTickMark val="none"/>
        <c:tickLblPos val="nextTo"/>
        <c:crossAx val="1179695728"/>
        <c:crosses val="autoZero"/>
        <c:crossBetween val="between"/>
        <c:majorUnit val="0.25"/>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'G14'!$B$19</c:f>
              <c:strCache>
                <c:ptCount val="1"/>
                <c:pt idx="0">
                  <c:v>Inovace podnikových procesů</c:v>
                </c:pt>
              </c:strCache>
            </c:strRef>
          </c:tx>
          <c:spPr>
            <a:solidFill>
              <a:schemeClr val="accent5"/>
            </a:solidFill>
            <a:ln>
              <a:noFill/>
            </a:ln>
            <a:effectLst/>
          </c:spPr>
          <c:invertIfNegative val="0"/>
          <c:cat>
            <c:strRef>
              <c:f>'G14'!$A$20:$A$33</c:f>
              <c:strCache>
                <c:ptCount val="14"/>
                <c:pt idx="0">
                  <c:v>Výroba kovů, hutních a kovodělných výrobků /24–25/ </c:v>
                </c:pt>
                <c:pt idx="1">
                  <c:v>Dřevozpracující a papírenský průmysl /16–18/</c:v>
                </c:pt>
                <c:pt idx="2">
                  <c:v>Ostatní odvětví zpracovatelského průmyslu /31–33/</c:v>
                </c:pt>
                <c:pt idx="3">
                  <c:v>Gumárenský a plastový průmysl /22/</c:v>
                </c:pt>
                <c:pt idx="4">
                  <c:v>Textilní, oděvní, kožedělný a obuvnický průmysl /13–15/</c:v>
                </c:pt>
                <c:pt idx="5">
                  <c:v>Průmysl skla, keramiky, porcelánu a staveb. hmot /23/</c:v>
                </c:pt>
                <c:pt idx="6">
                  <c:v>Automobilový průmysl /29/</c:v>
                </c:pt>
                <c:pt idx="7">
                  <c:v>Elektrotechnický průmysl /27/</c:v>
                </c:pt>
                <c:pt idx="8">
                  <c:v>Strojírenský průmysl /28/</c:v>
                </c:pt>
                <c:pt idx="9">
                  <c:v>Potravinářský, nápojový a tabákový průmysl /10–12/</c:v>
                </c:pt>
                <c:pt idx="10">
                  <c:v>Farmaceutický průmysl /21/</c:v>
                </c:pt>
                <c:pt idx="11">
                  <c:v>Výroba ostatních dopravních prostředků a zařízení /30/</c:v>
                </c:pt>
                <c:pt idx="12">
                  <c:v>Elektronický průmysl /26/</c:v>
                </c:pt>
                <c:pt idx="13">
                  <c:v>Petrochemický a chemický průmysl /19-20/</c:v>
                </c:pt>
              </c:strCache>
            </c:strRef>
          </c:cat>
          <c:val>
            <c:numRef>
              <c:f>'G14'!$B$20:$B$33</c:f>
              <c:numCache>
                <c:formatCode>0.0%</c:formatCode>
                <c:ptCount val="14"/>
                <c:pt idx="0">
                  <c:v>0.49991668560069003</c:v>
                </c:pt>
                <c:pt idx="1">
                  <c:v>0.45044612237702603</c:v>
                </c:pt>
                <c:pt idx="2">
                  <c:v>0.49935637974666502</c:v>
                </c:pt>
                <c:pt idx="3">
                  <c:v>0.53744425091932102</c:v>
                </c:pt>
                <c:pt idx="4">
                  <c:v>0.47069077545002203</c:v>
                </c:pt>
                <c:pt idx="5">
                  <c:v>0.54337832964217903</c:v>
                </c:pt>
                <c:pt idx="6">
                  <c:v>0.64191325314192205</c:v>
                </c:pt>
                <c:pt idx="7">
                  <c:v>0.60981789888523297</c:v>
                </c:pt>
                <c:pt idx="8">
                  <c:v>0.63057860573109104</c:v>
                </c:pt>
                <c:pt idx="9">
                  <c:v>0.59406156001868904</c:v>
                </c:pt>
                <c:pt idx="10">
                  <c:v>0.67096610677967805</c:v>
                </c:pt>
                <c:pt idx="11">
                  <c:v>0.64208442811419497</c:v>
                </c:pt>
                <c:pt idx="12">
                  <c:v>0.71165909931030502</c:v>
                </c:pt>
                <c:pt idx="13">
                  <c:v>0.71360850856284197</c:v>
                </c:pt>
              </c:numCache>
            </c:numRef>
          </c:val>
          <c:extLst>
            <c:ext xmlns:c16="http://schemas.microsoft.com/office/drawing/2014/chart" uri="{C3380CC4-5D6E-409C-BE32-E72D297353CC}">
              <c16:uniqueId val="{00000000-AA22-4F28-A828-5A95C3C544C2}"/>
            </c:ext>
          </c:extLst>
        </c:ser>
        <c:ser>
          <c:idx val="1"/>
          <c:order val="1"/>
          <c:tx>
            <c:strRef>
              <c:f>'G14'!$C$19</c:f>
              <c:strCache>
                <c:ptCount val="1"/>
                <c:pt idx="0">
                  <c:v>Inovace produktů</c:v>
                </c:pt>
              </c:strCache>
            </c:strRef>
          </c:tx>
          <c:spPr>
            <a:solidFill>
              <a:schemeClr val="accent6"/>
            </a:solidFill>
            <a:ln>
              <a:noFill/>
            </a:ln>
            <a:effectLst/>
          </c:spPr>
          <c:invertIfNegative val="0"/>
          <c:cat>
            <c:strRef>
              <c:f>'G14'!$A$20:$A$33</c:f>
              <c:strCache>
                <c:ptCount val="14"/>
                <c:pt idx="0">
                  <c:v>Výroba kovů, hutních a kovodělných výrobků /24–25/ </c:v>
                </c:pt>
                <c:pt idx="1">
                  <c:v>Dřevozpracující a papírenský průmysl /16–18/</c:v>
                </c:pt>
                <c:pt idx="2">
                  <c:v>Ostatní odvětví zpracovatelského průmyslu /31–33/</c:v>
                </c:pt>
                <c:pt idx="3">
                  <c:v>Gumárenský a plastový průmysl /22/</c:v>
                </c:pt>
                <c:pt idx="4">
                  <c:v>Textilní, oděvní, kožedělný a obuvnický průmysl /13–15/</c:v>
                </c:pt>
                <c:pt idx="5">
                  <c:v>Průmysl skla, keramiky, porcelánu a staveb. hmot /23/</c:v>
                </c:pt>
                <c:pt idx="6">
                  <c:v>Automobilový průmysl /29/</c:v>
                </c:pt>
                <c:pt idx="7">
                  <c:v>Elektrotechnický průmysl /27/</c:v>
                </c:pt>
                <c:pt idx="8">
                  <c:v>Strojírenský průmysl /28/</c:v>
                </c:pt>
                <c:pt idx="9">
                  <c:v>Potravinářský, nápojový a tabákový průmysl /10–12/</c:v>
                </c:pt>
                <c:pt idx="10">
                  <c:v>Farmaceutický průmysl /21/</c:v>
                </c:pt>
                <c:pt idx="11">
                  <c:v>Výroba ostatních dopravních prostředků a zařízení /30/</c:v>
                </c:pt>
                <c:pt idx="12">
                  <c:v>Elektronický průmysl /26/</c:v>
                </c:pt>
                <c:pt idx="13">
                  <c:v>Petrochemický a chemický průmysl /19-20/</c:v>
                </c:pt>
              </c:strCache>
            </c:strRef>
          </c:cat>
          <c:val>
            <c:numRef>
              <c:f>'G14'!$C$20:$C$33</c:f>
              <c:numCache>
                <c:formatCode>0.0%</c:formatCode>
                <c:ptCount val="14"/>
                <c:pt idx="0">
                  <c:v>0.311933443153604</c:v>
                </c:pt>
                <c:pt idx="1">
                  <c:v>0.31895573141373801</c:v>
                </c:pt>
                <c:pt idx="2">
                  <c:v>0.34341358048351101</c:v>
                </c:pt>
                <c:pt idx="3">
                  <c:v>0.38281508342595799</c:v>
                </c:pt>
                <c:pt idx="4">
                  <c:v>0.40770692678387299</c:v>
                </c:pt>
                <c:pt idx="5">
                  <c:v>0.42990228789268897</c:v>
                </c:pt>
                <c:pt idx="6">
                  <c:v>0.440408444797525</c:v>
                </c:pt>
                <c:pt idx="7">
                  <c:v>0.46835053160143397</c:v>
                </c:pt>
                <c:pt idx="8">
                  <c:v>0.49458970697132698</c:v>
                </c:pt>
                <c:pt idx="9">
                  <c:v>0.49616750096109302</c:v>
                </c:pt>
                <c:pt idx="10">
                  <c:v>0.52697078265787101</c:v>
                </c:pt>
                <c:pt idx="11">
                  <c:v>0.55854203772901301</c:v>
                </c:pt>
                <c:pt idx="12">
                  <c:v>0.62664580881137</c:v>
                </c:pt>
                <c:pt idx="13">
                  <c:v>0.63713724934903504</c:v>
                </c:pt>
              </c:numCache>
            </c:numRef>
          </c:val>
          <c:extLst>
            <c:ext xmlns:c16="http://schemas.microsoft.com/office/drawing/2014/chart" uri="{C3380CC4-5D6E-409C-BE32-E72D297353CC}">
              <c16:uniqueId val="{00000001-AA22-4F28-A828-5A95C3C544C2}"/>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0"/>
        <c:axPos val="b"/>
        <c:majorGridlines>
          <c:spPr>
            <a:ln w="9525" cap="flat" cmpd="sng" algn="ctr">
              <a:solidFill>
                <a:schemeClr val="bg1">
                  <a:lumMod val="75000"/>
                </a:schemeClr>
              </a:solidFill>
              <a:prstDash val="solid"/>
              <a:round/>
            </a:ln>
            <a:effectLst/>
          </c:spPr>
        </c:majorGridlines>
        <c:numFmt formatCode="0%"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695728"/>
        <c:crosses val="autoZero"/>
        <c:crossBetween val="between"/>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27748368125149"/>
          <c:y val="3.4920634920634921E-2"/>
          <c:w val="0.67356358653777815"/>
          <c:h val="0.83458017747781532"/>
        </c:manualLayout>
      </c:layout>
      <c:barChart>
        <c:barDir val="bar"/>
        <c:grouping val="clustered"/>
        <c:varyColors val="0"/>
        <c:ser>
          <c:idx val="0"/>
          <c:order val="0"/>
          <c:tx>
            <c:strRef>
              <c:f>'G15'!$B$19</c:f>
              <c:strCache>
                <c:ptCount val="1"/>
                <c:pt idx="0">
                  <c:v>Inovace podnikových procesů</c:v>
                </c:pt>
              </c:strCache>
            </c:strRef>
          </c:tx>
          <c:spPr>
            <a:solidFill>
              <a:schemeClr val="accent6"/>
            </a:solidFill>
            <a:ln>
              <a:noFill/>
            </a:ln>
            <a:effectLst/>
          </c:spPr>
          <c:invertIfNegative val="0"/>
          <c:cat>
            <c:strRef>
              <c:f>'G15'!$A$20:$A$33</c:f>
              <c:strCache>
                <c:ptCount val="14"/>
                <c:pt idx="0">
                  <c:v>Ústecký</c:v>
                </c:pt>
                <c:pt idx="1">
                  <c:v>Karlovarský</c:v>
                </c:pt>
                <c:pt idx="2">
                  <c:v>Královéhradecký</c:v>
                </c:pt>
                <c:pt idx="3">
                  <c:v>Olomoucký</c:v>
                </c:pt>
                <c:pt idx="4">
                  <c:v>Jihočeský</c:v>
                </c:pt>
                <c:pt idx="5">
                  <c:v>Vysočina</c:v>
                </c:pt>
                <c:pt idx="6">
                  <c:v>Pardubický</c:v>
                </c:pt>
                <c:pt idx="7">
                  <c:v>Zlínský</c:v>
                </c:pt>
                <c:pt idx="8">
                  <c:v>Středočeský</c:v>
                </c:pt>
                <c:pt idx="9">
                  <c:v>Jihomoravský</c:v>
                </c:pt>
                <c:pt idx="10">
                  <c:v>Moravskoslezský</c:v>
                </c:pt>
                <c:pt idx="11">
                  <c:v>Plzeňský</c:v>
                </c:pt>
                <c:pt idx="12">
                  <c:v>Liberecký</c:v>
                </c:pt>
                <c:pt idx="13">
                  <c:v>Praha</c:v>
                </c:pt>
              </c:strCache>
            </c:strRef>
          </c:cat>
          <c:val>
            <c:numRef>
              <c:f>'G15'!$B$20:$B$33</c:f>
              <c:numCache>
                <c:formatCode>0.0%</c:formatCode>
                <c:ptCount val="14"/>
                <c:pt idx="0">
                  <c:v>0.48436787047830149</c:v>
                </c:pt>
                <c:pt idx="1">
                  <c:v>0.43622097239832924</c:v>
                </c:pt>
                <c:pt idx="2">
                  <c:v>0.52974588382854482</c:v>
                </c:pt>
                <c:pt idx="3">
                  <c:v>0.49126818989306703</c:v>
                </c:pt>
                <c:pt idx="4">
                  <c:v>0.47697139470732181</c:v>
                </c:pt>
                <c:pt idx="5">
                  <c:v>0.47439588951373929</c:v>
                </c:pt>
                <c:pt idx="6">
                  <c:v>0.49279694315094963</c:v>
                </c:pt>
                <c:pt idx="7">
                  <c:v>0.55724023659834554</c:v>
                </c:pt>
                <c:pt idx="8">
                  <c:v>0.514800222844635</c:v>
                </c:pt>
                <c:pt idx="9">
                  <c:v>0.55228138003370064</c:v>
                </c:pt>
                <c:pt idx="10">
                  <c:v>0.50743077144696513</c:v>
                </c:pt>
                <c:pt idx="11">
                  <c:v>0.54021112184362741</c:v>
                </c:pt>
                <c:pt idx="12">
                  <c:v>0.5212984376149622</c:v>
                </c:pt>
                <c:pt idx="13">
                  <c:v>0.6405134169924056</c:v>
                </c:pt>
              </c:numCache>
            </c:numRef>
          </c:val>
          <c:extLst>
            <c:ext xmlns:c16="http://schemas.microsoft.com/office/drawing/2014/chart" uri="{C3380CC4-5D6E-409C-BE32-E72D297353CC}">
              <c16:uniqueId val="{00000000-EF79-4DD8-8190-B03B9E7E1F0E}"/>
            </c:ext>
          </c:extLst>
        </c:ser>
        <c:ser>
          <c:idx val="1"/>
          <c:order val="1"/>
          <c:tx>
            <c:strRef>
              <c:f>'G15'!$C$19</c:f>
              <c:strCache>
                <c:ptCount val="1"/>
                <c:pt idx="0">
                  <c:v>Inovace produktů</c:v>
                </c:pt>
              </c:strCache>
            </c:strRef>
          </c:tx>
          <c:spPr>
            <a:solidFill>
              <a:schemeClr val="accent5"/>
            </a:solidFill>
            <a:ln>
              <a:noFill/>
            </a:ln>
            <a:effectLst/>
          </c:spPr>
          <c:invertIfNegative val="0"/>
          <c:cat>
            <c:strRef>
              <c:f>'G15'!$A$20:$A$33</c:f>
              <c:strCache>
                <c:ptCount val="14"/>
                <c:pt idx="0">
                  <c:v>Ústecký</c:v>
                </c:pt>
                <c:pt idx="1">
                  <c:v>Karlovarský</c:v>
                </c:pt>
                <c:pt idx="2">
                  <c:v>Královéhradecký</c:v>
                </c:pt>
                <c:pt idx="3">
                  <c:v>Olomoucký</c:v>
                </c:pt>
                <c:pt idx="4">
                  <c:v>Jihočeský</c:v>
                </c:pt>
                <c:pt idx="5">
                  <c:v>Vysočina</c:v>
                </c:pt>
                <c:pt idx="6">
                  <c:v>Pardubický</c:v>
                </c:pt>
                <c:pt idx="7">
                  <c:v>Zlínský</c:v>
                </c:pt>
                <c:pt idx="8">
                  <c:v>Středočeský</c:v>
                </c:pt>
                <c:pt idx="9">
                  <c:v>Jihomoravský</c:v>
                </c:pt>
                <c:pt idx="10">
                  <c:v>Moravskoslezský</c:v>
                </c:pt>
                <c:pt idx="11">
                  <c:v>Plzeňský</c:v>
                </c:pt>
                <c:pt idx="12">
                  <c:v>Liberecký</c:v>
                </c:pt>
                <c:pt idx="13">
                  <c:v>Praha</c:v>
                </c:pt>
              </c:strCache>
            </c:strRef>
          </c:cat>
          <c:val>
            <c:numRef>
              <c:f>'G15'!$C$20:$C$33</c:f>
              <c:numCache>
                <c:formatCode>0.00%</c:formatCode>
                <c:ptCount val="14"/>
                <c:pt idx="0">
                  <c:v>0.2691704611779358</c:v>
                </c:pt>
                <c:pt idx="1">
                  <c:v>0.28141714717457211</c:v>
                </c:pt>
                <c:pt idx="2">
                  <c:v>0.32514567936716082</c:v>
                </c:pt>
                <c:pt idx="3">
                  <c:v>0.34243186263878383</c:v>
                </c:pt>
                <c:pt idx="4">
                  <c:v>0.34507271377992349</c:v>
                </c:pt>
                <c:pt idx="5">
                  <c:v>0.34714601036371667</c:v>
                </c:pt>
                <c:pt idx="6">
                  <c:v>0.3473397069553093</c:v>
                </c:pt>
                <c:pt idx="7">
                  <c:v>0.35802122676677189</c:v>
                </c:pt>
                <c:pt idx="8">
                  <c:v>0.36570685670261938</c:v>
                </c:pt>
                <c:pt idx="9">
                  <c:v>0.37514637978599635</c:v>
                </c:pt>
                <c:pt idx="10">
                  <c:v>0.37578777456021761</c:v>
                </c:pt>
                <c:pt idx="11">
                  <c:v>0.37766636185095387</c:v>
                </c:pt>
                <c:pt idx="12">
                  <c:v>0.39240680810805978</c:v>
                </c:pt>
                <c:pt idx="13">
                  <c:v>0.43139323213390041</c:v>
                </c:pt>
              </c:numCache>
            </c:numRef>
          </c:val>
          <c:extLst>
            <c:ext xmlns:c16="http://schemas.microsoft.com/office/drawing/2014/chart" uri="{C3380CC4-5D6E-409C-BE32-E72D297353CC}">
              <c16:uniqueId val="{00000001-EF79-4DD8-8190-B03B9E7E1F0E}"/>
            </c:ext>
          </c:extLst>
        </c:ser>
        <c:dLbls>
          <c:showLegendKey val="0"/>
          <c:showVal val="0"/>
          <c:showCatName val="0"/>
          <c:showSerName val="0"/>
          <c:showPercent val="0"/>
          <c:showBubbleSize val="0"/>
        </c:dLbls>
        <c:gapWidth val="150"/>
        <c:axId val="1179695728"/>
        <c:axId val="1179701552"/>
      </c:barChart>
      <c:catAx>
        <c:axId val="1179695728"/>
        <c:scaling>
          <c:orientation val="minMax"/>
        </c:scaling>
        <c:delete val="0"/>
        <c:axPos val="l"/>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701552"/>
        <c:crosses val="autoZero"/>
        <c:auto val="1"/>
        <c:lblAlgn val="ctr"/>
        <c:lblOffset val="100"/>
        <c:noMultiLvlLbl val="0"/>
      </c:catAx>
      <c:valAx>
        <c:axId val="1179701552"/>
        <c:scaling>
          <c:orientation val="minMax"/>
        </c:scaling>
        <c:delete val="0"/>
        <c:axPos val="b"/>
        <c:majorGridlines>
          <c:spPr>
            <a:ln w="9525" cap="flat" cmpd="sng" algn="ctr">
              <a:solidFill>
                <a:schemeClr val="bg1">
                  <a:lumMod val="75000"/>
                </a:schemeClr>
              </a:solidFill>
              <a:prstDash val="solid"/>
              <a:round/>
            </a:ln>
            <a:effectLst/>
          </c:spPr>
        </c:majorGridlines>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179695728"/>
        <c:crosses val="autoZero"/>
        <c:crossBetween val="between"/>
      </c:valAx>
      <c:spPr>
        <a:noFill/>
        <a:ln>
          <a:solidFill>
            <a:schemeClr val="bg1">
              <a:lumMod val="50000"/>
            </a:schemeClr>
          </a:solidFill>
        </a:ln>
        <a:effectLst/>
      </c:spPr>
    </c:plotArea>
    <c:legend>
      <c:legendPos val="b"/>
      <c:overlay val="0"/>
      <c:spPr>
        <a:noFill/>
        <a:ln>
          <a:solidFill>
            <a:schemeClr val="bg1">
              <a:lumMod val="50000"/>
            </a:schemeClr>
          </a:solid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0.91203</cdr:x>
      <cdr:y>0.03748</cdr:y>
    </cdr:from>
    <cdr:to>
      <cdr:x>0.91982</cdr:x>
      <cdr:y>0.06835</cdr:y>
    </cdr:to>
    <cdr:cxnSp macro="">
      <cdr:nvCxnSpPr>
        <cdr:cNvPr id="3" name="Přímá spojnice 2"/>
        <cdr:cNvCxnSpPr/>
      </cdr:nvCxnSpPr>
      <cdr:spPr>
        <a:xfrm xmlns:a="http://schemas.openxmlformats.org/drawingml/2006/main" flipH="1">
          <a:off x="5581650" y="161925"/>
          <a:ext cx="47625" cy="1333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0.91982</cdr:x>
      <cdr:y>0.03528</cdr:y>
    </cdr:from>
    <cdr:to>
      <cdr:x>0.92915</cdr:x>
      <cdr:y>0.07056</cdr:y>
    </cdr:to>
    <cdr:cxnSp macro="">
      <cdr:nvCxnSpPr>
        <cdr:cNvPr id="5" name="Přímá spojnice 4"/>
        <cdr:cNvCxnSpPr/>
      </cdr:nvCxnSpPr>
      <cdr:spPr>
        <a:xfrm xmlns:a="http://schemas.openxmlformats.org/drawingml/2006/main" flipH="1">
          <a:off x="5629275" y="152400"/>
          <a:ext cx="57150" cy="152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F3AC-E6ED-490E-B47A-3F6835CC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171</TotalTime>
  <Pages>34</Pages>
  <Words>9854</Words>
  <Characters>58145</Characters>
  <Application>Microsoft Office Word</Application>
  <DocSecurity>0</DocSecurity>
  <Lines>484</Lines>
  <Paragraphs>135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 Václav</cp:lastModifiedBy>
  <cp:revision>21</cp:revision>
  <cp:lastPrinted>2022-06-21T13:08:00Z</cp:lastPrinted>
  <dcterms:created xsi:type="dcterms:W3CDTF">2022-06-21T12:13:00Z</dcterms:created>
  <dcterms:modified xsi:type="dcterms:W3CDTF">2022-06-22T07:36:00Z</dcterms:modified>
</cp:coreProperties>
</file>