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Default="0086241D" w:rsidP="0086241D">
      <w:pPr>
        <w:pStyle w:val="Zkladntext"/>
        <w:jc w:val="left"/>
        <w:rPr>
          <w:b/>
          <w:bCs/>
          <w:sz w:val="22"/>
        </w:rPr>
      </w:pPr>
      <w:bookmarkStart w:id="0" w:name="_GoBack"/>
      <w:bookmarkEnd w:id="0"/>
      <w:r>
        <w:rPr>
          <w:b/>
          <w:bCs/>
          <w:sz w:val="22"/>
        </w:rPr>
        <w:t>Zahraniční obchod České republiky se zbožím</w:t>
      </w:r>
      <w:r>
        <w:rPr>
          <w:rStyle w:val="Znakapoznpodarou"/>
          <w:b/>
          <w:bCs/>
          <w:sz w:val="22"/>
        </w:rPr>
        <w:footnoteReference w:id="1"/>
      </w:r>
      <w:r>
        <w:rPr>
          <w:b/>
          <w:bCs/>
          <w:sz w:val="22"/>
        </w:rPr>
        <w:t xml:space="preserve"> v roce 20</w:t>
      </w:r>
      <w:r w:rsidR="00913F00">
        <w:rPr>
          <w:b/>
          <w:bCs/>
          <w:sz w:val="22"/>
        </w:rPr>
        <w:t>2</w:t>
      </w:r>
      <w:r w:rsidR="00834326">
        <w:rPr>
          <w:b/>
          <w:bCs/>
          <w:sz w:val="22"/>
        </w:rPr>
        <w:t>1</w:t>
      </w:r>
    </w:p>
    <w:p w:rsidR="006E7274" w:rsidRDefault="006E7274">
      <w:pPr>
        <w:pStyle w:val="Zkladntext"/>
        <w:jc w:val="center"/>
        <w:rPr>
          <w:b/>
          <w:bCs/>
          <w:sz w:val="22"/>
        </w:rPr>
      </w:pPr>
    </w:p>
    <w:p w:rsidR="006E7274" w:rsidRDefault="006E7274">
      <w:pPr>
        <w:pStyle w:val="Zkladntext"/>
        <w:jc w:val="center"/>
      </w:pPr>
    </w:p>
    <w:p w:rsidR="00834326" w:rsidRDefault="00834326" w:rsidP="00873E3B">
      <w:pPr>
        <w:spacing w:after="160"/>
        <w:rPr>
          <w:bCs/>
          <w:sz w:val="18"/>
          <w:szCs w:val="18"/>
        </w:rPr>
      </w:pPr>
      <w:r w:rsidRPr="00DF74EE">
        <w:rPr>
          <w:rFonts w:cs="Arial"/>
          <w:color w:val="1C1C1C"/>
          <w:sz w:val="18"/>
          <w:szCs w:val="18"/>
        </w:rPr>
        <w:t>Po výrazném propadu v roce 20</w:t>
      </w:r>
      <w:r>
        <w:rPr>
          <w:rFonts w:cs="Arial"/>
          <w:color w:val="1C1C1C"/>
          <w:sz w:val="18"/>
          <w:szCs w:val="18"/>
        </w:rPr>
        <w:t>20</w:t>
      </w:r>
      <w:r w:rsidRPr="00DF74EE">
        <w:rPr>
          <w:rFonts w:cs="Arial"/>
          <w:color w:val="1C1C1C"/>
          <w:sz w:val="18"/>
          <w:szCs w:val="18"/>
        </w:rPr>
        <w:t xml:space="preserve"> provázel v roce 20</w:t>
      </w:r>
      <w:r>
        <w:rPr>
          <w:rFonts w:cs="Arial"/>
          <w:color w:val="1C1C1C"/>
          <w:sz w:val="18"/>
          <w:szCs w:val="18"/>
        </w:rPr>
        <w:t>21</w:t>
      </w:r>
      <w:r w:rsidRPr="00DF74EE">
        <w:rPr>
          <w:rFonts w:cs="Arial"/>
          <w:color w:val="1C1C1C"/>
          <w:sz w:val="18"/>
          <w:szCs w:val="18"/>
        </w:rPr>
        <w:t xml:space="preserve"> zahraniční obchod opětovný růst. V porovnání s rokem 20</w:t>
      </w:r>
      <w:r>
        <w:rPr>
          <w:rFonts w:cs="Arial"/>
          <w:color w:val="1C1C1C"/>
          <w:sz w:val="18"/>
          <w:szCs w:val="18"/>
        </w:rPr>
        <w:t>20</w:t>
      </w:r>
      <w:r w:rsidRPr="00DF74EE">
        <w:rPr>
          <w:rFonts w:cs="Arial"/>
          <w:color w:val="1C1C1C"/>
          <w:sz w:val="18"/>
          <w:szCs w:val="18"/>
        </w:rPr>
        <w:t xml:space="preserve"> se </w:t>
      </w:r>
      <w:r w:rsidRPr="00DF74EE">
        <w:rPr>
          <w:rFonts w:cs="Arial"/>
          <w:b/>
          <w:color w:val="1C1C1C"/>
          <w:sz w:val="18"/>
          <w:szCs w:val="18"/>
        </w:rPr>
        <w:t xml:space="preserve">obrat zahraničního </w:t>
      </w:r>
      <w:r w:rsidRPr="00DF48F3">
        <w:rPr>
          <w:rFonts w:cs="Arial"/>
          <w:b/>
          <w:color w:val="1C1C1C"/>
          <w:sz w:val="18"/>
          <w:szCs w:val="18"/>
        </w:rPr>
        <w:t>obchodu</w:t>
      </w:r>
      <w:r w:rsidRPr="00DF74EE">
        <w:rPr>
          <w:rFonts w:cs="Arial"/>
          <w:color w:val="1C1C1C"/>
          <w:sz w:val="18"/>
          <w:szCs w:val="18"/>
        </w:rPr>
        <w:t xml:space="preserve"> zvýšil o </w:t>
      </w:r>
      <w:r>
        <w:rPr>
          <w:rFonts w:cs="Arial"/>
          <w:color w:val="1C1C1C"/>
          <w:sz w:val="18"/>
          <w:szCs w:val="18"/>
        </w:rPr>
        <w:t>16,5</w:t>
      </w:r>
      <w:r w:rsidRPr="00DF74EE">
        <w:rPr>
          <w:rFonts w:cs="Arial"/>
          <w:color w:val="1C1C1C"/>
          <w:sz w:val="18"/>
          <w:szCs w:val="18"/>
        </w:rPr>
        <w:t xml:space="preserve"> %</w:t>
      </w:r>
      <w:r>
        <w:rPr>
          <w:rFonts w:cs="Arial"/>
          <w:color w:val="1C1C1C"/>
          <w:sz w:val="18"/>
          <w:szCs w:val="18"/>
        </w:rPr>
        <w:t xml:space="preserve"> (1 121,0 mld. Kč) a dosáhl hodnoty 7 907,2 mld. Kč.</w:t>
      </w:r>
    </w:p>
    <w:p w:rsidR="00834326" w:rsidRDefault="00834326" w:rsidP="00873E3B">
      <w:pPr>
        <w:spacing w:after="160"/>
        <w:rPr>
          <w:bCs/>
          <w:sz w:val="18"/>
          <w:szCs w:val="18"/>
        </w:rPr>
      </w:pPr>
      <w:r w:rsidRPr="00765355">
        <w:rPr>
          <w:b/>
          <w:bCs/>
          <w:sz w:val="18"/>
          <w:szCs w:val="18"/>
        </w:rPr>
        <w:t xml:space="preserve">Bilance zahraničního obchodu se zbožím skončila </w:t>
      </w:r>
      <w:r>
        <w:rPr>
          <w:b/>
          <w:bCs/>
          <w:sz w:val="18"/>
          <w:szCs w:val="18"/>
        </w:rPr>
        <w:t>schodkem</w:t>
      </w:r>
      <w:r w:rsidRPr="00913F00">
        <w:rPr>
          <w:bCs/>
          <w:sz w:val="18"/>
          <w:szCs w:val="18"/>
        </w:rPr>
        <w:t xml:space="preserve"> </w:t>
      </w:r>
      <w:r w:rsidR="00CC3F07">
        <w:rPr>
          <w:bCs/>
          <w:sz w:val="18"/>
          <w:szCs w:val="18"/>
        </w:rPr>
        <w:t>9,0</w:t>
      </w:r>
      <w:r w:rsidRPr="00913F00">
        <w:rPr>
          <w:bCs/>
          <w:sz w:val="18"/>
          <w:szCs w:val="18"/>
        </w:rPr>
        <w:t> mld. Kč</w:t>
      </w:r>
      <w:r w:rsidR="00CC3F07">
        <w:rPr>
          <w:bCs/>
          <w:sz w:val="18"/>
          <w:szCs w:val="18"/>
        </w:rPr>
        <w:t>. Přechodem z aktiva 179,9 mld. Kč v</w:t>
      </w:r>
      <w:r w:rsidR="00104DCD">
        <w:rPr>
          <w:bCs/>
          <w:sz w:val="18"/>
          <w:szCs w:val="18"/>
        </w:rPr>
        <w:t> roce </w:t>
      </w:r>
      <w:r w:rsidR="00CC3F07">
        <w:rPr>
          <w:bCs/>
          <w:sz w:val="18"/>
          <w:szCs w:val="18"/>
        </w:rPr>
        <w:t>2020 do pasiva v roce 2021 se zhoršila bilance o 188,9 mld. Kč. Podle definitivních údajů za rok 2021 vzrostl meziročně vývoz o 13,4 % na 3 949,1 mld. Kč a dovoz o 19,8 % na 3 958,1 mld. Kč.</w:t>
      </w:r>
    </w:p>
    <w:p w:rsidR="00CC3F07" w:rsidRDefault="00CC3F07" w:rsidP="00873E3B">
      <w:pPr>
        <w:spacing w:after="160"/>
        <w:rPr>
          <w:sz w:val="18"/>
          <w:szCs w:val="18"/>
        </w:rPr>
      </w:pPr>
      <w:r w:rsidRPr="00DD6EA4">
        <w:rPr>
          <w:bCs/>
          <w:sz w:val="18"/>
          <w:szCs w:val="18"/>
        </w:rPr>
        <w:t>Celkové saldo zahraničního obchod</w:t>
      </w:r>
      <w:r w:rsidR="00D37B05">
        <w:rPr>
          <w:bCs/>
          <w:sz w:val="18"/>
          <w:szCs w:val="18"/>
        </w:rPr>
        <w:t>u</w:t>
      </w:r>
      <w:r w:rsidRPr="00DD6EA4">
        <w:rPr>
          <w:bCs/>
          <w:sz w:val="18"/>
          <w:szCs w:val="18"/>
        </w:rPr>
        <w:t xml:space="preserve"> se zbožím </w:t>
      </w:r>
      <w:r w:rsidR="008C36F4" w:rsidRPr="00DD6EA4">
        <w:rPr>
          <w:b/>
          <w:bCs/>
          <w:sz w:val="18"/>
          <w:szCs w:val="18"/>
        </w:rPr>
        <w:t>nepříznivě ovlivnil</w:t>
      </w:r>
      <w:r w:rsidR="008C36F4" w:rsidRPr="00DD6EA4">
        <w:rPr>
          <w:bCs/>
          <w:sz w:val="18"/>
          <w:szCs w:val="18"/>
        </w:rPr>
        <w:t xml:space="preserve"> především meziročně </w:t>
      </w:r>
      <w:r w:rsidR="002B706D">
        <w:rPr>
          <w:bCs/>
          <w:sz w:val="18"/>
          <w:szCs w:val="18"/>
        </w:rPr>
        <w:t>větší</w:t>
      </w:r>
      <w:r w:rsidR="008C36F4" w:rsidRPr="00DD6EA4">
        <w:rPr>
          <w:bCs/>
          <w:sz w:val="18"/>
          <w:szCs w:val="18"/>
        </w:rPr>
        <w:t xml:space="preserve"> deficit bilance s ropou </w:t>
      </w:r>
      <w:r w:rsidR="00104DCD">
        <w:rPr>
          <w:bCs/>
          <w:sz w:val="18"/>
          <w:szCs w:val="18"/>
        </w:rPr>
        <w:t>a </w:t>
      </w:r>
      <w:r w:rsidR="008C36F4" w:rsidRPr="00DD6EA4">
        <w:rPr>
          <w:bCs/>
          <w:sz w:val="18"/>
          <w:szCs w:val="18"/>
        </w:rPr>
        <w:t>zemním plynem o 83,5 mld. Kč</w:t>
      </w:r>
      <w:r w:rsidR="00C31FF3" w:rsidRPr="00DD6EA4">
        <w:rPr>
          <w:sz w:val="18"/>
          <w:szCs w:val="18"/>
        </w:rPr>
        <w:t xml:space="preserve"> v</w:t>
      </w:r>
      <w:r w:rsidR="00FC0555">
        <w:rPr>
          <w:sz w:val="18"/>
          <w:szCs w:val="18"/>
        </w:rPr>
        <w:t xml:space="preserve"> důsledku </w:t>
      </w:r>
      <w:r w:rsidR="00C31FF3" w:rsidRPr="00DD6EA4">
        <w:rPr>
          <w:sz w:val="18"/>
          <w:szCs w:val="18"/>
        </w:rPr>
        <w:t>růstu cen na světových trzích i vyššího dovezeného množství</w:t>
      </w:r>
      <w:r w:rsidR="00FC0555">
        <w:rPr>
          <w:sz w:val="18"/>
          <w:szCs w:val="18"/>
        </w:rPr>
        <w:t xml:space="preserve">. </w:t>
      </w:r>
      <w:r w:rsidR="00DD6EA4">
        <w:rPr>
          <w:sz w:val="18"/>
          <w:szCs w:val="18"/>
        </w:rPr>
        <w:t xml:space="preserve">Dále </w:t>
      </w:r>
      <w:r w:rsidR="002B706D">
        <w:rPr>
          <w:sz w:val="18"/>
          <w:szCs w:val="18"/>
        </w:rPr>
        <w:t>se zvětšil</w:t>
      </w:r>
      <w:r w:rsidR="00DD6EA4">
        <w:rPr>
          <w:sz w:val="18"/>
          <w:szCs w:val="18"/>
        </w:rPr>
        <w:t xml:space="preserve"> schodek obchodu se základními kovy o 48,7 mld. Kč, chemickým</w:t>
      </w:r>
      <w:r w:rsidR="00104DCD">
        <w:rPr>
          <w:sz w:val="18"/>
          <w:szCs w:val="18"/>
        </w:rPr>
        <w:t>i látky a přípravky o 25,4 mld. </w:t>
      </w:r>
      <w:r w:rsidR="00DD6EA4">
        <w:rPr>
          <w:sz w:val="18"/>
          <w:szCs w:val="18"/>
        </w:rPr>
        <w:t>Kč a elektrickými zařízeními o 19,7 mld. Kč.</w:t>
      </w:r>
    </w:p>
    <w:p w:rsidR="00DD6EA4" w:rsidRDefault="00DD6EA4" w:rsidP="00873E3B">
      <w:pPr>
        <w:spacing w:after="160"/>
        <w:rPr>
          <w:sz w:val="18"/>
          <w:szCs w:val="18"/>
        </w:rPr>
      </w:pPr>
      <w:r w:rsidRPr="00595B06">
        <w:rPr>
          <w:b/>
          <w:sz w:val="18"/>
          <w:szCs w:val="18"/>
        </w:rPr>
        <w:t>Příznivý vliv</w:t>
      </w:r>
      <w:r>
        <w:rPr>
          <w:sz w:val="18"/>
          <w:szCs w:val="18"/>
        </w:rPr>
        <w:t xml:space="preserve"> na </w:t>
      </w:r>
      <w:r w:rsidRPr="00595B06">
        <w:rPr>
          <w:sz w:val="18"/>
          <w:szCs w:val="18"/>
        </w:rPr>
        <w:t>celkové s</w:t>
      </w:r>
      <w:r>
        <w:rPr>
          <w:sz w:val="18"/>
          <w:szCs w:val="18"/>
        </w:rPr>
        <w:t xml:space="preserve">aldo zahraničního obchodu se zbožím měl zejména vyšší přebytek </w:t>
      </w:r>
      <w:r w:rsidR="00104DCD">
        <w:rPr>
          <w:sz w:val="18"/>
          <w:szCs w:val="18"/>
        </w:rPr>
        <w:t xml:space="preserve">obchodu s elektřinou </w:t>
      </w:r>
      <w:r w:rsidR="00104DCD" w:rsidRPr="009D6E11">
        <w:rPr>
          <w:sz w:val="18"/>
          <w:szCs w:val="18"/>
        </w:rPr>
        <w:t>o 27,0 mld. Kč vlivem růstu ceny a vyššího vyvezeného množství elektřiny</w:t>
      </w:r>
      <w:r w:rsidR="00AB29B6">
        <w:rPr>
          <w:sz w:val="18"/>
          <w:szCs w:val="18"/>
        </w:rPr>
        <w:t xml:space="preserve">. Zvýšil se také přebytek u </w:t>
      </w:r>
      <w:r w:rsidR="00104DCD" w:rsidRPr="009D6E11">
        <w:rPr>
          <w:sz w:val="18"/>
          <w:szCs w:val="18"/>
        </w:rPr>
        <w:t>produkt</w:t>
      </w:r>
      <w:r w:rsidR="00AB29B6">
        <w:rPr>
          <w:sz w:val="18"/>
          <w:szCs w:val="18"/>
        </w:rPr>
        <w:t>ů</w:t>
      </w:r>
      <w:r w:rsidR="00104DCD" w:rsidRPr="009D6E11">
        <w:rPr>
          <w:sz w:val="18"/>
          <w:szCs w:val="18"/>
        </w:rPr>
        <w:t xml:space="preserve"> související</w:t>
      </w:r>
      <w:r w:rsidR="00AB29B6">
        <w:rPr>
          <w:sz w:val="18"/>
          <w:szCs w:val="18"/>
        </w:rPr>
        <w:t>ch</w:t>
      </w:r>
      <w:r w:rsidR="000755BD">
        <w:rPr>
          <w:sz w:val="18"/>
          <w:szCs w:val="18"/>
        </w:rPr>
        <w:t xml:space="preserve"> s odpady o 13,9 mld. </w:t>
      </w:r>
      <w:r w:rsidR="00104DCD" w:rsidRPr="009D6E11">
        <w:rPr>
          <w:sz w:val="18"/>
          <w:szCs w:val="18"/>
        </w:rPr>
        <w:t>Kč.</w:t>
      </w:r>
    </w:p>
    <w:p w:rsidR="00595B06" w:rsidRPr="00595B06" w:rsidRDefault="00595B06" w:rsidP="00873E3B">
      <w:pPr>
        <w:spacing w:after="160"/>
        <w:rPr>
          <w:bCs/>
          <w:sz w:val="18"/>
          <w:szCs w:val="18"/>
        </w:rPr>
      </w:pPr>
      <w:r w:rsidRPr="00595B06">
        <w:rPr>
          <w:rFonts w:cs="Arial"/>
          <w:color w:val="1C1C1C"/>
          <w:sz w:val="18"/>
          <w:szCs w:val="18"/>
        </w:rPr>
        <w:t xml:space="preserve">Nejvýznamnější položkou vývozu a nositelem přebytku obchodní bilance byla i nadále </w:t>
      </w:r>
      <w:r w:rsidRPr="00595B06">
        <w:rPr>
          <w:rFonts w:cs="Arial"/>
          <w:b/>
          <w:color w:val="1C1C1C"/>
          <w:sz w:val="18"/>
          <w:szCs w:val="18"/>
        </w:rPr>
        <w:t>motorová vozidla</w:t>
      </w:r>
      <w:r w:rsidR="000755BD">
        <w:rPr>
          <w:rFonts w:cs="Arial"/>
          <w:color w:val="1C1C1C"/>
          <w:sz w:val="18"/>
          <w:szCs w:val="18"/>
        </w:rPr>
        <w:t xml:space="preserve"> (včetně dílů a </w:t>
      </w:r>
      <w:r w:rsidRPr="00595B06">
        <w:rPr>
          <w:rFonts w:cs="Arial"/>
          <w:color w:val="1C1C1C"/>
          <w:sz w:val="18"/>
          <w:szCs w:val="18"/>
        </w:rPr>
        <w:t>příslušenství).</w:t>
      </w:r>
      <w:r>
        <w:rPr>
          <w:rFonts w:cs="Arial"/>
          <w:color w:val="1C1C1C"/>
          <w:sz w:val="18"/>
          <w:szCs w:val="18"/>
        </w:rPr>
        <w:t xml:space="preserve"> V roce 2021 skončila bilance přebytkem 424,9 mld. Kč, </w:t>
      </w:r>
      <w:r w:rsidRPr="00595B06">
        <w:rPr>
          <w:rStyle w:val="Siln"/>
          <w:b w:val="0"/>
          <w:sz w:val="18"/>
          <w:szCs w:val="18"/>
        </w:rPr>
        <w:t>což byl meziročně o </w:t>
      </w:r>
      <w:r>
        <w:rPr>
          <w:rStyle w:val="Siln"/>
          <w:b w:val="0"/>
          <w:sz w:val="18"/>
          <w:szCs w:val="18"/>
        </w:rPr>
        <w:t>1,3</w:t>
      </w:r>
      <w:r w:rsidRPr="00595B06">
        <w:rPr>
          <w:rStyle w:val="Siln"/>
          <w:b w:val="0"/>
          <w:sz w:val="18"/>
          <w:szCs w:val="18"/>
        </w:rPr>
        <w:t> mld. Kč horší výsledek</w:t>
      </w:r>
      <w:r>
        <w:rPr>
          <w:rStyle w:val="Siln"/>
          <w:b w:val="0"/>
          <w:sz w:val="18"/>
          <w:szCs w:val="18"/>
        </w:rPr>
        <w:t xml:space="preserve">. </w:t>
      </w:r>
      <w:r w:rsidR="00FA0616">
        <w:rPr>
          <w:rStyle w:val="Siln"/>
          <w:b w:val="0"/>
          <w:sz w:val="18"/>
          <w:szCs w:val="18"/>
        </w:rPr>
        <w:t>Vývoz vzrostl o 43,2 mld. Kč na 957,7 mld. Kč a dovoz o 44,5 mld. Kč na 532,8 mld. Kč.</w:t>
      </w:r>
    </w:p>
    <w:p w:rsidR="00104DCD" w:rsidRDefault="00104DCD" w:rsidP="00104DCD">
      <w:pPr>
        <w:spacing w:after="160"/>
        <w:rPr>
          <w:bCs/>
          <w:sz w:val="18"/>
          <w:szCs w:val="18"/>
        </w:rPr>
      </w:pPr>
      <w:r w:rsidRPr="00104DCD">
        <w:rPr>
          <w:b/>
          <w:bCs/>
          <w:sz w:val="18"/>
          <w:szCs w:val="18"/>
        </w:rPr>
        <w:t>Přebytek zahraničního obchodu se státy Evropské unie</w:t>
      </w:r>
      <w:r w:rsidRPr="00104DCD">
        <w:rPr>
          <w:rStyle w:val="Znakapoznpodarou"/>
          <w:bCs/>
          <w:szCs w:val="18"/>
        </w:rPr>
        <w:footnoteReference w:id="2"/>
      </w:r>
      <w:r w:rsidRPr="00104DCD">
        <w:rPr>
          <w:bCs/>
          <w:sz w:val="18"/>
          <w:szCs w:val="18"/>
        </w:rPr>
        <w:t xml:space="preserve"> dosáhl </w:t>
      </w:r>
      <w:r>
        <w:rPr>
          <w:bCs/>
          <w:sz w:val="18"/>
          <w:szCs w:val="18"/>
        </w:rPr>
        <w:t>709,9</w:t>
      </w:r>
      <w:r w:rsidRPr="00104DCD">
        <w:rPr>
          <w:bCs/>
          <w:sz w:val="18"/>
          <w:szCs w:val="18"/>
        </w:rPr>
        <w:t xml:space="preserve"> mld. Kč a byl proti roku 20</w:t>
      </w:r>
      <w:r>
        <w:rPr>
          <w:bCs/>
          <w:sz w:val="18"/>
          <w:szCs w:val="18"/>
        </w:rPr>
        <w:t>20</w:t>
      </w:r>
      <w:r w:rsidRPr="00104DCD">
        <w:rPr>
          <w:bCs/>
          <w:sz w:val="18"/>
          <w:szCs w:val="18"/>
        </w:rPr>
        <w:t xml:space="preserve"> o </w:t>
      </w:r>
      <w:r>
        <w:rPr>
          <w:bCs/>
          <w:sz w:val="18"/>
          <w:szCs w:val="18"/>
        </w:rPr>
        <w:t>53,0</w:t>
      </w:r>
      <w:r w:rsidRPr="00104DCD">
        <w:rPr>
          <w:bCs/>
          <w:sz w:val="18"/>
          <w:szCs w:val="18"/>
        </w:rPr>
        <w:t xml:space="preserve"> mld. Kč vyšší. Největší přírůstek aktiva byl zaznamenán v obchodě s Německem o </w:t>
      </w:r>
      <w:r w:rsidR="009D6E11">
        <w:rPr>
          <w:bCs/>
          <w:sz w:val="18"/>
          <w:szCs w:val="18"/>
        </w:rPr>
        <w:t>26,0</w:t>
      </w:r>
      <w:r w:rsidRPr="00104DCD">
        <w:rPr>
          <w:bCs/>
          <w:sz w:val="18"/>
          <w:szCs w:val="18"/>
        </w:rPr>
        <w:t> mld. Kč</w:t>
      </w:r>
      <w:r w:rsidR="009D6E11">
        <w:rPr>
          <w:bCs/>
          <w:sz w:val="18"/>
          <w:szCs w:val="18"/>
        </w:rPr>
        <w:t>,</w:t>
      </w:r>
      <w:r w:rsidRPr="00104DCD">
        <w:rPr>
          <w:bCs/>
          <w:sz w:val="18"/>
          <w:szCs w:val="18"/>
        </w:rPr>
        <w:t xml:space="preserve"> Slovenskem o </w:t>
      </w:r>
      <w:r w:rsidR="009D6E11">
        <w:rPr>
          <w:bCs/>
          <w:sz w:val="18"/>
          <w:szCs w:val="18"/>
        </w:rPr>
        <w:t>15,5</w:t>
      </w:r>
      <w:r w:rsidRPr="00104DCD">
        <w:rPr>
          <w:bCs/>
          <w:sz w:val="18"/>
          <w:szCs w:val="18"/>
        </w:rPr>
        <w:t xml:space="preserve"> mld. Kč</w:t>
      </w:r>
      <w:r w:rsidR="009D6E11">
        <w:rPr>
          <w:bCs/>
          <w:sz w:val="18"/>
          <w:szCs w:val="18"/>
        </w:rPr>
        <w:t xml:space="preserve"> a Rakouskem o 12,9 mld. Kč</w:t>
      </w:r>
      <w:r w:rsidRPr="00104DCD">
        <w:rPr>
          <w:bCs/>
          <w:sz w:val="18"/>
          <w:szCs w:val="18"/>
        </w:rPr>
        <w:t xml:space="preserve">. </w:t>
      </w:r>
      <w:r w:rsidR="009D6E11">
        <w:rPr>
          <w:bCs/>
          <w:sz w:val="18"/>
          <w:szCs w:val="18"/>
        </w:rPr>
        <w:t xml:space="preserve">V roce 2021 </w:t>
      </w:r>
      <w:r w:rsidR="00C17C9F">
        <w:rPr>
          <w:bCs/>
          <w:sz w:val="18"/>
          <w:szCs w:val="18"/>
        </w:rPr>
        <w:t xml:space="preserve">se </w:t>
      </w:r>
      <w:r w:rsidR="009D6E11">
        <w:rPr>
          <w:bCs/>
          <w:sz w:val="18"/>
          <w:szCs w:val="18"/>
        </w:rPr>
        <w:t xml:space="preserve">meziročně </w:t>
      </w:r>
      <w:r w:rsidR="00FC0555">
        <w:rPr>
          <w:bCs/>
          <w:sz w:val="18"/>
          <w:szCs w:val="18"/>
        </w:rPr>
        <w:t>prohloubila</w:t>
      </w:r>
      <w:r w:rsidR="009D6E11">
        <w:rPr>
          <w:bCs/>
          <w:sz w:val="18"/>
          <w:szCs w:val="18"/>
        </w:rPr>
        <w:t xml:space="preserve"> záporná bilance s Polskem o 7,8 mld. Kč.</w:t>
      </w:r>
    </w:p>
    <w:p w:rsidR="009D6E11" w:rsidRPr="009D6E11" w:rsidRDefault="009D6E11" w:rsidP="00104DCD">
      <w:pPr>
        <w:spacing w:after="160"/>
        <w:rPr>
          <w:bCs/>
          <w:sz w:val="18"/>
          <w:szCs w:val="18"/>
        </w:rPr>
      </w:pPr>
      <w:r w:rsidRPr="009D6E11">
        <w:rPr>
          <w:b/>
          <w:bCs/>
          <w:sz w:val="18"/>
          <w:szCs w:val="18"/>
        </w:rPr>
        <w:t>Schodek zahraničního obchodu se zbožím se státy mimo Evropskou unií</w:t>
      </w:r>
      <w:r w:rsidRPr="009D6E11">
        <w:rPr>
          <w:bCs/>
          <w:sz w:val="18"/>
          <w:szCs w:val="18"/>
        </w:rPr>
        <w:t xml:space="preserve"> se meziročně </w:t>
      </w:r>
      <w:r w:rsidR="00690A3A">
        <w:rPr>
          <w:bCs/>
          <w:sz w:val="18"/>
          <w:szCs w:val="18"/>
        </w:rPr>
        <w:t>zvětšil</w:t>
      </w:r>
      <w:r w:rsidRPr="009D6E11">
        <w:rPr>
          <w:bCs/>
          <w:sz w:val="18"/>
          <w:szCs w:val="18"/>
        </w:rPr>
        <w:t xml:space="preserve"> o </w:t>
      </w:r>
      <w:r>
        <w:rPr>
          <w:bCs/>
          <w:sz w:val="18"/>
          <w:szCs w:val="18"/>
        </w:rPr>
        <w:t>237,2</w:t>
      </w:r>
      <w:r w:rsidRPr="009D6E11">
        <w:rPr>
          <w:bCs/>
          <w:sz w:val="18"/>
          <w:szCs w:val="18"/>
        </w:rPr>
        <w:t xml:space="preserve"> mld. Kč na </w:t>
      </w:r>
      <w:r>
        <w:rPr>
          <w:bCs/>
          <w:sz w:val="18"/>
          <w:szCs w:val="18"/>
        </w:rPr>
        <w:t>694,4</w:t>
      </w:r>
      <w:r w:rsidRPr="009D6E11">
        <w:rPr>
          <w:bCs/>
          <w:sz w:val="18"/>
          <w:szCs w:val="18"/>
        </w:rPr>
        <w:t> mld. Kč</w:t>
      </w:r>
      <w:r w:rsidR="00191F16">
        <w:rPr>
          <w:bCs/>
          <w:sz w:val="18"/>
          <w:szCs w:val="18"/>
        </w:rPr>
        <w:t>, čímž výrazně ovlivnil celkovou hodnotu obchodní bilance České republiky</w:t>
      </w:r>
      <w:r w:rsidRPr="009D6E11">
        <w:rPr>
          <w:bCs/>
          <w:sz w:val="18"/>
          <w:szCs w:val="18"/>
        </w:rPr>
        <w:t>.</w:t>
      </w:r>
      <w:r>
        <w:rPr>
          <w:bCs/>
          <w:sz w:val="18"/>
          <w:szCs w:val="18"/>
        </w:rPr>
        <w:t xml:space="preserve"> Přechodem z aktiva do pasiva se zhoršila bilance obchodu s Ruskou federací o 87,9 mld. Kč, </w:t>
      </w:r>
      <w:r w:rsidR="00191F16">
        <w:rPr>
          <w:bCs/>
          <w:sz w:val="18"/>
          <w:szCs w:val="18"/>
        </w:rPr>
        <w:t>Tureckem o 13,5 mld. Kč, Ukrajinou o 13,4 Kč</w:t>
      </w:r>
      <w:r w:rsidR="00065675">
        <w:rPr>
          <w:bCs/>
          <w:sz w:val="18"/>
          <w:szCs w:val="18"/>
        </w:rPr>
        <w:t xml:space="preserve"> a </w:t>
      </w:r>
      <w:r w:rsidR="00191F16">
        <w:rPr>
          <w:bCs/>
          <w:sz w:val="18"/>
          <w:szCs w:val="18"/>
        </w:rPr>
        <w:t>Kazachstánem o 13,0 mld. Kč. Zv</w:t>
      </w:r>
      <w:r w:rsidR="00690A3A">
        <w:rPr>
          <w:bCs/>
          <w:sz w:val="18"/>
          <w:szCs w:val="18"/>
        </w:rPr>
        <w:t>ět</w:t>
      </w:r>
      <w:r w:rsidR="00191F16">
        <w:rPr>
          <w:bCs/>
          <w:sz w:val="18"/>
          <w:szCs w:val="18"/>
        </w:rPr>
        <w:t>šil se zároveň deficit obchodu s Čínou o 68,1 mld. Kč, Japonskem o 22,2 mld. Kč a</w:t>
      </w:r>
      <w:r w:rsidR="00065675">
        <w:rPr>
          <w:bCs/>
          <w:sz w:val="18"/>
          <w:szCs w:val="18"/>
        </w:rPr>
        <w:t> </w:t>
      </w:r>
      <w:r w:rsidR="00191F16">
        <w:rPr>
          <w:bCs/>
          <w:sz w:val="18"/>
          <w:szCs w:val="18"/>
        </w:rPr>
        <w:t>Korejskou republikou o 11,0 mld. Kč.</w:t>
      </w:r>
    </w:p>
    <w:p w:rsidR="00834326" w:rsidRDefault="00834326" w:rsidP="00873E3B">
      <w:pPr>
        <w:spacing w:after="160"/>
        <w:rPr>
          <w:bCs/>
          <w:sz w:val="18"/>
          <w:szCs w:val="18"/>
        </w:rPr>
      </w:pPr>
    </w:p>
    <w:p w:rsidR="00765355" w:rsidRDefault="00765355" w:rsidP="006E6ECF">
      <w:pPr>
        <w:spacing w:after="160"/>
        <w:rPr>
          <w:rFonts w:ascii="Tahoma" w:hAnsi="Tahoma" w:cs="Tahoma"/>
          <w:szCs w:val="20"/>
          <w:shd w:val="clear" w:color="auto" w:fill="FFFFFF"/>
        </w:rPr>
      </w:pPr>
    </w:p>
    <w:sectPr w:rsidR="00765355">
      <w:footerReference w:type="even" r:id="rId8"/>
      <w:footerReference w:type="default" r:id="rId9"/>
      <w:pgSz w:w="11906" w:h="16838"/>
      <w:pgMar w:top="1418" w:right="1134" w:bottom="1418"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6" w:rsidRDefault="005E5356">
      <w:r>
        <w:separator/>
      </w:r>
    </w:p>
  </w:endnote>
  <w:endnote w:type="continuationSeparator" w:id="0">
    <w:p w:rsidR="005E5356" w:rsidRDefault="005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7274" w:rsidRDefault="006E7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D6E11">
      <w:rPr>
        <w:rStyle w:val="slostrnky"/>
        <w:noProof/>
      </w:rPr>
      <w:t>2</w:t>
    </w:r>
    <w:r>
      <w:rPr>
        <w:rStyle w:val="slostrnky"/>
      </w:rPr>
      <w:fldChar w:fldCharType="end"/>
    </w:r>
  </w:p>
  <w:p w:rsidR="006E7274" w:rsidRDefault="006E7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6" w:rsidRDefault="005E5356">
      <w:r>
        <w:separator/>
      </w:r>
    </w:p>
  </w:footnote>
  <w:footnote w:type="continuationSeparator" w:id="0">
    <w:p w:rsidR="005E5356" w:rsidRDefault="005E5356">
      <w:r>
        <w:continuationSeparator/>
      </w:r>
    </w:p>
  </w:footnote>
  <w:footnote w:id="1">
    <w:p w:rsidR="0086241D" w:rsidRPr="0054218D" w:rsidRDefault="0086241D" w:rsidP="0086241D">
      <w:pPr>
        <w:pStyle w:val="Textpoznpodarou"/>
        <w:spacing w:after="120"/>
        <w:rPr>
          <w:iCs/>
          <w:sz w:val="17"/>
          <w:szCs w:val="17"/>
        </w:rPr>
      </w:pPr>
      <w:r w:rsidRPr="0054218D">
        <w:rPr>
          <w:rStyle w:val="Znakapoznpodarou"/>
          <w:sz w:val="17"/>
          <w:szCs w:val="17"/>
        </w:rPr>
        <w:footnoteRef/>
      </w:r>
      <w:r w:rsidRPr="0054218D">
        <w:rPr>
          <w:sz w:val="17"/>
          <w:szCs w:val="17"/>
        </w:rPr>
        <w:t xml:space="preserve"> </w:t>
      </w:r>
      <w:r w:rsidRPr="0054218D">
        <w:rPr>
          <w:b/>
          <w:bCs/>
          <w:iCs/>
          <w:sz w:val="17"/>
          <w:szCs w:val="17"/>
        </w:rPr>
        <w:t>Zahraniční obchod se zbožím</w:t>
      </w:r>
      <w:r w:rsidRPr="0054218D">
        <w:rPr>
          <w:bCs/>
          <w:iCs/>
          <w:sz w:val="17"/>
          <w:szCs w:val="17"/>
        </w:rPr>
        <w:t xml:space="preserve"> </w:t>
      </w:r>
      <w:r w:rsidRPr="0054218D">
        <w:rPr>
          <w:iCs/>
          <w:sz w:val="17"/>
          <w:szCs w:val="17"/>
        </w:rPr>
        <w:t>vypovídá o vývozní a</w:t>
      </w:r>
      <w:r w:rsidRPr="0054218D">
        <w:rPr>
          <w:sz w:val="17"/>
          <w:szCs w:val="17"/>
        </w:rPr>
        <w:t> </w:t>
      </w:r>
      <w:r w:rsidRPr="0054218D">
        <w:rPr>
          <w:iCs/>
          <w:sz w:val="17"/>
          <w:szCs w:val="17"/>
        </w:rPr>
        <w:t>dovozní výkonnosti české ekonomiky, tedy i o obchodní bilanci zahraničního obchodu české ekonomiky. Sleduje skutečný obchod se zbožím realizovaný mezi českými a zahraničními subjekty, tj. změnu vlastnictví mezi rezidenty a nerezidenty.</w:t>
      </w:r>
    </w:p>
    <w:p w:rsidR="0086241D" w:rsidRPr="0054218D" w:rsidRDefault="0086241D" w:rsidP="0086241D">
      <w:pPr>
        <w:pStyle w:val="Textpoznpodarou"/>
        <w:spacing w:after="120"/>
        <w:rPr>
          <w:b/>
          <w:sz w:val="17"/>
          <w:szCs w:val="17"/>
        </w:rPr>
      </w:pPr>
      <w:r w:rsidRPr="0054218D">
        <w:rPr>
          <w:b/>
          <w:iCs/>
          <w:sz w:val="17"/>
          <w:szCs w:val="17"/>
        </w:rPr>
        <w:t>Údaje za rok 20</w:t>
      </w:r>
      <w:r w:rsidR="00834326">
        <w:rPr>
          <w:b/>
          <w:iCs/>
          <w:sz w:val="17"/>
          <w:szCs w:val="17"/>
        </w:rPr>
        <w:t>20</w:t>
      </w:r>
      <w:r w:rsidRPr="0054218D">
        <w:rPr>
          <w:b/>
          <w:iCs/>
          <w:sz w:val="17"/>
          <w:szCs w:val="17"/>
        </w:rPr>
        <w:t xml:space="preserve"> a 20</w:t>
      </w:r>
      <w:r w:rsidR="00DA7581">
        <w:rPr>
          <w:b/>
          <w:iCs/>
          <w:sz w:val="17"/>
          <w:szCs w:val="17"/>
        </w:rPr>
        <w:t>2</w:t>
      </w:r>
      <w:r w:rsidR="00834326">
        <w:rPr>
          <w:b/>
          <w:iCs/>
          <w:sz w:val="17"/>
          <w:szCs w:val="17"/>
        </w:rPr>
        <w:t>1</w:t>
      </w:r>
      <w:r w:rsidRPr="0054218D">
        <w:rPr>
          <w:b/>
          <w:iCs/>
          <w:sz w:val="17"/>
          <w:szCs w:val="17"/>
        </w:rPr>
        <w:t xml:space="preserve"> jsou definitivní.</w:t>
      </w:r>
    </w:p>
  </w:footnote>
  <w:footnote w:id="2">
    <w:p w:rsidR="00104DCD" w:rsidRPr="00C92C10" w:rsidRDefault="00104DCD" w:rsidP="00104DCD">
      <w:pPr>
        <w:rPr>
          <w:rFonts w:cs="Arial"/>
          <w:bCs/>
          <w:sz w:val="17"/>
          <w:szCs w:val="17"/>
        </w:rPr>
      </w:pPr>
      <w:r w:rsidRPr="00C92C10">
        <w:rPr>
          <w:rStyle w:val="Znakapoznpodarou"/>
          <w:sz w:val="17"/>
          <w:szCs w:val="17"/>
        </w:rPr>
        <w:footnoteRef/>
      </w:r>
      <w:r w:rsidRPr="00C92C10">
        <w:rPr>
          <w:sz w:val="17"/>
          <w:szCs w:val="17"/>
        </w:rPr>
        <w:t xml:space="preserve"> </w:t>
      </w:r>
      <w:r>
        <w:rPr>
          <w:sz w:val="17"/>
          <w:szCs w:val="17"/>
        </w:rPr>
        <w:t xml:space="preserve"> </w:t>
      </w:r>
      <w:r w:rsidRPr="00C92C10">
        <w:rPr>
          <w:rFonts w:cs="Arial"/>
          <w:bCs/>
          <w:sz w:val="17"/>
          <w:szCs w:val="17"/>
        </w:rPr>
        <w:t xml:space="preserve">EU (Evropská unie) - 27 členských států: </w:t>
      </w:r>
    </w:p>
    <w:p w:rsidR="00104DCD" w:rsidRPr="0054218D" w:rsidRDefault="00104DCD" w:rsidP="00104DCD">
      <w:pPr>
        <w:spacing w:after="120"/>
        <w:rPr>
          <w:rFonts w:cs="Arial"/>
          <w:bCs/>
          <w:sz w:val="17"/>
          <w:szCs w:val="17"/>
        </w:rPr>
      </w:pPr>
      <w:r w:rsidRPr="00C92C10">
        <w:rPr>
          <w:rFonts w:cs="Arial"/>
          <w:bCs/>
          <w:sz w:val="17"/>
          <w:szCs w:val="17"/>
        </w:rPr>
        <w:t>Belgie, Bulharsko, Česká republika, Dánsko, Estonsko, Finsko, Francie, Chorvatsko, Irsko, Itálie, Kypr, Litva, Lotyšsko, Lucembursko, Maďarsko, Malta, Německo, Nizozemsko, Polsko, Portugalsko, Rakousko, Rumunsko, Řecko, Slovensko, Slovinsko, Španělsko, Švédsko. Od 1. února 2020 není</w:t>
      </w:r>
      <w:r w:rsidRPr="00DC0EAD">
        <w:rPr>
          <w:rFonts w:cs="Arial"/>
          <w:bCs/>
          <w:sz w:val="17"/>
          <w:szCs w:val="17"/>
        </w:rPr>
        <w:t xml:space="preserve"> Spojené království členem Evropské unie.</w:t>
      </w:r>
    </w:p>
    <w:p w:rsidR="00104DCD" w:rsidRPr="00DC0EAD" w:rsidRDefault="00104DCD" w:rsidP="00104DCD">
      <w:pPr>
        <w:pStyle w:val="Textpoznpodarou"/>
        <w:rPr>
          <w:rFonts w:cs="Arial"/>
          <w:bCs/>
          <w:sz w:val="17"/>
          <w:szCs w:val="17"/>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1"/>
    <w:rsid w:val="00031E03"/>
    <w:rsid w:val="00034AF4"/>
    <w:rsid w:val="00037E9E"/>
    <w:rsid w:val="00065675"/>
    <w:rsid w:val="000755BD"/>
    <w:rsid w:val="00097EE2"/>
    <w:rsid w:val="00097EF2"/>
    <w:rsid w:val="00104DCD"/>
    <w:rsid w:val="001242DB"/>
    <w:rsid w:val="0012745B"/>
    <w:rsid w:val="00137EC3"/>
    <w:rsid w:val="0016428B"/>
    <w:rsid w:val="00191F16"/>
    <w:rsid w:val="001A74B0"/>
    <w:rsid w:val="001B6335"/>
    <w:rsid w:val="001C0FE8"/>
    <w:rsid w:val="001C59D6"/>
    <w:rsid w:val="001D021F"/>
    <w:rsid w:val="001D0FA4"/>
    <w:rsid w:val="001D3893"/>
    <w:rsid w:val="001E0C4F"/>
    <w:rsid w:val="001E36E8"/>
    <w:rsid w:val="00200120"/>
    <w:rsid w:val="00231503"/>
    <w:rsid w:val="002463BF"/>
    <w:rsid w:val="002470CC"/>
    <w:rsid w:val="002518B5"/>
    <w:rsid w:val="00252D35"/>
    <w:rsid w:val="002B706D"/>
    <w:rsid w:val="00344528"/>
    <w:rsid w:val="00371D34"/>
    <w:rsid w:val="003972AF"/>
    <w:rsid w:val="003D14A9"/>
    <w:rsid w:val="003D1C54"/>
    <w:rsid w:val="003D797C"/>
    <w:rsid w:val="0045301A"/>
    <w:rsid w:val="004828A1"/>
    <w:rsid w:val="00502A15"/>
    <w:rsid w:val="00512EA1"/>
    <w:rsid w:val="005212C2"/>
    <w:rsid w:val="005274A5"/>
    <w:rsid w:val="0054218D"/>
    <w:rsid w:val="0058345C"/>
    <w:rsid w:val="00595B06"/>
    <w:rsid w:val="005B3E9D"/>
    <w:rsid w:val="005E5356"/>
    <w:rsid w:val="005F6D46"/>
    <w:rsid w:val="006559BC"/>
    <w:rsid w:val="006722B7"/>
    <w:rsid w:val="00674F3D"/>
    <w:rsid w:val="0068238B"/>
    <w:rsid w:val="00690A3A"/>
    <w:rsid w:val="006B7C40"/>
    <w:rsid w:val="006E6ECF"/>
    <w:rsid w:val="006E7274"/>
    <w:rsid w:val="0072727F"/>
    <w:rsid w:val="00765355"/>
    <w:rsid w:val="007F023A"/>
    <w:rsid w:val="00816CD3"/>
    <w:rsid w:val="00834326"/>
    <w:rsid w:val="00843C42"/>
    <w:rsid w:val="0086241D"/>
    <w:rsid w:val="00862D29"/>
    <w:rsid w:val="00870484"/>
    <w:rsid w:val="00873E3B"/>
    <w:rsid w:val="008C36F4"/>
    <w:rsid w:val="008E5263"/>
    <w:rsid w:val="00913F00"/>
    <w:rsid w:val="0096213C"/>
    <w:rsid w:val="009718E0"/>
    <w:rsid w:val="009851B9"/>
    <w:rsid w:val="009A258C"/>
    <w:rsid w:val="009D6E11"/>
    <w:rsid w:val="00A03125"/>
    <w:rsid w:val="00A057EE"/>
    <w:rsid w:val="00A82DFC"/>
    <w:rsid w:val="00A835AE"/>
    <w:rsid w:val="00AA12EA"/>
    <w:rsid w:val="00AA1BFB"/>
    <w:rsid w:val="00AB29B6"/>
    <w:rsid w:val="00AB3C88"/>
    <w:rsid w:val="00B31EAC"/>
    <w:rsid w:val="00B32463"/>
    <w:rsid w:val="00B52F55"/>
    <w:rsid w:val="00B91E5C"/>
    <w:rsid w:val="00BC6718"/>
    <w:rsid w:val="00BD7E31"/>
    <w:rsid w:val="00BF7171"/>
    <w:rsid w:val="00C17C9F"/>
    <w:rsid w:val="00C31FF3"/>
    <w:rsid w:val="00C84598"/>
    <w:rsid w:val="00C92C10"/>
    <w:rsid w:val="00CA1C97"/>
    <w:rsid w:val="00CA739C"/>
    <w:rsid w:val="00CB282D"/>
    <w:rsid w:val="00CB645E"/>
    <w:rsid w:val="00CB76F3"/>
    <w:rsid w:val="00CC3F07"/>
    <w:rsid w:val="00D04241"/>
    <w:rsid w:val="00D37B05"/>
    <w:rsid w:val="00DA7581"/>
    <w:rsid w:val="00DC0EAD"/>
    <w:rsid w:val="00DD18F2"/>
    <w:rsid w:val="00DD5D09"/>
    <w:rsid w:val="00DD6EA4"/>
    <w:rsid w:val="00DF4A4A"/>
    <w:rsid w:val="00E336D7"/>
    <w:rsid w:val="00E370EE"/>
    <w:rsid w:val="00E5677A"/>
    <w:rsid w:val="00E65E83"/>
    <w:rsid w:val="00E8598B"/>
    <w:rsid w:val="00E927D4"/>
    <w:rsid w:val="00EC0DE2"/>
    <w:rsid w:val="00ED79AD"/>
    <w:rsid w:val="00EE5CFB"/>
    <w:rsid w:val="00EF7BA4"/>
    <w:rsid w:val="00F55324"/>
    <w:rsid w:val="00F83179"/>
    <w:rsid w:val="00FA0616"/>
    <w:rsid w:val="00FC0555"/>
    <w:rsid w:val="00FD1AD4"/>
    <w:rsid w:val="00FE5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5B69F"/>
  <w15:chartTrackingRefBased/>
  <w15:docId w15:val="{2B402998-4F4D-466A-AE92-4A455C3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rPr>
  </w:style>
  <w:style w:type="character" w:styleId="Odkaznakoment">
    <w:name w:val="annotation reference"/>
    <w:uiPriority w:val="99"/>
    <w:semiHidden/>
    <w:unhideWhenUsed/>
    <w:rsid w:val="00BC6718"/>
    <w:rPr>
      <w:sz w:val="16"/>
      <w:szCs w:val="16"/>
    </w:rPr>
  </w:style>
  <w:style w:type="paragraph" w:styleId="Textkomente">
    <w:name w:val="annotation text"/>
    <w:basedOn w:val="Normln"/>
    <w:link w:val="TextkomenteChar"/>
    <w:uiPriority w:val="99"/>
    <w:semiHidden/>
    <w:unhideWhenUsed/>
    <w:rsid w:val="00BC6718"/>
    <w:rPr>
      <w:szCs w:val="20"/>
    </w:rPr>
  </w:style>
  <w:style w:type="character" w:customStyle="1" w:styleId="TextkomenteChar">
    <w:name w:val="Text komentáře Char"/>
    <w:link w:val="Textkomente"/>
    <w:uiPriority w:val="99"/>
    <w:semiHidden/>
    <w:rsid w:val="00BC6718"/>
    <w:rPr>
      <w:rFonts w:ascii="Arial" w:hAnsi="Arial"/>
    </w:rPr>
  </w:style>
  <w:style w:type="paragraph" w:styleId="Pedmtkomente">
    <w:name w:val="annotation subject"/>
    <w:basedOn w:val="Textkomente"/>
    <w:next w:val="Textkomente"/>
    <w:link w:val="PedmtkomenteChar"/>
    <w:uiPriority w:val="99"/>
    <w:semiHidden/>
    <w:unhideWhenUsed/>
    <w:rsid w:val="00BC6718"/>
    <w:rPr>
      <w:b/>
      <w:bCs/>
    </w:rPr>
  </w:style>
  <w:style w:type="character" w:customStyle="1" w:styleId="PedmtkomenteChar">
    <w:name w:val="Předmět komentáře Char"/>
    <w:link w:val="Pedmtkomente"/>
    <w:uiPriority w:val="99"/>
    <w:semiHidden/>
    <w:rsid w:val="00BC6718"/>
    <w:rPr>
      <w:rFonts w:ascii="Arial" w:hAnsi="Arial"/>
      <w:b/>
      <w:bCs/>
    </w:rPr>
  </w:style>
  <w:style w:type="paragraph" w:styleId="Textbubliny">
    <w:name w:val="Balloon Text"/>
    <w:basedOn w:val="Normln"/>
    <w:link w:val="TextbublinyChar"/>
    <w:uiPriority w:val="99"/>
    <w:semiHidden/>
    <w:unhideWhenUsed/>
    <w:rsid w:val="00BC6718"/>
    <w:rPr>
      <w:rFonts w:ascii="Segoe UI" w:hAnsi="Segoe UI" w:cs="Segoe UI"/>
      <w:sz w:val="18"/>
      <w:szCs w:val="18"/>
    </w:rPr>
  </w:style>
  <w:style w:type="character" w:customStyle="1" w:styleId="TextbublinyChar">
    <w:name w:val="Text bubliny Char"/>
    <w:link w:val="Textbubliny"/>
    <w:uiPriority w:val="99"/>
    <w:semiHidden/>
    <w:rsid w:val="00BC6718"/>
    <w:rPr>
      <w:rFonts w:ascii="Segoe UI" w:hAnsi="Segoe UI" w:cs="Segoe UI"/>
      <w:sz w:val="18"/>
      <w:szCs w:val="18"/>
    </w:rPr>
  </w:style>
  <w:style w:type="paragraph" w:styleId="Textpoznpodarou">
    <w:name w:val="footnote text"/>
    <w:basedOn w:val="Normln"/>
    <w:link w:val="TextpoznpodarouChar"/>
    <w:uiPriority w:val="99"/>
    <w:semiHidden/>
    <w:unhideWhenUsed/>
    <w:rsid w:val="00BC6718"/>
    <w:rPr>
      <w:szCs w:val="20"/>
    </w:rPr>
  </w:style>
  <w:style w:type="character" w:customStyle="1" w:styleId="TextpoznpodarouChar">
    <w:name w:val="Text pozn. pod čarou Char"/>
    <w:link w:val="Textpoznpodarou"/>
    <w:uiPriority w:val="99"/>
    <w:semiHidden/>
    <w:rsid w:val="00BC6718"/>
    <w:rPr>
      <w:rFonts w:ascii="Arial" w:hAnsi="Arial"/>
    </w:rPr>
  </w:style>
  <w:style w:type="character" w:styleId="Znakapoznpodarou">
    <w:name w:val="footnote reference"/>
    <w:uiPriority w:val="99"/>
    <w:semiHidden/>
    <w:unhideWhenUsed/>
    <w:rsid w:val="00BC6718"/>
    <w:rPr>
      <w:vertAlign w:val="superscript"/>
    </w:rPr>
  </w:style>
  <w:style w:type="character" w:customStyle="1" w:styleId="hgkelc">
    <w:name w:val="hgkelc"/>
    <w:rsid w:val="0086241D"/>
  </w:style>
  <w:style w:type="paragraph" w:styleId="Revize">
    <w:name w:val="Revision"/>
    <w:hidden/>
    <w:uiPriority w:val="99"/>
    <w:semiHidden/>
    <w:rsid w:val="00E336D7"/>
    <w:rPr>
      <w:rFonts w:ascii="Arial" w:hAnsi="Arial"/>
      <w:szCs w:val="24"/>
    </w:rPr>
  </w:style>
  <w:style w:type="character" w:styleId="Siln">
    <w:name w:val="Strong"/>
    <w:basedOn w:val="Standardnpsmoodstavce"/>
    <w:uiPriority w:val="22"/>
    <w:qFormat/>
    <w:rsid w:val="00595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CE26-2252-40E6-9641-1D969E10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404</Words>
  <Characters>1931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Zahraniční obchod podle SKP 2 zaznamenal v 1</vt:lpstr>
    </vt:vector>
  </TitlesOfParts>
  <Company>CSU</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Zahraniční obchod podle SKP 2 zaznamenal v 1</dc:title>
  <dc:subject/>
  <dc:creator>system service</dc:creator>
  <cp:keywords/>
  <dc:description/>
  <cp:lastModifiedBy>Bartlová Monika</cp:lastModifiedBy>
  <cp:revision>18</cp:revision>
  <cp:lastPrinted>2022-09-07T09:21:00Z</cp:lastPrinted>
  <dcterms:created xsi:type="dcterms:W3CDTF">2021-09-22T08:33:00Z</dcterms:created>
  <dcterms:modified xsi:type="dcterms:W3CDTF">2022-09-15T09:15:00Z</dcterms:modified>
</cp:coreProperties>
</file>