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FAB8F" w14:textId="77777777" w:rsidR="00CA686B" w:rsidRDefault="00CA686B">
      <w:pPr>
        <w:ind w:right="-799"/>
        <w:rPr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1. OBYVATELSTVO</w:t>
      </w:r>
      <w:r w:rsidR="00BB0E3B">
        <w:rPr>
          <w:rFonts w:ascii="Arial" w:hAnsi="Arial" w:cs="Arial"/>
          <w:b/>
          <w:bCs/>
          <w:sz w:val="20"/>
        </w:rPr>
        <w:t>,</w:t>
      </w:r>
      <w:r w:rsidR="00D41E8F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RODINY A DOMÁCNOSTI</w:t>
      </w:r>
    </w:p>
    <w:p w14:paraId="0AA55B2E" w14:textId="77777777" w:rsidR="00CA686B" w:rsidRDefault="00CA686B">
      <w:pPr>
        <w:ind w:right="-799"/>
        <w:rPr>
          <w:rFonts w:ascii="Arial" w:hAnsi="Arial"/>
          <w:sz w:val="20"/>
        </w:rPr>
      </w:pPr>
    </w:p>
    <w:p w14:paraId="04A7991B" w14:textId="030FFE64" w:rsidR="00CA686B" w:rsidRDefault="00CA686B">
      <w:pPr>
        <w:pStyle w:val="Zkladntext2"/>
        <w:spacing w:line="240" w:lineRule="auto"/>
        <w:ind w:firstLine="720"/>
      </w:pPr>
      <w:r>
        <w:rPr>
          <w:rFonts w:cs="Arial"/>
        </w:rPr>
        <w:t xml:space="preserve">Základem informací o </w:t>
      </w:r>
      <w:r w:rsidR="00E6520B">
        <w:rPr>
          <w:rFonts w:cs="Arial"/>
        </w:rPr>
        <w:t xml:space="preserve">velikosti populace a její </w:t>
      </w:r>
      <w:r>
        <w:rPr>
          <w:rFonts w:cs="Arial"/>
        </w:rPr>
        <w:t xml:space="preserve">demografické struktuře jsou periodická </w:t>
      </w:r>
      <w:r>
        <w:rPr>
          <w:rFonts w:cs="Arial"/>
          <w:b/>
          <w:bCs/>
        </w:rPr>
        <w:t>sčítání lidu, domů a bytů</w:t>
      </w:r>
      <w:r>
        <w:rPr>
          <w:rFonts w:cs="Arial"/>
        </w:rPr>
        <w:t>, z nichž poslední proběhlo k 26.</w:t>
      </w:r>
      <w:r w:rsidR="00DC44D7">
        <w:rPr>
          <w:rFonts w:cs="Arial"/>
        </w:rPr>
        <w:t> </w:t>
      </w:r>
      <w:r>
        <w:rPr>
          <w:rFonts w:cs="Arial"/>
        </w:rPr>
        <w:t xml:space="preserve">březnu </w:t>
      </w:r>
      <w:r w:rsidR="00176949">
        <w:rPr>
          <w:rFonts w:cs="Arial"/>
        </w:rPr>
        <w:t>2021</w:t>
      </w:r>
      <w:r>
        <w:rPr>
          <w:rFonts w:cs="Arial"/>
        </w:rPr>
        <w:t>. Na data zjištěná sčítáním navazují</w:t>
      </w:r>
      <w:r w:rsidR="00176949">
        <w:rPr>
          <w:rStyle w:val="Znakapoznpodarou"/>
          <w:rFonts w:cs="Arial"/>
        </w:rPr>
        <w:footnoteReference w:id="2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intercenzální</w:t>
      </w:r>
      <w:proofErr w:type="spellEnd"/>
      <w:r>
        <w:rPr>
          <w:rFonts w:cs="Arial"/>
        </w:rPr>
        <w:t xml:space="preserve"> </w:t>
      </w:r>
      <w:r>
        <w:rPr>
          <w:rFonts w:cs="Arial"/>
          <w:b/>
          <w:bCs/>
        </w:rPr>
        <w:t>statistické bilance počtu obyvatel</w:t>
      </w:r>
      <w:r>
        <w:rPr>
          <w:rFonts w:cs="Arial"/>
          <w:bCs/>
        </w:rPr>
        <w:t xml:space="preserve"> a každoročně zpracovávané </w:t>
      </w:r>
      <w:r>
        <w:rPr>
          <w:rFonts w:cs="Arial"/>
          <w:b/>
          <w:bCs/>
        </w:rPr>
        <w:t>statistiky sňatků, rozvodů, narozených,</w:t>
      </w:r>
      <w:r>
        <w:rPr>
          <w:rFonts w:cs="Arial"/>
          <w:b/>
        </w:rPr>
        <w:t xml:space="preserve"> zemřelých, potratů a stěhování</w:t>
      </w:r>
      <w:r>
        <w:rPr>
          <w:rFonts w:cs="Arial"/>
        </w:rPr>
        <w:t xml:space="preserve">. Ty vycházejí ze zpracování statistických hlášení o sňatcích, narozeních a úmrtích, poskytovaných </w:t>
      </w:r>
      <w:r w:rsidR="00E6520B">
        <w:rPr>
          <w:rFonts w:cs="Arial"/>
        </w:rPr>
        <w:t>Českému statistickému úřadu</w:t>
      </w:r>
      <w:r w:rsidR="000C2421">
        <w:rPr>
          <w:rFonts w:cs="Arial"/>
        </w:rPr>
        <w:t xml:space="preserve"> (ČSÚ)</w:t>
      </w:r>
      <w:r w:rsidR="00E6520B">
        <w:rPr>
          <w:rFonts w:cs="Arial"/>
        </w:rPr>
        <w:t xml:space="preserve"> </w:t>
      </w:r>
      <w:r>
        <w:rPr>
          <w:rFonts w:cs="Arial"/>
        </w:rPr>
        <w:t>matri</w:t>
      </w:r>
      <w:r w:rsidR="00E6520B">
        <w:rPr>
          <w:rFonts w:cs="Arial"/>
        </w:rPr>
        <w:t>čními úřady</w:t>
      </w:r>
      <w:r>
        <w:rPr>
          <w:rFonts w:cs="Arial"/>
        </w:rPr>
        <w:t xml:space="preserve">, a ze zpracování dat přebíraných z jiných informačních systémů. Zdrojem dat o rozvodech je od roku 2007 Informační systém Ministerstva spravedlnosti ČR (před rokem 2007 byla statistika založena na zpracování hlášení o rozvodu), údaje o potratech </w:t>
      </w:r>
      <w:r w:rsidR="0098155C">
        <w:rPr>
          <w:rFonts w:cs="Arial"/>
        </w:rPr>
        <w:t>pochází z Národního registru reprodukčního zdraví (modul potratů) vedeného</w:t>
      </w:r>
      <w:r>
        <w:rPr>
          <w:rFonts w:cs="Arial"/>
        </w:rPr>
        <w:t xml:space="preserve"> Ústav</w:t>
      </w:r>
      <w:r w:rsidR="0098155C">
        <w:rPr>
          <w:rFonts w:cs="Arial"/>
        </w:rPr>
        <w:t>em</w:t>
      </w:r>
      <w:r>
        <w:rPr>
          <w:rFonts w:cs="Arial"/>
        </w:rPr>
        <w:t xml:space="preserve"> zdravotnických informací a statistiky ČR (ÚZIS ČR), data o stěhování </w:t>
      </w:r>
      <w:r>
        <w:rPr>
          <w:rFonts w:cs="Arial"/>
          <w:color w:val="000000"/>
        </w:rPr>
        <w:t xml:space="preserve">přebírá ČSÚ od roku 2001 (zahraniční stěhování cizinců), resp. 2005 elektronicky z informačních systémů Ředitelství služby cizinecké policie </w:t>
      </w:r>
      <w:r w:rsidR="000C2421">
        <w:rPr>
          <w:rFonts w:cs="Arial"/>
          <w:color w:val="000000"/>
        </w:rPr>
        <w:t xml:space="preserve">(Cizinecký informační systém) </w:t>
      </w:r>
      <w:r>
        <w:rPr>
          <w:rFonts w:cs="Arial"/>
          <w:color w:val="000000"/>
        </w:rPr>
        <w:t>a Ministerstva vnitra ČR</w:t>
      </w:r>
      <w:r w:rsidR="000C2421">
        <w:rPr>
          <w:rFonts w:cs="Arial"/>
          <w:color w:val="000000"/>
        </w:rPr>
        <w:t xml:space="preserve"> (Informační systém evidence obyvatel;</w:t>
      </w:r>
      <w:r w:rsidR="00DC44D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před</w:t>
      </w:r>
      <w:r w:rsidR="00BE32FA">
        <w:rPr>
          <w:rFonts w:cs="Arial"/>
          <w:color w:val="000000"/>
        </w:rPr>
        <w:t> r</w:t>
      </w:r>
      <w:r>
        <w:rPr>
          <w:rFonts w:cs="Arial"/>
          <w:color w:val="000000"/>
        </w:rPr>
        <w:t>okem 2005 byla statistika založena na zpracování hlášení o stěhování).</w:t>
      </w:r>
      <w:r>
        <w:rPr>
          <w:rFonts w:cs="Arial"/>
        </w:rPr>
        <w:t xml:space="preserve"> </w:t>
      </w:r>
      <w:r w:rsidR="00BE32FA">
        <w:t>Údaje o počtu cizinců s </w:t>
      </w:r>
      <w:r>
        <w:t>povolením k pobytu jsou převzaty od Ředitelství služby cizinecké policie MV ČR a Odboru azylové a migrační politiky MV ČR.</w:t>
      </w:r>
    </w:p>
    <w:p w14:paraId="10839188" w14:textId="27D82906" w:rsidR="001076C4" w:rsidRPr="00C36768" w:rsidRDefault="001076C4" w:rsidP="004071DA">
      <w:pPr>
        <w:pStyle w:val="Zkladntext2"/>
        <w:spacing w:line="240" w:lineRule="auto"/>
        <w:ind w:firstLine="720"/>
      </w:pPr>
    </w:p>
    <w:p w14:paraId="2AAAA026" w14:textId="13DC2297" w:rsidR="001076C4" w:rsidRDefault="00E07596">
      <w:pPr>
        <w:pStyle w:val="Zkladntext2"/>
        <w:spacing w:line="240" w:lineRule="auto"/>
        <w:ind w:firstLine="720"/>
      </w:pPr>
      <w:r>
        <w:t>Od 1. května 2004 se veškeré údaje týkají občanů České republiky a cizinců s trvalým pobytem v České republice, občanů třetích zemí s přechodným pobytem na území České republiky na základě dlouhodobého víza (nad 90 dnů) nebo povolení k dlouhodobému pobytu, občanů zemí EU, Norska, Švýcarska, Islandu, Lichtenštejnska a jejich rodinných příslušníků s hlášeným přechodným pobytem na</w:t>
      </w:r>
      <w:r w:rsidR="00C844A3">
        <w:t> </w:t>
      </w:r>
      <w:r>
        <w:t xml:space="preserve">území České republiky a cizinců s platným azylem v České republice. </w:t>
      </w:r>
      <w:r w:rsidR="004467AA" w:rsidRPr="004467AA">
        <w:t>V roce 2022 jsou do</w:t>
      </w:r>
      <w:r w:rsidR="00C844A3">
        <w:t> </w:t>
      </w:r>
      <w:r w:rsidR="004467AA" w:rsidRPr="004467AA">
        <w:t xml:space="preserve">obyvatelstva zahrnuty rovněž osoby s udělenou dočasnou ochranou v České republice, </w:t>
      </w:r>
      <w:r w:rsidR="004467AA">
        <w:t>které požádal</w:t>
      </w:r>
      <w:r w:rsidR="004467AA" w:rsidRPr="004467AA">
        <w:t>y o její prodloužení.</w:t>
      </w:r>
      <w:r w:rsidR="004467AA">
        <w:t xml:space="preserve"> </w:t>
      </w:r>
      <w:r>
        <w:t>Do roku 2000 se údaje týkaly pouze obyvatel s trvalým bydlištěm v České republice (bez ohledu na jejich státní občanství), od roku 2001 nově i cizinců s vízy k pobytu nad 90 dnů a cizinců s azylem.</w:t>
      </w:r>
    </w:p>
    <w:p w14:paraId="00844895" w14:textId="6DE139F1" w:rsidR="00E07596" w:rsidRDefault="00E07596">
      <w:pPr>
        <w:pStyle w:val="Zkladntext2"/>
        <w:spacing w:line="240" w:lineRule="auto"/>
        <w:ind w:firstLine="720"/>
      </w:pPr>
    </w:p>
    <w:p w14:paraId="7478CD22" w14:textId="30E77E16" w:rsidR="00E07596" w:rsidRDefault="00AC559E">
      <w:pPr>
        <w:pStyle w:val="Zkladntext2"/>
        <w:spacing w:line="240" w:lineRule="auto"/>
        <w:ind w:firstLine="720"/>
      </w:pPr>
      <w:r>
        <w:t xml:space="preserve">Údaje zohledňují </w:t>
      </w:r>
      <w:r w:rsidR="00E07596">
        <w:t>i události</w:t>
      </w:r>
      <w:r>
        <w:t xml:space="preserve"> (sňatky, narození a úmrtí) českých občanů </w:t>
      </w:r>
      <w:r w:rsidR="00E07596">
        <w:t>s trvalým pobytem na</w:t>
      </w:r>
      <w:r w:rsidR="00C844A3">
        <w:t> </w:t>
      </w:r>
      <w:r w:rsidR="00E07596">
        <w:t>území České republiky</w:t>
      </w:r>
      <w:r>
        <w:t>, ke kterým došlo v cizině,</w:t>
      </w:r>
      <w:r w:rsidR="00E07596">
        <w:t xml:space="preserve"> a byly </w:t>
      </w:r>
      <w:r>
        <w:t>zaregistrovány v ČR v </w:t>
      </w:r>
      <w:r w:rsidR="00E07596">
        <w:t>termínu, který umožňuje jejich zařazení do statistiky.</w:t>
      </w:r>
    </w:p>
    <w:p w14:paraId="2CA9466D" w14:textId="77777777" w:rsidR="00CA686B" w:rsidRDefault="00CA686B">
      <w:pPr>
        <w:jc w:val="both"/>
        <w:rPr>
          <w:rFonts w:ascii="Arial" w:hAnsi="Arial"/>
          <w:sz w:val="20"/>
        </w:rPr>
      </w:pPr>
    </w:p>
    <w:p w14:paraId="1D3C65B1" w14:textId="231CB567" w:rsidR="0004448C" w:rsidRPr="004071DA" w:rsidRDefault="008B439F" w:rsidP="004071DA">
      <w:pPr>
        <w:pStyle w:val="Normlnweb"/>
        <w:spacing w:before="0" w:beforeAutospacing="0" w:after="0" w:afterAutospacing="0"/>
        <w:ind w:firstLine="720"/>
        <w:jc w:val="both"/>
        <w:rPr>
          <w:rStyle w:val="Zdraznn"/>
          <w:rFonts w:ascii="Arial" w:hAnsi="Arial" w:cs="Arial"/>
          <w:i w:val="0"/>
          <w:sz w:val="20"/>
          <w:szCs w:val="20"/>
        </w:rPr>
      </w:pPr>
      <w:r w:rsidRPr="004071DA"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Při rozlišení vitality </w:t>
      </w:r>
      <w:r w:rsidRPr="004071DA">
        <w:rPr>
          <w:rStyle w:val="Zdraznn"/>
          <w:rFonts w:ascii="Arial" w:hAnsi="Arial" w:cs="Arial"/>
          <w:b/>
          <w:i w:val="0"/>
          <w:iCs w:val="0"/>
          <w:sz w:val="20"/>
          <w:szCs w:val="20"/>
        </w:rPr>
        <w:t>narozeného dítěte</w:t>
      </w:r>
      <w:r w:rsidRPr="004071DA"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4071DA">
        <w:rPr>
          <w:rStyle w:val="Zdraznn"/>
          <w:rFonts w:ascii="Arial" w:hAnsi="Arial" w:cs="Arial"/>
          <w:i w:val="0"/>
          <w:sz w:val="20"/>
          <w:szCs w:val="20"/>
        </w:rPr>
        <w:t>(živě, mrtvě</w:t>
      </w:r>
      <w:r w:rsidRPr="004071DA">
        <w:rPr>
          <w:rStyle w:val="Zdraznn"/>
          <w:rFonts w:ascii="Arial" w:hAnsi="Arial" w:cs="Arial"/>
          <w:i w:val="0"/>
          <w:iCs w:val="0"/>
          <w:sz w:val="20"/>
          <w:szCs w:val="20"/>
        </w:rPr>
        <w:t>) ČSÚ vychází z toho, co</w:t>
      </w:r>
      <w:r w:rsidRPr="004071DA">
        <w:rPr>
          <w:rStyle w:val="Zdraznn"/>
          <w:rFonts w:ascii="Arial" w:hAnsi="Arial" w:cs="Arial"/>
          <w:i w:val="0"/>
          <w:sz w:val="20"/>
          <w:szCs w:val="20"/>
        </w:rPr>
        <w:t xml:space="preserve"> je </w:t>
      </w:r>
      <w:r w:rsidRPr="004071DA"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uvedeno v položce vitalita na Hlášení </w:t>
      </w:r>
      <w:r w:rsidRPr="004071DA">
        <w:rPr>
          <w:rStyle w:val="Zdraznn"/>
          <w:rFonts w:ascii="Arial" w:hAnsi="Arial" w:cs="Arial"/>
          <w:i w:val="0"/>
          <w:sz w:val="20"/>
          <w:szCs w:val="20"/>
        </w:rPr>
        <w:t>o narození</w:t>
      </w:r>
      <w:r w:rsidRPr="004071DA"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, dodržení definice se (stejně jako u ostatních hlášení demografických údajů) předpokládá. </w:t>
      </w:r>
      <w:r w:rsidR="0004448C" w:rsidRPr="004071DA">
        <w:rPr>
          <w:rStyle w:val="Zdraznn"/>
          <w:rFonts w:ascii="Arial" w:hAnsi="Arial" w:cs="Arial"/>
          <w:i w:val="0"/>
          <w:iCs w:val="0"/>
          <w:sz w:val="20"/>
          <w:szCs w:val="20"/>
        </w:rPr>
        <w:t>V současné době (od 1. 4. 2012) je v české legislativě definice vitality narozeného dítěte uvedena, spolu se všemi případy potratu, v pokynech k vyplnění Listu o</w:t>
      </w:r>
      <w:r w:rsidR="00C844A3">
        <w:rPr>
          <w:rStyle w:val="Zdraznn"/>
          <w:rFonts w:ascii="Arial" w:hAnsi="Arial" w:cs="Arial"/>
          <w:i w:val="0"/>
          <w:iCs w:val="0"/>
          <w:sz w:val="20"/>
          <w:szCs w:val="20"/>
        </w:rPr>
        <w:t> </w:t>
      </w:r>
      <w:r w:rsidR="0004448C" w:rsidRPr="004071DA"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prohlídce zemřelého </w:t>
      </w:r>
      <w:r w:rsidR="0004448C" w:rsidRPr="004071DA">
        <w:rPr>
          <w:rStyle w:val="Zdraznn"/>
          <w:rFonts w:ascii="Arial" w:hAnsi="Arial" w:cs="Arial"/>
          <w:i w:val="0"/>
          <w:sz w:val="20"/>
          <w:szCs w:val="20"/>
        </w:rPr>
        <w:t>(ve vyhlášce č. 297/2012 Sb., o Listu o prohlídce zemřelého, ve znění pozdějších předpisů), a to pro potřeby vyplnění tohoto listu.</w:t>
      </w:r>
      <w:r w:rsidR="0004448C" w:rsidRPr="004071DA"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 Před 1. 4. 2012 byl pojem živě/mrtvě narozené dítě definován ve vyhlášce</w:t>
      </w:r>
      <w:r w:rsidR="0004448C" w:rsidRPr="004071DA">
        <w:rPr>
          <w:rStyle w:val="Zdraznn"/>
          <w:rFonts w:ascii="Arial" w:hAnsi="Arial" w:cs="Arial"/>
          <w:i w:val="0"/>
          <w:sz w:val="20"/>
          <w:szCs w:val="20"/>
        </w:rPr>
        <w:t xml:space="preserve"> Ministerstva zdravotnictví ČSR č. 11/1988, o povinném hlášení ukončení těhotenství, úmrtí dítěte a úmrtí matky</w:t>
      </w:r>
      <w:r w:rsidR="0039025B" w:rsidRPr="004071DA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="0004448C" w:rsidRPr="004071DA">
        <w:rPr>
          <w:rStyle w:val="Zdraznn"/>
          <w:rFonts w:ascii="Arial" w:hAnsi="Arial" w:cs="Arial"/>
          <w:i w:val="0"/>
          <w:sz w:val="20"/>
          <w:szCs w:val="20"/>
        </w:rPr>
        <w:t>.</w:t>
      </w:r>
    </w:p>
    <w:p w14:paraId="0896196C" w14:textId="6BF538B7" w:rsidR="00CA686B" w:rsidRPr="004071DA" w:rsidRDefault="00CA686B" w:rsidP="004071DA">
      <w:pPr>
        <w:pStyle w:val="Normlnweb"/>
        <w:spacing w:before="0" w:beforeAutospacing="0" w:after="0" w:afterAutospacing="0"/>
        <w:jc w:val="both"/>
        <w:rPr>
          <w:rFonts w:ascii="Arial" w:hAnsi="Arial"/>
          <w:sz w:val="20"/>
        </w:rPr>
      </w:pPr>
    </w:p>
    <w:p w14:paraId="2E9BBD01" w14:textId="6FDDD704" w:rsidR="003A3F8E" w:rsidRPr="004071DA" w:rsidRDefault="00CA686B" w:rsidP="004071DA">
      <w:pPr>
        <w:pStyle w:val="Normlnweb"/>
        <w:spacing w:before="0" w:beforeAutospacing="0" w:after="0" w:afterAutospacing="0"/>
        <w:ind w:firstLine="720"/>
        <w:jc w:val="both"/>
        <w:rPr>
          <w:rFonts w:ascii="ArialMT" w:hAnsi="ArialMT"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bCs/>
          <w:sz w:val="20"/>
        </w:rPr>
        <w:t>potraty</w:t>
      </w:r>
      <w:r>
        <w:rPr>
          <w:rFonts w:ascii="Arial" w:hAnsi="Arial" w:cs="Arial"/>
          <w:sz w:val="20"/>
        </w:rPr>
        <w:t xml:space="preserve"> jsou v demografické statistice považována předčasná ukončení těhotenství, klasifikovaná lékařem jako ukončení těhotenství potratem. </w:t>
      </w:r>
      <w:r>
        <w:rPr>
          <w:rFonts w:ascii="Arial" w:hAnsi="Arial" w:cs="Arial"/>
          <w:sz w:val="20"/>
          <w:szCs w:val="20"/>
        </w:rPr>
        <w:t>Současná právní úprava</w:t>
      </w:r>
      <w:r w:rsidR="002903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Siln"/>
          <w:rFonts w:ascii="Arial" w:hAnsi="Arial" w:cs="Arial"/>
          <w:b w:val="0"/>
          <w:bCs w:val="0"/>
          <w:sz w:val="20"/>
        </w:rPr>
        <w:t xml:space="preserve">zákon </w:t>
      </w:r>
      <w:r w:rsidR="0036367B" w:rsidRPr="00247E46">
        <w:rPr>
          <w:rStyle w:val="Siln"/>
          <w:rFonts w:ascii="Arial" w:hAnsi="Arial" w:cs="Arial"/>
          <w:b w:val="0"/>
          <w:sz w:val="20"/>
          <w:szCs w:val="20"/>
        </w:rPr>
        <w:t>č.</w:t>
      </w:r>
      <w:r w:rsidR="0036367B" w:rsidRPr="004071DA">
        <w:rPr>
          <w:rStyle w:val="Siln"/>
          <w:rFonts w:ascii="Times New Roman" w:hAnsi="Times New Roman"/>
          <w:b w:val="0"/>
        </w:rPr>
        <w:t xml:space="preserve"> </w:t>
      </w:r>
      <w:r>
        <w:rPr>
          <w:rStyle w:val="Siln"/>
          <w:rFonts w:ascii="Arial" w:hAnsi="Arial" w:cs="Arial"/>
          <w:b w:val="0"/>
          <w:bCs w:val="0"/>
          <w:sz w:val="20"/>
        </w:rPr>
        <w:t>372/2011</w:t>
      </w:r>
      <w:r>
        <w:rPr>
          <w:rFonts w:ascii="Arial" w:hAnsi="Arial" w:cs="Arial"/>
          <w:sz w:val="20"/>
          <w:szCs w:val="20"/>
        </w:rPr>
        <w:t xml:space="preserve"> Sb., o zdravotních službách</w:t>
      </w:r>
      <w:r w:rsidR="002A1001">
        <w:rPr>
          <w:rFonts w:ascii="Arial" w:hAnsi="Arial" w:cs="Arial"/>
          <w:sz w:val="20"/>
          <w:szCs w:val="20"/>
        </w:rPr>
        <w:t xml:space="preserve">, </w:t>
      </w:r>
      <w:r w:rsidR="00290388">
        <w:rPr>
          <w:rFonts w:ascii="Arial" w:hAnsi="Arial" w:cs="Arial"/>
          <w:sz w:val="20"/>
          <w:szCs w:val="20"/>
        </w:rPr>
        <w:t>s účinností</w:t>
      </w:r>
      <w:r w:rsidR="002A1001">
        <w:rPr>
          <w:rFonts w:ascii="Arial" w:hAnsi="Arial" w:cs="Arial"/>
          <w:sz w:val="20"/>
          <w:szCs w:val="20"/>
        </w:rPr>
        <w:t xml:space="preserve"> od 1. 4. 2012</w:t>
      </w:r>
      <w:r w:rsidR="0036367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definuje </w:t>
      </w:r>
      <w:r w:rsidRPr="004071DA">
        <w:rPr>
          <w:rFonts w:ascii="Arial" w:hAnsi="Arial"/>
          <w:sz w:val="20"/>
        </w:rPr>
        <w:t>plod po potratu</w:t>
      </w:r>
      <w:r w:rsidR="002A1001">
        <w:rPr>
          <w:rFonts w:ascii="Arial" w:hAnsi="Arial" w:cs="Arial"/>
          <w:sz w:val="20"/>
          <w:szCs w:val="20"/>
        </w:rPr>
        <w:t xml:space="preserve"> jako</w:t>
      </w:r>
      <w:r>
        <w:rPr>
          <w:rFonts w:ascii="Arial" w:hAnsi="Arial" w:cs="Arial"/>
          <w:sz w:val="20"/>
          <w:szCs w:val="20"/>
        </w:rPr>
        <w:t xml:space="preserve"> plod, který po</w:t>
      </w:r>
      <w:r w:rsidR="00C844A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úplném vypuzení nebo vynětí z těla matčina neprojevuje ani jednu ze známek života</w:t>
      </w:r>
      <w:r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 a současně je jeho porodní hmotnost nižší než 500</w:t>
      </w:r>
      <w:r w:rsidR="0036367B">
        <w:rPr>
          <w:rStyle w:val="Zdraznn"/>
          <w:rFonts w:ascii="Arial" w:hAnsi="Arial" w:cs="Arial"/>
          <w:i w:val="0"/>
          <w:iCs w:val="0"/>
          <w:sz w:val="20"/>
          <w:szCs w:val="20"/>
        </w:rPr>
        <w:t> </w:t>
      </w:r>
      <w:r>
        <w:rPr>
          <w:rStyle w:val="Zdraznn"/>
          <w:rFonts w:ascii="Arial" w:hAnsi="Arial" w:cs="Arial"/>
          <w:i w:val="0"/>
          <w:iCs w:val="0"/>
          <w:sz w:val="20"/>
          <w:szCs w:val="20"/>
        </w:rPr>
        <w:t>g, a pokud ji nelze zjistit, jestliže je těhotenství kratší než 22 týdny.</w:t>
      </w:r>
      <w:r w:rsidR="00E94528"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 Před 1. 4. 2012 byl potrat definován ve vyhlášce Ministerstva zdravotnictví ČSR č. 11/1988, o povinném hlášení ukončení těhotenství, úmrtí dítěte a úmrtí matky</w:t>
      </w:r>
      <w:r w:rsidR="0039025B" w:rsidRPr="0039025B">
        <w:rPr>
          <w:rStyle w:val="Zdraznn"/>
          <w:rFonts w:ascii="Arial" w:hAnsi="Arial" w:cs="Arial"/>
          <w:i w:val="0"/>
          <w:iCs w:val="0"/>
          <w:sz w:val="20"/>
          <w:szCs w:val="20"/>
          <w:vertAlign w:val="superscript"/>
        </w:rPr>
        <w:t>2</w:t>
      </w:r>
      <w:r w:rsidR="00E94528">
        <w:rPr>
          <w:rStyle w:val="Zdraznn"/>
          <w:rFonts w:ascii="Arial" w:hAnsi="Arial" w:cs="Arial"/>
          <w:i w:val="0"/>
          <w:iCs w:val="0"/>
          <w:sz w:val="20"/>
          <w:szCs w:val="20"/>
        </w:rPr>
        <w:t>.</w:t>
      </w:r>
    </w:p>
    <w:p w14:paraId="6FB61B8D" w14:textId="77777777" w:rsidR="00CA686B" w:rsidRDefault="00CA686B">
      <w:pPr>
        <w:jc w:val="both"/>
        <w:rPr>
          <w:rFonts w:ascii="Arial" w:hAnsi="Arial" w:cs="Arial"/>
          <w:sz w:val="20"/>
          <w:szCs w:val="22"/>
        </w:rPr>
      </w:pPr>
    </w:p>
    <w:p w14:paraId="7D81F2DA" w14:textId="2F3D707F" w:rsidR="00CA686B" w:rsidRDefault="00654879">
      <w:pPr>
        <w:pStyle w:val="Nadpis2"/>
        <w:rPr>
          <w:b/>
          <w:bCs/>
          <w:i w:val="0"/>
          <w:iCs/>
        </w:rPr>
      </w:pPr>
      <w:r>
        <w:rPr>
          <w:b/>
          <w:bCs/>
          <w:i w:val="0"/>
          <w:iCs/>
        </w:rPr>
        <w:t>Ukazatele demografické statistiky</w:t>
      </w:r>
      <w:r w:rsidR="008B439F">
        <w:rPr>
          <w:b/>
          <w:bCs/>
          <w:i w:val="0"/>
          <w:iCs/>
        </w:rPr>
        <w:t xml:space="preserve"> </w:t>
      </w:r>
      <w:r w:rsidR="003576CC">
        <w:rPr>
          <w:b/>
          <w:bCs/>
          <w:i w:val="0"/>
          <w:iCs/>
        </w:rPr>
        <w:t>uveden</w:t>
      </w:r>
      <w:r w:rsidR="0036367B">
        <w:rPr>
          <w:b/>
          <w:bCs/>
          <w:i w:val="0"/>
          <w:iCs/>
        </w:rPr>
        <w:t>é</w:t>
      </w:r>
      <w:r w:rsidR="003576CC">
        <w:rPr>
          <w:b/>
          <w:bCs/>
          <w:i w:val="0"/>
          <w:iCs/>
        </w:rPr>
        <w:t xml:space="preserve"> v publikaci</w:t>
      </w:r>
      <w:r w:rsidR="008B439F">
        <w:rPr>
          <w:b/>
          <w:bCs/>
          <w:i w:val="0"/>
          <w:iCs/>
        </w:rPr>
        <w:t>:</w:t>
      </w:r>
    </w:p>
    <w:p w14:paraId="7B822CF9" w14:textId="410AEE35" w:rsidR="00654879" w:rsidRDefault="00654879" w:rsidP="0036367B">
      <w:pPr>
        <w:spacing w:before="60"/>
        <w:ind w:firstLine="720"/>
        <w:jc w:val="both"/>
        <w:rPr>
          <w:rFonts w:ascii="Arial" w:hAnsi="Arial"/>
          <w:sz w:val="20"/>
        </w:rPr>
      </w:pPr>
      <w:r w:rsidRPr="00654879">
        <w:rPr>
          <w:rFonts w:ascii="Arial" w:hAnsi="Arial"/>
          <w:b/>
          <w:sz w:val="20"/>
        </w:rPr>
        <w:t>Úhrnná sňatečnost svobodných (v %)</w:t>
      </w:r>
      <w:r>
        <w:rPr>
          <w:rFonts w:ascii="Arial" w:hAnsi="Arial"/>
          <w:sz w:val="20"/>
        </w:rPr>
        <w:t>: podíl osob (</w:t>
      </w:r>
      <w:r w:rsidR="005F6AAC">
        <w:rPr>
          <w:rFonts w:ascii="Arial" w:hAnsi="Arial"/>
          <w:sz w:val="20"/>
        </w:rPr>
        <w:t xml:space="preserve">žen, </w:t>
      </w:r>
      <w:r>
        <w:rPr>
          <w:rFonts w:ascii="Arial" w:hAnsi="Arial"/>
          <w:sz w:val="20"/>
        </w:rPr>
        <w:t xml:space="preserve">resp. </w:t>
      </w:r>
      <w:r w:rsidR="005F6AAC">
        <w:rPr>
          <w:rFonts w:ascii="Arial" w:hAnsi="Arial"/>
          <w:sz w:val="20"/>
        </w:rPr>
        <w:t>mužů</w:t>
      </w:r>
      <w:r>
        <w:rPr>
          <w:rFonts w:ascii="Arial" w:hAnsi="Arial"/>
          <w:sz w:val="20"/>
        </w:rPr>
        <w:t xml:space="preserve">), které by uzavřely první sňatek před dosažením 50 let věku za předpokladu, že by míry sňatečnosti, úmrtnosti a migrace svobodných zaznamenané ve sledovaném kalendářním roce zůstaly neměnné. Je výsledným ukazatelem jednovýchodných tabulek sňatečnosti svobodných. Z rozložení příslušných tabulkových počtů sňatků podle věku </w:t>
      </w:r>
      <w:r w:rsidR="00A772FD">
        <w:rPr>
          <w:rFonts w:ascii="Arial" w:hAnsi="Arial"/>
          <w:sz w:val="20"/>
        </w:rPr>
        <w:t>vychází</w:t>
      </w:r>
      <w:r>
        <w:rPr>
          <w:rFonts w:ascii="Arial" w:hAnsi="Arial"/>
          <w:sz w:val="20"/>
        </w:rPr>
        <w:t xml:space="preserve"> </w:t>
      </w:r>
      <w:r w:rsidRPr="00654879">
        <w:rPr>
          <w:rFonts w:ascii="Arial" w:hAnsi="Arial"/>
          <w:b/>
          <w:sz w:val="20"/>
        </w:rPr>
        <w:t>průměrný věk</w:t>
      </w:r>
      <w:r>
        <w:rPr>
          <w:rFonts w:ascii="Arial" w:hAnsi="Arial"/>
          <w:sz w:val="20"/>
        </w:rPr>
        <w:t xml:space="preserve"> </w:t>
      </w:r>
      <w:r w:rsidR="005F6AAC">
        <w:rPr>
          <w:rFonts w:ascii="Arial" w:hAnsi="Arial"/>
          <w:sz w:val="20"/>
        </w:rPr>
        <w:t xml:space="preserve">(žen, resp. mužů) </w:t>
      </w:r>
      <w:r w:rsidRPr="00654879">
        <w:rPr>
          <w:rFonts w:ascii="Arial" w:hAnsi="Arial"/>
          <w:b/>
          <w:sz w:val="20"/>
        </w:rPr>
        <w:t>při prvním sňatku</w:t>
      </w:r>
      <w:r>
        <w:rPr>
          <w:rFonts w:ascii="Arial" w:hAnsi="Arial"/>
          <w:sz w:val="20"/>
        </w:rPr>
        <w:t>.</w:t>
      </w:r>
    </w:p>
    <w:p w14:paraId="34537013" w14:textId="6D9C45FD" w:rsidR="00654879" w:rsidRDefault="00654879" w:rsidP="0036367B">
      <w:pPr>
        <w:spacing w:before="60"/>
        <w:ind w:firstLine="720"/>
        <w:jc w:val="both"/>
        <w:rPr>
          <w:rFonts w:ascii="Arial" w:hAnsi="Arial"/>
          <w:sz w:val="20"/>
        </w:rPr>
      </w:pPr>
      <w:r w:rsidRPr="005F6AAC">
        <w:rPr>
          <w:rFonts w:ascii="Arial" w:hAnsi="Arial"/>
          <w:b/>
          <w:sz w:val="20"/>
        </w:rPr>
        <w:t>Úhrnná sňatečnost rozvedených (v %)</w:t>
      </w:r>
      <w:r>
        <w:rPr>
          <w:rFonts w:ascii="Arial" w:hAnsi="Arial"/>
          <w:sz w:val="20"/>
        </w:rPr>
        <w:t>: podíl rozvedených osob (</w:t>
      </w:r>
      <w:r w:rsidR="0036367B">
        <w:rPr>
          <w:rFonts w:ascii="Arial" w:hAnsi="Arial"/>
          <w:sz w:val="20"/>
        </w:rPr>
        <w:t>žen, resp. mužů</w:t>
      </w:r>
      <w:r>
        <w:rPr>
          <w:rFonts w:ascii="Arial" w:hAnsi="Arial"/>
          <w:sz w:val="20"/>
        </w:rPr>
        <w:t>), které by</w:t>
      </w:r>
      <w:r w:rsidR="00C844A3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 xml:space="preserve">po rozvodu znovu vstoupily do manželství za předpokladu, že by míry sňatečnosti rozvedených </w:t>
      </w:r>
      <w:r>
        <w:rPr>
          <w:rFonts w:ascii="Arial" w:hAnsi="Arial"/>
          <w:sz w:val="20"/>
        </w:rPr>
        <w:lastRenderedPageBreak/>
        <w:t>podle</w:t>
      </w:r>
      <w:r w:rsidR="00C844A3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doby trvání od rozvodu zaznamenané ve sledovaném kalendářním roce zůstaly neměnné.</w:t>
      </w:r>
      <w:r w:rsidR="005F6AAC">
        <w:rPr>
          <w:rFonts w:ascii="Arial" w:hAnsi="Arial"/>
          <w:sz w:val="20"/>
        </w:rPr>
        <w:t xml:space="preserve"> Z rozložení příslušných měr </w:t>
      </w:r>
      <w:r w:rsidR="00A772FD">
        <w:rPr>
          <w:rFonts w:ascii="Arial" w:hAnsi="Arial"/>
          <w:sz w:val="20"/>
        </w:rPr>
        <w:t>vychází</w:t>
      </w:r>
      <w:r w:rsidR="005F6AAC">
        <w:rPr>
          <w:rFonts w:ascii="Arial" w:hAnsi="Arial"/>
          <w:sz w:val="20"/>
        </w:rPr>
        <w:t xml:space="preserve"> </w:t>
      </w:r>
      <w:r w:rsidR="005F6AAC" w:rsidRPr="00654879">
        <w:rPr>
          <w:rFonts w:ascii="Arial" w:hAnsi="Arial"/>
          <w:b/>
          <w:sz w:val="20"/>
        </w:rPr>
        <w:t>průměrn</w:t>
      </w:r>
      <w:r w:rsidR="005F6AAC">
        <w:rPr>
          <w:rFonts w:ascii="Arial" w:hAnsi="Arial"/>
          <w:b/>
          <w:sz w:val="20"/>
        </w:rPr>
        <w:t>á délka od rozvodu ke sňatku</w:t>
      </w:r>
      <w:r w:rsidR="005F6AAC">
        <w:rPr>
          <w:rFonts w:ascii="Arial" w:hAnsi="Arial"/>
          <w:sz w:val="20"/>
        </w:rPr>
        <w:t xml:space="preserve"> (u rozvedených žen, resp. mužů).</w:t>
      </w:r>
    </w:p>
    <w:p w14:paraId="0E184CE2" w14:textId="608668C6" w:rsidR="005F6AAC" w:rsidRDefault="005F6AAC" w:rsidP="002D622C">
      <w:pPr>
        <w:spacing w:before="60"/>
        <w:ind w:firstLine="720"/>
        <w:jc w:val="both"/>
        <w:rPr>
          <w:rFonts w:ascii="Arial" w:hAnsi="Arial"/>
          <w:sz w:val="20"/>
        </w:rPr>
      </w:pPr>
      <w:r w:rsidRPr="00A772FD">
        <w:rPr>
          <w:rFonts w:ascii="Arial" w:hAnsi="Arial"/>
          <w:b/>
          <w:sz w:val="20"/>
        </w:rPr>
        <w:t>Index maskulinity</w:t>
      </w:r>
      <w:r>
        <w:rPr>
          <w:rFonts w:ascii="Arial" w:hAnsi="Arial"/>
          <w:sz w:val="20"/>
        </w:rPr>
        <w:t>: poměr počtu mužů k počtu žen (zde na 100 žen) v dané populaci (zde mezi</w:t>
      </w:r>
      <w:r w:rsidR="00C844A3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narozenými dětmi, resp. živě či mrtvě narozenými dětmi).</w:t>
      </w:r>
    </w:p>
    <w:p w14:paraId="7D4E8C41" w14:textId="53705CB1" w:rsidR="00CA686B" w:rsidRDefault="00A772FD" w:rsidP="004071DA"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Míry p</w:t>
      </w:r>
      <w:r w:rsidR="00CA686B">
        <w:rPr>
          <w:rFonts w:ascii="Arial" w:hAnsi="Arial"/>
          <w:b/>
          <w:bCs/>
          <w:sz w:val="20"/>
        </w:rPr>
        <w:t>lodnost</w:t>
      </w:r>
      <w:r>
        <w:rPr>
          <w:rFonts w:ascii="Arial" w:hAnsi="Arial"/>
          <w:b/>
          <w:bCs/>
          <w:sz w:val="20"/>
        </w:rPr>
        <w:t>i</w:t>
      </w:r>
      <w:r w:rsidR="00CA686B">
        <w:rPr>
          <w:rFonts w:ascii="Arial" w:hAnsi="Arial"/>
          <w:b/>
          <w:bCs/>
          <w:sz w:val="20"/>
        </w:rPr>
        <w:t xml:space="preserve"> podle věku:</w:t>
      </w:r>
      <w:r w:rsidR="00CA686B">
        <w:rPr>
          <w:rFonts w:ascii="Arial" w:hAnsi="Arial"/>
          <w:sz w:val="20"/>
        </w:rPr>
        <w:t xml:space="preserve"> počet živě narozených dětí ženám v daném věku na 1 000 žen středního stavu téhož věku.</w:t>
      </w:r>
    </w:p>
    <w:p w14:paraId="49678B94" w14:textId="2F880A21" w:rsidR="005C4215" w:rsidRDefault="00CA686B" w:rsidP="004071DA">
      <w:pPr>
        <w:autoSpaceDE w:val="0"/>
        <w:autoSpaceDN w:val="0"/>
        <w:adjustRightInd w:val="0"/>
        <w:spacing w:before="60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</w:rPr>
        <w:t>Úhrnná plodnost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(součet měr plodnosti podle věku): průměrný počet živě narozených dětí, které by se narodily jedné ženě za předpokladu, že by míry plod</w:t>
      </w:r>
      <w:r w:rsidR="00BE32FA">
        <w:rPr>
          <w:rFonts w:ascii="Arial" w:hAnsi="Arial" w:cs="Arial"/>
          <w:sz w:val="20"/>
        </w:rPr>
        <w:t>nosti podle věku zaznamenané ve </w:t>
      </w:r>
      <w:r>
        <w:rPr>
          <w:rFonts w:ascii="Arial" w:hAnsi="Arial" w:cs="Arial"/>
          <w:sz w:val="20"/>
        </w:rPr>
        <w:t>sledovaném kalendářním roce zůstaly během jejího reprodukčního věku (15–49</w:t>
      </w:r>
      <w:r w:rsidR="002D622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let) neměnné.</w:t>
      </w:r>
      <w:r w:rsidR="00A772FD">
        <w:rPr>
          <w:rFonts w:ascii="Arial" w:hAnsi="Arial" w:cs="Arial"/>
          <w:sz w:val="20"/>
        </w:rPr>
        <w:t xml:space="preserve"> Z rozložení měr plodnosti podle věku vychází </w:t>
      </w:r>
      <w:r w:rsidR="00A772FD" w:rsidRPr="00A772FD">
        <w:rPr>
          <w:rFonts w:ascii="Arial" w:hAnsi="Arial" w:cs="Arial"/>
          <w:b/>
          <w:sz w:val="20"/>
        </w:rPr>
        <w:t>průměrný věk žen při narození dítěte</w:t>
      </w:r>
      <w:r w:rsidR="00A772FD">
        <w:rPr>
          <w:rFonts w:ascii="Arial" w:hAnsi="Arial" w:cs="Arial"/>
          <w:sz w:val="20"/>
        </w:rPr>
        <w:t>.</w:t>
      </w:r>
    </w:p>
    <w:p w14:paraId="746AE79D" w14:textId="652B03E8" w:rsidR="00CA686B" w:rsidRDefault="00CA686B" w:rsidP="004071DA">
      <w:pPr>
        <w:autoSpaceDE w:val="0"/>
        <w:autoSpaceDN w:val="0"/>
        <w:adjustRightInd w:val="0"/>
        <w:spacing w:before="60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</w:rPr>
        <w:t xml:space="preserve">Čistá míra reprodukce: </w:t>
      </w:r>
      <w:r>
        <w:rPr>
          <w:rFonts w:ascii="Arial" w:hAnsi="Arial" w:cs="Arial"/>
          <w:sz w:val="20"/>
        </w:rPr>
        <w:t xml:space="preserve">průměrný počet živě narozených </w:t>
      </w:r>
      <w:r w:rsidR="003A3F8E">
        <w:rPr>
          <w:rFonts w:ascii="Arial" w:hAnsi="Arial" w:cs="Arial"/>
          <w:sz w:val="20"/>
        </w:rPr>
        <w:t>dcer</w:t>
      </w:r>
      <w:r>
        <w:rPr>
          <w:rFonts w:ascii="Arial" w:hAnsi="Arial" w:cs="Arial"/>
          <w:sz w:val="20"/>
        </w:rPr>
        <w:t>, kter</w:t>
      </w:r>
      <w:r w:rsidR="003A3F8E">
        <w:rPr>
          <w:rFonts w:ascii="Arial" w:hAnsi="Arial" w:cs="Arial"/>
          <w:sz w:val="20"/>
        </w:rPr>
        <w:t>é</w:t>
      </w:r>
      <w:r>
        <w:rPr>
          <w:rFonts w:ascii="Arial" w:hAnsi="Arial" w:cs="Arial"/>
          <w:sz w:val="20"/>
        </w:rPr>
        <w:t xml:space="preserve"> by se narodil</w:t>
      </w:r>
      <w:r w:rsidR="003A3F8E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jedné ženě a</w:t>
      </w:r>
      <w:r w:rsidR="002D62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dožil</w:t>
      </w:r>
      <w:r w:rsidR="003A3F8E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se věku své matky v době porodu za předpokladu, že by míry plodnosti a úmrtnosti podle věku zaznamenané ve sledovaném kalendářním roce zůstaly během jejího reprodukčního věku (15–49 let) neměnné.</w:t>
      </w:r>
    </w:p>
    <w:p w14:paraId="0F587180" w14:textId="7F71D9BD" w:rsidR="00CA686B" w:rsidRDefault="00A772FD" w:rsidP="004071DA"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Míry p</w:t>
      </w:r>
      <w:r w:rsidR="00CA686B">
        <w:rPr>
          <w:rFonts w:ascii="Arial" w:hAnsi="Arial"/>
          <w:b/>
          <w:bCs/>
          <w:sz w:val="20"/>
        </w:rPr>
        <w:t>otratovost</w:t>
      </w:r>
      <w:r>
        <w:rPr>
          <w:rFonts w:ascii="Arial" w:hAnsi="Arial"/>
          <w:b/>
          <w:bCs/>
          <w:sz w:val="20"/>
        </w:rPr>
        <w:t>i</w:t>
      </w:r>
      <w:r w:rsidR="00CA686B">
        <w:rPr>
          <w:rFonts w:ascii="Arial" w:hAnsi="Arial"/>
          <w:b/>
          <w:bCs/>
          <w:sz w:val="20"/>
        </w:rPr>
        <w:t xml:space="preserve"> podle věku:</w:t>
      </w:r>
      <w:r w:rsidR="00CA686B">
        <w:rPr>
          <w:rFonts w:ascii="Arial" w:hAnsi="Arial"/>
          <w:sz w:val="20"/>
        </w:rPr>
        <w:t xml:space="preserve"> počet potratů žen v daném věku na 1 000 žen středního stavu téhož věku.</w:t>
      </w:r>
    </w:p>
    <w:p w14:paraId="4F06E682" w14:textId="5E343E5D" w:rsidR="005C4215" w:rsidRDefault="00CA686B" w:rsidP="004071DA">
      <w:pPr>
        <w:spacing w:before="60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</w:rPr>
        <w:t>Úhrnná potratovost</w:t>
      </w:r>
      <w:r w:rsidR="00810D0D">
        <w:rPr>
          <w:rFonts w:ascii="Arial" w:hAnsi="Arial"/>
          <w:b/>
          <w:bCs/>
          <w:sz w:val="20"/>
        </w:rPr>
        <w:t xml:space="preserve"> </w:t>
      </w:r>
      <w:r w:rsidR="00810D0D" w:rsidRPr="004071DA">
        <w:rPr>
          <w:rFonts w:ascii="Arial" w:hAnsi="Arial"/>
          <w:sz w:val="20"/>
        </w:rPr>
        <w:t>(součet měr potratovosti podle věku)</w:t>
      </w:r>
      <w:r w:rsidRPr="00247E46">
        <w:rPr>
          <w:rFonts w:ascii="Arial" w:hAnsi="Arial"/>
          <w:bCs/>
          <w:sz w:val="20"/>
        </w:rPr>
        <w:t>: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průměrný počet potratů, které by</w:t>
      </w:r>
      <w:r w:rsidR="00C844A3">
        <w:rPr>
          <w:rFonts w:ascii="Arial" w:hAnsi="Arial" w:cs="Arial"/>
          <w:sz w:val="20"/>
        </w:rPr>
        <w:t> </w:t>
      </w:r>
      <w:r w:rsidR="003A3F8E">
        <w:rPr>
          <w:rFonts w:ascii="Arial" w:hAnsi="Arial" w:cs="Arial"/>
          <w:sz w:val="20"/>
        </w:rPr>
        <w:t>připadly na jednu</w:t>
      </w:r>
      <w:r>
        <w:rPr>
          <w:rFonts w:ascii="Arial" w:hAnsi="Arial" w:cs="Arial"/>
          <w:sz w:val="20"/>
        </w:rPr>
        <w:t xml:space="preserve"> žen</w:t>
      </w:r>
      <w:r w:rsidR="003A3F8E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</w:t>
      </w:r>
      <w:r w:rsidR="00BE32FA">
        <w:rPr>
          <w:rFonts w:ascii="Arial" w:hAnsi="Arial" w:cs="Arial"/>
          <w:sz w:val="20"/>
        </w:rPr>
        <w:t>za</w:t>
      </w:r>
      <w:r w:rsidR="002D62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předpokladu, že by míry potratovosti podle věku zaznamenané ve</w:t>
      </w:r>
      <w:r w:rsidR="00C844A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sledovaném kalendářním roce zůstaly během jejího reprodukčního věku (15–49</w:t>
      </w:r>
      <w:r w:rsidR="002D622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let) neměnné.</w:t>
      </w:r>
      <w:r w:rsidR="00A772FD">
        <w:rPr>
          <w:rFonts w:ascii="Arial" w:hAnsi="Arial" w:cs="Arial"/>
          <w:sz w:val="20"/>
        </w:rPr>
        <w:t xml:space="preserve"> Z rozložení měr potratovosti podle věku vychází </w:t>
      </w:r>
      <w:r w:rsidR="00A772FD" w:rsidRPr="00A772FD">
        <w:rPr>
          <w:rFonts w:ascii="Arial" w:hAnsi="Arial" w:cs="Arial"/>
          <w:b/>
          <w:sz w:val="20"/>
        </w:rPr>
        <w:t>průměrný věk žen při potratu</w:t>
      </w:r>
      <w:r w:rsidR="00A772FD">
        <w:rPr>
          <w:rFonts w:ascii="Arial" w:hAnsi="Arial" w:cs="Arial"/>
          <w:sz w:val="20"/>
        </w:rPr>
        <w:t>.</w:t>
      </w:r>
    </w:p>
    <w:p w14:paraId="0907A736" w14:textId="2446E282" w:rsidR="00A772FD" w:rsidRDefault="00A772FD" w:rsidP="002D622C">
      <w:pPr>
        <w:spacing w:before="60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</w:rPr>
        <w:t xml:space="preserve">Úhrnná umělá potratovost </w:t>
      </w:r>
      <w:r w:rsidRPr="004071DA">
        <w:rPr>
          <w:rFonts w:ascii="Arial" w:hAnsi="Arial"/>
          <w:sz w:val="20"/>
        </w:rPr>
        <w:t xml:space="preserve">(součet měr </w:t>
      </w:r>
      <w:r>
        <w:rPr>
          <w:rFonts w:ascii="Arial" w:hAnsi="Arial"/>
          <w:bCs/>
          <w:sz w:val="20"/>
        </w:rPr>
        <w:t xml:space="preserve">umělé </w:t>
      </w:r>
      <w:r w:rsidRPr="00A3488C">
        <w:rPr>
          <w:rFonts w:ascii="Arial" w:hAnsi="Arial"/>
          <w:bCs/>
          <w:sz w:val="20"/>
        </w:rPr>
        <w:t>potratovosti</w:t>
      </w:r>
      <w:r w:rsidRPr="004071DA">
        <w:rPr>
          <w:rFonts w:ascii="Arial" w:hAnsi="Arial"/>
          <w:sz w:val="20"/>
        </w:rPr>
        <w:t xml:space="preserve"> podle věku)</w:t>
      </w:r>
      <w:r w:rsidRPr="00247E46">
        <w:rPr>
          <w:rFonts w:ascii="Arial" w:hAnsi="Arial"/>
          <w:bCs/>
          <w:sz w:val="20"/>
        </w:rPr>
        <w:t>: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průměrný počet umělých přerušení těhotenství, které by připadly na je</w:t>
      </w:r>
      <w:r w:rsidR="002D622C">
        <w:rPr>
          <w:rFonts w:ascii="Arial" w:hAnsi="Arial" w:cs="Arial"/>
          <w:sz w:val="20"/>
        </w:rPr>
        <w:t xml:space="preserve">dnu ženu za </w:t>
      </w:r>
      <w:r>
        <w:rPr>
          <w:rFonts w:ascii="Arial" w:hAnsi="Arial" w:cs="Arial"/>
          <w:sz w:val="20"/>
        </w:rPr>
        <w:t>předpokladu, že by míry umělé potratovosti podle věku zaznamenané ve sledovaném kalendářním roce zůstaly během jejího reprodukčního věku (15–49</w:t>
      </w:r>
      <w:r w:rsidR="002D622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let) neměnné. Z rozložení měr umělé potratovosti podle věku vychází </w:t>
      </w:r>
      <w:r w:rsidRPr="00A772FD">
        <w:rPr>
          <w:rFonts w:ascii="Arial" w:hAnsi="Arial" w:cs="Arial"/>
          <w:b/>
          <w:sz w:val="20"/>
        </w:rPr>
        <w:t xml:space="preserve">průměrný věk žen při </w:t>
      </w:r>
      <w:r>
        <w:rPr>
          <w:rFonts w:ascii="Arial" w:hAnsi="Arial" w:cs="Arial"/>
          <w:b/>
          <w:sz w:val="20"/>
        </w:rPr>
        <w:t>umělém přerušení těhotenství</w:t>
      </w:r>
      <w:r>
        <w:rPr>
          <w:rFonts w:ascii="Arial" w:hAnsi="Arial" w:cs="Arial"/>
          <w:sz w:val="20"/>
        </w:rPr>
        <w:t>.</w:t>
      </w:r>
    </w:p>
    <w:p w14:paraId="468C157D" w14:textId="3EFAFFC4" w:rsidR="00A772FD" w:rsidRPr="004071DA" w:rsidRDefault="00A772FD" w:rsidP="004071DA"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Úhrnná samovolná potratovost </w:t>
      </w:r>
      <w:r w:rsidRPr="00A3488C">
        <w:rPr>
          <w:rFonts w:ascii="Arial" w:hAnsi="Arial"/>
          <w:bCs/>
          <w:sz w:val="20"/>
        </w:rPr>
        <w:t xml:space="preserve">(součet měr </w:t>
      </w:r>
      <w:r>
        <w:rPr>
          <w:rFonts w:ascii="Arial" w:hAnsi="Arial"/>
          <w:bCs/>
          <w:sz w:val="20"/>
        </w:rPr>
        <w:t xml:space="preserve">samovolné </w:t>
      </w:r>
      <w:r w:rsidRPr="00A3488C">
        <w:rPr>
          <w:rFonts w:ascii="Arial" w:hAnsi="Arial"/>
          <w:bCs/>
          <w:sz w:val="20"/>
        </w:rPr>
        <w:t>potratovosti podle věku)</w:t>
      </w:r>
      <w:r w:rsidRPr="00247E46">
        <w:rPr>
          <w:rFonts w:ascii="Arial" w:hAnsi="Arial"/>
          <w:bCs/>
          <w:sz w:val="20"/>
        </w:rPr>
        <w:t>: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průměrný počet samovolných potratů, které by připadly na jednu ženu za</w:t>
      </w:r>
      <w:r w:rsidR="002D62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předpokladu, že by míry samovolné potratovosti podle věku zaznamenané ve sledovaném kalendářním roce zůstaly během jejího reprodukčního věku (15–49</w:t>
      </w:r>
      <w:r w:rsidR="002D622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let) neměnné. Z rozložení měr samovolné potratovosti podle věku vychází </w:t>
      </w:r>
      <w:r w:rsidRPr="00A772FD">
        <w:rPr>
          <w:rFonts w:ascii="Arial" w:hAnsi="Arial" w:cs="Arial"/>
          <w:b/>
          <w:sz w:val="20"/>
        </w:rPr>
        <w:t xml:space="preserve">průměrný věk žen při </w:t>
      </w:r>
      <w:r>
        <w:rPr>
          <w:rFonts w:ascii="Arial" w:hAnsi="Arial" w:cs="Arial"/>
          <w:b/>
          <w:sz w:val="20"/>
        </w:rPr>
        <w:t xml:space="preserve">samovolném </w:t>
      </w:r>
      <w:r w:rsidRPr="00A772FD">
        <w:rPr>
          <w:rFonts w:ascii="Arial" w:hAnsi="Arial" w:cs="Arial"/>
          <w:b/>
          <w:sz w:val="20"/>
        </w:rPr>
        <w:t>potratu</w:t>
      </w:r>
      <w:r>
        <w:rPr>
          <w:rFonts w:ascii="Arial" w:hAnsi="Arial" w:cs="Arial"/>
          <w:sz w:val="20"/>
        </w:rPr>
        <w:t>.</w:t>
      </w:r>
    </w:p>
    <w:p w14:paraId="0761CF93" w14:textId="77777777" w:rsidR="00BF399E" w:rsidRDefault="00BF399E" w:rsidP="005C4215">
      <w:pPr>
        <w:pStyle w:val="Zkladntextodsazen2"/>
        <w:ind w:firstLine="0"/>
        <w:jc w:val="both"/>
      </w:pPr>
    </w:p>
    <w:p w14:paraId="4E64EE1B" w14:textId="77777777" w:rsidR="00CA686B" w:rsidRDefault="00CA686B" w:rsidP="00E4236A">
      <w:pPr>
        <w:jc w:val="both"/>
        <w:rPr>
          <w:rFonts w:ascii="Arial" w:hAnsi="Arial"/>
          <w:sz w:val="20"/>
        </w:rPr>
      </w:pPr>
    </w:p>
    <w:p w14:paraId="110F5905" w14:textId="77777777" w:rsidR="00BF399E" w:rsidRDefault="00BF399E" w:rsidP="00BF399E">
      <w:pPr>
        <w:pStyle w:val="Nadpis3"/>
        <w:spacing w:after="140"/>
        <w:rPr>
          <w:rFonts w:cs="Arial"/>
        </w:rPr>
      </w:pPr>
      <w:r>
        <w:rPr>
          <w:rFonts w:cs="Arial"/>
        </w:rPr>
        <w:t>Domácnosti a rodiny</w:t>
      </w:r>
    </w:p>
    <w:p w14:paraId="14D6C97E" w14:textId="73F0FAEA" w:rsidR="00BF399E" w:rsidRDefault="00BF399E" w:rsidP="00BF399E">
      <w:pPr>
        <w:spacing w:after="14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Zdrojem informací o domácnostech a rodinách jsou výsledky výběrového šetření Životní podmínky. Účelem tohoto šetření je získat reprezentativní údaje o úrovni a struktuře příjmů a základní sociálně demografické charakteristiky domácností a jejich členů, potřebné k analýze příjmových ukazatelů. Šetření probíhá každoročně jako národní modifikace celoevropského šetření EU-SILC (</w:t>
      </w:r>
      <w:proofErr w:type="spellStart"/>
      <w:r>
        <w:rPr>
          <w:rFonts w:ascii="Arial" w:hAnsi="Arial" w:cs="Arial"/>
          <w:i/>
          <w:iCs/>
          <w:sz w:val="20"/>
        </w:rPr>
        <w:t>European</w:t>
      </w:r>
      <w:proofErr w:type="spellEnd"/>
      <w:r>
        <w:rPr>
          <w:rFonts w:ascii="Arial" w:hAnsi="Arial" w:cs="Arial"/>
          <w:i/>
          <w:iCs/>
          <w:sz w:val="20"/>
        </w:rPr>
        <w:t xml:space="preserve"> Union </w:t>
      </w:r>
      <w:proofErr w:type="spellStart"/>
      <w:r>
        <w:rPr>
          <w:rFonts w:ascii="Arial" w:hAnsi="Arial" w:cs="Arial"/>
          <w:i/>
          <w:iCs/>
          <w:sz w:val="20"/>
        </w:rPr>
        <w:t>Statistics</w:t>
      </w:r>
      <w:proofErr w:type="spellEnd"/>
      <w:r>
        <w:rPr>
          <w:rFonts w:ascii="Arial" w:hAnsi="Arial" w:cs="Arial"/>
          <w:i/>
          <w:iCs/>
          <w:sz w:val="20"/>
        </w:rPr>
        <w:t xml:space="preserve"> on </w:t>
      </w:r>
      <w:proofErr w:type="spellStart"/>
      <w:r>
        <w:rPr>
          <w:rFonts w:ascii="Arial" w:hAnsi="Arial" w:cs="Arial"/>
          <w:i/>
          <w:iCs/>
          <w:sz w:val="20"/>
        </w:rPr>
        <w:t>Income</w:t>
      </w:r>
      <w:proofErr w:type="spellEnd"/>
      <w:r>
        <w:rPr>
          <w:rFonts w:ascii="Arial" w:hAnsi="Arial" w:cs="Arial"/>
          <w:i/>
          <w:iCs/>
          <w:sz w:val="20"/>
        </w:rPr>
        <w:t xml:space="preserve"> and </w:t>
      </w:r>
      <w:proofErr w:type="spellStart"/>
      <w:r>
        <w:rPr>
          <w:rFonts w:ascii="Arial" w:hAnsi="Arial" w:cs="Arial"/>
          <w:i/>
          <w:iCs/>
          <w:sz w:val="20"/>
        </w:rPr>
        <w:t>Living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Conditions</w:t>
      </w:r>
      <w:proofErr w:type="spellEnd"/>
      <w:r>
        <w:rPr>
          <w:rFonts w:ascii="Arial" w:hAnsi="Arial" w:cs="Arial"/>
          <w:sz w:val="20"/>
        </w:rPr>
        <w:t xml:space="preserve">). Realizuje se jako čtyřletý rotační panel, v němž se čtvrtina domácností obměňuje každý rok. Publikované údaje o příjmech jsou za rok </w:t>
      </w:r>
      <w:r w:rsidR="0050142A">
        <w:rPr>
          <w:rFonts w:ascii="Arial" w:hAnsi="Arial" w:cs="Arial"/>
          <w:sz w:val="20"/>
        </w:rPr>
        <w:t>2021</w:t>
      </w:r>
      <w:r>
        <w:rPr>
          <w:rFonts w:ascii="Arial" w:hAnsi="Arial" w:cs="Arial"/>
          <w:sz w:val="20"/>
        </w:rPr>
        <w:t xml:space="preserve">, ostatní údaje zachycují stav v době šetření v roce </w:t>
      </w:r>
      <w:r w:rsidR="0050142A">
        <w:rPr>
          <w:rFonts w:ascii="Arial" w:hAnsi="Arial" w:cs="Arial"/>
          <w:sz w:val="20"/>
        </w:rPr>
        <w:t>2022</w:t>
      </w:r>
      <w:r>
        <w:rPr>
          <w:rFonts w:ascii="Arial" w:hAnsi="Arial" w:cs="Arial"/>
          <w:sz w:val="20"/>
        </w:rPr>
        <w:t>.</w:t>
      </w:r>
    </w:p>
    <w:p w14:paraId="0EFCB4DA" w14:textId="756EA39D" w:rsidR="005C4215" w:rsidRDefault="00BF399E" w:rsidP="00E4236A">
      <w:pPr>
        <w:spacing w:after="14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Výsledky výběrového šetření </w:t>
      </w:r>
      <w:r>
        <w:rPr>
          <w:rFonts w:ascii="Arial" w:hAnsi="Arial" w:cs="Arial"/>
          <w:b/>
          <w:bCs/>
          <w:sz w:val="20"/>
          <w:szCs w:val="26"/>
        </w:rPr>
        <w:t>Ž</w:t>
      </w:r>
      <w:r>
        <w:rPr>
          <w:rFonts w:ascii="Arial" w:hAnsi="Arial" w:cs="Arial"/>
          <w:b/>
          <w:bCs/>
          <w:sz w:val="20"/>
        </w:rPr>
        <w:t xml:space="preserve">ivotní podmínky </w:t>
      </w:r>
      <w:r w:rsidR="0050142A">
        <w:rPr>
          <w:rFonts w:ascii="Arial" w:hAnsi="Arial" w:cs="Arial"/>
          <w:b/>
          <w:bCs/>
          <w:sz w:val="20"/>
        </w:rPr>
        <w:t xml:space="preserve">2022 </w:t>
      </w:r>
      <w:r>
        <w:rPr>
          <w:rFonts w:ascii="Arial" w:hAnsi="Arial" w:cs="Arial"/>
          <w:sz w:val="20"/>
        </w:rPr>
        <w:t xml:space="preserve">ukazují </w:t>
      </w:r>
      <w:r w:rsidRPr="008A62AE">
        <w:rPr>
          <w:rFonts w:ascii="Arial" w:hAnsi="Arial" w:cs="Arial"/>
          <w:sz w:val="20"/>
        </w:rPr>
        <w:t>tabulky 1-</w:t>
      </w:r>
      <w:r w:rsidR="0050142A">
        <w:rPr>
          <w:rFonts w:ascii="Arial" w:hAnsi="Arial" w:cs="Arial"/>
          <w:sz w:val="20"/>
        </w:rPr>
        <w:t>28</w:t>
      </w:r>
      <w:r w:rsidR="0050142A" w:rsidRPr="008A62AE">
        <w:rPr>
          <w:rFonts w:ascii="Arial" w:hAnsi="Arial" w:cs="Arial"/>
          <w:sz w:val="20"/>
        </w:rPr>
        <w:t xml:space="preserve"> </w:t>
      </w:r>
      <w:r w:rsidRPr="008A62AE">
        <w:rPr>
          <w:rFonts w:ascii="Arial" w:hAnsi="Arial" w:cs="Arial"/>
          <w:sz w:val="20"/>
        </w:rPr>
        <w:t>až 1-</w:t>
      </w:r>
      <w:r w:rsidR="0050142A">
        <w:rPr>
          <w:rFonts w:ascii="Arial" w:hAnsi="Arial" w:cs="Arial"/>
          <w:sz w:val="20"/>
        </w:rPr>
        <w:t>37</w:t>
      </w:r>
      <w:r w:rsidRPr="008A62AE">
        <w:rPr>
          <w:rFonts w:ascii="Arial" w:hAnsi="Arial" w:cs="Arial"/>
          <w:sz w:val="20"/>
        </w:rPr>
        <w:t>.</w:t>
      </w:r>
    </w:p>
    <w:p w14:paraId="0FB2CD04" w14:textId="4EC87E92" w:rsidR="00BF399E" w:rsidRDefault="00D6744B" w:rsidP="00BF399E">
      <w:pPr>
        <w:pStyle w:val="Zkladntext"/>
        <w:tabs>
          <w:tab w:val="left" w:pos="540"/>
        </w:tabs>
        <w:spacing w:before="240"/>
        <w:rPr>
          <w:b/>
          <w:bCs/>
          <w:i w:val="0"/>
          <w:iCs w:val="0"/>
          <w:lang w:val="cs-CZ"/>
        </w:rPr>
      </w:pPr>
      <w:r w:rsidRPr="00835211">
        <w:rPr>
          <w:b/>
          <w:bCs/>
          <w:i w:val="0"/>
          <w:iCs w:val="0"/>
          <w:lang w:val="cs-CZ"/>
        </w:rPr>
        <w:t>Definice ukazatelů v tabulkách ze šetření Životní podmínky</w:t>
      </w:r>
      <w:r w:rsidR="00920840">
        <w:rPr>
          <w:b/>
          <w:bCs/>
          <w:i w:val="0"/>
          <w:iCs w:val="0"/>
          <w:lang w:val="cs-CZ"/>
        </w:rPr>
        <w:t>:</w:t>
      </w:r>
    </w:p>
    <w:p w14:paraId="596FC04F" w14:textId="77777777" w:rsidR="00BF399E" w:rsidRDefault="00BF399E" w:rsidP="00BF399E">
      <w:pPr>
        <w:pStyle w:val="Zkladntext"/>
        <w:tabs>
          <w:tab w:val="left" w:pos="540"/>
        </w:tabs>
        <w:rPr>
          <w:b/>
          <w:bCs/>
          <w:i w:val="0"/>
          <w:iCs w:val="0"/>
          <w:lang w:val="cs-CZ"/>
        </w:rPr>
      </w:pPr>
    </w:p>
    <w:p w14:paraId="2F3176D5" w14:textId="77777777" w:rsidR="00BF399E" w:rsidRPr="00850F87" w:rsidRDefault="00BF399E" w:rsidP="00BF399E">
      <w:pPr>
        <w:rPr>
          <w:rFonts w:ascii="Arial" w:hAnsi="Arial" w:cs="Arial"/>
          <w:sz w:val="20"/>
          <w:szCs w:val="20"/>
        </w:rPr>
      </w:pPr>
      <w:proofErr w:type="gramStart"/>
      <w:r w:rsidRPr="006A3CD7">
        <w:rPr>
          <w:rFonts w:ascii="Arial" w:hAnsi="Arial" w:cs="Arial"/>
          <w:b/>
          <w:bCs/>
          <w:iCs/>
          <w:sz w:val="20"/>
          <w:szCs w:val="20"/>
        </w:rPr>
        <w:t>Hospodařící</w:t>
      </w:r>
      <w:proofErr w:type="gramEnd"/>
      <w:r w:rsidRPr="006A3CD7">
        <w:rPr>
          <w:rFonts w:ascii="Arial" w:hAnsi="Arial" w:cs="Arial"/>
          <w:b/>
          <w:bCs/>
          <w:iCs/>
          <w:sz w:val="20"/>
          <w:szCs w:val="20"/>
        </w:rPr>
        <w:t xml:space="preserve"> domácnost</w:t>
      </w:r>
      <w:r w:rsidRPr="006A3CD7">
        <w:rPr>
          <w:rFonts w:ascii="Arial" w:hAnsi="Arial" w:cs="Arial"/>
          <w:iCs/>
          <w:sz w:val="20"/>
          <w:szCs w:val="20"/>
        </w:rPr>
        <w:t xml:space="preserve"> </w:t>
      </w:r>
      <w:r w:rsidRPr="006A3CD7">
        <w:rPr>
          <w:rFonts w:ascii="Arial" w:hAnsi="Arial" w:cs="Arial"/>
          <w:sz w:val="20"/>
          <w:szCs w:val="20"/>
        </w:rPr>
        <w:t>tvoří</w:t>
      </w:r>
      <w:r w:rsidRPr="00850F87">
        <w:rPr>
          <w:rFonts w:ascii="Arial" w:hAnsi="Arial" w:cs="Arial"/>
          <w:sz w:val="20"/>
          <w:szCs w:val="20"/>
        </w:rPr>
        <w:t xml:space="preserve"> jedinec nebo skupina osob, bydlících ve vybraném bytě, které </w:t>
      </w:r>
      <w:proofErr w:type="gramStart"/>
      <w:r w:rsidRPr="00850F87">
        <w:rPr>
          <w:rFonts w:ascii="Arial" w:hAnsi="Arial" w:cs="Arial"/>
          <w:sz w:val="20"/>
          <w:szCs w:val="20"/>
        </w:rPr>
        <w:t>spolu</w:t>
      </w:r>
      <w:proofErr w:type="gramEnd"/>
      <w:r w:rsidRPr="00850F87">
        <w:rPr>
          <w:rFonts w:ascii="Arial" w:hAnsi="Arial" w:cs="Arial"/>
          <w:sz w:val="20"/>
          <w:szCs w:val="20"/>
        </w:rPr>
        <w:t xml:space="preserve"> trvale žijí a společně hradí základní a provozní výdaje domácnosti.</w:t>
      </w:r>
    </w:p>
    <w:p w14:paraId="17A8A4F2" w14:textId="77777777" w:rsidR="00BF399E" w:rsidRDefault="00BF399E" w:rsidP="00BF399E">
      <w:pPr>
        <w:pStyle w:val="Zkladntext"/>
        <w:tabs>
          <w:tab w:val="left" w:pos="540"/>
        </w:tabs>
        <w:rPr>
          <w:i w:val="0"/>
          <w:iCs w:val="0"/>
          <w:lang w:val="cs-CZ"/>
        </w:rPr>
      </w:pPr>
    </w:p>
    <w:p w14:paraId="3BCC8A0B" w14:textId="77777777" w:rsidR="00BF399E" w:rsidRDefault="00BF399E" w:rsidP="00BF399E">
      <w:pPr>
        <w:pStyle w:val="Zkladntext"/>
        <w:tabs>
          <w:tab w:val="left" w:pos="540"/>
        </w:tabs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>Do jednotlivých skupin byly domácnosti zařazovány podle postavení osoby v čele domácnosti.</w:t>
      </w:r>
    </w:p>
    <w:p w14:paraId="30D88F54" w14:textId="77777777" w:rsidR="00BF399E" w:rsidRDefault="00BF399E" w:rsidP="00BF399E">
      <w:pPr>
        <w:pStyle w:val="Zkladntext"/>
        <w:tabs>
          <w:tab w:val="left" w:pos="540"/>
        </w:tabs>
        <w:rPr>
          <w:i w:val="0"/>
          <w:iCs w:val="0"/>
          <w:lang w:val="cs-CZ"/>
        </w:rPr>
      </w:pPr>
    </w:p>
    <w:p w14:paraId="7EFF605B" w14:textId="77777777" w:rsidR="00BF399E" w:rsidRDefault="00BF399E" w:rsidP="00BF399E">
      <w:pPr>
        <w:pStyle w:val="Zkladntext"/>
        <w:tabs>
          <w:tab w:val="left" w:pos="540"/>
        </w:tabs>
        <w:jc w:val="both"/>
        <w:rPr>
          <w:i w:val="0"/>
          <w:iCs w:val="0"/>
          <w:lang w:val="cs-CZ"/>
        </w:rPr>
      </w:pPr>
      <w:r>
        <w:rPr>
          <w:b/>
          <w:bCs/>
          <w:i w:val="0"/>
          <w:iCs w:val="0"/>
          <w:lang w:val="cs-CZ"/>
        </w:rPr>
        <w:t xml:space="preserve">Osobou v čele domácnosti </w:t>
      </w:r>
      <w:r>
        <w:rPr>
          <w:i w:val="0"/>
          <w:iCs w:val="0"/>
          <w:lang w:val="cs-CZ"/>
        </w:rPr>
        <w:t>je v úplných rodinách vždy muž (manžel, druh), bez ohledu na jeho ekonomickou aktivitu. V neúplných rodinách (jeden rodič s dětmi) se při určování osoby v čele přihlíží v prvé řadě k ekonomické aktivitě a ve druhé k výši peněžního příjmu jednotlivých členů domácnosti. Podle stejných pravidel se postupuje i u složitějších (vícegeneračních) typů hospodařících domácností.</w:t>
      </w:r>
    </w:p>
    <w:p w14:paraId="262070E8" w14:textId="15496189" w:rsidR="00BF399E" w:rsidRDefault="00BF399E" w:rsidP="00BF399E">
      <w:pPr>
        <w:pStyle w:val="Zkladntext"/>
        <w:tabs>
          <w:tab w:val="left" w:pos="540"/>
        </w:tabs>
        <w:rPr>
          <w:b/>
          <w:bCs/>
          <w:i w:val="0"/>
          <w:iCs w:val="0"/>
          <w:lang w:val="cs-CZ"/>
        </w:rPr>
      </w:pPr>
    </w:p>
    <w:p w14:paraId="3B2F7FE3" w14:textId="284A0D5E" w:rsidR="00C844A3" w:rsidRDefault="00C844A3" w:rsidP="00BF399E">
      <w:pPr>
        <w:pStyle w:val="Zkladntext"/>
        <w:tabs>
          <w:tab w:val="left" w:pos="540"/>
        </w:tabs>
        <w:rPr>
          <w:b/>
          <w:bCs/>
          <w:i w:val="0"/>
          <w:iCs w:val="0"/>
          <w:lang w:val="cs-CZ"/>
        </w:rPr>
      </w:pPr>
    </w:p>
    <w:p w14:paraId="3BEFAA30" w14:textId="77777777" w:rsidR="00C844A3" w:rsidRDefault="00C844A3" w:rsidP="00BF399E">
      <w:pPr>
        <w:pStyle w:val="Zkladntext"/>
        <w:tabs>
          <w:tab w:val="left" w:pos="540"/>
        </w:tabs>
        <w:rPr>
          <w:b/>
          <w:bCs/>
          <w:i w:val="0"/>
          <w:iCs w:val="0"/>
          <w:lang w:val="cs-CZ"/>
        </w:rPr>
      </w:pPr>
      <w:bookmarkStart w:id="0" w:name="_GoBack"/>
      <w:bookmarkEnd w:id="0"/>
    </w:p>
    <w:p w14:paraId="459832D9" w14:textId="77777777" w:rsidR="00BF399E" w:rsidRDefault="00BF399E" w:rsidP="00BF399E">
      <w:pPr>
        <w:pStyle w:val="Text"/>
        <w:spacing w:before="120"/>
        <w:ind w:firstLine="540"/>
        <w:rPr>
          <w:b/>
          <w:bCs/>
        </w:rPr>
      </w:pPr>
      <w:r>
        <w:lastRenderedPageBreak/>
        <w:t>Základní členění domácností podle</w:t>
      </w:r>
      <w:r>
        <w:rPr>
          <w:b/>
          <w:bCs/>
        </w:rPr>
        <w:t xml:space="preserve"> postavení osoby v čele:</w:t>
      </w:r>
    </w:p>
    <w:p w14:paraId="7AE37C01" w14:textId="77777777" w:rsidR="00BF399E" w:rsidRDefault="00BF399E" w:rsidP="00BF399E">
      <w:pPr>
        <w:pStyle w:val="Text"/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40"/>
      </w:pPr>
      <w:r>
        <w:rPr>
          <w:b/>
        </w:rPr>
        <w:t xml:space="preserve">Domácnosti celkem </w:t>
      </w:r>
      <w:r>
        <w:rPr>
          <w:bCs/>
        </w:rPr>
        <w:t>reprezentují průměrnou domácnost v ČR.</w:t>
      </w:r>
    </w:p>
    <w:p w14:paraId="04193604" w14:textId="77777777" w:rsidR="00BF399E" w:rsidRDefault="00BF399E" w:rsidP="00BF399E">
      <w:pPr>
        <w:pStyle w:val="Text"/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40"/>
      </w:pPr>
      <w:r>
        <w:rPr>
          <w:b/>
        </w:rPr>
        <w:t>Domácnosti zaměstnanců</w:t>
      </w:r>
      <w:r>
        <w:t xml:space="preserve"> jsou domácnosti s osobou v čele v pracovním nebo služebním poměru, která pracuje na základě pracovní smlouvy nebo na základě dohody (o pracovní činnosti, o provedení práce).</w:t>
      </w:r>
    </w:p>
    <w:p w14:paraId="5639F079" w14:textId="77777777" w:rsidR="00BF399E" w:rsidRDefault="00BF399E" w:rsidP="00BF399E">
      <w:pPr>
        <w:pStyle w:val="Text"/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40"/>
      </w:pPr>
      <w:r>
        <w:rPr>
          <w:b/>
          <w:bCs/>
        </w:rPr>
        <w:t>Domácnosti samostatně činných osob</w:t>
      </w:r>
      <w:r>
        <w:t xml:space="preserve"> jsou domácnost</w:t>
      </w:r>
      <w:r w:rsidR="00BE32FA">
        <w:t>i v čele s osobou zabývající se </w:t>
      </w:r>
      <w:r>
        <w:t xml:space="preserve">podnikáním nebo výkonem nezávislého povolání v jakémkoliv oboru. </w:t>
      </w:r>
    </w:p>
    <w:p w14:paraId="07CB3491" w14:textId="3768BD13" w:rsidR="00BF399E" w:rsidRDefault="00BF399E" w:rsidP="00BF399E">
      <w:pPr>
        <w:pStyle w:val="Text"/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40"/>
        <w:rPr>
          <w:bCs/>
        </w:rPr>
      </w:pPr>
      <w:r>
        <w:rPr>
          <w:b/>
        </w:rPr>
        <w:t xml:space="preserve">Domácnosti důchodců bez pracujících členů </w:t>
      </w:r>
      <w:r>
        <w:rPr>
          <w:bCs/>
        </w:rPr>
        <w:t>mají v če</w:t>
      </w:r>
      <w:r w:rsidR="00BE32FA">
        <w:rPr>
          <w:bCs/>
        </w:rPr>
        <w:t xml:space="preserve">le osobu, která pobírá </w:t>
      </w:r>
      <w:r w:rsidR="00BE32FA" w:rsidRPr="0050142A">
        <w:rPr>
          <w:bCs/>
        </w:rPr>
        <w:t>důchod</w:t>
      </w:r>
      <w:r w:rsidR="009839FE" w:rsidRPr="0050142A">
        <w:t xml:space="preserve"> (kromě sirotčího)</w:t>
      </w:r>
      <w:r w:rsidR="00BE32FA" w:rsidRPr="0050142A">
        <w:rPr>
          <w:bCs/>
        </w:rPr>
        <w:t xml:space="preserve"> </w:t>
      </w:r>
      <w:r w:rsidR="00BE32FA">
        <w:rPr>
          <w:bCs/>
        </w:rPr>
        <w:t>a </w:t>
      </w:r>
      <w:r>
        <w:rPr>
          <w:bCs/>
        </w:rPr>
        <w:t xml:space="preserve">nepracuje buď vůbec, nebo jen velmi omezeně. Stejná podmínka platí i pro ostatní členy domácnosti. </w:t>
      </w:r>
    </w:p>
    <w:p w14:paraId="19AC53A7" w14:textId="77777777" w:rsidR="00BF399E" w:rsidRDefault="00BF399E" w:rsidP="00BF399E">
      <w:pPr>
        <w:pStyle w:val="Text"/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40"/>
      </w:pPr>
      <w:r>
        <w:rPr>
          <w:b/>
        </w:rPr>
        <w:t xml:space="preserve">Domácnosti nezaměstnaných </w:t>
      </w:r>
      <w:r>
        <w:t>jsou domácnosti v čele s nezaměstnanou osobou, přičemž není rozhodující, zda pobírá podporu v nezaměstnanosti či nikoliv.</w:t>
      </w:r>
    </w:p>
    <w:p w14:paraId="0311F142" w14:textId="77777777" w:rsidR="00BF399E" w:rsidRDefault="00BF399E" w:rsidP="00BF399E">
      <w:pPr>
        <w:pStyle w:val="Text"/>
        <w:spacing w:before="120"/>
        <w:ind w:firstLine="709"/>
        <w:rPr>
          <w:b/>
        </w:rPr>
      </w:pPr>
    </w:p>
    <w:p w14:paraId="62611E4E" w14:textId="77777777" w:rsidR="00BF399E" w:rsidRDefault="00B26B49" w:rsidP="00BF39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Vyživované</w:t>
      </w:r>
      <w:r w:rsidR="00BF399E">
        <w:rPr>
          <w:rFonts w:ascii="Arial" w:hAnsi="Arial" w:cs="Arial"/>
          <w:b/>
          <w:bCs/>
          <w:sz w:val="20"/>
        </w:rPr>
        <w:t xml:space="preserve"> dítě - </w:t>
      </w:r>
      <w:r w:rsidR="00BF399E">
        <w:rPr>
          <w:rFonts w:ascii="Arial" w:hAnsi="Arial" w:cs="Arial"/>
          <w:sz w:val="20"/>
        </w:rPr>
        <w:t>dítě do skončení povinné školní docházky a dále dítě, které se soustavně, nejdéle však do 26 let, připravuje na budoucí povolání, i když má vlastní příjem (sirotčí důchod, stipendium, sociální dávky, příjmy z krátkodobé pracovní činnosti) a dále dítě, které se pro svůj duševní nebo tělesný stav není schopno připravovat na budoucí povolání nebo si zajistit vlastní obživu a dosud nepobírá invalidní důchod.</w:t>
      </w:r>
    </w:p>
    <w:p w14:paraId="42D4926B" w14:textId="77777777" w:rsidR="00BF399E" w:rsidRDefault="00BF399E" w:rsidP="00BF399E">
      <w:pPr>
        <w:tabs>
          <w:tab w:val="left" w:pos="540"/>
        </w:tabs>
        <w:jc w:val="both"/>
        <w:rPr>
          <w:rFonts w:ascii="Arial" w:hAnsi="Arial" w:cs="Arial"/>
          <w:b/>
          <w:bCs/>
          <w:sz w:val="20"/>
        </w:rPr>
      </w:pPr>
    </w:p>
    <w:p w14:paraId="7001FBEB" w14:textId="77777777" w:rsidR="00BF399E" w:rsidRDefault="00BF399E" w:rsidP="00BF399E">
      <w:pPr>
        <w:tabs>
          <w:tab w:val="left" w:pos="5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Pracující</w:t>
      </w:r>
      <w:r>
        <w:rPr>
          <w:rFonts w:ascii="Arial" w:hAnsi="Arial" w:cs="Arial"/>
          <w:sz w:val="20"/>
        </w:rPr>
        <w:t xml:space="preserve"> - osoby, které po celý rok, příp. jeho převážnou část, měly placené zaměstnání (zaměstnanci) nebo byly tzv. </w:t>
      </w:r>
      <w:proofErr w:type="spellStart"/>
      <w:r>
        <w:rPr>
          <w:rFonts w:ascii="Arial" w:hAnsi="Arial" w:cs="Arial"/>
          <w:sz w:val="20"/>
        </w:rPr>
        <w:t>sebezaměstnané</w:t>
      </w:r>
      <w:proofErr w:type="spellEnd"/>
      <w:r>
        <w:rPr>
          <w:rFonts w:ascii="Arial" w:hAnsi="Arial" w:cs="Arial"/>
          <w:sz w:val="20"/>
        </w:rPr>
        <w:t xml:space="preserve"> (samostatně činní, pomáhající rodinní příslušníci). Započteni jsou také studenti, důchodci a osoby pobírající rodičovský příspěvek s pravidelnými příjmy ze závislé činnosti nebo z podnikání. Nejsou zahrnuty osoby, které byly celý rok, resp. převažující část roku nezaměstnané.</w:t>
      </w:r>
    </w:p>
    <w:p w14:paraId="172A598A" w14:textId="77777777" w:rsidR="00BF399E" w:rsidRDefault="00BF399E" w:rsidP="00BF399E">
      <w:pPr>
        <w:tabs>
          <w:tab w:val="left" w:pos="540"/>
        </w:tabs>
        <w:jc w:val="both"/>
        <w:rPr>
          <w:rFonts w:ascii="Arial" w:hAnsi="Arial" w:cs="Arial"/>
          <w:sz w:val="20"/>
        </w:rPr>
      </w:pPr>
    </w:p>
    <w:p w14:paraId="4EB9BDA7" w14:textId="77777777" w:rsidR="00BF399E" w:rsidRDefault="00BE6325" w:rsidP="00BF399E">
      <w:pPr>
        <w:tabs>
          <w:tab w:val="left" w:pos="5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Nejvyšší dosažené v</w:t>
      </w:r>
      <w:r w:rsidR="00BF399E">
        <w:rPr>
          <w:rFonts w:ascii="Arial" w:hAnsi="Arial" w:cs="Arial"/>
          <w:b/>
          <w:bCs/>
          <w:sz w:val="20"/>
        </w:rPr>
        <w:t xml:space="preserve">zdělání </w:t>
      </w:r>
      <w:r w:rsidR="00BF399E">
        <w:rPr>
          <w:rFonts w:ascii="Arial" w:hAnsi="Arial" w:cs="Arial"/>
          <w:sz w:val="20"/>
        </w:rPr>
        <w:t>je rozděleno do 4 stupňů: základní</w:t>
      </w:r>
      <w:r w:rsidR="000D76AE">
        <w:rPr>
          <w:rFonts w:ascii="Arial" w:hAnsi="Arial" w:cs="Arial"/>
          <w:sz w:val="20"/>
        </w:rPr>
        <w:t xml:space="preserve"> (vč. neukončeného)</w:t>
      </w:r>
      <w:r w:rsidR="00BF399E">
        <w:rPr>
          <w:rFonts w:ascii="Arial" w:hAnsi="Arial" w:cs="Arial"/>
          <w:sz w:val="20"/>
        </w:rPr>
        <w:t xml:space="preserve">, vyučení, úplné střední a vysokoškolské. Úplné střední vzdělání zahrnuje též vyučení s maturitou a pomaturitní studium. </w:t>
      </w:r>
      <w:r w:rsidR="000D76AE">
        <w:rPr>
          <w:rFonts w:ascii="Arial" w:hAnsi="Arial" w:cs="Arial"/>
          <w:sz w:val="20"/>
        </w:rPr>
        <w:t xml:space="preserve">Absolvování </w:t>
      </w:r>
      <w:r w:rsidR="00BF399E">
        <w:rPr>
          <w:rFonts w:ascii="Arial" w:hAnsi="Arial" w:cs="Arial"/>
          <w:sz w:val="20"/>
        </w:rPr>
        <w:t>vyšší odborné školy</w:t>
      </w:r>
      <w:r w:rsidR="000D76AE">
        <w:rPr>
          <w:rFonts w:ascii="Arial" w:hAnsi="Arial" w:cs="Arial"/>
          <w:sz w:val="20"/>
        </w:rPr>
        <w:t xml:space="preserve"> je</w:t>
      </w:r>
      <w:r w:rsidR="00BF399E">
        <w:rPr>
          <w:rFonts w:ascii="Arial" w:hAnsi="Arial" w:cs="Arial"/>
          <w:sz w:val="20"/>
        </w:rPr>
        <w:t xml:space="preserve"> zařazeno do vysokoškolského vzdělání. To dále zahrnuje všechny programy vysokoškolského studia, včetně bakalářského a doktorského.</w:t>
      </w:r>
    </w:p>
    <w:p w14:paraId="46AD8430" w14:textId="77777777" w:rsidR="00BF399E" w:rsidRDefault="00BF399E" w:rsidP="00BF399E">
      <w:pPr>
        <w:tabs>
          <w:tab w:val="left" w:pos="540"/>
        </w:tabs>
        <w:jc w:val="both"/>
      </w:pPr>
    </w:p>
    <w:p w14:paraId="09B4FB16" w14:textId="77777777" w:rsidR="00BF399E" w:rsidRDefault="00BF399E" w:rsidP="00BF399E">
      <w:pPr>
        <w:tabs>
          <w:tab w:val="left" w:pos="540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Hrubý peněžní příjem </w:t>
      </w:r>
      <w:r>
        <w:rPr>
          <w:rFonts w:ascii="Arial" w:hAnsi="Arial"/>
          <w:sz w:val="20"/>
        </w:rPr>
        <w:t xml:space="preserve">domácnosti zahrnuje daň z příjmů a příspěvky na zdravotní a sociální pojištění, nezahrnuje vybrané úspory, výpůjčky. Hrubé příjmy z podnikání představují hospodářský výsledek (rozdíl mezi příjmy a výdaji) snížený o zaplacené pojistné na sociální zabezpečení, příspěvek na státní politiku zaměstnanosti </w:t>
      </w:r>
      <w:r w:rsidR="00BB0E3B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pojistné na </w:t>
      </w:r>
      <w:r w:rsidR="00BB0E3B">
        <w:rPr>
          <w:rFonts w:ascii="Arial" w:hAnsi="Arial"/>
          <w:sz w:val="20"/>
        </w:rPr>
        <w:t>z</w:t>
      </w:r>
      <w:r>
        <w:rPr>
          <w:rFonts w:ascii="Arial" w:hAnsi="Arial"/>
          <w:sz w:val="20"/>
        </w:rPr>
        <w:t>dravotní pojištění.</w:t>
      </w:r>
    </w:p>
    <w:p w14:paraId="7F111FB4" w14:textId="77777777" w:rsidR="00BF399E" w:rsidRDefault="00BF399E" w:rsidP="00BF399E">
      <w:pPr>
        <w:tabs>
          <w:tab w:val="left" w:pos="540"/>
        </w:tabs>
        <w:jc w:val="both"/>
        <w:rPr>
          <w:rFonts w:ascii="Arial" w:hAnsi="Arial"/>
          <w:sz w:val="20"/>
        </w:rPr>
      </w:pPr>
    </w:p>
    <w:p w14:paraId="4EFA3CBE" w14:textId="77777777" w:rsidR="00BF399E" w:rsidRDefault="00BF399E" w:rsidP="00BF399E">
      <w:pPr>
        <w:pStyle w:val="Nadpis2"/>
        <w:tabs>
          <w:tab w:val="left" w:pos="540"/>
        </w:tabs>
        <w:rPr>
          <w:rFonts w:cs="Arial"/>
          <w:i w:val="0"/>
          <w:iCs/>
        </w:rPr>
      </w:pPr>
      <w:r>
        <w:rPr>
          <w:rFonts w:cs="Arial"/>
          <w:b/>
          <w:bCs/>
          <w:i w:val="0"/>
          <w:iCs/>
        </w:rPr>
        <w:t>Čistým peněžním příjmem</w:t>
      </w:r>
      <w:r>
        <w:rPr>
          <w:rFonts w:cs="Arial"/>
          <w:i w:val="0"/>
          <w:iCs/>
        </w:rPr>
        <w:t xml:space="preserve"> domácnosti se rozumí příjmy všech členů domácnosti po odečtení daně z příjmu a srážek na zdravotní a sociální pojištění.</w:t>
      </w:r>
    </w:p>
    <w:p w14:paraId="70F924B4" w14:textId="77777777" w:rsidR="00BF399E" w:rsidRPr="00830A12" w:rsidRDefault="00BF399E" w:rsidP="00BF399E"/>
    <w:p w14:paraId="21020BDF" w14:textId="2AB5DC34" w:rsidR="00BF399E" w:rsidRDefault="00BF399E" w:rsidP="008269AF">
      <w:pPr>
        <w:tabs>
          <w:tab w:val="left" w:pos="5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Osoby ohrožené </w:t>
      </w:r>
      <w:r w:rsidRPr="008A62AE">
        <w:rPr>
          <w:rFonts w:ascii="Arial" w:hAnsi="Arial" w:cs="Arial"/>
          <w:b/>
          <w:bCs/>
          <w:sz w:val="20"/>
        </w:rPr>
        <w:t>příjmovou chudobou</w:t>
      </w:r>
      <w:r w:rsidRPr="008A62AE">
        <w:rPr>
          <w:rFonts w:ascii="Arial" w:hAnsi="Arial" w:cs="Arial"/>
          <w:sz w:val="20"/>
        </w:rPr>
        <w:t xml:space="preserve"> (tab. 1-</w:t>
      </w:r>
      <w:r w:rsidR="0050142A">
        <w:rPr>
          <w:rFonts w:ascii="Arial" w:hAnsi="Arial" w:cs="Arial"/>
          <w:sz w:val="20"/>
        </w:rPr>
        <w:t>37</w:t>
      </w:r>
      <w:r w:rsidR="000E2111">
        <w:rPr>
          <w:rFonts w:ascii="Arial" w:hAnsi="Arial" w:cs="Arial"/>
          <w:sz w:val="20"/>
        </w:rPr>
        <w:t>)</w:t>
      </w:r>
      <w:r w:rsidRPr="008A62AE">
        <w:rPr>
          <w:rFonts w:ascii="Arial" w:hAnsi="Arial" w:cs="Arial"/>
          <w:sz w:val="20"/>
        </w:rPr>
        <w:t xml:space="preserve"> jsou</w:t>
      </w:r>
      <w:r>
        <w:rPr>
          <w:rFonts w:ascii="Arial" w:hAnsi="Arial" w:cs="Arial"/>
          <w:sz w:val="20"/>
        </w:rPr>
        <w:t xml:space="preserve"> osoby žijící v domácnostech, jejichž </w:t>
      </w:r>
      <w:proofErr w:type="spellStart"/>
      <w:r>
        <w:rPr>
          <w:rFonts w:ascii="Arial" w:hAnsi="Arial" w:cs="Arial"/>
          <w:sz w:val="20"/>
        </w:rPr>
        <w:t>ekvivalizovaný</w:t>
      </w:r>
      <w:proofErr w:type="spellEnd"/>
      <w:r>
        <w:rPr>
          <w:rFonts w:ascii="Arial" w:hAnsi="Arial" w:cs="Arial"/>
          <w:sz w:val="20"/>
        </w:rPr>
        <w:t xml:space="preserve"> disponibilní příjem je nižší než 60 % hodnoty mediánu tohoto příjmu za domácnosti celkem (tj. nižší než hranice chudoby). </w:t>
      </w:r>
      <w:proofErr w:type="spellStart"/>
      <w:r>
        <w:rPr>
          <w:rFonts w:ascii="Arial" w:hAnsi="Arial" w:cs="Arial"/>
          <w:sz w:val="20"/>
        </w:rPr>
        <w:t>Ekvivalizovaný</w:t>
      </w:r>
      <w:proofErr w:type="spellEnd"/>
      <w:r>
        <w:rPr>
          <w:rFonts w:ascii="Arial" w:hAnsi="Arial" w:cs="Arial"/>
          <w:sz w:val="20"/>
        </w:rPr>
        <w:t xml:space="preserve"> disponibilní příjem domácnosti se stanoví jako podíl disponibilního příjmu domácnosti a počtu jejích spotřebních jednotek (podle modifikované stupnice OECD). Takto vypočtený příjem je následně přiřazen všem osobám v příslušné domácnosti.</w:t>
      </w:r>
    </w:p>
    <w:p w14:paraId="668E34DD" w14:textId="77777777" w:rsidR="00BF399E" w:rsidRDefault="00BF399E" w:rsidP="00BF399E">
      <w:pPr>
        <w:jc w:val="both"/>
        <w:rPr>
          <w:rFonts w:ascii="Arial" w:hAnsi="Arial" w:cs="Arial"/>
          <w:b/>
          <w:bCs/>
          <w:sz w:val="20"/>
        </w:rPr>
      </w:pPr>
    </w:p>
    <w:p w14:paraId="788EEDBB" w14:textId="7BD304B4" w:rsidR="00BF399E" w:rsidRDefault="00BF399E" w:rsidP="00BF399E">
      <w:pPr>
        <w:spacing w:after="1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Vzdělanostní úroveň domácnosti</w:t>
      </w:r>
      <w:r>
        <w:rPr>
          <w:rFonts w:ascii="Arial" w:hAnsi="Arial" w:cs="Arial"/>
          <w:sz w:val="20"/>
        </w:rPr>
        <w:t xml:space="preserve"> se určuje podle nejvyššího dosaženého stupně vzdělání osoby v čele, v úplných rodinách se bere v úvahu i vzdělání druhého partnera</w:t>
      </w:r>
      <w:r w:rsidR="00C7705C">
        <w:rPr>
          <w:rFonts w:ascii="Arial" w:hAnsi="Arial" w:cs="Arial"/>
          <w:sz w:val="20"/>
        </w:rPr>
        <w:t>:</w:t>
      </w:r>
    </w:p>
    <w:p w14:paraId="1E430AE8" w14:textId="69686619" w:rsidR="00BF399E" w:rsidRDefault="00BF399E" w:rsidP="00BF399E">
      <w:pPr>
        <w:numPr>
          <w:ilvl w:val="0"/>
          <w:numId w:val="6"/>
        </w:numPr>
        <w:tabs>
          <w:tab w:val="clear" w:pos="720"/>
          <w:tab w:val="num" w:pos="540"/>
        </w:tabs>
        <w:spacing w:after="140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nízká úroveň – osoba v čele má základní vzdělání, resp. je bez vzdělání; v úplných rodinách mají odpovídající vzdělání oba partneři</w:t>
      </w:r>
      <w:r w:rsidR="00C7705C">
        <w:rPr>
          <w:rFonts w:ascii="Arial" w:hAnsi="Arial" w:cs="Arial"/>
          <w:sz w:val="20"/>
        </w:rPr>
        <w:t>;</w:t>
      </w:r>
    </w:p>
    <w:p w14:paraId="0D063662" w14:textId="3C4F81CC" w:rsidR="00BF399E" w:rsidRDefault="00BF399E" w:rsidP="00BF399E">
      <w:pPr>
        <w:numPr>
          <w:ilvl w:val="0"/>
          <w:numId w:val="6"/>
        </w:numPr>
        <w:tabs>
          <w:tab w:val="clear" w:pos="720"/>
          <w:tab w:val="num" w:pos="540"/>
        </w:tabs>
        <w:spacing w:after="140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střední úroveň – osoba v čele, resp. alespoň jeden z partnerů má středoškolské vzdělání, žádný z nich nemá vysokoškolské vzdělání</w:t>
      </w:r>
      <w:r w:rsidR="00C7705C">
        <w:rPr>
          <w:rFonts w:ascii="Arial" w:hAnsi="Arial" w:cs="Arial"/>
          <w:sz w:val="20"/>
        </w:rPr>
        <w:t>;</w:t>
      </w:r>
    </w:p>
    <w:p w14:paraId="426107BF" w14:textId="58A8349A" w:rsidR="00BF399E" w:rsidRDefault="00BF399E" w:rsidP="00BF399E">
      <w:pPr>
        <w:numPr>
          <w:ilvl w:val="0"/>
          <w:numId w:val="6"/>
        </w:numPr>
        <w:tabs>
          <w:tab w:val="clear" w:pos="720"/>
          <w:tab w:val="num" w:pos="540"/>
        </w:tabs>
        <w:spacing w:after="200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vysoká úroveň – osoba v čele, resp. alespoň jeden z partnerů má vysokoškolské vzdělání</w:t>
      </w:r>
      <w:r w:rsidR="00C7705C">
        <w:rPr>
          <w:rFonts w:ascii="Arial" w:hAnsi="Arial" w:cs="Arial"/>
          <w:sz w:val="20"/>
        </w:rPr>
        <w:t>.</w:t>
      </w:r>
    </w:p>
    <w:p w14:paraId="1F73026E" w14:textId="77777777" w:rsidR="00BF399E" w:rsidRDefault="00BF399E" w:rsidP="00BF399E">
      <w:pPr>
        <w:ind w:firstLine="540"/>
        <w:jc w:val="both"/>
        <w:rPr>
          <w:rFonts w:ascii="Arial" w:hAnsi="Arial" w:cs="Arial"/>
          <w:sz w:val="20"/>
        </w:rPr>
      </w:pPr>
    </w:p>
    <w:p w14:paraId="1A30F9D9" w14:textId="77777777" w:rsidR="00BF399E" w:rsidRDefault="00BF399E" w:rsidP="00BF399E">
      <w:pPr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Publikované indikátory chudoby patří do souboru ukazatelů používaných k hodnocení míry ohrožení chudobou.</w:t>
      </w:r>
    </w:p>
    <w:p w14:paraId="63EDC309" w14:textId="77777777" w:rsidR="00BF399E" w:rsidRDefault="00BF399E" w:rsidP="00BF399E">
      <w:pPr>
        <w:spacing w:after="60"/>
        <w:ind w:firstLine="709"/>
        <w:jc w:val="both"/>
        <w:rPr>
          <w:rFonts w:ascii="Arial" w:hAnsi="Arial" w:cs="Arial"/>
          <w:sz w:val="20"/>
        </w:rPr>
      </w:pPr>
    </w:p>
    <w:p w14:paraId="33601BDE" w14:textId="77777777" w:rsidR="00BF399E" w:rsidRDefault="00BF399E" w:rsidP="00BF399E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Koeficient příjmové nerovnosti</w:t>
      </w:r>
      <w:r>
        <w:rPr>
          <w:rFonts w:ascii="Arial" w:hAnsi="Arial" w:cs="Arial"/>
          <w:sz w:val="20"/>
        </w:rPr>
        <w:t> </w:t>
      </w:r>
      <w:r w:rsidR="00753230">
        <w:rPr>
          <w:rFonts w:ascii="Arial" w:hAnsi="Arial" w:cs="Arial"/>
          <w:sz w:val="20"/>
        </w:rPr>
        <w:t>je</w:t>
      </w:r>
      <w:r>
        <w:rPr>
          <w:rFonts w:ascii="Arial" w:hAnsi="Arial" w:cs="Arial"/>
          <w:b/>
          <w:bCs/>
          <w:sz w:val="20"/>
        </w:rPr>
        <w:t> </w:t>
      </w:r>
      <w:r>
        <w:rPr>
          <w:rFonts w:ascii="Arial" w:hAnsi="Arial" w:cs="Arial"/>
          <w:sz w:val="20"/>
        </w:rPr>
        <w:t>poměr objemu příjmů 20 % osob s nejvyššími příjmy a</w:t>
      </w:r>
      <w:r w:rsidR="00BE32FA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20</w:t>
      </w:r>
      <w:r w:rsidR="00C8696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 osob s nejnižšími příjmy na spotřební jednotku podle modifikované stupnice OECD. Vyšší hodnota koeficientu znamená vyšší diferenciaci příjmů.</w:t>
      </w:r>
    </w:p>
    <w:p w14:paraId="0919E732" w14:textId="77777777" w:rsidR="00BF399E" w:rsidRDefault="00BF399E" w:rsidP="00BF399E">
      <w:pPr>
        <w:spacing w:after="60"/>
        <w:jc w:val="both"/>
        <w:rPr>
          <w:rFonts w:ascii="Arial" w:hAnsi="Arial" w:cs="Arial"/>
          <w:sz w:val="20"/>
        </w:rPr>
      </w:pPr>
    </w:p>
    <w:p w14:paraId="41C730F2" w14:textId="77777777" w:rsidR="00BF399E" w:rsidRDefault="00BF399E" w:rsidP="00BF399E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Indikátor relativního propadu příjmů</w:t>
      </w:r>
      <w:r>
        <w:rPr>
          <w:rFonts w:ascii="Arial" w:hAnsi="Arial" w:cs="Arial"/>
          <w:sz w:val="20"/>
        </w:rPr>
        <w:t xml:space="preserve"> </w:t>
      </w:r>
      <w:r w:rsidR="00753230">
        <w:rPr>
          <w:rFonts w:ascii="Arial" w:hAnsi="Arial" w:cs="Arial"/>
          <w:sz w:val="20"/>
        </w:rPr>
        <w:t>je</w:t>
      </w:r>
      <w:r w:rsidR="000E21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rozdíl mezi mediánem příjmu osob pod hranicí chudoby a danou hranicí chudoby, vyjádřený v % z této hranice. Vyšší hodnota koeficientu značí hlubší propad osob pod hranici chudoby.</w:t>
      </w:r>
    </w:p>
    <w:p w14:paraId="11AD8E35" w14:textId="77777777" w:rsidR="00BF399E" w:rsidRDefault="00BF399E" w:rsidP="00BF399E">
      <w:pPr>
        <w:pStyle w:val="Obsah1"/>
      </w:pPr>
    </w:p>
    <w:p w14:paraId="4A353602" w14:textId="77777777" w:rsidR="00BF399E" w:rsidRDefault="00BF399E" w:rsidP="00BF399E">
      <w:pPr>
        <w:ind w:firstLine="708"/>
        <w:jc w:val="both"/>
      </w:pPr>
      <w:proofErr w:type="spellStart"/>
      <w:r>
        <w:rPr>
          <w:rFonts w:ascii="Arial" w:hAnsi="Arial" w:cs="Arial"/>
          <w:b/>
          <w:bCs/>
          <w:sz w:val="20"/>
        </w:rPr>
        <w:t>Gini</w:t>
      </w:r>
      <w:r w:rsidR="0041354C">
        <w:rPr>
          <w:rFonts w:ascii="Arial" w:hAnsi="Arial" w:cs="Arial"/>
          <w:b/>
          <w:bCs/>
          <w:sz w:val="20"/>
        </w:rPr>
        <w:t>ho</w:t>
      </w:r>
      <w:proofErr w:type="spellEnd"/>
      <w:r>
        <w:rPr>
          <w:rFonts w:ascii="Arial" w:hAnsi="Arial" w:cs="Arial"/>
          <w:b/>
          <w:bCs/>
          <w:sz w:val="20"/>
        </w:rPr>
        <w:t xml:space="preserve"> koeficient</w:t>
      </w:r>
      <w:r>
        <w:rPr>
          <w:rFonts w:ascii="Arial" w:hAnsi="Arial" w:cs="Arial"/>
          <w:sz w:val="20"/>
        </w:rPr>
        <w:t xml:space="preserve"> </w:t>
      </w:r>
      <w:r w:rsidR="00753230">
        <w:rPr>
          <w:rFonts w:ascii="Arial" w:hAnsi="Arial" w:cs="Arial"/>
          <w:sz w:val="20"/>
        </w:rPr>
        <w:t xml:space="preserve">se </w:t>
      </w:r>
      <w:r>
        <w:rPr>
          <w:rFonts w:ascii="Arial" w:hAnsi="Arial" w:cs="Arial"/>
          <w:sz w:val="20"/>
        </w:rPr>
        <w:t>počítá z celého souboru osob uspořádaných vzestupně podle výše příjmu na spotřební jednotku podle modifikované stupnice OECD. Vyjadřuje vztah mezi kumulativním podílem počtu osob a kumulativním podílem jejich příjmů. Vyšší hodnota značí vyšší nerovnost v příjmech.</w:t>
      </w:r>
    </w:p>
    <w:p w14:paraId="7665D1C0" w14:textId="77777777" w:rsidR="00CA686B" w:rsidRDefault="00CA686B" w:rsidP="00BF399E">
      <w:pPr>
        <w:pStyle w:val="Nadpis3"/>
        <w:spacing w:after="140"/>
      </w:pPr>
    </w:p>
    <w:sectPr w:rsidR="00CA686B" w:rsidSect="006E062F">
      <w:footerReference w:type="even" r:id="rId8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5D409" w14:textId="77777777" w:rsidR="00F45B90" w:rsidRDefault="00F45B90">
      <w:r>
        <w:separator/>
      </w:r>
    </w:p>
  </w:endnote>
  <w:endnote w:type="continuationSeparator" w:id="0">
    <w:p w14:paraId="529069B1" w14:textId="77777777" w:rsidR="00F45B90" w:rsidRDefault="00F45B90">
      <w:r>
        <w:continuationSeparator/>
      </w:r>
    </w:p>
  </w:endnote>
  <w:endnote w:type="continuationNotice" w:id="1">
    <w:p w14:paraId="1798F27D" w14:textId="77777777" w:rsidR="00F45B90" w:rsidRDefault="00F45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E8CE0" w14:textId="77777777" w:rsidR="00CA686B" w:rsidRDefault="00A937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A686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7F55C1" w14:textId="77777777" w:rsidR="00CA686B" w:rsidRDefault="00CA68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AC34C" w14:textId="77777777" w:rsidR="00F45B90" w:rsidRDefault="00F45B90">
      <w:r>
        <w:separator/>
      </w:r>
    </w:p>
  </w:footnote>
  <w:footnote w:type="continuationSeparator" w:id="0">
    <w:p w14:paraId="4CEA97F9" w14:textId="77777777" w:rsidR="00F45B90" w:rsidRDefault="00F45B90">
      <w:r>
        <w:continuationSeparator/>
      </w:r>
    </w:p>
  </w:footnote>
  <w:footnote w:type="continuationNotice" w:id="1">
    <w:p w14:paraId="2C3931CB" w14:textId="77777777" w:rsidR="00F45B90" w:rsidRDefault="00F45B90"/>
  </w:footnote>
  <w:footnote w:id="2">
    <w:p w14:paraId="025E7909" w14:textId="72D011CC" w:rsidR="00176949" w:rsidRPr="00176949" w:rsidRDefault="00176949">
      <w:pPr>
        <w:pStyle w:val="Textpoznpodarou"/>
        <w:rPr>
          <w:rFonts w:ascii="Arial" w:hAnsi="Arial" w:cs="Arial"/>
          <w:i/>
          <w:sz w:val="18"/>
          <w:szCs w:val="18"/>
        </w:rPr>
      </w:pPr>
      <w:r w:rsidRPr="00176949">
        <w:rPr>
          <w:rStyle w:val="Znakapoznpodarou"/>
          <w:rFonts w:ascii="Arial" w:hAnsi="Arial" w:cs="Arial"/>
          <w:sz w:val="18"/>
          <w:szCs w:val="18"/>
        </w:rPr>
        <w:footnoteRef/>
      </w:r>
      <w:r w:rsidRPr="00176949">
        <w:rPr>
          <w:rFonts w:ascii="Arial" w:hAnsi="Arial" w:cs="Arial"/>
          <w:sz w:val="18"/>
          <w:szCs w:val="18"/>
        </w:rPr>
        <w:t xml:space="preserve"> </w:t>
      </w:r>
      <w:r w:rsidRPr="00176949">
        <w:rPr>
          <w:rFonts w:ascii="Arial" w:hAnsi="Arial" w:cs="Arial"/>
          <w:i/>
          <w:sz w:val="18"/>
          <w:szCs w:val="18"/>
        </w:rPr>
        <w:t>Počínaje rokem 2021 bilance navazují na výsledky sčítání 2021, bilance v letech 2011–2020 vycház</w:t>
      </w:r>
      <w:r>
        <w:rPr>
          <w:rFonts w:ascii="Arial" w:hAnsi="Arial" w:cs="Arial"/>
          <w:i/>
          <w:sz w:val="18"/>
          <w:szCs w:val="18"/>
        </w:rPr>
        <w:t>ela</w:t>
      </w:r>
      <w:r w:rsidRPr="00176949">
        <w:rPr>
          <w:rFonts w:ascii="Arial" w:hAnsi="Arial" w:cs="Arial"/>
          <w:i/>
          <w:sz w:val="18"/>
          <w:szCs w:val="18"/>
        </w:rPr>
        <w:t xml:space="preserve"> z</w:t>
      </w:r>
      <w:r w:rsidR="00C844A3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výsledků</w:t>
      </w:r>
      <w:r w:rsidRPr="00176949">
        <w:rPr>
          <w:rFonts w:ascii="Arial" w:hAnsi="Arial" w:cs="Arial"/>
          <w:i/>
          <w:sz w:val="18"/>
          <w:szCs w:val="18"/>
        </w:rPr>
        <w:t xml:space="preserve"> sčítání 2011 atd.</w:t>
      </w:r>
    </w:p>
  </w:footnote>
  <w:footnote w:id="3">
    <w:p w14:paraId="471229E9" w14:textId="5C6B2934" w:rsidR="0039025B" w:rsidRDefault="0039025B">
      <w:pPr>
        <w:pStyle w:val="Textpoznpodarou"/>
      </w:pPr>
      <w:r w:rsidRPr="0039025B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39025B">
        <w:rPr>
          <w:rFonts w:ascii="Arial" w:hAnsi="Arial" w:cs="Arial"/>
          <w:i/>
          <w:sz w:val="18"/>
          <w:szCs w:val="18"/>
        </w:rPr>
        <w:t xml:space="preserve"> Blíže viz https://www.czso.cz/csu/czso/pohyb-obyvatelstva-metodika.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D26"/>
    <w:multiLevelType w:val="hybridMultilevel"/>
    <w:tmpl w:val="9EB8A8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7048"/>
    <w:multiLevelType w:val="hybridMultilevel"/>
    <w:tmpl w:val="F1366410"/>
    <w:lvl w:ilvl="0" w:tplc="8E68A97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DB7147F"/>
    <w:multiLevelType w:val="hybridMultilevel"/>
    <w:tmpl w:val="E70698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7733E"/>
    <w:multiLevelType w:val="hybridMultilevel"/>
    <w:tmpl w:val="B8064D2A"/>
    <w:lvl w:ilvl="0" w:tplc="E7F417EE">
      <w:start w:val="1"/>
      <w:numFmt w:val="bullet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color w:val="000000"/>
        <w:effect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34E09"/>
    <w:multiLevelType w:val="hybridMultilevel"/>
    <w:tmpl w:val="EFD09A7E"/>
    <w:lvl w:ilvl="0" w:tplc="E7F417EE">
      <w:start w:val="1"/>
      <w:numFmt w:val="bullet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color w:val="000000"/>
        <w:effect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A7682"/>
    <w:multiLevelType w:val="hybridMultilevel"/>
    <w:tmpl w:val="6FC69FA6"/>
    <w:lvl w:ilvl="0" w:tplc="039E299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9E"/>
    <w:rsid w:val="00001644"/>
    <w:rsid w:val="0004448C"/>
    <w:rsid w:val="00063546"/>
    <w:rsid w:val="00094845"/>
    <w:rsid w:val="00097AA9"/>
    <w:rsid w:val="000C2421"/>
    <w:rsid w:val="000C342C"/>
    <w:rsid w:val="000C512C"/>
    <w:rsid w:val="000D76AE"/>
    <w:rsid w:val="000E0B84"/>
    <w:rsid w:val="000E2111"/>
    <w:rsid w:val="001076C4"/>
    <w:rsid w:val="0014360E"/>
    <w:rsid w:val="001712CE"/>
    <w:rsid w:val="00176949"/>
    <w:rsid w:val="00182AA4"/>
    <w:rsid w:val="0018431F"/>
    <w:rsid w:val="00191DEF"/>
    <w:rsid w:val="001E4DB0"/>
    <w:rsid w:val="00214ACC"/>
    <w:rsid w:val="00247E46"/>
    <w:rsid w:val="002616AE"/>
    <w:rsid w:val="0027484D"/>
    <w:rsid w:val="00285051"/>
    <w:rsid w:val="00290388"/>
    <w:rsid w:val="002A1001"/>
    <w:rsid w:val="002B4321"/>
    <w:rsid w:val="002D622C"/>
    <w:rsid w:val="002E13BB"/>
    <w:rsid w:val="002F4141"/>
    <w:rsid w:val="002F7B56"/>
    <w:rsid w:val="003576CC"/>
    <w:rsid w:val="003618B0"/>
    <w:rsid w:val="0036367B"/>
    <w:rsid w:val="0039025B"/>
    <w:rsid w:val="003A3F8E"/>
    <w:rsid w:val="003A4F7A"/>
    <w:rsid w:val="003A689A"/>
    <w:rsid w:val="003A7FD4"/>
    <w:rsid w:val="003B2383"/>
    <w:rsid w:val="003C4131"/>
    <w:rsid w:val="003C42AE"/>
    <w:rsid w:val="003C512C"/>
    <w:rsid w:val="004071DA"/>
    <w:rsid w:val="00411EF6"/>
    <w:rsid w:val="004131F0"/>
    <w:rsid w:val="0041354C"/>
    <w:rsid w:val="00446596"/>
    <w:rsid w:val="004467AA"/>
    <w:rsid w:val="00461BCE"/>
    <w:rsid w:val="004751E5"/>
    <w:rsid w:val="00476A1C"/>
    <w:rsid w:val="004A6397"/>
    <w:rsid w:val="004E6E72"/>
    <w:rsid w:val="004F721E"/>
    <w:rsid w:val="0050142A"/>
    <w:rsid w:val="00514029"/>
    <w:rsid w:val="00527276"/>
    <w:rsid w:val="00541815"/>
    <w:rsid w:val="005428C6"/>
    <w:rsid w:val="00544AFC"/>
    <w:rsid w:val="00550ECC"/>
    <w:rsid w:val="00552A71"/>
    <w:rsid w:val="00567A93"/>
    <w:rsid w:val="005A34B7"/>
    <w:rsid w:val="005C4215"/>
    <w:rsid w:val="005D3880"/>
    <w:rsid w:val="005F6AAC"/>
    <w:rsid w:val="006370F2"/>
    <w:rsid w:val="00651501"/>
    <w:rsid w:val="00651CD9"/>
    <w:rsid w:val="00654879"/>
    <w:rsid w:val="006941A7"/>
    <w:rsid w:val="006A0507"/>
    <w:rsid w:val="006C6D3F"/>
    <w:rsid w:val="006C6F8E"/>
    <w:rsid w:val="006E062F"/>
    <w:rsid w:val="006E3001"/>
    <w:rsid w:val="00705311"/>
    <w:rsid w:val="00753230"/>
    <w:rsid w:val="007537BE"/>
    <w:rsid w:val="00753DC1"/>
    <w:rsid w:val="00797AB1"/>
    <w:rsid w:val="007B26B6"/>
    <w:rsid w:val="007C0F98"/>
    <w:rsid w:val="007C3ABB"/>
    <w:rsid w:val="007F2982"/>
    <w:rsid w:val="00806A77"/>
    <w:rsid w:val="00810D0D"/>
    <w:rsid w:val="00820470"/>
    <w:rsid w:val="008238A9"/>
    <w:rsid w:val="008269AF"/>
    <w:rsid w:val="0083425D"/>
    <w:rsid w:val="00835211"/>
    <w:rsid w:val="00847E8F"/>
    <w:rsid w:val="008618B7"/>
    <w:rsid w:val="00875307"/>
    <w:rsid w:val="00890728"/>
    <w:rsid w:val="008A62AE"/>
    <w:rsid w:val="008B439F"/>
    <w:rsid w:val="008C751C"/>
    <w:rsid w:val="008F04B0"/>
    <w:rsid w:val="00920840"/>
    <w:rsid w:val="00946CD4"/>
    <w:rsid w:val="00950574"/>
    <w:rsid w:val="00961DE7"/>
    <w:rsid w:val="0098155C"/>
    <w:rsid w:val="009839FE"/>
    <w:rsid w:val="00994340"/>
    <w:rsid w:val="009D0798"/>
    <w:rsid w:val="009D7825"/>
    <w:rsid w:val="009E7062"/>
    <w:rsid w:val="00A36B6B"/>
    <w:rsid w:val="00A63C66"/>
    <w:rsid w:val="00A6573C"/>
    <w:rsid w:val="00A772FD"/>
    <w:rsid w:val="00A937FF"/>
    <w:rsid w:val="00A971E4"/>
    <w:rsid w:val="00AC559E"/>
    <w:rsid w:val="00AD0290"/>
    <w:rsid w:val="00AD151C"/>
    <w:rsid w:val="00AE44F8"/>
    <w:rsid w:val="00B01EDD"/>
    <w:rsid w:val="00B031E0"/>
    <w:rsid w:val="00B052CF"/>
    <w:rsid w:val="00B12518"/>
    <w:rsid w:val="00B26B49"/>
    <w:rsid w:val="00B51E45"/>
    <w:rsid w:val="00B5444F"/>
    <w:rsid w:val="00B61444"/>
    <w:rsid w:val="00B978AC"/>
    <w:rsid w:val="00BB0E3B"/>
    <w:rsid w:val="00BC6DE7"/>
    <w:rsid w:val="00BE32FA"/>
    <w:rsid w:val="00BE6325"/>
    <w:rsid w:val="00BF399E"/>
    <w:rsid w:val="00C033EE"/>
    <w:rsid w:val="00C35335"/>
    <w:rsid w:val="00C355AE"/>
    <w:rsid w:val="00C36768"/>
    <w:rsid w:val="00C6622C"/>
    <w:rsid w:val="00C7223A"/>
    <w:rsid w:val="00C7705C"/>
    <w:rsid w:val="00C844A3"/>
    <w:rsid w:val="00C86962"/>
    <w:rsid w:val="00CA686B"/>
    <w:rsid w:val="00CB72B6"/>
    <w:rsid w:val="00CC7A27"/>
    <w:rsid w:val="00CD718B"/>
    <w:rsid w:val="00CE14FE"/>
    <w:rsid w:val="00D41E8F"/>
    <w:rsid w:val="00D52C44"/>
    <w:rsid w:val="00D6744B"/>
    <w:rsid w:val="00D749C7"/>
    <w:rsid w:val="00DB5E06"/>
    <w:rsid w:val="00DB6978"/>
    <w:rsid w:val="00DB74EB"/>
    <w:rsid w:val="00DC44D7"/>
    <w:rsid w:val="00DF23AA"/>
    <w:rsid w:val="00DF4F9B"/>
    <w:rsid w:val="00E03033"/>
    <w:rsid w:val="00E0612D"/>
    <w:rsid w:val="00E07596"/>
    <w:rsid w:val="00E1530C"/>
    <w:rsid w:val="00E4236A"/>
    <w:rsid w:val="00E53CE6"/>
    <w:rsid w:val="00E54114"/>
    <w:rsid w:val="00E6520B"/>
    <w:rsid w:val="00E94489"/>
    <w:rsid w:val="00E94528"/>
    <w:rsid w:val="00EA147F"/>
    <w:rsid w:val="00EE543A"/>
    <w:rsid w:val="00EF3634"/>
    <w:rsid w:val="00F45B90"/>
    <w:rsid w:val="00F726D8"/>
    <w:rsid w:val="00FB0D11"/>
    <w:rsid w:val="00FD5FC6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41962"/>
  <w15:docId w15:val="{01F6BB46-54C0-4886-B6E8-B14B575A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0B84"/>
    <w:rPr>
      <w:sz w:val="24"/>
      <w:szCs w:val="24"/>
    </w:rPr>
  </w:style>
  <w:style w:type="paragraph" w:styleId="Nadpis1">
    <w:name w:val="heading 1"/>
    <w:basedOn w:val="Normln"/>
    <w:next w:val="Normln"/>
    <w:qFormat/>
    <w:rsid w:val="000E0B84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0E0B84"/>
    <w:pPr>
      <w:keepNext/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  <w:tab w:val="left" w:pos="13474"/>
        <w:tab w:val="left" w:pos="14184"/>
        <w:tab w:val="left" w:pos="14893"/>
        <w:tab w:val="left" w:pos="15602"/>
        <w:tab w:val="left" w:pos="16311"/>
        <w:tab w:val="left" w:pos="17020"/>
        <w:tab w:val="left" w:pos="17730"/>
        <w:tab w:val="left" w:pos="18439"/>
        <w:tab w:val="left" w:pos="19148"/>
        <w:tab w:val="left" w:pos="19857"/>
        <w:tab w:val="left" w:pos="20566"/>
        <w:tab w:val="left" w:pos="21276"/>
        <w:tab w:val="left" w:pos="21985"/>
        <w:tab w:val="left" w:pos="22694"/>
        <w:tab w:val="left" w:pos="23403"/>
        <w:tab w:val="left" w:pos="24112"/>
        <w:tab w:val="left" w:pos="24822"/>
        <w:tab w:val="left" w:pos="25531"/>
        <w:tab w:val="left" w:pos="26240"/>
        <w:tab w:val="left" w:pos="26949"/>
        <w:tab w:val="left" w:pos="27658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i/>
      <w:sz w:val="20"/>
      <w:szCs w:val="20"/>
    </w:rPr>
  </w:style>
  <w:style w:type="paragraph" w:styleId="Nadpis3">
    <w:name w:val="heading 3"/>
    <w:basedOn w:val="Normln"/>
    <w:next w:val="Normln"/>
    <w:qFormat/>
    <w:rsid w:val="000E0B84"/>
    <w:pPr>
      <w:keepNext/>
      <w:jc w:val="both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0E0B84"/>
    <w:pPr>
      <w:keepNext/>
      <w:tabs>
        <w:tab w:val="left" w:pos="283"/>
      </w:tabs>
      <w:jc w:val="both"/>
      <w:outlineLvl w:val="3"/>
    </w:pPr>
    <w:rPr>
      <w:rFonts w:ascii="Arial" w:hAnsi="Arial" w:cs="Arial"/>
      <w:b/>
      <w:bCs/>
      <w:i/>
      <w:iCs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0E0B84"/>
    <w:pPr>
      <w:spacing w:line="360" w:lineRule="auto"/>
      <w:jc w:val="both"/>
    </w:pPr>
    <w:rPr>
      <w:rFonts w:ascii="Arial" w:hAnsi="Arial"/>
      <w:sz w:val="20"/>
    </w:rPr>
  </w:style>
  <w:style w:type="paragraph" w:styleId="Zkladntext">
    <w:name w:val="Body Text"/>
    <w:basedOn w:val="Normln"/>
    <w:semiHidden/>
    <w:rsid w:val="000E0B84"/>
    <w:rPr>
      <w:rFonts w:ascii="Arial" w:hAnsi="Arial" w:cs="Arial"/>
      <w:i/>
      <w:iCs/>
      <w:sz w:val="20"/>
      <w:lang w:val="en-GB"/>
    </w:rPr>
  </w:style>
  <w:style w:type="paragraph" w:styleId="Obsah1">
    <w:name w:val="toc 1"/>
    <w:basedOn w:val="Normln"/>
    <w:next w:val="Normln"/>
    <w:autoRedefine/>
    <w:semiHidden/>
    <w:rsid w:val="000E0B84"/>
    <w:pPr>
      <w:spacing w:after="60"/>
    </w:pPr>
    <w:rPr>
      <w:rFonts w:ascii="Arial" w:hAnsi="Arial" w:cs="Arial"/>
      <w:sz w:val="20"/>
    </w:rPr>
  </w:style>
  <w:style w:type="paragraph" w:styleId="Zkladntext3">
    <w:name w:val="Body Text 3"/>
    <w:basedOn w:val="Normln"/>
    <w:semiHidden/>
    <w:rsid w:val="000E0B84"/>
    <w:pPr>
      <w:tabs>
        <w:tab w:val="left" w:pos="720"/>
      </w:tabs>
      <w:jc w:val="both"/>
    </w:pPr>
    <w:rPr>
      <w:rFonts w:ascii="Arial" w:hAnsi="Arial" w:cs="Arial"/>
      <w:i/>
      <w:iCs/>
      <w:sz w:val="20"/>
      <w:szCs w:val="20"/>
      <w:lang w:val="en-GB"/>
    </w:rPr>
  </w:style>
  <w:style w:type="paragraph" w:styleId="Zpat">
    <w:name w:val="footer"/>
    <w:basedOn w:val="Normln"/>
    <w:semiHidden/>
    <w:rsid w:val="000E0B8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E0B84"/>
  </w:style>
  <w:style w:type="paragraph" w:styleId="Zkladntextodsazen">
    <w:name w:val="Body Text Indent"/>
    <w:basedOn w:val="Normln"/>
    <w:semiHidden/>
    <w:rsid w:val="000E0B84"/>
    <w:pPr>
      <w:ind w:firstLine="720"/>
      <w:jc w:val="both"/>
    </w:pPr>
    <w:rPr>
      <w:rFonts w:ascii="Arial" w:hAnsi="Arial" w:cs="Arial"/>
      <w:color w:val="FF0000"/>
      <w:sz w:val="20"/>
    </w:rPr>
  </w:style>
  <w:style w:type="paragraph" w:styleId="Zkladntextodsazen2">
    <w:name w:val="Body Text Indent 2"/>
    <w:basedOn w:val="Normln"/>
    <w:semiHidden/>
    <w:rsid w:val="000E0B84"/>
    <w:pPr>
      <w:ind w:firstLine="720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semiHidden/>
    <w:rsid w:val="000E0B84"/>
    <w:pPr>
      <w:ind w:firstLine="720"/>
      <w:jc w:val="both"/>
    </w:pPr>
    <w:rPr>
      <w:rFonts w:ascii="Arial" w:hAnsi="Arial" w:cs="Arial"/>
      <w:sz w:val="20"/>
    </w:rPr>
  </w:style>
  <w:style w:type="paragraph" w:styleId="Zhlav">
    <w:name w:val="header"/>
    <w:basedOn w:val="Normln"/>
    <w:semiHidden/>
    <w:rsid w:val="000E0B84"/>
    <w:pPr>
      <w:tabs>
        <w:tab w:val="center" w:pos="4536"/>
        <w:tab w:val="right" w:pos="9072"/>
      </w:tabs>
    </w:pPr>
  </w:style>
  <w:style w:type="paragraph" w:customStyle="1" w:styleId="Text">
    <w:name w:val="Text"/>
    <w:rsid w:val="000E0B84"/>
    <w:pPr>
      <w:ind w:firstLine="567"/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sid w:val="000E0B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0E0B8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0E0B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Zdraznn">
    <w:name w:val="Emphasis"/>
    <w:qFormat/>
    <w:rsid w:val="000E0B84"/>
    <w:rPr>
      <w:i/>
      <w:iCs/>
    </w:rPr>
  </w:style>
  <w:style w:type="character" w:styleId="Siln">
    <w:name w:val="Strong"/>
    <w:qFormat/>
    <w:rsid w:val="000E0B84"/>
    <w:rPr>
      <w:b/>
      <w:bCs/>
    </w:rPr>
  </w:style>
  <w:style w:type="character" w:styleId="Odkaznakoment">
    <w:name w:val="annotation reference"/>
    <w:semiHidden/>
    <w:rsid w:val="000E0B8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E0B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12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E0612D"/>
  </w:style>
  <w:style w:type="character" w:customStyle="1" w:styleId="PedmtkomenteChar">
    <w:name w:val="Předmět komentáře Char"/>
    <w:basedOn w:val="TextkomenteChar"/>
    <w:link w:val="Pedmtkomente"/>
    <w:rsid w:val="00E0612D"/>
  </w:style>
  <w:style w:type="character" w:styleId="Hypertextovodkaz">
    <w:name w:val="Hyperlink"/>
    <w:uiPriority w:val="99"/>
    <w:unhideWhenUsed/>
    <w:rsid w:val="00FD5FC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55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559E"/>
  </w:style>
  <w:style w:type="character" w:styleId="Znakapoznpodarou">
    <w:name w:val="footnote reference"/>
    <w:uiPriority w:val="99"/>
    <w:semiHidden/>
    <w:unhideWhenUsed/>
    <w:rsid w:val="00AC559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9025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9025B"/>
  </w:style>
  <w:style w:type="character" w:styleId="Odkaznavysvtlivky">
    <w:name w:val="endnote reference"/>
    <w:basedOn w:val="Standardnpsmoodstavce"/>
    <w:uiPriority w:val="99"/>
    <w:semiHidden/>
    <w:unhideWhenUsed/>
    <w:rsid w:val="00390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5574F-F052-4A71-B901-F802FF8C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1832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CSU</Company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ČSÚ</dc:creator>
  <cp:lastModifiedBy>Vojtěch Řezanka Marek</cp:lastModifiedBy>
  <cp:revision>4</cp:revision>
  <cp:lastPrinted>2019-11-27T09:22:00Z</cp:lastPrinted>
  <dcterms:created xsi:type="dcterms:W3CDTF">2023-11-27T11:19:00Z</dcterms:created>
  <dcterms:modified xsi:type="dcterms:W3CDTF">2023-11-27T11:28:00Z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c3a5c912be562bac702626a863cbd59f42e0a5e44af9d955e90f13c69bc167ff</vt:lpwstr>
  </property>
</Properties>
</file>