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D71C" w14:textId="77777777" w:rsidR="00A75E40" w:rsidRPr="009110F7" w:rsidRDefault="00BF4329" w:rsidP="006C3495">
      <w:pPr>
        <w:jc w:val="center"/>
        <w:rPr>
          <w:lang w:eastAsia="ar-SA"/>
        </w:rPr>
        <w:sectPr w:rsidR="00A75E40" w:rsidRPr="009110F7" w:rsidSect="0085114D">
          <w:headerReference w:type="even" r:id="rId12"/>
          <w:headerReference w:type="default" r:id="rId13"/>
          <w:footerReference w:type="even" r:id="rId14"/>
          <w:footerReference w:type="default" r:id="rId15"/>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511DD5DE" wp14:editId="00A28F14">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xmlns:a16="http://schemas.microsoft.com/office/drawing/2014/main" xmlns:c="http://schemas.openxmlformats.org/drawingml/2006/chart" xmlns:w16du="http://schemas.microsoft.com/office/word/2023/wordml/word16du">
            <w:pict w14:anchorId="607FED41">
              <v:group id="Group 24" style="position:absolute;margin-left:45pt;margin-top:36.75pt;width:177.15pt;height:43.65pt;z-index:251657728;mso-position-horizontal-relative:page;mso-position-vertical-relative:page" coordsize="2714,667" coordorigin="567,851" o:spid="_x0000_s1026" w14:anchorId="6B642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">
                <o:lock v:ext="edit" aspectratio="t"/>
                <v:rect id="Rectangle 9" style="position:absolute;left:1215;top:901;width:676;height:154;visibility:visible;mso-wrap-style:square;v-text-anchor:top" o:spid="_x0000_s1027"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o:lock v:ext="edit" aspectratio="t"/>
                </v:rect>
                <v:rect id="Rectangle 10" style="position:absolute;left:567;top:1131;width:1324;height:154;visibility:visible;mso-wrap-style:square;v-text-anchor:top" o:spid="_x0000_s1028"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o:lock v:ext="edit" aspectratio="t"/>
                </v:rect>
                <v:rect id="Rectangle 11" style="position:absolute;left:1288;top:1361;width:603;height:153;visibility:visible;mso-wrap-style:square;v-text-anchor:top" o:spid="_x0000_s1029"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o:lock v:ext="edit" aspectratio="t"/>
                </v:rect>
                <v:shape id="Freeform 12" style="position:absolute;left:1969;top:1311;width:600;height:207;visibility:visible;mso-wrap-style:square;v-text-anchor:top" coordsize="1200,415" o:spid="_x0000_s1030" fillcolor="#bd1b21" stroked="f"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verticies="t" aspectratio="t"/>
                </v:shape>
                <v:shape id="Freeform 13" style="position:absolute;left:1962;top:1081;width:1319;height:208;visibility:visible;mso-wrap-style:square;v-text-anchor:top" coordsize="2637,416" o:spid="_x0000_s1031" fillcolor="#bd1b21" stroked="f"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verticies="t" aspectratio="t"/>
                </v:shape>
                <v:shape id="Freeform 14" style="position:absolute;left:1962;top:851;width:679;height:208;visibility:visible;mso-wrap-style:square;v-text-anchor:top" coordsize="1358,416" o:spid="_x0000_s1032" fillcolor="#bd1b21" stroked="f"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verticies="t" aspectratio="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757952E" wp14:editId="7602F846">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8CD8" w14:textId="77777777" w:rsidR="00DA0121" w:rsidRDefault="00DA0121" w:rsidP="004924DC">
                            <w:r>
                              <w:t>Z</w:t>
                            </w:r>
                            <w:r w:rsidRPr="006C5577">
                              <w:t xml:space="preserve">pracoval: </w:t>
                            </w:r>
                            <w:r>
                              <w:t>o</w:t>
                            </w:r>
                            <w:r w:rsidRPr="006C5577">
                              <w:t>dbor</w:t>
                            </w:r>
                            <w:r>
                              <w:t xml:space="preserve"> Kancelář předsedy</w:t>
                            </w:r>
                          </w:p>
                          <w:p w14:paraId="6CC24131" w14:textId="77777777" w:rsidR="00DA0121" w:rsidRPr="006C5577" w:rsidRDefault="00DA0121" w:rsidP="004924DC">
                            <w:r w:rsidRPr="006C5577">
                              <w:t xml:space="preserve">Ředitel odboru: </w:t>
                            </w:r>
                            <w:r>
                              <w:t>Egor Sidorov, Ph.D.</w:t>
                            </w:r>
                          </w:p>
                          <w:p w14:paraId="734BD5FB" w14:textId="77777777" w:rsidR="00DA0121" w:rsidRPr="006C5577" w:rsidRDefault="00DA0121"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" filled="f" stroked="f">
                <v:textbox inset="0,0,0,0">
                  <w:txbxContent>
                    <w:p w14:paraId="71628CD8" w14:textId="77777777" w:rsidR="00DA0121" w:rsidRDefault="00DA0121" w:rsidP="004924DC">
                      <w:r>
                        <w:t>Z</w:t>
                      </w:r>
                      <w:r w:rsidRPr="006C5577">
                        <w:t xml:space="preserve">pracoval: </w:t>
                      </w:r>
                      <w:r>
                        <w:t>o</w:t>
                      </w:r>
                      <w:r w:rsidRPr="006C5577">
                        <w:t>dbor</w:t>
                      </w:r>
                      <w:r>
                        <w:t xml:space="preserve"> Kancelář předsedy</w:t>
                      </w:r>
                    </w:p>
                    <w:p w14:paraId="6CC24131" w14:textId="77777777" w:rsidR="00DA0121" w:rsidRPr="006C5577" w:rsidRDefault="00DA0121" w:rsidP="004924DC">
                      <w:r w:rsidRPr="006C5577">
                        <w:t xml:space="preserve">Ředitel odboru: </w:t>
                      </w:r>
                      <w:r>
                        <w:t>Egor Sidorov, Ph.D.</w:t>
                      </w:r>
                    </w:p>
                    <w:p w14:paraId="734BD5FB" w14:textId="77777777" w:rsidR="00DA0121" w:rsidRPr="006C5577" w:rsidRDefault="00DA0121"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48DE" w14:textId="32168C0B" w:rsidR="00DA0121" w:rsidRPr="004924DC" w:rsidRDefault="00DA0121" w:rsidP="004924DC">
                            <w:pPr>
                              <w:pStyle w:val="TLIdentifikace-sted"/>
                            </w:pPr>
                            <w:r>
                              <w:t>Souhrnná data o České republice</w:t>
                            </w:r>
                          </w:p>
                          <w:p w14:paraId="02C46271" w14:textId="30ACE1A7" w:rsidR="00DA0121" w:rsidRPr="004924DC" w:rsidRDefault="00DA0121" w:rsidP="004924DC">
                            <w:pPr>
                              <w:pStyle w:val="TLIdentifikace-sted"/>
                            </w:pPr>
                            <w:r>
                              <w:t>Praha, 15. 9. 2023</w:t>
                            </w:r>
                          </w:p>
                          <w:p w14:paraId="43012AD8" w14:textId="6198DD00" w:rsidR="00DA0121" w:rsidRPr="00B23E6E" w:rsidRDefault="00DA0121" w:rsidP="004924DC">
                            <w:pPr>
                              <w:pStyle w:val="TLIdentifikace-sted"/>
                            </w:pPr>
                            <w:r w:rsidRPr="00B23E6E">
                              <w:t>Kód publikace: 320193-2</w:t>
                            </w:r>
                            <w:r>
                              <w:t>3</w:t>
                            </w:r>
                            <w:bookmarkStart w:id="0" w:name="_GoBack"/>
                            <w:bookmarkEnd w:id="0"/>
                          </w:p>
                          <w:p w14:paraId="1ED5773E" w14:textId="65FEB06A" w:rsidR="00DA0121" w:rsidRPr="00474646" w:rsidRDefault="00DA0121" w:rsidP="004924DC">
                            <w:pPr>
                              <w:pStyle w:val="TLIdentifikace-sted"/>
                              <w:rPr>
                                <w:rFonts w:cs="Arial"/>
                              </w:rPr>
                            </w:pPr>
                            <w:r w:rsidRPr="00ED0F73">
                              <w:rPr>
                                <w:rFonts w:cs="Arial"/>
                              </w:rPr>
                              <w:t xml:space="preserve">Č. j.: </w:t>
                            </w:r>
                            <w:r w:rsidR="00147B13" w:rsidRPr="00147B13">
                              <w:t>CSU-011340/2023</w:t>
                            </w:r>
                          </w:p>
                          <w:p w14:paraId="7E4C36AC" w14:textId="2546A78C" w:rsidR="00DA0121" w:rsidRPr="004924DC" w:rsidRDefault="00DA0121" w:rsidP="004924DC">
                            <w:pPr>
                              <w:pStyle w:val="TLIdentifikace-sted"/>
                            </w:pPr>
                            <w:r w:rsidRPr="004924DC">
                              <w:t>Pořadové číslo v</w:t>
                            </w:r>
                            <w:r>
                              <w:t> </w:t>
                            </w:r>
                            <w:r w:rsidRPr="004924DC">
                              <w:t xml:space="preserve">roce: </w:t>
                            </w:r>
                            <w:r>
                              <w:t>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fit-shape-to-text:t" inset="0,0,0,0">
                  <w:txbxContent>
                    <w:p w14:paraId="6B3C48DE" w14:textId="32168C0B" w:rsidR="00DA0121" w:rsidRPr="004924DC" w:rsidRDefault="00DA0121" w:rsidP="004924DC">
                      <w:pPr>
                        <w:pStyle w:val="TLIdentifikace-sted"/>
                      </w:pPr>
                      <w:r>
                        <w:t>Souhrnná data o České republice</w:t>
                      </w:r>
                    </w:p>
                    <w:p w14:paraId="02C46271" w14:textId="30ACE1A7" w:rsidR="00DA0121" w:rsidRPr="004924DC" w:rsidRDefault="00DA0121" w:rsidP="004924DC">
                      <w:pPr>
                        <w:pStyle w:val="TLIdentifikace-sted"/>
                      </w:pPr>
                      <w:r>
                        <w:t>Praha, 15. 9. 2023</w:t>
                      </w:r>
                    </w:p>
                    <w:p w14:paraId="43012AD8" w14:textId="6198DD00" w:rsidR="00DA0121" w:rsidRPr="00B23E6E" w:rsidRDefault="00DA0121" w:rsidP="004924DC">
                      <w:pPr>
                        <w:pStyle w:val="TLIdentifikace-sted"/>
                      </w:pPr>
                      <w:r w:rsidRPr="00B23E6E">
                        <w:t>Kód publikace: 320193-2</w:t>
                      </w:r>
                      <w:r>
                        <w:t>3</w:t>
                      </w:r>
                      <w:bookmarkStart w:id="1" w:name="_GoBack"/>
                      <w:bookmarkEnd w:id="1"/>
                    </w:p>
                    <w:p w14:paraId="1ED5773E" w14:textId="65FEB06A" w:rsidR="00DA0121" w:rsidRPr="00474646" w:rsidRDefault="00DA0121" w:rsidP="004924DC">
                      <w:pPr>
                        <w:pStyle w:val="TLIdentifikace-sted"/>
                        <w:rPr>
                          <w:rFonts w:cs="Arial"/>
                        </w:rPr>
                      </w:pPr>
                      <w:r w:rsidRPr="00ED0F73">
                        <w:rPr>
                          <w:rFonts w:cs="Arial"/>
                        </w:rPr>
                        <w:t xml:space="preserve">Č. j.: </w:t>
                      </w:r>
                      <w:r w:rsidR="00147B13" w:rsidRPr="00147B13">
                        <w:t>CSU-011340/2023</w:t>
                      </w:r>
                    </w:p>
                    <w:p w14:paraId="7E4C36AC" w14:textId="2546A78C" w:rsidR="00DA0121" w:rsidRPr="004924DC" w:rsidRDefault="00DA0121" w:rsidP="004924DC">
                      <w:pPr>
                        <w:pStyle w:val="TLIdentifikace-sted"/>
                      </w:pPr>
                      <w:r w:rsidRPr="004924DC">
                        <w:t>Pořadové číslo v</w:t>
                      </w:r>
                      <w:r>
                        <w:t> </w:t>
                      </w:r>
                      <w:r w:rsidRPr="004924DC">
                        <w:t xml:space="preserve">roce: </w:t>
                      </w:r>
                      <w:r>
                        <w:t>2</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B56" w14:textId="77777777" w:rsidR="00DA0121" w:rsidRPr="000E6FBD" w:rsidRDefault="00DA0121" w:rsidP="000E6FBD">
                            <w:pPr>
                              <w:pStyle w:val="Nzev"/>
                            </w:pPr>
                            <w:r>
                              <w:t>Vývoj ekonomiky české republiky</w:t>
                            </w:r>
                          </w:p>
                          <w:p w14:paraId="6EF7822F" w14:textId="77777777" w:rsidR="00DA0121" w:rsidRPr="0012192F" w:rsidRDefault="00DA0121" w:rsidP="0012192F">
                            <w:pPr>
                              <w:pStyle w:val="Podnadpis"/>
                            </w:pPr>
                          </w:p>
                          <w:p w14:paraId="284A2D4D" w14:textId="3B0318A7" w:rsidR="00DA0121" w:rsidRPr="0012192F" w:rsidRDefault="00DA0121" w:rsidP="00CB3605">
                            <w:pPr>
                              <w:pStyle w:val="Podnadpis"/>
                            </w:pPr>
                            <w:r>
                              <w:t>1. pololetí 2023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" filled="f" stroked="f">
                <v:textbox style="mso-fit-shape-to-text:t" inset="0,0,0,0">
                  <w:txbxContent>
                    <w:p w14:paraId="723B7B56" w14:textId="77777777" w:rsidR="00DA0121" w:rsidRPr="000E6FBD" w:rsidRDefault="00DA0121" w:rsidP="000E6FBD">
                      <w:pPr>
                        <w:pStyle w:val="Nzev"/>
                      </w:pPr>
                      <w:r>
                        <w:t>Vývoj ekonomiky české republiky</w:t>
                      </w:r>
                    </w:p>
                    <w:p w14:paraId="6EF7822F" w14:textId="77777777" w:rsidR="00DA0121" w:rsidRPr="0012192F" w:rsidRDefault="00DA0121" w:rsidP="0012192F">
                      <w:pPr>
                        <w:pStyle w:val="Podnadpis"/>
                      </w:pPr>
                    </w:p>
                    <w:p w14:paraId="284A2D4D" w14:textId="3B0318A7" w:rsidR="00DA0121" w:rsidRPr="0012192F" w:rsidRDefault="00DA0121" w:rsidP="00CB3605">
                      <w:pPr>
                        <w:pStyle w:val="Podnadpis"/>
                      </w:pPr>
                      <w:r>
                        <w:t>1. pololetí 2023</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DF7B" w14:textId="080F437A" w:rsidR="00DA0121" w:rsidRPr="004924DC" w:rsidRDefault="00DA0121" w:rsidP="004924DC">
                            <w:r w:rsidRPr="004924DC">
                              <w:t xml:space="preserve">© Český statistický úřad, </w:t>
                            </w:r>
                            <w:r>
                              <w:t>Praha</w:t>
                            </w:r>
                            <w:r w:rsidRPr="004924DC">
                              <w:t xml:space="preserve">, </w:t>
                            </w:r>
                            <w:r>
                              <w:t>2023</w:t>
                            </w:r>
                          </w:p>
                          <w:p w14:paraId="622736FE" w14:textId="77777777" w:rsidR="00DA0121" w:rsidRPr="005251DD" w:rsidRDefault="00DA0121" w:rsidP="00665BA4"/>
                          <w:p w14:paraId="157588CA" w14:textId="77777777" w:rsidR="00DA0121" w:rsidRPr="005251DD" w:rsidRDefault="00DA0121" w:rsidP="00FC684B"/>
                          <w:p w14:paraId="590D710B" w14:textId="77777777" w:rsidR="00DA0121" w:rsidRDefault="00DA0121"/>
                          <w:p w14:paraId="73B68DA8" w14:textId="77777777" w:rsidR="00DA0121" w:rsidRPr="00097407" w:rsidRDefault="00DA0121"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3D655DFE" w14:textId="77777777" w:rsidR="00DA0121" w:rsidRPr="005251DD" w:rsidRDefault="00DA0121" w:rsidP="00665BA4"/>
                          <w:p w14:paraId="74D3ABC4" w14:textId="77777777" w:rsidR="00DA0121" w:rsidRPr="005251DD" w:rsidRDefault="00DA0121"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MkugIAALY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FRi&#10;kyS6AgAAtgUAAA4AAAAAAAAAAAAAAAAALgIAAGRycy9lMm9Eb2MueG1sUEsBAi0AFAAGAAgAAAAh&#10;AAdlcHfhAAAADgEAAA8AAAAAAAAAAAAAAAAAFAUAAGRycy9kb3ducmV2LnhtbFBLBQYAAAAABAAE&#10;APMAAAAiBgAAAAA=&#10;" filled="f" stroked="f">
                <v:textbox inset="0,0,0,0">
                  <w:txbxContent>
                    <w:p w14:paraId="0841DF7B" w14:textId="080F437A" w:rsidR="00DA0121" w:rsidRPr="004924DC" w:rsidRDefault="00DA0121" w:rsidP="004924DC">
                      <w:r w:rsidRPr="004924DC">
                        <w:t xml:space="preserve">© Český statistický úřad, </w:t>
                      </w:r>
                      <w:r>
                        <w:t>Praha</w:t>
                      </w:r>
                      <w:r w:rsidRPr="004924DC">
                        <w:t xml:space="preserve">, </w:t>
                      </w:r>
                      <w:r>
                        <w:t>2023</w:t>
                      </w:r>
                    </w:p>
                    <w:p w14:paraId="622736FE" w14:textId="77777777" w:rsidR="00DA0121" w:rsidRPr="005251DD" w:rsidRDefault="00DA0121" w:rsidP="00665BA4"/>
                    <w:p w14:paraId="157588CA" w14:textId="77777777" w:rsidR="00DA0121" w:rsidRPr="005251DD" w:rsidRDefault="00DA0121" w:rsidP="00FC684B"/>
                    <w:p w14:paraId="590D710B" w14:textId="77777777" w:rsidR="00DA0121" w:rsidRDefault="00DA0121"/>
                    <w:p w14:paraId="73B68DA8" w14:textId="77777777" w:rsidR="00DA0121" w:rsidRPr="00097407" w:rsidRDefault="00DA0121"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3D655DFE" w14:textId="77777777" w:rsidR="00DA0121" w:rsidRPr="005251DD" w:rsidRDefault="00DA0121" w:rsidP="00665BA4"/>
                    <w:p w14:paraId="74D3ABC4" w14:textId="77777777" w:rsidR="00DA0121" w:rsidRPr="005251DD" w:rsidRDefault="00DA0121"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xmlns:a16="http://schemas.microsoft.com/office/drawing/2014/main" xmlns:c="http://schemas.openxmlformats.org/drawingml/2006/chart" xmlns:w16du="http://schemas.microsoft.com/office/word/2023/wordml/word16du">
            <w:pict w14:anchorId="1DF0136F">
              <v:line id="Přímá spojnice 33"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o:spid="_x0000_s1026" o:allowincell="f" strokecolor="windowText" strokeweight="1pt" from="134.65pt,737.1pt" to="538.6pt,737.1pt" w14:anchorId="6E67B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0E5B" w14:textId="77777777" w:rsidR="00DA0121" w:rsidRPr="006F5416" w:rsidRDefault="00DA0121" w:rsidP="006F5416">
                            <w:pPr>
                              <w:pStyle w:val="TLKontaktyerven"/>
                            </w:pPr>
                            <w:r w:rsidRPr="006F5416">
                              <w:t>KONTAKTY V ÚSTŘEDÍ</w:t>
                            </w:r>
                          </w:p>
                          <w:p w14:paraId="3BEEAF5F" w14:textId="77777777" w:rsidR="00DA0121" w:rsidRPr="007D40DF" w:rsidRDefault="00DA0121"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DA0121" w:rsidRPr="00D235B7" w:rsidRDefault="00DA0121"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DA0121" w:rsidRPr="00D235B7" w:rsidRDefault="00DA0121"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DA0121" w:rsidRPr="00D235B7" w:rsidRDefault="00DA0121"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DA0121" w:rsidRPr="00D235B7" w:rsidRDefault="00DA0121"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DA0121" w:rsidRPr="004A61C5" w:rsidRDefault="00DA0121" w:rsidP="00825C4D">
                            <w:pPr>
                              <w:pStyle w:val="TLKontakty"/>
                              <w:spacing w:after="80" w:line="240" w:lineRule="auto"/>
                              <w:contextualSpacing w:val="0"/>
                              <w:rPr>
                                <w:color w:val="auto"/>
                              </w:rPr>
                            </w:pPr>
                          </w:p>
                          <w:p w14:paraId="29C57B67" w14:textId="77777777" w:rsidR="00DA0121" w:rsidRPr="00D66223" w:rsidRDefault="00DA0121" w:rsidP="00D66223">
                            <w:pPr>
                              <w:pStyle w:val="TLKontaktyerven"/>
                            </w:pPr>
                            <w:r w:rsidRPr="00D66223">
                              <w:t>INFORMAČNÍ SLUŽBY V REGIONECH</w:t>
                            </w:r>
                          </w:p>
                          <w:p w14:paraId="181BE30E" w14:textId="77777777" w:rsidR="00DA0121" w:rsidRPr="00992CF3" w:rsidRDefault="00DA0121"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DA0121" w:rsidRPr="00992CF3" w:rsidRDefault="00DA0121"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DA0121" w:rsidRPr="004A61C5" w:rsidRDefault="00DA0121" w:rsidP="00825C4D">
                            <w:pPr>
                              <w:pStyle w:val="TLKontakty"/>
                              <w:spacing w:after="80" w:line="240" w:lineRule="auto"/>
                              <w:rPr>
                                <w:color w:val="auto"/>
                              </w:rPr>
                            </w:pPr>
                          </w:p>
                          <w:p w14:paraId="39B5FB82" w14:textId="77777777" w:rsidR="00DA0121" w:rsidRPr="00992CF3" w:rsidRDefault="00DA0121"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DA0121" w:rsidRPr="00992CF3" w:rsidRDefault="00DA0121"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DA0121" w:rsidRPr="004A61C5" w:rsidRDefault="00DA0121" w:rsidP="00825C4D">
                            <w:pPr>
                              <w:pStyle w:val="TLKontakty"/>
                              <w:spacing w:after="80" w:line="240" w:lineRule="auto"/>
                              <w:rPr>
                                <w:color w:val="auto"/>
                              </w:rPr>
                            </w:pPr>
                          </w:p>
                          <w:p w14:paraId="5AF27889" w14:textId="77777777" w:rsidR="00DA0121" w:rsidRPr="00992CF3" w:rsidRDefault="00DA0121"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DA0121" w:rsidRPr="00992CF3" w:rsidRDefault="00DA0121"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DA0121" w:rsidRPr="004A61C5" w:rsidRDefault="00DA0121" w:rsidP="00825C4D">
                            <w:pPr>
                              <w:pStyle w:val="TLKontakty"/>
                              <w:spacing w:after="80" w:line="240" w:lineRule="auto"/>
                              <w:rPr>
                                <w:color w:val="auto"/>
                              </w:rPr>
                            </w:pPr>
                          </w:p>
                          <w:p w14:paraId="0065AFA0" w14:textId="77777777" w:rsidR="00DA0121" w:rsidRPr="00BC731E" w:rsidRDefault="00DA0121"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DA0121" w:rsidRPr="004A61C5" w:rsidRDefault="00DA0121"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DA0121" w:rsidRPr="004A61C5" w:rsidRDefault="00DA0121" w:rsidP="00825C4D">
                            <w:pPr>
                              <w:pStyle w:val="TLKontakty"/>
                              <w:spacing w:after="80" w:line="240" w:lineRule="auto"/>
                              <w:rPr>
                                <w:color w:val="auto"/>
                              </w:rPr>
                            </w:pPr>
                          </w:p>
                          <w:p w14:paraId="345F7961" w14:textId="77777777" w:rsidR="00DA0121" w:rsidRPr="004A61C5" w:rsidRDefault="00DA0121"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DA0121" w:rsidRPr="004A61C5" w:rsidRDefault="00DA0121"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DA0121" w:rsidRPr="004A61C5" w:rsidRDefault="00DA0121" w:rsidP="00825C4D">
                            <w:pPr>
                              <w:pStyle w:val="TLKontakty"/>
                              <w:spacing w:after="80" w:line="240" w:lineRule="auto"/>
                              <w:rPr>
                                <w:color w:val="auto"/>
                              </w:rPr>
                            </w:pPr>
                          </w:p>
                          <w:p w14:paraId="766F2288" w14:textId="77777777" w:rsidR="00DA0121" w:rsidRPr="004A61C5" w:rsidRDefault="00DA0121"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DA0121" w:rsidRPr="004A61C5" w:rsidRDefault="00DA0121"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DA0121" w:rsidRPr="004A61C5" w:rsidRDefault="00DA0121" w:rsidP="00825C4D">
                            <w:pPr>
                              <w:pStyle w:val="TLKontakty"/>
                              <w:spacing w:after="80" w:line="240" w:lineRule="auto"/>
                              <w:rPr>
                                <w:color w:val="auto"/>
                              </w:rPr>
                            </w:pPr>
                          </w:p>
                          <w:p w14:paraId="0D4652E6" w14:textId="77777777" w:rsidR="00DA0121" w:rsidRPr="004A61C5" w:rsidRDefault="00DA0121"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DA0121" w:rsidRPr="004A61C5" w:rsidRDefault="00DA0121"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DA0121" w:rsidRPr="004A61C5" w:rsidRDefault="00DA0121" w:rsidP="00825C4D">
                            <w:pPr>
                              <w:pStyle w:val="TLKontakty"/>
                              <w:spacing w:after="80" w:line="240" w:lineRule="auto"/>
                              <w:rPr>
                                <w:b w:val="0"/>
                                <w:color w:val="auto"/>
                              </w:rPr>
                            </w:pPr>
                          </w:p>
                          <w:p w14:paraId="231AC323" w14:textId="77777777" w:rsidR="00DA0121" w:rsidRPr="004A61C5" w:rsidRDefault="00DA0121"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DA0121" w:rsidRPr="004A61C5" w:rsidRDefault="00DA0121"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DA0121" w:rsidRPr="004A61C5" w:rsidRDefault="00DA0121" w:rsidP="00825C4D">
                            <w:pPr>
                              <w:pStyle w:val="TLKontakty"/>
                              <w:spacing w:after="80" w:line="240" w:lineRule="auto"/>
                              <w:rPr>
                                <w:color w:val="auto"/>
                              </w:rPr>
                            </w:pPr>
                          </w:p>
                          <w:p w14:paraId="64319B27" w14:textId="77777777" w:rsidR="00DA0121" w:rsidRPr="004A61C5" w:rsidRDefault="00DA0121"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DA0121" w:rsidRPr="004A61C5" w:rsidRDefault="00DA0121"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DA0121" w:rsidRPr="004A61C5" w:rsidRDefault="00DA0121" w:rsidP="00825C4D">
                            <w:pPr>
                              <w:pStyle w:val="TLKontakty"/>
                              <w:spacing w:after="80" w:line="240" w:lineRule="auto"/>
                              <w:rPr>
                                <w:b w:val="0"/>
                                <w:color w:val="auto"/>
                              </w:rPr>
                            </w:pPr>
                          </w:p>
                          <w:p w14:paraId="4068B566" w14:textId="77777777" w:rsidR="00DA0121" w:rsidRPr="004A61C5" w:rsidRDefault="00DA0121"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DA0121" w:rsidRPr="004A61C5" w:rsidRDefault="00DA0121"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DA0121" w:rsidRDefault="00DA0121" w:rsidP="00825C4D">
                            <w:pPr>
                              <w:pStyle w:val="TLKontakty"/>
                              <w:spacing w:after="80" w:line="240" w:lineRule="auto"/>
                            </w:pPr>
                          </w:p>
                          <w:p w14:paraId="63ACC352" w14:textId="77777777" w:rsidR="00DA0121" w:rsidRPr="00BC731E" w:rsidRDefault="00DA0121"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DA0121" w:rsidRPr="004A61C5" w:rsidRDefault="00DA0121"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DA0121" w:rsidRPr="004A61C5" w:rsidRDefault="00DA0121" w:rsidP="00825C4D">
                            <w:pPr>
                              <w:pStyle w:val="TLKontakty"/>
                              <w:spacing w:after="80" w:line="240" w:lineRule="auto"/>
                              <w:rPr>
                                <w:b w:val="0"/>
                                <w:color w:val="auto"/>
                              </w:rPr>
                            </w:pPr>
                          </w:p>
                          <w:p w14:paraId="71AC5E72" w14:textId="77777777" w:rsidR="00DA0121" w:rsidRPr="005E7C78" w:rsidRDefault="00DA0121"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DA0121" w:rsidRPr="005E7C78" w:rsidRDefault="00DA0121"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DA0121" w:rsidRPr="005E7C78" w:rsidRDefault="00DA0121" w:rsidP="00825C4D">
                            <w:pPr>
                              <w:pStyle w:val="TLKontakty"/>
                              <w:spacing w:after="80" w:line="240" w:lineRule="auto"/>
                              <w:rPr>
                                <w:b w:val="0"/>
                                <w:color w:val="auto"/>
                              </w:rPr>
                            </w:pPr>
                          </w:p>
                          <w:p w14:paraId="00E77B80" w14:textId="77777777" w:rsidR="00DA0121" w:rsidRPr="005E7C78" w:rsidRDefault="00DA0121"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DA0121" w:rsidRDefault="00DA0121"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DA0121" w:rsidRPr="005E7C78" w:rsidRDefault="00DA0121" w:rsidP="00095135">
                            <w:pPr>
                              <w:pStyle w:val="TLKontakty"/>
                              <w:spacing w:after="80" w:line="240" w:lineRule="auto"/>
                              <w:rPr>
                                <w:b w:val="0"/>
                                <w:color w:val="auto"/>
                              </w:rPr>
                            </w:pPr>
                          </w:p>
                          <w:p w14:paraId="0275618D" w14:textId="77777777" w:rsidR="00DA0121" w:rsidRPr="005E7C78" w:rsidRDefault="00DA0121"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DA0121" w:rsidRPr="00095135" w:rsidRDefault="00DA0121"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0RmbGr0CAAC3BQAADgAAAAAAAAAAAAAAAAAuAgAAZHJzL2Uyb0RvYy54bWxQSwECLQAUAAYACAAA&#10;ACEArRpGXOAAAAANAQAADwAAAAAAAAAAAAAAAAAXBQAAZHJzL2Rvd25yZXYueG1sUEsFBgAAAAAE&#10;AAQA8wAAACQGAAAAAA==&#10;" filled="f" stroked="f">
                <v:textbox style="mso-fit-shape-to-text:t" inset="0,0,0,0">
                  <w:txbxContent>
                    <w:p w14:paraId="57F70E5B" w14:textId="77777777" w:rsidR="00DA0121" w:rsidRPr="006F5416" w:rsidRDefault="00DA0121" w:rsidP="006F5416">
                      <w:pPr>
                        <w:pStyle w:val="TLKontaktyerven"/>
                      </w:pPr>
                      <w:r w:rsidRPr="006F5416">
                        <w:t>KONTAKTY V ÚSTŘEDÍ</w:t>
                      </w:r>
                    </w:p>
                    <w:p w14:paraId="3BEEAF5F" w14:textId="77777777" w:rsidR="00DA0121" w:rsidRPr="007D40DF" w:rsidRDefault="00DA0121"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DA0121" w:rsidRPr="00D235B7" w:rsidRDefault="00DA0121"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DA0121" w:rsidRPr="00D235B7" w:rsidRDefault="00DA0121"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DA0121" w:rsidRPr="00D235B7" w:rsidRDefault="00DA0121"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DA0121" w:rsidRPr="00D235B7" w:rsidRDefault="00DA0121"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DA0121" w:rsidRPr="004A61C5" w:rsidRDefault="00DA0121" w:rsidP="00825C4D">
                      <w:pPr>
                        <w:pStyle w:val="TLKontakty"/>
                        <w:spacing w:after="80" w:line="240" w:lineRule="auto"/>
                        <w:contextualSpacing w:val="0"/>
                        <w:rPr>
                          <w:color w:val="auto"/>
                        </w:rPr>
                      </w:pPr>
                    </w:p>
                    <w:p w14:paraId="29C57B67" w14:textId="77777777" w:rsidR="00DA0121" w:rsidRPr="00D66223" w:rsidRDefault="00DA0121" w:rsidP="00D66223">
                      <w:pPr>
                        <w:pStyle w:val="TLKontaktyerven"/>
                      </w:pPr>
                      <w:r w:rsidRPr="00D66223">
                        <w:t>INFORMAČNÍ SLUŽBY V REGIONECH</w:t>
                      </w:r>
                    </w:p>
                    <w:p w14:paraId="181BE30E" w14:textId="77777777" w:rsidR="00DA0121" w:rsidRPr="00992CF3" w:rsidRDefault="00DA0121"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DA0121" w:rsidRPr="00992CF3" w:rsidRDefault="00DA0121"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DA0121" w:rsidRPr="004A61C5" w:rsidRDefault="00DA0121" w:rsidP="00825C4D">
                      <w:pPr>
                        <w:pStyle w:val="TLKontakty"/>
                        <w:spacing w:after="80" w:line="240" w:lineRule="auto"/>
                        <w:rPr>
                          <w:color w:val="auto"/>
                        </w:rPr>
                      </w:pPr>
                    </w:p>
                    <w:p w14:paraId="39B5FB82" w14:textId="77777777" w:rsidR="00DA0121" w:rsidRPr="00992CF3" w:rsidRDefault="00DA0121"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DA0121" w:rsidRPr="00992CF3" w:rsidRDefault="00DA0121"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DA0121" w:rsidRPr="004A61C5" w:rsidRDefault="00DA0121" w:rsidP="00825C4D">
                      <w:pPr>
                        <w:pStyle w:val="TLKontakty"/>
                        <w:spacing w:after="80" w:line="240" w:lineRule="auto"/>
                        <w:rPr>
                          <w:color w:val="auto"/>
                        </w:rPr>
                      </w:pPr>
                    </w:p>
                    <w:p w14:paraId="5AF27889" w14:textId="77777777" w:rsidR="00DA0121" w:rsidRPr="00992CF3" w:rsidRDefault="00DA0121"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DA0121" w:rsidRPr="00992CF3" w:rsidRDefault="00DA0121"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DA0121" w:rsidRPr="004A61C5" w:rsidRDefault="00DA0121" w:rsidP="00825C4D">
                      <w:pPr>
                        <w:pStyle w:val="TLKontakty"/>
                        <w:spacing w:after="80" w:line="240" w:lineRule="auto"/>
                        <w:rPr>
                          <w:color w:val="auto"/>
                        </w:rPr>
                      </w:pPr>
                    </w:p>
                    <w:p w14:paraId="0065AFA0" w14:textId="77777777" w:rsidR="00DA0121" w:rsidRPr="00BC731E" w:rsidRDefault="00DA0121"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DA0121" w:rsidRPr="004A61C5" w:rsidRDefault="00DA0121"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DA0121" w:rsidRPr="004A61C5" w:rsidRDefault="00DA0121" w:rsidP="00825C4D">
                      <w:pPr>
                        <w:pStyle w:val="TLKontakty"/>
                        <w:spacing w:after="80" w:line="240" w:lineRule="auto"/>
                        <w:rPr>
                          <w:color w:val="auto"/>
                        </w:rPr>
                      </w:pPr>
                    </w:p>
                    <w:p w14:paraId="345F7961" w14:textId="77777777" w:rsidR="00DA0121" w:rsidRPr="004A61C5" w:rsidRDefault="00DA0121"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DA0121" w:rsidRPr="004A61C5" w:rsidRDefault="00DA0121"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DA0121" w:rsidRPr="004A61C5" w:rsidRDefault="00DA0121" w:rsidP="00825C4D">
                      <w:pPr>
                        <w:pStyle w:val="TLKontakty"/>
                        <w:spacing w:after="80" w:line="240" w:lineRule="auto"/>
                        <w:rPr>
                          <w:color w:val="auto"/>
                        </w:rPr>
                      </w:pPr>
                    </w:p>
                    <w:p w14:paraId="766F2288" w14:textId="77777777" w:rsidR="00DA0121" w:rsidRPr="004A61C5" w:rsidRDefault="00DA0121"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DA0121" w:rsidRPr="004A61C5" w:rsidRDefault="00DA0121"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DA0121" w:rsidRPr="004A61C5" w:rsidRDefault="00DA0121" w:rsidP="00825C4D">
                      <w:pPr>
                        <w:pStyle w:val="TLKontakty"/>
                        <w:spacing w:after="80" w:line="240" w:lineRule="auto"/>
                        <w:rPr>
                          <w:color w:val="auto"/>
                        </w:rPr>
                      </w:pPr>
                    </w:p>
                    <w:p w14:paraId="0D4652E6" w14:textId="77777777" w:rsidR="00DA0121" w:rsidRPr="004A61C5" w:rsidRDefault="00DA0121"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DA0121" w:rsidRPr="004A61C5" w:rsidRDefault="00DA0121"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DA0121" w:rsidRPr="004A61C5" w:rsidRDefault="00DA0121" w:rsidP="00825C4D">
                      <w:pPr>
                        <w:pStyle w:val="TLKontakty"/>
                        <w:spacing w:after="80" w:line="240" w:lineRule="auto"/>
                        <w:rPr>
                          <w:b w:val="0"/>
                          <w:color w:val="auto"/>
                        </w:rPr>
                      </w:pPr>
                    </w:p>
                    <w:p w14:paraId="231AC323" w14:textId="77777777" w:rsidR="00DA0121" w:rsidRPr="004A61C5" w:rsidRDefault="00DA0121"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DA0121" w:rsidRPr="004A61C5" w:rsidRDefault="00DA0121"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DA0121" w:rsidRPr="004A61C5" w:rsidRDefault="00DA0121" w:rsidP="00825C4D">
                      <w:pPr>
                        <w:pStyle w:val="TLKontakty"/>
                        <w:spacing w:after="80" w:line="240" w:lineRule="auto"/>
                        <w:rPr>
                          <w:color w:val="auto"/>
                        </w:rPr>
                      </w:pPr>
                    </w:p>
                    <w:p w14:paraId="64319B27" w14:textId="77777777" w:rsidR="00DA0121" w:rsidRPr="004A61C5" w:rsidRDefault="00DA0121"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DA0121" w:rsidRPr="004A61C5" w:rsidRDefault="00DA0121"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DA0121" w:rsidRPr="004A61C5" w:rsidRDefault="00DA0121" w:rsidP="00825C4D">
                      <w:pPr>
                        <w:pStyle w:val="TLKontakty"/>
                        <w:spacing w:after="80" w:line="240" w:lineRule="auto"/>
                        <w:rPr>
                          <w:b w:val="0"/>
                          <w:color w:val="auto"/>
                        </w:rPr>
                      </w:pPr>
                    </w:p>
                    <w:p w14:paraId="4068B566" w14:textId="77777777" w:rsidR="00DA0121" w:rsidRPr="004A61C5" w:rsidRDefault="00DA0121"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DA0121" w:rsidRPr="004A61C5" w:rsidRDefault="00DA0121"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DA0121" w:rsidRDefault="00DA0121" w:rsidP="00825C4D">
                      <w:pPr>
                        <w:pStyle w:val="TLKontakty"/>
                        <w:spacing w:after="80" w:line="240" w:lineRule="auto"/>
                      </w:pPr>
                    </w:p>
                    <w:p w14:paraId="63ACC352" w14:textId="77777777" w:rsidR="00DA0121" w:rsidRPr="00BC731E" w:rsidRDefault="00DA0121"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DA0121" w:rsidRPr="004A61C5" w:rsidRDefault="00DA0121"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DA0121" w:rsidRPr="004A61C5" w:rsidRDefault="00DA0121" w:rsidP="00825C4D">
                      <w:pPr>
                        <w:pStyle w:val="TLKontakty"/>
                        <w:spacing w:after="80" w:line="240" w:lineRule="auto"/>
                        <w:rPr>
                          <w:b w:val="0"/>
                          <w:color w:val="auto"/>
                        </w:rPr>
                      </w:pPr>
                    </w:p>
                    <w:p w14:paraId="71AC5E72" w14:textId="77777777" w:rsidR="00DA0121" w:rsidRPr="005E7C78" w:rsidRDefault="00DA0121"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DA0121" w:rsidRPr="005E7C78" w:rsidRDefault="00DA0121"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DA0121" w:rsidRPr="005E7C78" w:rsidRDefault="00DA0121" w:rsidP="00825C4D">
                      <w:pPr>
                        <w:pStyle w:val="TLKontakty"/>
                        <w:spacing w:after="80" w:line="240" w:lineRule="auto"/>
                        <w:rPr>
                          <w:b w:val="0"/>
                          <w:color w:val="auto"/>
                        </w:rPr>
                      </w:pPr>
                    </w:p>
                    <w:p w14:paraId="00E77B80" w14:textId="77777777" w:rsidR="00DA0121" w:rsidRPr="005E7C78" w:rsidRDefault="00DA0121"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DA0121" w:rsidRDefault="00DA0121"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DA0121" w:rsidRPr="005E7C78" w:rsidRDefault="00DA0121" w:rsidP="00095135">
                      <w:pPr>
                        <w:pStyle w:val="TLKontakty"/>
                        <w:spacing w:after="80" w:line="240" w:lineRule="auto"/>
                        <w:rPr>
                          <w:b w:val="0"/>
                          <w:color w:val="auto"/>
                        </w:rPr>
                      </w:pPr>
                    </w:p>
                    <w:p w14:paraId="0275618D" w14:textId="77777777" w:rsidR="00DA0121" w:rsidRPr="005E7C78" w:rsidRDefault="00DA0121"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DA0121" w:rsidRPr="00095135" w:rsidRDefault="00DA0121"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07B0" w14:textId="2371D5AC" w:rsidR="00DA0121" w:rsidRPr="00321924" w:rsidRDefault="00DA0121" w:rsidP="00A16E1D">
                            <w:pPr>
                              <w:jc w:val="left"/>
                            </w:pPr>
                            <w:r w:rsidRPr="00321924">
                              <w:br/>
                              <w:t xml:space="preserve">© Český statistický úřad, </w:t>
                            </w:r>
                            <w:r>
                              <w:t>Praha, 2023</w:t>
                            </w:r>
                          </w:p>
                          <w:p w14:paraId="314CB98A" w14:textId="77777777" w:rsidR="00DA0121" w:rsidRDefault="00DA0121"/>
                          <w:p w14:paraId="6776AB5D" w14:textId="77777777" w:rsidR="00DA0121" w:rsidRPr="00841D9F" w:rsidRDefault="00DA0121"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DA0121" w:rsidRPr="00AF2852" w:rsidRDefault="00DA0121"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NbuQ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" filled="f" stroked="f">
                <v:textbox inset="0,0,0,0">
                  <w:txbxContent>
                    <w:p w14:paraId="45ED07B0" w14:textId="2371D5AC" w:rsidR="00DA0121" w:rsidRPr="00321924" w:rsidRDefault="00DA0121" w:rsidP="00A16E1D">
                      <w:pPr>
                        <w:jc w:val="left"/>
                      </w:pPr>
                      <w:r w:rsidRPr="00321924">
                        <w:br/>
                        <w:t xml:space="preserve">© Český statistický úřad, </w:t>
                      </w:r>
                      <w:r>
                        <w:t>Praha, 2023</w:t>
                      </w:r>
                    </w:p>
                    <w:p w14:paraId="314CB98A" w14:textId="77777777" w:rsidR="00DA0121" w:rsidRDefault="00DA0121"/>
                    <w:p w14:paraId="6776AB5D" w14:textId="77777777" w:rsidR="00DA0121" w:rsidRPr="00841D9F" w:rsidRDefault="00DA0121"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DA0121" w:rsidRPr="00AF2852" w:rsidRDefault="00DA0121"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D4D1" w14:textId="77777777" w:rsidR="00DA0121" w:rsidRPr="009A1902" w:rsidRDefault="00DA0121"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" filled="f" stroked="f">
                <v:textbox style="mso-fit-shape-to-text:t" inset="0,0,0,0">
                  <w:txbxContent>
                    <w:p w14:paraId="054ED4D1" w14:textId="77777777" w:rsidR="00DA0121" w:rsidRPr="009A1902" w:rsidRDefault="00DA0121"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597230E6" w14:textId="77777777" w:rsidR="00867DAB" w:rsidRPr="009110F7" w:rsidRDefault="00867DAB" w:rsidP="00867DAB">
          <w:pPr>
            <w:pStyle w:val="Obsah"/>
          </w:pPr>
          <w:r w:rsidRPr="009110F7">
            <w:t>Obsah</w:t>
          </w:r>
        </w:p>
        <w:p w14:paraId="4E2D2FE2" w14:textId="39D6D5D4" w:rsidR="00BE652B"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145581246" w:history="1">
            <w:r w:rsidR="00BE652B" w:rsidRPr="005124D6">
              <w:rPr>
                <w:rStyle w:val="Hypertextovodkaz"/>
                <w:noProof/>
              </w:rPr>
              <w:t>1. Shrnutí</w:t>
            </w:r>
            <w:r w:rsidR="00BE652B">
              <w:rPr>
                <w:noProof/>
                <w:webHidden/>
              </w:rPr>
              <w:tab/>
            </w:r>
            <w:r w:rsidR="00BE652B">
              <w:rPr>
                <w:noProof/>
                <w:webHidden/>
              </w:rPr>
              <w:fldChar w:fldCharType="begin"/>
            </w:r>
            <w:r w:rsidR="00BE652B">
              <w:rPr>
                <w:noProof/>
                <w:webHidden/>
              </w:rPr>
              <w:instrText xml:space="preserve"> PAGEREF _Toc145581246 \h </w:instrText>
            </w:r>
            <w:r w:rsidR="00BE652B">
              <w:rPr>
                <w:noProof/>
                <w:webHidden/>
              </w:rPr>
            </w:r>
            <w:r w:rsidR="00BE652B">
              <w:rPr>
                <w:noProof/>
                <w:webHidden/>
              </w:rPr>
              <w:fldChar w:fldCharType="separate"/>
            </w:r>
            <w:r w:rsidR="00BE652B">
              <w:rPr>
                <w:noProof/>
                <w:webHidden/>
              </w:rPr>
              <w:t>4</w:t>
            </w:r>
            <w:r w:rsidR="00BE652B">
              <w:rPr>
                <w:noProof/>
                <w:webHidden/>
              </w:rPr>
              <w:fldChar w:fldCharType="end"/>
            </w:r>
          </w:hyperlink>
        </w:p>
        <w:p w14:paraId="3692DAD4" w14:textId="27AC9270" w:rsidR="00BE652B" w:rsidRDefault="00D33297">
          <w:pPr>
            <w:pStyle w:val="Obsah1"/>
            <w:rPr>
              <w:rFonts w:asciiTheme="minorHAnsi" w:eastAsiaTheme="minorEastAsia" w:hAnsiTheme="minorHAnsi" w:cstheme="minorBidi"/>
              <w:noProof/>
              <w:sz w:val="22"/>
              <w:szCs w:val="22"/>
            </w:rPr>
          </w:pPr>
          <w:hyperlink w:anchor="_Toc145581247" w:history="1">
            <w:r w:rsidR="00BE652B" w:rsidRPr="005124D6">
              <w:rPr>
                <w:rStyle w:val="Hypertextovodkaz"/>
                <w:noProof/>
              </w:rPr>
              <w:t>2. Souhrnná výkonnost</w:t>
            </w:r>
            <w:r w:rsidR="00BE652B">
              <w:rPr>
                <w:noProof/>
                <w:webHidden/>
              </w:rPr>
              <w:tab/>
            </w:r>
            <w:r w:rsidR="00BE652B">
              <w:rPr>
                <w:noProof/>
                <w:webHidden/>
              </w:rPr>
              <w:fldChar w:fldCharType="begin"/>
            </w:r>
            <w:r w:rsidR="00BE652B">
              <w:rPr>
                <w:noProof/>
                <w:webHidden/>
              </w:rPr>
              <w:instrText xml:space="preserve"> PAGEREF _Toc145581247 \h </w:instrText>
            </w:r>
            <w:r w:rsidR="00BE652B">
              <w:rPr>
                <w:noProof/>
                <w:webHidden/>
              </w:rPr>
            </w:r>
            <w:r w:rsidR="00BE652B">
              <w:rPr>
                <w:noProof/>
                <w:webHidden/>
              </w:rPr>
              <w:fldChar w:fldCharType="separate"/>
            </w:r>
            <w:r w:rsidR="00BE652B">
              <w:rPr>
                <w:noProof/>
                <w:webHidden/>
              </w:rPr>
              <w:t>6</w:t>
            </w:r>
            <w:r w:rsidR="00BE652B">
              <w:rPr>
                <w:noProof/>
                <w:webHidden/>
              </w:rPr>
              <w:fldChar w:fldCharType="end"/>
            </w:r>
          </w:hyperlink>
        </w:p>
        <w:p w14:paraId="3AE1B5CE" w14:textId="4389B6BC" w:rsidR="00BE652B" w:rsidRDefault="00D33297">
          <w:pPr>
            <w:pStyle w:val="Obsah1"/>
            <w:rPr>
              <w:rFonts w:asciiTheme="minorHAnsi" w:eastAsiaTheme="minorEastAsia" w:hAnsiTheme="minorHAnsi" w:cstheme="minorBidi"/>
              <w:noProof/>
              <w:sz w:val="22"/>
              <w:szCs w:val="22"/>
            </w:rPr>
          </w:pPr>
          <w:hyperlink w:anchor="_Toc145581248" w:history="1">
            <w:r w:rsidR="00BE652B" w:rsidRPr="005124D6">
              <w:rPr>
                <w:rStyle w:val="Hypertextovodkaz"/>
                <w:noProof/>
              </w:rPr>
              <w:t>3. Výkonnost odvětví</w:t>
            </w:r>
            <w:r w:rsidR="00BE652B">
              <w:rPr>
                <w:noProof/>
                <w:webHidden/>
              </w:rPr>
              <w:tab/>
            </w:r>
            <w:r w:rsidR="00BE652B">
              <w:rPr>
                <w:noProof/>
                <w:webHidden/>
              </w:rPr>
              <w:fldChar w:fldCharType="begin"/>
            </w:r>
            <w:r w:rsidR="00BE652B">
              <w:rPr>
                <w:noProof/>
                <w:webHidden/>
              </w:rPr>
              <w:instrText xml:space="preserve"> PAGEREF _Toc145581248 \h </w:instrText>
            </w:r>
            <w:r w:rsidR="00BE652B">
              <w:rPr>
                <w:noProof/>
                <w:webHidden/>
              </w:rPr>
            </w:r>
            <w:r w:rsidR="00BE652B">
              <w:rPr>
                <w:noProof/>
                <w:webHidden/>
              </w:rPr>
              <w:fldChar w:fldCharType="separate"/>
            </w:r>
            <w:r w:rsidR="00BE652B">
              <w:rPr>
                <w:noProof/>
                <w:webHidden/>
              </w:rPr>
              <w:t>11</w:t>
            </w:r>
            <w:r w:rsidR="00BE652B">
              <w:rPr>
                <w:noProof/>
                <w:webHidden/>
              </w:rPr>
              <w:fldChar w:fldCharType="end"/>
            </w:r>
          </w:hyperlink>
        </w:p>
        <w:p w14:paraId="000881EC" w14:textId="266E0DA5" w:rsidR="00BE652B" w:rsidRDefault="00D33297">
          <w:pPr>
            <w:pStyle w:val="Obsah1"/>
            <w:rPr>
              <w:rFonts w:asciiTheme="minorHAnsi" w:eastAsiaTheme="minorEastAsia" w:hAnsiTheme="minorHAnsi" w:cstheme="minorBidi"/>
              <w:noProof/>
              <w:sz w:val="22"/>
              <w:szCs w:val="22"/>
            </w:rPr>
          </w:pPr>
          <w:hyperlink w:anchor="_Toc145581249" w:history="1">
            <w:r w:rsidR="00BE652B" w:rsidRPr="005124D6">
              <w:rPr>
                <w:rStyle w:val="Hypertextovodkaz"/>
                <w:noProof/>
              </w:rPr>
              <w:t>4. Vnější vztahy</w:t>
            </w:r>
            <w:r w:rsidR="00BE652B">
              <w:rPr>
                <w:noProof/>
                <w:webHidden/>
              </w:rPr>
              <w:tab/>
            </w:r>
            <w:r w:rsidR="00BE652B">
              <w:rPr>
                <w:noProof/>
                <w:webHidden/>
              </w:rPr>
              <w:fldChar w:fldCharType="begin"/>
            </w:r>
            <w:r w:rsidR="00BE652B">
              <w:rPr>
                <w:noProof/>
                <w:webHidden/>
              </w:rPr>
              <w:instrText xml:space="preserve"> PAGEREF _Toc145581249 \h </w:instrText>
            </w:r>
            <w:r w:rsidR="00BE652B">
              <w:rPr>
                <w:noProof/>
                <w:webHidden/>
              </w:rPr>
            </w:r>
            <w:r w:rsidR="00BE652B">
              <w:rPr>
                <w:noProof/>
                <w:webHidden/>
              </w:rPr>
              <w:fldChar w:fldCharType="separate"/>
            </w:r>
            <w:r w:rsidR="00BE652B">
              <w:rPr>
                <w:noProof/>
                <w:webHidden/>
              </w:rPr>
              <w:t>21</w:t>
            </w:r>
            <w:r w:rsidR="00BE652B">
              <w:rPr>
                <w:noProof/>
                <w:webHidden/>
              </w:rPr>
              <w:fldChar w:fldCharType="end"/>
            </w:r>
          </w:hyperlink>
        </w:p>
        <w:p w14:paraId="616CE54B" w14:textId="4633EB38" w:rsidR="00BE652B" w:rsidRDefault="00D33297">
          <w:pPr>
            <w:pStyle w:val="Obsah1"/>
            <w:rPr>
              <w:rFonts w:asciiTheme="minorHAnsi" w:eastAsiaTheme="minorEastAsia" w:hAnsiTheme="minorHAnsi" w:cstheme="minorBidi"/>
              <w:noProof/>
              <w:sz w:val="22"/>
              <w:szCs w:val="22"/>
            </w:rPr>
          </w:pPr>
          <w:hyperlink w:anchor="_Toc145581250" w:history="1">
            <w:r w:rsidR="00BE652B" w:rsidRPr="005124D6">
              <w:rPr>
                <w:rStyle w:val="Hypertextovodkaz"/>
                <w:noProof/>
              </w:rPr>
              <w:t>5. Ceny</w:t>
            </w:r>
            <w:r w:rsidR="00BE652B">
              <w:rPr>
                <w:noProof/>
                <w:webHidden/>
              </w:rPr>
              <w:tab/>
            </w:r>
            <w:r w:rsidR="00BE652B">
              <w:rPr>
                <w:noProof/>
                <w:webHidden/>
              </w:rPr>
              <w:fldChar w:fldCharType="begin"/>
            </w:r>
            <w:r w:rsidR="00BE652B">
              <w:rPr>
                <w:noProof/>
                <w:webHidden/>
              </w:rPr>
              <w:instrText xml:space="preserve"> PAGEREF _Toc145581250 \h </w:instrText>
            </w:r>
            <w:r w:rsidR="00BE652B">
              <w:rPr>
                <w:noProof/>
                <w:webHidden/>
              </w:rPr>
            </w:r>
            <w:r w:rsidR="00BE652B">
              <w:rPr>
                <w:noProof/>
                <w:webHidden/>
              </w:rPr>
              <w:fldChar w:fldCharType="separate"/>
            </w:r>
            <w:r w:rsidR="00BE652B">
              <w:rPr>
                <w:noProof/>
                <w:webHidden/>
              </w:rPr>
              <w:t>24</w:t>
            </w:r>
            <w:r w:rsidR="00BE652B">
              <w:rPr>
                <w:noProof/>
                <w:webHidden/>
              </w:rPr>
              <w:fldChar w:fldCharType="end"/>
            </w:r>
          </w:hyperlink>
        </w:p>
        <w:p w14:paraId="29A54EAF" w14:textId="7BC67E5C" w:rsidR="00BE652B" w:rsidRDefault="00D33297">
          <w:pPr>
            <w:pStyle w:val="Obsah1"/>
            <w:rPr>
              <w:rFonts w:asciiTheme="minorHAnsi" w:eastAsiaTheme="minorEastAsia" w:hAnsiTheme="minorHAnsi" w:cstheme="minorBidi"/>
              <w:noProof/>
              <w:sz w:val="22"/>
              <w:szCs w:val="22"/>
            </w:rPr>
          </w:pPr>
          <w:hyperlink w:anchor="_Toc145581251" w:history="1">
            <w:r w:rsidR="00BE652B" w:rsidRPr="005124D6">
              <w:rPr>
                <w:rStyle w:val="Hypertextovodkaz"/>
                <w:noProof/>
              </w:rPr>
              <w:t>6. Trh práce</w:t>
            </w:r>
            <w:r w:rsidR="00BE652B">
              <w:rPr>
                <w:noProof/>
                <w:webHidden/>
              </w:rPr>
              <w:tab/>
            </w:r>
            <w:r w:rsidR="00BE652B">
              <w:rPr>
                <w:noProof/>
                <w:webHidden/>
              </w:rPr>
              <w:fldChar w:fldCharType="begin"/>
            </w:r>
            <w:r w:rsidR="00BE652B">
              <w:rPr>
                <w:noProof/>
                <w:webHidden/>
              </w:rPr>
              <w:instrText xml:space="preserve"> PAGEREF _Toc145581251 \h </w:instrText>
            </w:r>
            <w:r w:rsidR="00BE652B">
              <w:rPr>
                <w:noProof/>
                <w:webHidden/>
              </w:rPr>
            </w:r>
            <w:r w:rsidR="00BE652B">
              <w:rPr>
                <w:noProof/>
                <w:webHidden/>
              </w:rPr>
              <w:fldChar w:fldCharType="separate"/>
            </w:r>
            <w:r w:rsidR="00BE652B">
              <w:rPr>
                <w:noProof/>
                <w:webHidden/>
              </w:rPr>
              <w:t>30</w:t>
            </w:r>
            <w:r w:rsidR="00BE652B">
              <w:rPr>
                <w:noProof/>
                <w:webHidden/>
              </w:rPr>
              <w:fldChar w:fldCharType="end"/>
            </w:r>
          </w:hyperlink>
        </w:p>
        <w:p w14:paraId="45C847EC" w14:textId="6F4E2E46" w:rsidR="00BE652B" w:rsidRDefault="00D33297">
          <w:pPr>
            <w:pStyle w:val="Obsah1"/>
            <w:rPr>
              <w:rFonts w:asciiTheme="minorHAnsi" w:eastAsiaTheme="minorEastAsia" w:hAnsiTheme="minorHAnsi" w:cstheme="minorBidi"/>
              <w:noProof/>
              <w:sz w:val="22"/>
              <w:szCs w:val="22"/>
            </w:rPr>
          </w:pPr>
          <w:hyperlink w:anchor="_Toc145581252" w:history="1">
            <w:r w:rsidR="00BE652B" w:rsidRPr="005124D6">
              <w:rPr>
                <w:rStyle w:val="Hypertextovodkaz"/>
                <w:noProof/>
              </w:rPr>
              <w:t>7. Měnové podmínky</w:t>
            </w:r>
            <w:r w:rsidR="00BE652B">
              <w:rPr>
                <w:noProof/>
                <w:webHidden/>
              </w:rPr>
              <w:tab/>
            </w:r>
            <w:r w:rsidR="00BE652B">
              <w:rPr>
                <w:noProof/>
                <w:webHidden/>
              </w:rPr>
              <w:fldChar w:fldCharType="begin"/>
            </w:r>
            <w:r w:rsidR="00BE652B">
              <w:rPr>
                <w:noProof/>
                <w:webHidden/>
              </w:rPr>
              <w:instrText xml:space="preserve"> PAGEREF _Toc145581252 \h </w:instrText>
            </w:r>
            <w:r w:rsidR="00BE652B">
              <w:rPr>
                <w:noProof/>
                <w:webHidden/>
              </w:rPr>
            </w:r>
            <w:r w:rsidR="00BE652B">
              <w:rPr>
                <w:noProof/>
                <w:webHidden/>
              </w:rPr>
              <w:fldChar w:fldCharType="separate"/>
            </w:r>
            <w:r w:rsidR="00BE652B">
              <w:rPr>
                <w:noProof/>
                <w:webHidden/>
              </w:rPr>
              <w:t>36</w:t>
            </w:r>
            <w:r w:rsidR="00BE652B">
              <w:rPr>
                <w:noProof/>
                <w:webHidden/>
              </w:rPr>
              <w:fldChar w:fldCharType="end"/>
            </w:r>
          </w:hyperlink>
        </w:p>
        <w:p w14:paraId="2F7BF2FD" w14:textId="535744ED" w:rsidR="00BE652B" w:rsidRDefault="00D33297">
          <w:pPr>
            <w:pStyle w:val="Obsah1"/>
            <w:rPr>
              <w:rFonts w:asciiTheme="minorHAnsi" w:eastAsiaTheme="minorEastAsia" w:hAnsiTheme="minorHAnsi" w:cstheme="minorBidi"/>
              <w:noProof/>
              <w:sz w:val="22"/>
              <w:szCs w:val="22"/>
            </w:rPr>
          </w:pPr>
          <w:hyperlink w:anchor="_Toc145581253" w:history="1">
            <w:r w:rsidR="00BE652B" w:rsidRPr="005124D6">
              <w:rPr>
                <w:rStyle w:val="Hypertextovodkaz"/>
                <w:noProof/>
              </w:rPr>
              <w:t>8. Státní rozpočet</w:t>
            </w:r>
            <w:r w:rsidR="00BE652B">
              <w:rPr>
                <w:noProof/>
                <w:webHidden/>
              </w:rPr>
              <w:tab/>
            </w:r>
            <w:r w:rsidR="00BE652B">
              <w:rPr>
                <w:noProof/>
                <w:webHidden/>
              </w:rPr>
              <w:fldChar w:fldCharType="begin"/>
            </w:r>
            <w:r w:rsidR="00BE652B">
              <w:rPr>
                <w:noProof/>
                <w:webHidden/>
              </w:rPr>
              <w:instrText xml:space="preserve"> PAGEREF _Toc145581253 \h </w:instrText>
            </w:r>
            <w:r w:rsidR="00BE652B">
              <w:rPr>
                <w:noProof/>
                <w:webHidden/>
              </w:rPr>
            </w:r>
            <w:r w:rsidR="00BE652B">
              <w:rPr>
                <w:noProof/>
                <w:webHidden/>
              </w:rPr>
              <w:fldChar w:fldCharType="separate"/>
            </w:r>
            <w:r w:rsidR="00BE652B">
              <w:rPr>
                <w:noProof/>
                <w:webHidden/>
              </w:rPr>
              <w:t>38</w:t>
            </w:r>
            <w:r w:rsidR="00BE652B">
              <w:rPr>
                <w:noProof/>
                <w:webHidden/>
              </w:rPr>
              <w:fldChar w:fldCharType="end"/>
            </w:r>
          </w:hyperlink>
        </w:p>
        <w:p w14:paraId="39BB97E5" w14:textId="7D52023F" w:rsidR="00867DAB" w:rsidRPr="009110F7" w:rsidRDefault="007D42E5">
          <w:r w:rsidRPr="009110F7">
            <w:fldChar w:fldCharType="end"/>
          </w:r>
        </w:p>
      </w:sdtContent>
    </w:sdt>
    <w:p w14:paraId="6CBF0906" w14:textId="77777777" w:rsidR="00003F5C" w:rsidRPr="009110F7" w:rsidRDefault="00003F5C" w:rsidP="00003F5C">
      <w:pPr>
        <w:pStyle w:val="Textpoznpodarou"/>
        <w:jc w:val="both"/>
        <w:rPr>
          <w:rFonts w:cs="Arial"/>
          <w:color w:val="000000"/>
        </w:rPr>
      </w:pPr>
    </w:p>
    <w:p w14:paraId="77CA2D67" w14:textId="77777777" w:rsidR="00003F5C" w:rsidRPr="009110F7" w:rsidRDefault="00003F5C" w:rsidP="00003F5C">
      <w:pPr>
        <w:pStyle w:val="Textpoznpodarou"/>
        <w:jc w:val="both"/>
        <w:rPr>
          <w:rFonts w:cs="Arial"/>
          <w:color w:val="000000"/>
        </w:rPr>
      </w:pPr>
    </w:p>
    <w:p w14:paraId="223CBCEF" w14:textId="77777777" w:rsidR="00003F5C" w:rsidRPr="009110F7" w:rsidRDefault="00003F5C" w:rsidP="00003F5C">
      <w:pPr>
        <w:pStyle w:val="Textpoznpodarou"/>
        <w:jc w:val="both"/>
        <w:rPr>
          <w:rFonts w:cs="Arial"/>
          <w:color w:val="000000"/>
        </w:rPr>
      </w:pPr>
    </w:p>
    <w:p w14:paraId="0F28E1B0" w14:textId="77777777" w:rsidR="00003F5C" w:rsidRPr="009110F7" w:rsidRDefault="00003F5C" w:rsidP="00003F5C">
      <w:pPr>
        <w:pStyle w:val="Textpoznpodarou"/>
        <w:jc w:val="both"/>
        <w:rPr>
          <w:rFonts w:cs="Arial"/>
          <w:color w:val="000000"/>
        </w:rPr>
      </w:pPr>
    </w:p>
    <w:p w14:paraId="2E66CDA4" w14:textId="77777777" w:rsidR="00003F5C" w:rsidRPr="009110F7" w:rsidRDefault="00003F5C" w:rsidP="00003F5C">
      <w:pPr>
        <w:pStyle w:val="Textpoznpodarou"/>
        <w:jc w:val="both"/>
        <w:rPr>
          <w:rFonts w:cs="Arial"/>
          <w:color w:val="000000"/>
        </w:rPr>
      </w:pPr>
    </w:p>
    <w:p w14:paraId="38EBE8F7" w14:textId="77777777" w:rsidR="00003F5C" w:rsidRPr="009110F7" w:rsidRDefault="00003F5C" w:rsidP="00003F5C">
      <w:pPr>
        <w:pStyle w:val="Textpoznpodarou"/>
        <w:jc w:val="both"/>
        <w:rPr>
          <w:rFonts w:cs="Arial"/>
          <w:color w:val="000000"/>
        </w:rPr>
      </w:pPr>
    </w:p>
    <w:p w14:paraId="4D552425" w14:textId="6F4027CD" w:rsidR="00003F5C" w:rsidRPr="009110F7" w:rsidRDefault="00ED0F73" w:rsidP="00003F5C">
      <w:pPr>
        <w:pStyle w:val="Textpoznpodarou"/>
        <w:jc w:val="both"/>
        <w:rPr>
          <w:rFonts w:cs="Arial"/>
          <w:color w:val="000000"/>
        </w:rPr>
      </w:pPr>
      <w:r>
        <w:rPr>
          <w:rFonts w:cs="Arial"/>
          <w:color w:val="000000"/>
        </w:rPr>
        <w:t>Hlavní z</w:t>
      </w:r>
      <w:r w:rsidR="00003F5C" w:rsidRPr="009110F7">
        <w:rPr>
          <w:rFonts w:cs="Arial"/>
          <w:color w:val="000000"/>
        </w:rPr>
        <w:t>droje dat v celé analýze: ČSÚ, MF</w:t>
      </w:r>
      <w:r w:rsidR="00A45489" w:rsidRPr="009110F7">
        <w:rPr>
          <w:rFonts w:cs="Arial"/>
          <w:color w:val="000000"/>
        </w:rPr>
        <w:t> </w:t>
      </w:r>
      <w:r w:rsidR="00003F5C" w:rsidRPr="009110F7">
        <w:rPr>
          <w:rFonts w:cs="Arial"/>
          <w:color w:val="000000"/>
        </w:rPr>
        <w:t>ČR, ČNB, MPSV, ČSSZ, Eurostat, propočty ČSÚ.</w:t>
      </w:r>
    </w:p>
    <w:p w14:paraId="5658862B" w14:textId="39F58718"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57A76" w:rsidRPr="009110F7">
        <w:rPr>
          <w:rFonts w:cs="Arial"/>
          <w:color w:val="000000"/>
        </w:rPr>
        <w:t>pocházejí z</w:t>
      </w:r>
      <w:r w:rsidR="00DE27CD">
        <w:rPr>
          <w:rFonts w:cs="Arial"/>
          <w:color w:val="000000"/>
        </w:rPr>
        <w:t>e</w:t>
      </w:r>
      <w:r w:rsidR="00D23A99">
        <w:rPr>
          <w:rFonts w:cs="Arial"/>
          <w:color w:val="000000"/>
        </w:rPr>
        <w:t xml:space="preserve"> </w:t>
      </w:r>
      <w:r w:rsidR="007E5149">
        <w:rPr>
          <w:rFonts w:cs="Arial"/>
          <w:color w:val="000000"/>
        </w:rPr>
        <w:t>7</w:t>
      </w:r>
      <w:r w:rsidR="00D23A99">
        <w:rPr>
          <w:rFonts w:cs="Arial"/>
          <w:color w:val="000000"/>
        </w:rPr>
        <w:t xml:space="preserve">. </w:t>
      </w:r>
      <w:r w:rsidR="007E5149">
        <w:rPr>
          <w:rFonts w:cs="Arial"/>
          <w:color w:val="000000"/>
        </w:rPr>
        <w:t>září</w:t>
      </w:r>
      <w:r w:rsidR="00D23A99">
        <w:rPr>
          <w:rFonts w:cs="Arial"/>
          <w:color w:val="000000"/>
        </w:rPr>
        <w:t xml:space="preserve"> 202</w:t>
      </w:r>
      <w:r w:rsidR="002E631B">
        <w:rPr>
          <w:rFonts w:cs="Arial"/>
          <w:color w:val="000000"/>
        </w:rPr>
        <w:t>3</w:t>
      </w:r>
      <w:r w:rsidRPr="009110F7">
        <w:rPr>
          <w:rFonts w:cs="Arial"/>
          <w:color w:val="000000"/>
        </w:rPr>
        <w:t>.</w:t>
      </w:r>
    </w:p>
    <w:p w14:paraId="1D1FFA96" w14:textId="77777777" w:rsidR="002F1D56" w:rsidRDefault="002F1D56" w:rsidP="00003F5C">
      <w:pPr>
        <w:pStyle w:val="Textpoznpodarou"/>
        <w:jc w:val="both"/>
        <w:rPr>
          <w:rFonts w:cs="Arial"/>
          <w:color w:val="000000"/>
        </w:rPr>
      </w:pPr>
    </w:p>
    <w:p w14:paraId="6EDD1399" w14:textId="77777777" w:rsidR="002F1D56" w:rsidRPr="002F1D56" w:rsidRDefault="002F1D56" w:rsidP="00003F5C">
      <w:pPr>
        <w:pStyle w:val="Textpoznpodarou"/>
        <w:jc w:val="both"/>
        <w:rPr>
          <w:rFonts w:cs="Arial"/>
        </w:rPr>
      </w:pPr>
    </w:p>
    <w:p w14:paraId="7CD2B948" w14:textId="77777777" w:rsidR="001777BA" w:rsidRPr="00AF7277" w:rsidRDefault="00087F2B" w:rsidP="001777BA">
      <w:pPr>
        <w:pStyle w:val="Nadpis1"/>
      </w:pPr>
      <w:r w:rsidRPr="002F1D56">
        <w:rPr>
          <w:color w:val="auto"/>
        </w:rPr>
        <w:br w:type="page"/>
      </w:r>
      <w:bookmarkStart w:id="2" w:name="_Toc97736114"/>
      <w:bookmarkStart w:id="3" w:name="_Toc444112494"/>
      <w:bookmarkStart w:id="4" w:name="_Toc511215208"/>
      <w:bookmarkStart w:id="5" w:name="_Toc26865017"/>
      <w:bookmarkStart w:id="6" w:name="_Toc74643854"/>
      <w:bookmarkStart w:id="7" w:name="_Toc66719928"/>
      <w:bookmarkStart w:id="8" w:name="_Toc19090676"/>
      <w:bookmarkStart w:id="9" w:name="_Toc58605372"/>
    </w:p>
    <w:p w14:paraId="52F09E7C" w14:textId="77777777" w:rsidR="00BC223A" w:rsidRPr="00BB4E47" w:rsidRDefault="00BC223A" w:rsidP="00BC223A">
      <w:pPr>
        <w:pStyle w:val="Nadpis1"/>
      </w:pPr>
      <w:bookmarkStart w:id="10" w:name="_Toc145581246"/>
      <w:bookmarkStart w:id="11" w:name="_Toc114134045"/>
      <w:bookmarkStart w:id="12" w:name="_Toc58605374"/>
      <w:bookmarkStart w:id="13" w:name="_Toc66719930"/>
      <w:bookmarkStart w:id="14" w:name="_Toc532558287"/>
      <w:bookmarkStart w:id="15" w:name="_Toc58605375"/>
      <w:bookmarkStart w:id="16" w:name="_Toc82508186"/>
      <w:bookmarkStart w:id="17" w:name="_Toc114134047"/>
      <w:bookmarkStart w:id="18" w:name="_Toc114134048"/>
      <w:bookmarkStart w:id="19" w:name="_Toc97736119"/>
      <w:bookmarkStart w:id="20" w:name="_Toc74643859"/>
      <w:bookmarkStart w:id="21" w:name="_Toc90395915"/>
      <w:bookmarkStart w:id="22" w:name="_Toc98245446"/>
      <w:bookmarkStart w:id="23" w:name="_Toc74643860"/>
      <w:bookmarkEnd w:id="2"/>
      <w:bookmarkEnd w:id="3"/>
      <w:bookmarkEnd w:id="4"/>
      <w:bookmarkEnd w:id="5"/>
      <w:bookmarkEnd w:id="6"/>
      <w:bookmarkEnd w:id="7"/>
      <w:bookmarkEnd w:id="8"/>
      <w:bookmarkEnd w:id="9"/>
      <w:r w:rsidRPr="00BB4E47">
        <w:lastRenderedPageBreak/>
        <w:t>1. Shrnutí</w:t>
      </w:r>
      <w:bookmarkEnd w:id="10"/>
    </w:p>
    <w:p w14:paraId="73FCD9C1" w14:textId="77777777" w:rsidR="00BC223A" w:rsidRPr="00F11FDC" w:rsidRDefault="00BC223A" w:rsidP="00BC223A">
      <w:pPr>
        <w:pStyle w:val="Normalodrka"/>
        <w:rPr>
          <w:spacing w:val="-4"/>
        </w:rPr>
      </w:pPr>
      <w:r w:rsidRPr="00F11FDC">
        <w:rPr>
          <w:spacing w:val="-4"/>
        </w:rPr>
        <w:t>Hrubý domácí produkt (HDP) se ve 2. čtvrtletí 2023 meziročně snížil o 0,4 %</w:t>
      </w:r>
      <w:r w:rsidRPr="00835495">
        <w:rPr>
          <w:rStyle w:val="Znakapoznpodarou"/>
          <w:spacing w:val="-4"/>
        </w:rPr>
        <w:footnoteReference w:id="1"/>
      </w:r>
      <w:r w:rsidRPr="00F11FDC">
        <w:rPr>
          <w:spacing w:val="-4"/>
        </w:rPr>
        <w:t>. Šlo o druhý meziroční pokles v řadě. K meziročnímu poklesu přispívala zejména tvorba zásob a spotřeba domácností. Naproti tomu dál pozitivně působila zahraniční poptávka a rostla investiční aktivita i vládní spotřeba. Mezičtvrtletně HDP vzrostl</w:t>
      </w:r>
      <w:r>
        <w:rPr>
          <w:spacing w:val="-4"/>
        </w:rPr>
        <w:t xml:space="preserve"> </w:t>
      </w:r>
      <w:r w:rsidRPr="00F11FDC">
        <w:rPr>
          <w:spacing w:val="-4"/>
        </w:rPr>
        <w:t>o 0,1 %, takže se již více než rok dynamika pohybuje v pásmu stagnace. Podobně jako v meziročním srovnání k poklesu přispívala tvorba zásob. Rostly ale ostatní složky HDP – zahraniční poptávka, investice, vládní spotřeba a poprvé po šesti čtvrtletích poklesů v řadě mezičtvrtletně vzrostla také spotřeba domácností. Česká ekonomika v rámci EU patřila k menšině zemí, kde HDP meziročně klesl. Hrubý domácí produkt v EU ve 2.</w:t>
      </w:r>
      <w:r>
        <w:rPr>
          <w:spacing w:val="-4"/>
        </w:rPr>
        <w:t> </w:t>
      </w:r>
      <w:r w:rsidRPr="00F11FDC">
        <w:rPr>
          <w:spacing w:val="-4"/>
        </w:rPr>
        <w:t>čtvrtletí meziročně rostl o 0,5 % a mezičtvrtletně stagnoval.</w:t>
      </w:r>
    </w:p>
    <w:p w14:paraId="463AB1BB" w14:textId="77777777" w:rsidR="00BC223A" w:rsidRPr="00F11FDC" w:rsidRDefault="00BC223A" w:rsidP="00BC223A">
      <w:pPr>
        <w:pStyle w:val="Normalodrka"/>
        <w:rPr>
          <w:spacing w:val="-4"/>
        </w:rPr>
      </w:pPr>
      <w:r w:rsidRPr="00F11FDC">
        <w:rPr>
          <w:spacing w:val="-4"/>
        </w:rPr>
        <w:t xml:space="preserve">Hrubá přidaná hodnota (HPH) meziročně vzrostla o 0,6 %. K růstu přispíval zejména zpracovatelský průmysl, kde HPH vzrostla o 3,8 %. Kromě toho ale výrazně meziročně rostla HPH v informačních a komunikačních činnostech a vyšší byla i v profesních, vědeckých, technických a administrativních činnostech navázaných na podnikovou poptávku. Negativně působilo zejména uskupení obchod, doprava, ubytování a pohostinství, kde došlo k meziročnímu poklesu o 1,3 %. Mezičtvrtletně se HPH snížila o 0,2 %. Mezičtvrtletní růst HPH byl výrazně podpořen vývojem ve zpracovatelském průmyslu (růst o 1,0 %). Ve směru poklesu ale působilo uskupení obchod, doprava, ubytování a pohostinství (-1,0 %). </w:t>
      </w:r>
    </w:p>
    <w:p w14:paraId="54C12D12" w14:textId="77777777" w:rsidR="00BC223A" w:rsidRPr="00F11FDC" w:rsidRDefault="00BC223A" w:rsidP="00BC223A">
      <w:pPr>
        <w:pStyle w:val="Normalodrka"/>
        <w:rPr>
          <w:spacing w:val="-4"/>
        </w:rPr>
      </w:pPr>
      <w:r w:rsidRPr="00F11FDC">
        <w:rPr>
          <w:spacing w:val="-4"/>
        </w:rPr>
        <w:t>Vývoz zboží a služeb ve 2. čtvrtletí reálně meziročně vzrostl o 4,5 %</w:t>
      </w:r>
      <w:r w:rsidRPr="00835495">
        <w:rPr>
          <w:rStyle w:val="Znakapoznpodarou"/>
          <w:spacing w:val="-4"/>
        </w:rPr>
        <w:footnoteReference w:id="2"/>
      </w:r>
      <w:r w:rsidRPr="00F11FDC">
        <w:rPr>
          <w:spacing w:val="-4"/>
        </w:rPr>
        <w:t xml:space="preserve"> a mezičtvrtletně klesl o 0,5 %. Dynamika dovozu byla mírnější – import byl reálně meziročně vyšší o 0,8 % a mezičtvrtletně klesl o 1,2 %. Bilance zahraničního obchodu se zbožím a službami v běžných cenách dosáhla ve 2. čtvrtletí přebytku 100,9 mld. korun a ten se tak meziročně zlepšil o 101,0 mld. K meziročnímu zlepšení bilance obchodu se zbožím nejvíce přispívalo zmírnění deficitu obchodu s ropou a zemním plynem a zlepšení přebytku zahraničního obchodu s motorovými vozidly. Naopak pokles cen vedl k meziročnímu zhoršení bilance obchodu s elektřinou, plynem, párou a klimatizovaným vzduchem.</w:t>
      </w:r>
    </w:p>
    <w:p w14:paraId="11EAF916" w14:textId="77777777" w:rsidR="00BC223A" w:rsidRPr="00F11FDC" w:rsidRDefault="00BC223A" w:rsidP="00BC223A">
      <w:pPr>
        <w:pStyle w:val="Normalodrka"/>
        <w:rPr>
          <w:spacing w:val="-4"/>
        </w:rPr>
      </w:pPr>
      <w:r w:rsidRPr="00F11FDC">
        <w:rPr>
          <w:spacing w:val="-4"/>
        </w:rPr>
        <w:t>Celková cenová hladina ve 2. čtvrtletí (podle deflátoru HDP) meziročně vzrostla o 10,2 % a mezičtvrtletně byla vyšší o 1,1 %. Meziroční růst spotřebitelských cen zpomalil ve 2. kvartálu na 11,1 % a mezičtvrtletně byly ceny vyšší o 0,3 %. K meziročnímu růstu spotřebitelských cen stále nejvíce přispívaly ceny bydlení a energií a</w:t>
      </w:r>
      <w:r>
        <w:rPr>
          <w:spacing w:val="-4"/>
        </w:rPr>
        <w:t> </w:t>
      </w:r>
      <w:r w:rsidRPr="00F11FDC">
        <w:rPr>
          <w:spacing w:val="-4"/>
        </w:rPr>
        <w:t>potravin a nealkoholických nápojů. Zároveň ale šlo o položky zásadně ovlivňující zpomalení celkového růstu. U většiny oddílů spotřebního koše ceny stále meziročně rostly a jedinou výjimkou byly ceny dopravy. Klesaly nabídkové i realizované ceny bytů. Zmírnil se meziroční růst cen průmyslových výrobců (3,9 %) a klesaly ceny zemědělských výrobců (-8,1 %). Naopak k posílení meziročního růstu došlo u cen tržních služeb (6,3 %).</w:t>
      </w:r>
    </w:p>
    <w:p w14:paraId="7E6289E5" w14:textId="77777777" w:rsidR="00BC223A" w:rsidRPr="00F11FDC" w:rsidRDefault="00BC223A" w:rsidP="00BC223A">
      <w:pPr>
        <w:pStyle w:val="Normalodrka"/>
        <w:rPr>
          <w:spacing w:val="-4"/>
        </w:rPr>
      </w:pPr>
      <w:r w:rsidRPr="00F11FDC">
        <w:rPr>
          <w:spacing w:val="-4"/>
        </w:rPr>
        <w:t xml:space="preserve">Měnověpolitické úrokové sazby zůstaly ve 2. čtvrtletí na stejné úrovni, jakou měly od začátku druhé poloviny roku 2022. To vedlo k pokračující stabilitě tržních sazeb. Neměnné byly úrokové sazby u spotřebitelských úvěrů, zatímco v případě úvěrů na bydlení dál rostly. </w:t>
      </w:r>
    </w:p>
    <w:p w14:paraId="25510C48" w14:textId="6AEEEFC5" w:rsidR="00BC223A" w:rsidRPr="00835495" w:rsidRDefault="00BC223A" w:rsidP="00BC223A">
      <w:pPr>
        <w:pStyle w:val="Normalodrka"/>
        <w:rPr>
          <w:spacing w:val="-4"/>
        </w:rPr>
      </w:pPr>
      <w:r w:rsidRPr="00835495">
        <w:rPr>
          <w:spacing w:val="-4"/>
        </w:rPr>
        <w:t>Celková zaměstnanost</w:t>
      </w:r>
      <w:r w:rsidRPr="00835495">
        <w:rPr>
          <w:rStyle w:val="Znakapoznpodarou"/>
          <w:spacing w:val="-4"/>
        </w:rPr>
        <w:footnoteReference w:id="3"/>
      </w:r>
      <w:r w:rsidRPr="00835495">
        <w:rPr>
          <w:spacing w:val="-4"/>
        </w:rPr>
        <w:t xml:space="preserve"> v</w:t>
      </w:r>
      <w:r>
        <w:rPr>
          <w:spacing w:val="-4"/>
        </w:rPr>
        <w:t>e</w:t>
      </w:r>
      <w:r w:rsidRPr="00835495">
        <w:rPr>
          <w:spacing w:val="-4"/>
        </w:rPr>
        <w:t> </w:t>
      </w:r>
      <w:r>
        <w:rPr>
          <w:spacing w:val="-4"/>
        </w:rPr>
        <w:t>2</w:t>
      </w:r>
      <w:r w:rsidRPr="00835495">
        <w:rPr>
          <w:spacing w:val="-4"/>
        </w:rPr>
        <w:t xml:space="preserve">. čtvrtletí meziročně vzrostla o </w:t>
      </w:r>
      <w:r>
        <w:rPr>
          <w:spacing w:val="-4"/>
        </w:rPr>
        <w:t>0,8</w:t>
      </w:r>
      <w:r w:rsidRPr="00835495">
        <w:rPr>
          <w:spacing w:val="-4"/>
        </w:rPr>
        <w:t xml:space="preserve"> % a mezičtvrtletně o </w:t>
      </w:r>
      <w:r>
        <w:rPr>
          <w:spacing w:val="-4"/>
        </w:rPr>
        <w:t>1,0</w:t>
      </w:r>
      <w:r w:rsidRPr="00835495">
        <w:rPr>
          <w:spacing w:val="-4"/>
        </w:rPr>
        <w:t xml:space="preserve"> %. </w:t>
      </w:r>
      <w:r>
        <w:rPr>
          <w:spacing w:val="-4"/>
        </w:rPr>
        <w:t xml:space="preserve">Obecná míra nezaměstnanosti měla jen mírnou tendenci k růstu a v červenci činila 2,8 %. </w:t>
      </w:r>
      <w:r w:rsidRPr="00835495">
        <w:rPr>
          <w:spacing w:val="-4"/>
        </w:rPr>
        <w:t>Průměrná hrubá měsíční nominální mzda v</w:t>
      </w:r>
      <w:r>
        <w:rPr>
          <w:spacing w:val="-4"/>
        </w:rPr>
        <w:t>e</w:t>
      </w:r>
      <w:r w:rsidRPr="00835495">
        <w:rPr>
          <w:spacing w:val="-4"/>
        </w:rPr>
        <w:t> </w:t>
      </w:r>
      <w:r>
        <w:rPr>
          <w:spacing w:val="-4"/>
        </w:rPr>
        <w:t>2</w:t>
      </w:r>
      <w:r w:rsidRPr="00835495">
        <w:rPr>
          <w:spacing w:val="-4"/>
        </w:rPr>
        <w:t xml:space="preserve">. čtvrtletí nominálně meziročně vzrostla o </w:t>
      </w:r>
      <w:r>
        <w:rPr>
          <w:spacing w:val="-4"/>
        </w:rPr>
        <w:t>7,7</w:t>
      </w:r>
      <w:r w:rsidRPr="00835495">
        <w:rPr>
          <w:spacing w:val="-4"/>
        </w:rPr>
        <w:t xml:space="preserve"> % a dosáhla 4</w:t>
      </w:r>
      <w:r>
        <w:rPr>
          <w:spacing w:val="-4"/>
        </w:rPr>
        <w:t>3 193</w:t>
      </w:r>
      <w:r w:rsidRPr="00835495">
        <w:rPr>
          <w:spacing w:val="-4"/>
        </w:rPr>
        <w:t xml:space="preserve"> korun. </w:t>
      </w:r>
      <w:r>
        <w:rPr>
          <w:spacing w:val="-4"/>
        </w:rPr>
        <w:t>Reálný propad zmírnil na 3,1 %.</w:t>
      </w:r>
      <w:r w:rsidR="008A2254">
        <w:rPr>
          <w:spacing w:val="-4"/>
        </w:rPr>
        <w:t xml:space="preserve"> Průměrná mzda reálně klesala v drtivé</w:t>
      </w:r>
      <w:r>
        <w:rPr>
          <w:spacing w:val="-4"/>
        </w:rPr>
        <w:t xml:space="preserve"> většině odvětví. </w:t>
      </w:r>
      <w:r w:rsidRPr="00835495">
        <w:rPr>
          <w:spacing w:val="-4"/>
        </w:rPr>
        <w:t xml:space="preserve">Mezičtvrtletní nominální navýšení průměrné mzdy činilo </w:t>
      </w:r>
      <w:r>
        <w:rPr>
          <w:spacing w:val="-4"/>
        </w:rPr>
        <w:t>1,5</w:t>
      </w:r>
      <w:r w:rsidRPr="00835495">
        <w:rPr>
          <w:spacing w:val="-4"/>
        </w:rPr>
        <w:t xml:space="preserve"> %.</w:t>
      </w:r>
    </w:p>
    <w:p w14:paraId="4759D6A6" w14:textId="77777777" w:rsidR="00B73FE8" w:rsidRDefault="00BC223A" w:rsidP="00B73FE8">
      <w:pPr>
        <w:pStyle w:val="Normalodrka"/>
        <w:spacing w:after="0"/>
        <w:rPr>
          <w:spacing w:val="-4"/>
        </w:rPr>
      </w:pPr>
      <w:r w:rsidRPr="007E0C48">
        <w:rPr>
          <w:spacing w:val="-4"/>
        </w:rPr>
        <w:t>Schodek hospodaření státního rozpočtu (SR) v 1. pololetí vzrostl na 215,4 mld. korun. Celkové příjmy vlivem vysokého cenového růstu v ekonomice meziročně svižně rostly (16,5 %), rozpočtové očekávání však zcela nenaplnily. Ta naopak překonala dynamika celkových výdajů, které v 1. pololetí meziročně vzrostly o 16,8 %. Oslabení růst</w:t>
      </w:r>
      <w:r>
        <w:rPr>
          <w:spacing w:val="-4"/>
        </w:rPr>
        <w:t>u</w:t>
      </w:r>
      <w:r w:rsidRPr="007E0C48">
        <w:rPr>
          <w:spacing w:val="-4"/>
        </w:rPr>
        <w:t xml:space="preserve"> daňových příjmů bylo ovlivněno pokračujícím poklesem reálné spotřeby domácností. Silný růst výdajů ovlivnila pomoc v souvislosti s vysokými cenami energií i reakce na přetrvávající inflaci (valorizace důchodů, vyšší objem vyplacených sociálních dávek, rostoucí splátky státního dluhu).</w:t>
      </w:r>
    </w:p>
    <w:p w14:paraId="3150E3D3" w14:textId="12CFC233" w:rsidR="00BC223A" w:rsidRPr="00B73FE8" w:rsidRDefault="00B73FE8" w:rsidP="00B73FE8">
      <w:pPr>
        <w:pStyle w:val="Normalodrka"/>
        <w:numPr>
          <w:ilvl w:val="0"/>
          <w:numId w:val="0"/>
        </w:numPr>
        <w:spacing w:after="0"/>
        <w:rPr>
          <w:spacing w:val="-4"/>
        </w:rPr>
      </w:pPr>
      <w:r w:rsidRPr="00B73FE8">
        <w:rPr>
          <w:noProof/>
        </w:rPr>
        <w:lastRenderedPageBreak/>
        <w:drawing>
          <wp:inline distT="0" distB="0" distL="0" distR="0" wp14:anchorId="36C2A329" wp14:editId="30689607">
            <wp:extent cx="6120130" cy="8966835"/>
            <wp:effectExtent l="0" t="0" r="0" b="0"/>
            <wp:docPr id="8689440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8966835"/>
                    </a:xfrm>
                    <a:prstGeom prst="rect">
                      <a:avLst/>
                    </a:prstGeom>
                    <a:noFill/>
                    <a:ln>
                      <a:noFill/>
                    </a:ln>
                  </pic:spPr>
                </pic:pic>
              </a:graphicData>
            </a:graphic>
          </wp:inline>
        </w:drawing>
      </w:r>
    </w:p>
    <w:p w14:paraId="35EA198A" w14:textId="56BFF104" w:rsidR="00993ECA" w:rsidRPr="00C10805" w:rsidRDefault="00993ECA" w:rsidP="00993ECA">
      <w:pPr>
        <w:pStyle w:val="Normalodrka"/>
        <w:numPr>
          <w:ilvl w:val="0"/>
          <w:numId w:val="0"/>
        </w:numPr>
        <w:spacing w:after="0"/>
        <w:rPr>
          <w:b/>
          <w:sz w:val="2"/>
          <w:szCs w:val="2"/>
        </w:rPr>
      </w:pPr>
    </w:p>
    <w:p w14:paraId="3175AC2F" w14:textId="77777777" w:rsidR="007E5149" w:rsidRPr="009110F7" w:rsidRDefault="007E5149" w:rsidP="007E5149">
      <w:pPr>
        <w:pStyle w:val="Nadpis1"/>
      </w:pPr>
      <w:bookmarkStart w:id="24" w:name="_Toc145581247"/>
      <w:bookmarkEnd w:id="11"/>
      <w:bookmarkEnd w:id="12"/>
      <w:bookmarkEnd w:id="13"/>
      <w:bookmarkEnd w:id="14"/>
      <w:bookmarkEnd w:id="15"/>
      <w:bookmarkEnd w:id="16"/>
      <w:bookmarkEnd w:id="17"/>
      <w:r w:rsidRPr="0077605B">
        <w:lastRenderedPageBreak/>
        <w:t>2</w:t>
      </w:r>
      <w:r>
        <w:t>. </w:t>
      </w:r>
      <w:r w:rsidRPr="0077605B">
        <w:t>Souhrnná výkonnost</w:t>
      </w:r>
      <w:bookmarkEnd w:id="24"/>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7E5149" w:rsidRPr="009110F7" w14:paraId="65306B4E" w14:textId="77777777" w:rsidTr="20D21749">
        <w:trPr>
          <w:trHeight w:val="145"/>
        </w:trPr>
        <w:tc>
          <w:tcPr>
            <w:tcW w:w="1806" w:type="dxa"/>
            <w:shd w:val="clear" w:color="auto" w:fill="auto"/>
            <w:tcMar>
              <w:left w:w="0" w:type="dxa"/>
            </w:tcMar>
          </w:tcPr>
          <w:p w14:paraId="0A5B4771" w14:textId="77777777" w:rsidR="007E5149" w:rsidRDefault="007E5149" w:rsidP="007E5149">
            <w:pPr>
              <w:pStyle w:val="Marginlie"/>
            </w:pPr>
            <w:r>
              <w:t xml:space="preserve">Česká ekonomika se držela blízko mezičtvrtletní stagnace. </w:t>
            </w:r>
          </w:p>
        </w:tc>
        <w:tc>
          <w:tcPr>
            <w:tcW w:w="223" w:type="dxa"/>
            <w:shd w:val="clear" w:color="auto" w:fill="auto"/>
            <w:tcMar>
              <w:left w:w="0" w:type="dxa"/>
            </w:tcMar>
          </w:tcPr>
          <w:p w14:paraId="6AD06EA6" w14:textId="77777777" w:rsidR="007E5149" w:rsidRDefault="007E5149" w:rsidP="007E5149">
            <w:pPr>
              <w:pStyle w:val="Textpoznpodarou"/>
              <w:jc w:val="both"/>
              <w:rPr>
                <w:spacing w:val="-4"/>
              </w:rPr>
            </w:pPr>
          </w:p>
        </w:tc>
        <w:tc>
          <w:tcPr>
            <w:tcW w:w="7610" w:type="dxa"/>
            <w:shd w:val="clear" w:color="auto" w:fill="auto"/>
            <w:tcMar>
              <w:left w:w="0" w:type="dxa"/>
            </w:tcMar>
          </w:tcPr>
          <w:p w14:paraId="5931C3C6" w14:textId="77777777" w:rsidR="007E5149" w:rsidRPr="00014ED0" w:rsidRDefault="007E5149" w:rsidP="007E5149">
            <w:pPr>
              <w:rPr>
                <w:spacing w:val="-2"/>
              </w:rPr>
            </w:pPr>
            <w:r>
              <w:rPr>
                <w:spacing w:val="-2"/>
              </w:rPr>
              <w:t>Ve 2. čtvrtletí 2023 pokračovala mezičtvrtletní stagnace hrubého domácího produktu (HDP), když česká ekonomika vzrostla jen o 0,1 %</w:t>
            </w:r>
            <w:r w:rsidRPr="00014ED0">
              <w:rPr>
                <w:rStyle w:val="Znakapoznpodarou"/>
                <w:rFonts w:cs="Arial"/>
                <w:spacing w:val="-2"/>
              </w:rPr>
              <w:footnoteReference w:id="4"/>
            </w:r>
            <w:r>
              <w:rPr>
                <w:spacing w:val="-2"/>
              </w:rPr>
              <w:t>. Mezičtvrtletní tempo se tak blízko nuly drží již pět kvartálů. Popsaný přírůstek je výsledkem působení</w:t>
            </w:r>
            <w:r w:rsidRPr="00D17F66">
              <w:rPr>
                <w:spacing w:val="-2"/>
              </w:rPr>
              <w:t xml:space="preserve"> protichůdných faktorů. </w:t>
            </w:r>
            <w:r>
              <w:rPr>
                <w:spacing w:val="-2"/>
              </w:rPr>
              <w:t xml:space="preserve">Na mezičtvrtletní dynamiku HDP působila silně negativně změna zásob. </w:t>
            </w:r>
            <w:r w:rsidRPr="00D17F66">
              <w:rPr>
                <w:spacing w:val="-2"/>
              </w:rPr>
              <w:t xml:space="preserve">Na </w:t>
            </w:r>
            <w:r>
              <w:rPr>
                <w:spacing w:val="-2"/>
              </w:rPr>
              <w:t>druhé straně trvalo pozitivní působení zahraniční poptávky, vládní spotřeby a došlo k oživení investiční aktivity, především té spojené s investicemi podniků. Po šesti poklesech mezičtvrtletně také vzrostla spotřeba domácností. Meziročně se ve 2. čtvrtletí HDP snížil o 0,4 % a klesl tak podruhé v řadě. Klesala spotřeba domácností a zásoby. Pozitivně naopak působila zahraniční poptávka, investiční aktivita a vládní spotřeba.</w:t>
            </w:r>
          </w:p>
        </w:tc>
      </w:tr>
      <w:tr w:rsidR="007E5149" w:rsidRPr="009110F7" w14:paraId="2B26841E" w14:textId="77777777" w:rsidTr="20D21749">
        <w:trPr>
          <w:trHeight w:val="170"/>
        </w:trPr>
        <w:tc>
          <w:tcPr>
            <w:tcW w:w="1806" w:type="dxa"/>
            <w:vMerge w:val="restart"/>
            <w:shd w:val="clear" w:color="auto" w:fill="auto"/>
            <w:tcMar>
              <w:left w:w="0" w:type="dxa"/>
            </w:tcMar>
          </w:tcPr>
          <w:p w14:paraId="0D916A27" w14:textId="77777777" w:rsidR="007E5149" w:rsidRDefault="007E5149" w:rsidP="007E5149">
            <w:pPr>
              <w:pStyle w:val="Marginlie"/>
            </w:pPr>
          </w:p>
        </w:tc>
        <w:tc>
          <w:tcPr>
            <w:tcW w:w="223" w:type="dxa"/>
            <w:vMerge w:val="restart"/>
            <w:shd w:val="clear" w:color="auto" w:fill="auto"/>
            <w:tcMar>
              <w:left w:w="0" w:type="dxa"/>
            </w:tcMar>
          </w:tcPr>
          <w:p w14:paraId="1EA21357" w14:textId="77777777" w:rsidR="007E5149" w:rsidRDefault="007E5149" w:rsidP="007E5149">
            <w:pPr>
              <w:pStyle w:val="Textpoznpodarou"/>
              <w:jc w:val="both"/>
              <w:rPr>
                <w:spacing w:val="-4"/>
              </w:rPr>
            </w:pPr>
          </w:p>
        </w:tc>
        <w:tc>
          <w:tcPr>
            <w:tcW w:w="7610" w:type="dxa"/>
            <w:shd w:val="clear" w:color="auto" w:fill="auto"/>
            <w:tcMar>
              <w:left w:w="0" w:type="dxa"/>
            </w:tcMar>
          </w:tcPr>
          <w:p w14:paraId="4ACCBAC9" w14:textId="77777777" w:rsidR="007E5149" w:rsidRPr="00D721B4" w:rsidRDefault="007E5149" w:rsidP="007E5149">
            <w:pPr>
              <w:spacing w:after="0"/>
              <w:rPr>
                <w:b/>
                <w:szCs w:val="20"/>
              </w:rPr>
            </w:pPr>
            <w:r w:rsidRPr="00D721B4">
              <w:rPr>
                <w:rFonts w:cs="Arial"/>
                <w:b/>
                <w:bCs/>
                <w:color w:val="000000"/>
                <w:szCs w:val="20"/>
              </w:rPr>
              <w:t>Graf č. 1</w:t>
            </w:r>
            <w:r>
              <w:rPr>
                <w:rFonts w:cs="Arial"/>
                <w:b/>
                <w:bCs/>
                <w:color w:val="000000"/>
                <w:szCs w:val="20"/>
              </w:rPr>
              <w:t xml:space="preserve"> </w:t>
            </w:r>
            <w:r w:rsidRPr="00D721B4">
              <w:rPr>
                <w:rFonts w:cs="Arial"/>
                <w:b/>
                <w:szCs w:val="20"/>
                <w:lang w:eastAsia="en-US"/>
              </w:rPr>
              <w:t xml:space="preserve">HDP </w:t>
            </w:r>
            <w:r w:rsidRPr="00D721B4">
              <w:rPr>
                <w:rFonts w:cs="Arial"/>
                <w:bCs/>
                <w:szCs w:val="20"/>
                <w:lang w:eastAsia="en-US"/>
              </w:rPr>
              <w:t>(objemové indexy, očištěno o sezónní a kalendářní vlivy, v %)</w:t>
            </w:r>
          </w:p>
        </w:tc>
      </w:tr>
      <w:tr w:rsidR="007E5149" w:rsidRPr="009110F7" w14:paraId="71A158F7" w14:textId="77777777" w:rsidTr="20D21749">
        <w:tblPrEx>
          <w:tblCellMar>
            <w:left w:w="70" w:type="dxa"/>
            <w:right w:w="70" w:type="dxa"/>
          </w:tblCellMar>
        </w:tblPrEx>
        <w:trPr>
          <w:trHeight w:val="170"/>
        </w:trPr>
        <w:tc>
          <w:tcPr>
            <w:tcW w:w="1806" w:type="dxa"/>
            <w:vMerge/>
          </w:tcPr>
          <w:p w14:paraId="7FA7373B" w14:textId="77777777" w:rsidR="007E5149" w:rsidRPr="009110F7" w:rsidRDefault="007E5149" w:rsidP="007E5149">
            <w:pPr>
              <w:pStyle w:val="Marginlie"/>
            </w:pPr>
          </w:p>
        </w:tc>
        <w:tc>
          <w:tcPr>
            <w:tcW w:w="223" w:type="dxa"/>
            <w:vMerge/>
          </w:tcPr>
          <w:p w14:paraId="4CFEC573" w14:textId="77777777" w:rsidR="007E5149" w:rsidRPr="009110F7" w:rsidRDefault="007E5149" w:rsidP="007E5149">
            <w:pPr>
              <w:pStyle w:val="Textpoznpodarou"/>
              <w:jc w:val="both"/>
              <w:rPr>
                <w:spacing w:val="-4"/>
              </w:rPr>
            </w:pPr>
          </w:p>
        </w:tc>
        <w:tc>
          <w:tcPr>
            <w:tcW w:w="7610" w:type="dxa"/>
            <w:shd w:val="clear" w:color="auto" w:fill="auto"/>
          </w:tcPr>
          <w:p w14:paraId="64E99FB9" w14:textId="77777777" w:rsidR="007E5149" w:rsidRPr="009110F7" w:rsidRDefault="007E5149" w:rsidP="007E5149">
            <w:pPr>
              <w:spacing w:after="0"/>
            </w:pPr>
            <w:r>
              <w:rPr>
                <w:noProof/>
              </w:rPr>
              <w:drawing>
                <wp:inline distT="0" distB="0" distL="0" distR="0" wp14:anchorId="596AAE8E" wp14:editId="6CB775FE">
                  <wp:extent cx="4737600" cy="3553200"/>
                  <wp:effectExtent l="0" t="0" r="6350" b="0"/>
                  <wp:docPr id="9" name="Graf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7E5149" w:rsidRPr="009110F7" w14:paraId="26F19BC7" w14:textId="77777777" w:rsidTr="20D21749">
        <w:trPr>
          <w:trHeight w:val="170"/>
        </w:trPr>
        <w:tc>
          <w:tcPr>
            <w:tcW w:w="1806" w:type="dxa"/>
            <w:vMerge/>
            <w:tcMar>
              <w:left w:w="0" w:type="dxa"/>
            </w:tcMar>
          </w:tcPr>
          <w:p w14:paraId="55DEF6FD" w14:textId="77777777" w:rsidR="007E5149" w:rsidRPr="009110F7" w:rsidRDefault="007E5149" w:rsidP="007E5149">
            <w:pPr>
              <w:pStyle w:val="Marginlie"/>
            </w:pPr>
          </w:p>
        </w:tc>
        <w:tc>
          <w:tcPr>
            <w:tcW w:w="223" w:type="dxa"/>
            <w:vMerge/>
            <w:tcMar>
              <w:left w:w="0" w:type="dxa"/>
            </w:tcMar>
          </w:tcPr>
          <w:p w14:paraId="65B61A1B" w14:textId="77777777" w:rsidR="007E5149" w:rsidRPr="009110F7" w:rsidRDefault="007E5149" w:rsidP="007E5149">
            <w:pPr>
              <w:pStyle w:val="Textpoznpodarou"/>
              <w:jc w:val="both"/>
              <w:rPr>
                <w:spacing w:val="-4"/>
              </w:rPr>
            </w:pPr>
          </w:p>
        </w:tc>
        <w:tc>
          <w:tcPr>
            <w:tcW w:w="7610" w:type="dxa"/>
            <w:shd w:val="clear" w:color="auto" w:fill="auto"/>
            <w:tcMar>
              <w:left w:w="0" w:type="dxa"/>
            </w:tcMar>
          </w:tcPr>
          <w:p w14:paraId="1614619E" w14:textId="77777777" w:rsidR="007E5149" w:rsidRPr="009110F7" w:rsidRDefault="007E5149" w:rsidP="007E5149">
            <w:pPr>
              <w:spacing w:after="220"/>
              <w:rPr>
                <w:sz w:val="14"/>
                <w:szCs w:val="14"/>
              </w:rPr>
            </w:pPr>
            <w:r>
              <w:rPr>
                <w:sz w:val="14"/>
                <w:szCs w:val="14"/>
              </w:rPr>
              <w:t>Zdroj: ČSÚ, Eurostat</w:t>
            </w:r>
          </w:p>
        </w:tc>
      </w:tr>
      <w:tr w:rsidR="007E5149" w:rsidRPr="009110F7" w14:paraId="1483C43E" w14:textId="77777777" w:rsidTr="20D21749">
        <w:trPr>
          <w:trHeight w:val="145"/>
        </w:trPr>
        <w:tc>
          <w:tcPr>
            <w:tcW w:w="1806" w:type="dxa"/>
            <w:shd w:val="clear" w:color="auto" w:fill="auto"/>
            <w:tcMar>
              <w:left w:w="0" w:type="dxa"/>
            </w:tcMar>
          </w:tcPr>
          <w:p w14:paraId="1DF1EFAC" w14:textId="77777777" w:rsidR="007E5149" w:rsidRDefault="007E5149" w:rsidP="007E5149">
            <w:pPr>
              <w:pStyle w:val="Marginlie"/>
            </w:pPr>
            <w:r>
              <w:t>Hrubý domácí produkt v EU mezičtvrtletně stagnoval.</w:t>
            </w:r>
          </w:p>
        </w:tc>
        <w:tc>
          <w:tcPr>
            <w:tcW w:w="223" w:type="dxa"/>
            <w:shd w:val="clear" w:color="auto" w:fill="auto"/>
            <w:tcMar>
              <w:left w:w="0" w:type="dxa"/>
            </w:tcMar>
          </w:tcPr>
          <w:p w14:paraId="65844CCF" w14:textId="77777777" w:rsidR="007E5149" w:rsidRDefault="007E5149" w:rsidP="007E5149">
            <w:pPr>
              <w:pStyle w:val="Textpoznpodarou"/>
              <w:jc w:val="both"/>
              <w:rPr>
                <w:spacing w:val="-4"/>
              </w:rPr>
            </w:pPr>
          </w:p>
        </w:tc>
        <w:tc>
          <w:tcPr>
            <w:tcW w:w="7610" w:type="dxa"/>
            <w:shd w:val="clear" w:color="auto" w:fill="auto"/>
            <w:tcMar>
              <w:left w:w="0" w:type="dxa"/>
            </w:tcMar>
          </w:tcPr>
          <w:p w14:paraId="1F838B4D" w14:textId="14E81770" w:rsidR="007E5149" w:rsidRDefault="007E5149" w:rsidP="007E5149">
            <w:r w:rsidRPr="00A83392">
              <w:t>V celé Evropské unii HDP ve 2. čtvrtletí mezičtvrtletně stagnoval</w:t>
            </w:r>
            <w:r>
              <w:t xml:space="preserve"> a m</w:t>
            </w:r>
            <w:r w:rsidRPr="00A83392">
              <w:t>eziroční nárůst zpomalil na 0,</w:t>
            </w:r>
            <w:r w:rsidR="37D604A5" w:rsidRPr="00A83392">
              <w:t>4</w:t>
            </w:r>
            <w:r w:rsidRPr="00A83392">
              <w:t xml:space="preserve"> %</w:t>
            </w:r>
            <w:r>
              <w:rPr>
                <w:rStyle w:val="Znakapoznpodarou"/>
                <w:spacing w:val="-2"/>
              </w:rPr>
              <w:footnoteReference w:id="5"/>
            </w:r>
            <w:r w:rsidRPr="00A83392">
              <w:t>. Podle dostupných údajů většina ekonomik EU meziročně i</w:t>
            </w:r>
            <w:r>
              <w:t> </w:t>
            </w:r>
            <w:r w:rsidRPr="00A83392">
              <w:t>mezičtvrtletně rostla.</w:t>
            </w:r>
            <w:r>
              <w:t xml:space="preserve"> Nejvíce se meziročně zvyšoval HDP </w:t>
            </w:r>
            <w:r w:rsidR="08A648BF">
              <w:t>na Maltě</w:t>
            </w:r>
            <w:r w:rsidR="1B53A8C8">
              <w:t xml:space="preserve"> (3,9 %)</w:t>
            </w:r>
            <w:r w:rsidR="08A648BF">
              <w:t>, v Řecku</w:t>
            </w:r>
            <w:r w:rsidR="7C941E33">
              <w:t xml:space="preserve"> (2,7 %)</w:t>
            </w:r>
            <w:r w:rsidR="08A648BF">
              <w:t xml:space="preserve"> a </w:t>
            </w:r>
            <w:r>
              <w:t>v Rumunsku (2,7 %)</w:t>
            </w:r>
            <w:r w:rsidR="60B2C930">
              <w:t xml:space="preserve">. </w:t>
            </w:r>
            <w:r w:rsidRPr="00A83392">
              <w:t>Č</w:t>
            </w:r>
            <w:r>
              <w:t>esko</w:t>
            </w:r>
            <w:r w:rsidRPr="00A83392">
              <w:t xml:space="preserve"> patřil</w:t>
            </w:r>
            <w:r>
              <w:t>o</w:t>
            </w:r>
            <w:r w:rsidRPr="00A83392">
              <w:t xml:space="preserve"> k</w:t>
            </w:r>
            <w:r>
              <w:t> menšině zemí</w:t>
            </w:r>
            <w:r w:rsidRPr="00A83392">
              <w:t xml:space="preserve"> s</w:t>
            </w:r>
            <w:r>
              <w:t xml:space="preserve"> meziročním </w:t>
            </w:r>
            <w:r w:rsidRPr="00A83392">
              <w:t xml:space="preserve">poklesem HDP. </w:t>
            </w:r>
            <w:r>
              <w:t xml:space="preserve">Nejvíce HDP klesl v </w:t>
            </w:r>
            <w:r w:rsidRPr="00A83392">
              <w:t>Estonsk</w:t>
            </w:r>
            <w:r>
              <w:t>u</w:t>
            </w:r>
            <w:r w:rsidRPr="00A83392">
              <w:t xml:space="preserve"> (</w:t>
            </w:r>
            <w:r>
              <w:t>−</w:t>
            </w:r>
            <w:r w:rsidRPr="00A83392">
              <w:t>3,0 %),</w:t>
            </w:r>
            <w:r w:rsidR="67F8BB57" w:rsidRPr="00A83392">
              <w:t xml:space="preserve"> v Maďarsku (-2,3 %) a v</w:t>
            </w:r>
            <w:r w:rsidRPr="00A83392">
              <w:t xml:space="preserve"> Polsk</w:t>
            </w:r>
            <w:r>
              <w:t>u</w:t>
            </w:r>
            <w:r w:rsidRPr="00A83392">
              <w:t xml:space="preserve"> (</w:t>
            </w:r>
            <w:r>
              <w:t>−</w:t>
            </w:r>
            <w:r w:rsidRPr="00A83392">
              <w:t>1,</w:t>
            </w:r>
            <w:r>
              <w:t>4</w:t>
            </w:r>
            <w:r w:rsidRPr="00A83392">
              <w:t xml:space="preserve"> %)</w:t>
            </w:r>
            <w:r w:rsidR="5DD689BF" w:rsidRPr="00A83392">
              <w:t>.</w:t>
            </w:r>
            <w:r>
              <w:t xml:space="preserve"> Z</w:t>
            </w:r>
            <w:r w:rsidRPr="00A83392">
              <w:t xml:space="preserve"> pohledu mezičtvrtletního vývoje se Česko pohybovalo v rámci průměru EU.</w:t>
            </w:r>
            <w:r>
              <w:t xml:space="preserve"> Nejvíce mezičtvrtletně narostl HDP v Litvě (2,9 %), Slovinsku (1,4 %) a</w:t>
            </w:r>
            <w:r w:rsidR="53942896">
              <w:t xml:space="preserve"> Řecku (1,3 %).</w:t>
            </w:r>
            <w:r>
              <w:t xml:space="preserve"> Naopak HDP výrazně klesl v Polsku (−2,2 %), Švédsku (−0,8 %) nebo Rakousku (−0,7 %). </w:t>
            </w:r>
            <w:r w:rsidRPr="00812956">
              <w:t>Pohled na oblast střední Evropy ukazuje celkové zpomalení regionu. Kromě Polska</w:t>
            </w:r>
            <w:r>
              <w:t xml:space="preserve">, </w:t>
            </w:r>
            <w:r w:rsidRPr="00812956">
              <w:t xml:space="preserve">Česka </w:t>
            </w:r>
            <w:r>
              <w:t xml:space="preserve">a Rakouska </w:t>
            </w:r>
            <w:r w:rsidRPr="00812956">
              <w:t>meziročně mírně klesl HDP i v</w:t>
            </w:r>
            <w:r>
              <w:t> </w:t>
            </w:r>
            <w:r w:rsidRPr="00812956">
              <w:t>Německu</w:t>
            </w:r>
            <w:r>
              <w:t xml:space="preserve"> (−0,1 %, n</w:t>
            </w:r>
            <w:r w:rsidRPr="00812956">
              <w:t>ěmecká ekonomika mezičtvrtletně stagnovala</w:t>
            </w:r>
            <w:r>
              <w:t>)</w:t>
            </w:r>
            <w:r w:rsidRPr="00812956">
              <w:t>. Naproti tomu Slovensko dosáhlo meziročního přírůstku 1,3 % a mezičtvrtletního 0,4 %.</w:t>
            </w:r>
            <w:r>
              <w:t xml:space="preserve"> </w:t>
            </w:r>
            <w:r w:rsidRPr="00812956">
              <w:t xml:space="preserve">Co se týká velkých evropských ekonomik, vývoj ve 2. čtvrtletí byl různorodý. Mezičtvrtletně se zvyšoval HDP ve Francii (0,5 %) a </w:t>
            </w:r>
            <w:r w:rsidRPr="00812956">
              <w:lastRenderedPageBreak/>
              <w:t>Španělsku (0,4 %). Naproti tomu německá ekonomika stagnovala (a v předchozích dvou kvartálech mezičtvrtletně klesala) a Itálie klesla o</w:t>
            </w:r>
            <w:r>
              <w:t> </w:t>
            </w:r>
            <w:r w:rsidRPr="00812956">
              <w:t>0,</w:t>
            </w:r>
            <w:r>
              <w:t>4 </w:t>
            </w:r>
            <w:r w:rsidRPr="00812956">
              <w:t>%.</w:t>
            </w:r>
          </w:p>
        </w:tc>
      </w:tr>
      <w:tr w:rsidR="007E5149" w:rsidRPr="009110F7" w14:paraId="21EAEBF6" w14:textId="77777777" w:rsidTr="20D21749">
        <w:trPr>
          <w:trHeight w:val="145"/>
        </w:trPr>
        <w:tc>
          <w:tcPr>
            <w:tcW w:w="1806" w:type="dxa"/>
            <w:shd w:val="clear" w:color="auto" w:fill="auto"/>
            <w:tcMar>
              <w:left w:w="0" w:type="dxa"/>
            </w:tcMar>
          </w:tcPr>
          <w:p w14:paraId="1E0C4C00" w14:textId="77777777" w:rsidR="007E5149" w:rsidRDefault="007E5149" w:rsidP="007E5149">
            <w:pPr>
              <w:pStyle w:val="Marginlie"/>
            </w:pPr>
            <w:r>
              <w:lastRenderedPageBreak/>
              <w:t>Mzdy a platy meziročně reálně klesly.</w:t>
            </w:r>
          </w:p>
        </w:tc>
        <w:tc>
          <w:tcPr>
            <w:tcW w:w="223" w:type="dxa"/>
            <w:shd w:val="clear" w:color="auto" w:fill="auto"/>
            <w:tcMar>
              <w:left w:w="0" w:type="dxa"/>
            </w:tcMar>
          </w:tcPr>
          <w:p w14:paraId="58CC6ECB" w14:textId="77777777" w:rsidR="007E5149" w:rsidRDefault="007E5149" w:rsidP="007E5149">
            <w:pPr>
              <w:pStyle w:val="Textpoznpodarou"/>
              <w:jc w:val="both"/>
              <w:rPr>
                <w:spacing w:val="-4"/>
              </w:rPr>
            </w:pPr>
          </w:p>
        </w:tc>
        <w:tc>
          <w:tcPr>
            <w:tcW w:w="7610" w:type="dxa"/>
            <w:shd w:val="clear" w:color="auto" w:fill="auto"/>
            <w:tcMar>
              <w:left w:w="0" w:type="dxa"/>
            </w:tcMar>
          </w:tcPr>
          <w:p w14:paraId="35C356EF" w14:textId="77777777" w:rsidR="007E5149" w:rsidRPr="00014ED0" w:rsidRDefault="007E5149" w:rsidP="007E5149">
            <w:r>
              <w:t>Objem mezd a platů vyplacených zaměstnancům ve 2. čtvrtletí meziročně nominálně vzrostl o 8,0 % při celkovém růstu zaměstnanosti o 0,8 %</w:t>
            </w:r>
            <w:r w:rsidRPr="00014ED0">
              <w:rPr>
                <w:rStyle w:val="Znakapoznpodarou"/>
                <w:spacing w:val="-2"/>
              </w:rPr>
              <w:footnoteReference w:id="6"/>
            </w:r>
            <w:r>
              <w:t>. Dynamika tak mírně zpomalila ve srovnání s předchozím čtvrtletím. Vzhledem k pokračujícímu cenovému růstu ale mzdy a platy reálně klesly o 1,9 %</w:t>
            </w:r>
            <w:r>
              <w:rPr>
                <w:rStyle w:val="Znakapoznpodarou"/>
                <w:spacing w:val="-2"/>
              </w:rPr>
              <w:footnoteReference w:id="7"/>
            </w:r>
            <w:r>
              <w:t>. Nejvíce meziročně rostly mzdy a platy v činnostech v oblasti nemovitostí (18,2 % při růstu zaměstnanosti o 0,6 %), v peněžnictví a pojišťovnictví (10,1 %, zaměstnanost o 1,8 %), v profesních, vědeckých, technických a administrativních činnostech (9,6 %, zaměstnanost o 1,6 %), ve veřejné správě a obraně, vzdělávání, zdravotní a sociální péči (8,3 %, zaměstnanost byla vyšší o 2,2 %), v informačních a komunikačních činnostech (8,1 %, zaměstnanost o 2,6 %) a ve stavebnictví (8,1 %, zaměstnanost o 2,7 %). Podprůměrný byl meziroční růst objemu mezd a platů v průmyslu (7,8 %, zaměstnanost jako v jediném odvětví meziročně klesla o 0,6 %), v uskupení obchod, doprava, ubytování a pohostinství (6,7 %, zaměstnanost o 0,2 %), v ostatních činnostech</w:t>
            </w:r>
            <w:r>
              <w:rPr>
                <w:rStyle w:val="Znakapoznpodarou"/>
                <w:spacing w:val="-2"/>
              </w:rPr>
              <w:footnoteReference w:id="8"/>
            </w:r>
            <w:r>
              <w:t xml:space="preserve"> (6,4 %, zaměstnanost rostla o 1,0 %) a v zemědělství, lesnictví a rybářství (5,9 %, zaměstnanost o 0,7 %). </w:t>
            </w:r>
          </w:p>
        </w:tc>
      </w:tr>
      <w:tr w:rsidR="007E5149" w:rsidRPr="009110F7" w14:paraId="529DABB9" w14:textId="77777777" w:rsidTr="20D21749">
        <w:trPr>
          <w:trHeight w:val="145"/>
        </w:trPr>
        <w:tc>
          <w:tcPr>
            <w:tcW w:w="1806" w:type="dxa"/>
            <w:shd w:val="clear" w:color="auto" w:fill="auto"/>
            <w:tcMar>
              <w:left w:w="0" w:type="dxa"/>
            </w:tcMar>
          </w:tcPr>
          <w:p w14:paraId="4C6B0DBD" w14:textId="77777777" w:rsidR="007E5149" w:rsidRDefault="007E5149" w:rsidP="007E5149">
            <w:pPr>
              <w:pStyle w:val="Marginlie"/>
            </w:pPr>
            <w:r>
              <w:t xml:space="preserve">Nominální mzdy a platy mezičtvrtletně klesly v zemědělství, lesnictví </w:t>
            </w:r>
            <w:r>
              <w:br/>
              <w:t>a rybářství a v ostatních činnostech.</w:t>
            </w:r>
          </w:p>
        </w:tc>
        <w:tc>
          <w:tcPr>
            <w:tcW w:w="223" w:type="dxa"/>
            <w:shd w:val="clear" w:color="auto" w:fill="auto"/>
            <w:tcMar>
              <w:left w:w="0" w:type="dxa"/>
            </w:tcMar>
          </w:tcPr>
          <w:p w14:paraId="41FAEF8A" w14:textId="77777777" w:rsidR="007E5149" w:rsidRDefault="007E5149" w:rsidP="007E5149">
            <w:pPr>
              <w:pStyle w:val="Textpoznpodarou"/>
              <w:jc w:val="both"/>
              <w:rPr>
                <w:spacing w:val="-4"/>
              </w:rPr>
            </w:pPr>
          </w:p>
        </w:tc>
        <w:tc>
          <w:tcPr>
            <w:tcW w:w="7610" w:type="dxa"/>
            <w:shd w:val="clear" w:color="auto" w:fill="auto"/>
            <w:tcMar>
              <w:left w:w="0" w:type="dxa"/>
            </w:tcMar>
          </w:tcPr>
          <w:p w14:paraId="52C45FD7" w14:textId="77777777" w:rsidR="007E5149" w:rsidRDefault="007E5149" w:rsidP="007E5149">
            <w:r>
              <w:t>Mezičtvrtletně se mzdy a platy zvýšily o 1,0 % při stejném navýšení zaměstnanosti. Reálně se mzdy a platy zvýšily mezičtvrtletně o 1,2 %. Ve 2. čtvrtletí došlo k nejvýraznějšímu oživení objemu mezd a platů v peněžnictví a pojišťovnictví (5,4 % při stagnaci zaměstnanosti), ve veřejné správě a obraně, vzdělávání, zdravotní a sociální péči (1,6 % při poklesu zaměstnanosti o 0,1 %), a v informačních a komunikačních činnostech (1,4 % při poklesu zaměstnanosti o 1,9 %). Nad celkovým průměrem byl také přírůstek objemu mezd a platů v profesních, vědeckých, technických a administrativních činnostech (1,1 % při růstu zaměstnanosti o 0,5 %). Mírněji rostly mzdy a platy v průmyslu (0,9 % při růstu zaměstnanosti o 1,2 %), ve stavebnictví (0,3 %, zaměstnanost o 0,1 %) a v uskupení obchod, doprava, ubytování a pohostinství (0,1 % při výrazném růstu zaměstnanosti o 2,7 %). Mzdy a platy stagnovaly v činnostech v oblasti nemovitostí, kde zaměstnanost rostla o 1,0 % a klesaly v zemědělství, lesnictví a rybářství (−0,3 % při růstu zaměstnanosti o 0,8 %) a v ostatních činnostech (−1,8 % při růstu zaměstnanosti o 2,5 %).</w:t>
            </w:r>
          </w:p>
        </w:tc>
      </w:tr>
      <w:tr w:rsidR="007E5149" w:rsidRPr="009110F7" w14:paraId="20280672" w14:textId="77777777" w:rsidTr="20D21749">
        <w:trPr>
          <w:trHeight w:val="145"/>
        </w:trPr>
        <w:tc>
          <w:tcPr>
            <w:tcW w:w="1806" w:type="dxa"/>
            <w:shd w:val="clear" w:color="auto" w:fill="auto"/>
            <w:tcMar>
              <w:left w:w="0" w:type="dxa"/>
            </w:tcMar>
          </w:tcPr>
          <w:p w14:paraId="05D1B246" w14:textId="77777777" w:rsidR="007E5149" w:rsidRDefault="007E5149" w:rsidP="007E5149">
            <w:pPr>
              <w:pStyle w:val="Marginlie"/>
            </w:pPr>
            <w:r>
              <w:t>Domácí spotřeba poprvé po šesti čtvrtletích poklesů mezičtvrtletně rostla.</w:t>
            </w:r>
          </w:p>
        </w:tc>
        <w:tc>
          <w:tcPr>
            <w:tcW w:w="223" w:type="dxa"/>
            <w:shd w:val="clear" w:color="auto" w:fill="auto"/>
            <w:tcMar>
              <w:left w:w="0" w:type="dxa"/>
            </w:tcMar>
          </w:tcPr>
          <w:p w14:paraId="58B0E7A4" w14:textId="77777777" w:rsidR="007E5149" w:rsidRDefault="007E5149" w:rsidP="007E5149">
            <w:pPr>
              <w:pStyle w:val="Textpoznpodarou"/>
              <w:jc w:val="both"/>
              <w:rPr>
                <w:spacing w:val="-4"/>
              </w:rPr>
            </w:pPr>
          </w:p>
        </w:tc>
        <w:tc>
          <w:tcPr>
            <w:tcW w:w="7610" w:type="dxa"/>
            <w:shd w:val="clear" w:color="auto" w:fill="auto"/>
            <w:tcMar>
              <w:left w:w="0" w:type="dxa"/>
            </w:tcMar>
          </w:tcPr>
          <w:p w14:paraId="15B371F8" w14:textId="77777777" w:rsidR="007E5149" w:rsidRDefault="007E5149" w:rsidP="007E5149">
            <w:pPr>
              <w:rPr>
                <w:spacing w:val="-2"/>
              </w:rPr>
            </w:pPr>
            <w:r>
              <w:rPr>
                <w:spacing w:val="-2"/>
              </w:rPr>
              <w:t>Spotřeba meziročně klesla o 2,0 % a propad se tak zmírnil. Ve směru meziročního poklesu HDP spotřeba celkem přispívala −1,2 p. b.</w:t>
            </w:r>
            <w:r w:rsidRPr="00014ED0">
              <w:rPr>
                <w:rStyle w:val="Znakapoznpodarou"/>
                <w:spacing w:val="-2"/>
              </w:rPr>
              <w:footnoteReference w:id="9"/>
            </w:r>
            <w:r>
              <w:rPr>
                <w:spacing w:val="-2"/>
              </w:rPr>
              <w:t xml:space="preserve">.Snížení jde výhradně na vrub spotřebě domácností, která byla nižší o 4,5 %. Naopak vládní spotřeba meziročně vzrostla o 3,3 %. Po šesti čtvrtletích nepřetržitých poklesů došlo k mezičtvrtletnímu nárůstu spotřeby o 0,3 %. Zvýšila se spotřeba domácností (0,2 %) i vlády (0,3 %). </w:t>
            </w:r>
            <w:r w:rsidRPr="00B34F8E">
              <w:rPr>
                <w:spacing w:val="-2"/>
              </w:rPr>
              <w:t>Ve směru mezičtvrtletního růstu spotřeby domácností nejvíce působily výdaje na krátkodobou spotřebu</w:t>
            </w:r>
            <w:r>
              <w:rPr>
                <w:rStyle w:val="Znakapoznpodarou"/>
              </w:rPr>
              <w:footnoteReference w:id="10"/>
            </w:r>
            <w:r w:rsidRPr="00B34F8E">
              <w:rPr>
                <w:spacing w:val="-2"/>
              </w:rPr>
              <w:t>, které byly mezičtvrtletně vyšší o 1,0 %. Meziroční propad se zmírnil, ale krátkodobá spotřeba stále hluboce zaostávala (</w:t>
            </w:r>
            <w:r>
              <w:rPr>
                <w:spacing w:val="-2"/>
              </w:rPr>
              <w:t>−</w:t>
            </w:r>
            <w:r w:rsidRPr="00B34F8E">
              <w:rPr>
                <w:spacing w:val="-2"/>
              </w:rPr>
              <w:t>6,1 %).</w:t>
            </w:r>
            <w:r>
              <w:rPr>
                <w:spacing w:val="-2"/>
              </w:rPr>
              <w:t xml:space="preserve"> </w:t>
            </w:r>
            <w:r w:rsidRPr="00B34F8E">
              <w:rPr>
                <w:spacing w:val="-2"/>
              </w:rPr>
              <w:t xml:space="preserve">Spotřeba služeb ve 2. čtvrtletí prakticky stagnovala (+0,2 % mezičtvrtletně) a meziročně byla nižší o 1,6 %. Šlo o první meziroční pokles od začátku roku 2021. </w:t>
            </w:r>
            <w:r>
              <w:rPr>
                <w:spacing w:val="-2"/>
              </w:rPr>
              <w:t>S</w:t>
            </w:r>
            <w:r w:rsidRPr="00B34F8E">
              <w:rPr>
                <w:spacing w:val="-2"/>
              </w:rPr>
              <w:t xml:space="preserve">potřeba trvanlivého zboží (střednědobé i dlouhodobé spotřeby) ve 2. čtvrtletí 2023 mezičtvrtletně klesala (o 3,6 % u dlouhodobé spotřeby a o 2,0 % u střednědobé). Meziročně </w:t>
            </w:r>
            <w:r>
              <w:rPr>
                <w:spacing w:val="-2"/>
              </w:rPr>
              <w:t xml:space="preserve">klesly </w:t>
            </w:r>
            <w:r w:rsidRPr="00B34F8E">
              <w:rPr>
                <w:spacing w:val="-2"/>
              </w:rPr>
              <w:t>výdaje na statky dlouhodobé spotřeby o 3,6 %, zatímco u střednědobé spotřeby pokles dosáhl 7,3</w:t>
            </w:r>
            <w:r>
              <w:rPr>
                <w:spacing w:val="-2"/>
              </w:rPr>
              <w:t> </w:t>
            </w:r>
            <w:r w:rsidRPr="00B34F8E">
              <w:rPr>
                <w:spacing w:val="-2"/>
              </w:rPr>
              <w:t>%.</w:t>
            </w:r>
          </w:p>
        </w:tc>
      </w:tr>
      <w:tr w:rsidR="007E5149" w:rsidRPr="009110F7" w14:paraId="5D448328" w14:textId="77777777" w:rsidTr="20D21749">
        <w:trPr>
          <w:trHeight w:val="145"/>
        </w:trPr>
        <w:tc>
          <w:tcPr>
            <w:tcW w:w="1806" w:type="dxa"/>
            <w:shd w:val="clear" w:color="auto" w:fill="auto"/>
            <w:tcMar>
              <w:left w:w="0" w:type="dxa"/>
            </w:tcMar>
          </w:tcPr>
          <w:p w14:paraId="3A8C049A" w14:textId="77777777" w:rsidR="007E5149" w:rsidRDefault="007E5149" w:rsidP="007E5149">
            <w:pPr>
              <w:pStyle w:val="Marginlie"/>
            </w:pPr>
            <w:r>
              <w:lastRenderedPageBreak/>
              <w:t>Vývoj investic nepřímo ukazuje na zvýšenou investiční aktivitu podniků.</w:t>
            </w:r>
          </w:p>
        </w:tc>
        <w:tc>
          <w:tcPr>
            <w:tcW w:w="223" w:type="dxa"/>
            <w:shd w:val="clear" w:color="auto" w:fill="auto"/>
            <w:tcMar>
              <w:left w:w="0" w:type="dxa"/>
            </w:tcMar>
          </w:tcPr>
          <w:p w14:paraId="289962D6" w14:textId="77777777" w:rsidR="007E5149" w:rsidRDefault="007E5149" w:rsidP="007E5149">
            <w:pPr>
              <w:pStyle w:val="Textpoznpodarou"/>
              <w:jc w:val="both"/>
              <w:rPr>
                <w:spacing w:val="-4"/>
              </w:rPr>
            </w:pPr>
          </w:p>
        </w:tc>
        <w:tc>
          <w:tcPr>
            <w:tcW w:w="7610" w:type="dxa"/>
            <w:shd w:val="clear" w:color="auto" w:fill="auto"/>
            <w:tcMar>
              <w:left w:w="0" w:type="dxa"/>
            </w:tcMar>
          </w:tcPr>
          <w:p w14:paraId="1F716BE2" w14:textId="77777777" w:rsidR="007E5149" w:rsidRDefault="007E5149" w:rsidP="007E5149">
            <w:pPr>
              <w:rPr>
                <w:spacing w:val="-2"/>
              </w:rPr>
            </w:pPr>
            <w:r>
              <w:t>Výdaje na tvorbu hrubého kapitálu byly ve 2. kvartálu meziročně nižší o 5,8 %, což představuje prohloubení poklesu oproti předchozímu čtvrtletí. Tvorba hrubého kapitálu celkem k poklesu HDP přispěla −1,7 p. b. Mezičtvrtletně se výdaje na tvorbu hrubého kapitálu snížily o 1,9 %. Samotné výdaje na tvorbu hrubého fixního kapitálu (investiční aktivita) ale vzrostly meziročně o 2,5 % a mezičtvrtletní oživení dosáhlo 3,4 %. Celkový pokles tvorby hrubého kapitálu byl tedy způsoben změnou zásob. Pokračovalo totiž postupné rozpouštění zásob patrné již na konci loňského roku</w:t>
            </w:r>
            <w:r>
              <w:rPr>
                <w:rStyle w:val="Znakapoznpodarou"/>
              </w:rPr>
              <w:footnoteReference w:id="11"/>
            </w:r>
            <w:r>
              <w:t>. Mezičtvrtletní oživení investiční aktivity ve 2. čtvrtletí z největší části podpořily výdaje na ICT a ostatní stroje a zařízení (růst o 8,8 %) a dále zvýšení investic do dopravních prostředků a zařízení (14,5 %). Nepřímo tak lze usuzovat na oživení investiční aktivity nefinančních podniků, které těmto položkám dominují. Tyto dvě kategorie velmi silně rostly také meziročně (ICT a stroje o 13,5 % a dopravní prostředky o 16,2 %). Mezičtvrtletně vyšší byly také výdaje na produkty duševního vlastnictví (2,8 %). Ty ale v meziročním pohledu zaostávaly o 1,5 %, na čemž má podíl mezičtvrtletní propad v minulém čtvrtletí i vysoká srovnávací základna loňského roku. Ve 2. čtvrtletí trvala nepříznivá situace v oblasti investic do staveb. Investice do obydlí byly mezičtvrtletně nižší o 3,0 %. Po dvou oživeních tedy opět došlo k poklesu. Reálná úroveň investic do obydlí se tak vlivem opatrnosti, slábnoucí kupní síly domácností a úrokového prostředí dostala na úroveň roku 2016. Meziročně byly investice do obydlí nižší o 9,1 %. Ve 2. čtvrtletí byly potřetí v řadě nižší také investice do ostatních budov a staveb (−1,9 %), kam spadají vládní investice do infrastruktury i podnikové investice do výrobních budov apod. Meziročně zde investice klesly o 3,0 %.</w:t>
            </w:r>
          </w:p>
        </w:tc>
      </w:tr>
      <w:tr w:rsidR="007E5149" w:rsidRPr="009110F7" w14:paraId="76D06709" w14:textId="77777777" w:rsidTr="20D21749">
        <w:trPr>
          <w:trHeight w:val="154"/>
        </w:trPr>
        <w:tc>
          <w:tcPr>
            <w:tcW w:w="1806" w:type="dxa"/>
            <w:vMerge w:val="restart"/>
            <w:shd w:val="clear" w:color="auto" w:fill="auto"/>
            <w:tcMar>
              <w:left w:w="0" w:type="dxa"/>
            </w:tcMar>
          </w:tcPr>
          <w:p w14:paraId="28688F5E" w14:textId="77777777" w:rsidR="007E5149" w:rsidRDefault="007E5149" w:rsidP="007E5149">
            <w:pPr>
              <w:pStyle w:val="Marginlie"/>
            </w:pPr>
          </w:p>
        </w:tc>
        <w:tc>
          <w:tcPr>
            <w:tcW w:w="223" w:type="dxa"/>
            <w:vMerge w:val="restart"/>
            <w:shd w:val="clear" w:color="auto" w:fill="auto"/>
            <w:tcMar>
              <w:left w:w="0" w:type="dxa"/>
            </w:tcMar>
          </w:tcPr>
          <w:p w14:paraId="4E50C9F6" w14:textId="77777777" w:rsidR="007E5149" w:rsidRDefault="007E5149" w:rsidP="007E5149">
            <w:pPr>
              <w:pStyle w:val="Textpoznpodarou"/>
              <w:jc w:val="both"/>
              <w:rPr>
                <w:spacing w:val="-4"/>
              </w:rPr>
            </w:pPr>
          </w:p>
        </w:tc>
        <w:tc>
          <w:tcPr>
            <w:tcW w:w="7610" w:type="dxa"/>
            <w:shd w:val="clear" w:color="auto" w:fill="auto"/>
            <w:tcMar>
              <w:left w:w="0" w:type="dxa"/>
            </w:tcMar>
          </w:tcPr>
          <w:p w14:paraId="0C60C0C8" w14:textId="77777777" w:rsidR="007E5149" w:rsidRDefault="007E5149" w:rsidP="007E5149">
            <w:pPr>
              <w:spacing w:after="0"/>
            </w:pPr>
            <w:r w:rsidRPr="00D721B4">
              <w:rPr>
                <w:b/>
                <w:szCs w:val="20"/>
              </w:rPr>
              <w:t>Graf č. 2</w:t>
            </w:r>
            <w:r>
              <w:rPr>
                <w:b/>
                <w:szCs w:val="20"/>
              </w:rPr>
              <w:t xml:space="preserve"> </w:t>
            </w:r>
            <w:r w:rsidRPr="00D721B4">
              <w:rPr>
                <w:rFonts w:cs="Arial"/>
                <w:b/>
                <w:szCs w:val="20"/>
                <w:lang w:eastAsia="en-US"/>
              </w:rPr>
              <w:t xml:space="preserve">Příspěvky výdajových složek k reálné změně HDP* </w:t>
            </w:r>
            <w:r w:rsidRPr="00D721B4">
              <w:rPr>
                <w:rFonts w:cs="Arial"/>
                <w:bCs/>
                <w:szCs w:val="20"/>
                <w:lang w:eastAsia="en-US"/>
              </w:rPr>
              <w:t>(objemové indexy, meziroční růst, příspěvky v p. b., HDP v %)</w:t>
            </w:r>
          </w:p>
        </w:tc>
      </w:tr>
      <w:tr w:rsidR="007E5149" w:rsidRPr="009110F7" w14:paraId="5B11E325" w14:textId="77777777" w:rsidTr="20D21749">
        <w:tblPrEx>
          <w:tblCellMar>
            <w:left w:w="70" w:type="dxa"/>
            <w:right w:w="70" w:type="dxa"/>
          </w:tblCellMar>
        </w:tblPrEx>
        <w:trPr>
          <w:trHeight w:val="154"/>
        </w:trPr>
        <w:tc>
          <w:tcPr>
            <w:tcW w:w="1806" w:type="dxa"/>
            <w:vMerge/>
          </w:tcPr>
          <w:p w14:paraId="340DAED2" w14:textId="77777777" w:rsidR="007E5149" w:rsidRDefault="007E5149" w:rsidP="007E5149">
            <w:pPr>
              <w:pStyle w:val="Marginlie"/>
            </w:pPr>
          </w:p>
        </w:tc>
        <w:tc>
          <w:tcPr>
            <w:tcW w:w="223" w:type="dxa"/>
            <w:vMerge/>
          </w:tcPr>
          <w:p w14:paraId="0BF86D28" w14:textId="77777777" w:rsidR="007E5149" w:rsidRDefault="007E5149" w:rsidP="007E5149">
            <w:pPr>
              <w:pStyle w:val="Textpoznpodarou"/>
              <w:jc w:val="both"/>
              <w:rPr>
                <w:spacing w:val="-4"/>
              </w:rPr>
            </w:pPr>
          </w:p>
        </w:tc>
        <w:tc>
          <w:tcPr>
            <w:tcW w:w="7610" w:type="dxa"/>
            <w:shd w:val="clear" w:color="auto" w:fill="auto"/>
          </w:tcPr>
          <w:p w14:paraId="54805A37" w14:textId="77777777" w:rsidR="007E5149" w:rsidRDefault="007E5149" w:rsidP="007E5149">
            <w:pPr>
              <w:spacing w:after="0"/>
            </w:pPr>
            <w:r>
              <w:rPr>
                <w:noProof/>
              </w:rPr>
              <w:drawing>
                <wp:inline distT="0" distB="0" distL="0" distR="0" wp14:anchorId="55368D81" wp14:editId="28DF6DFF">
                  <wp:extent cx="4737600" cy="3553200"/>
                  <wp:effectExtent l="0" t="0" r="6350" b="0"/>
                  <wp:docPr id="15" name="Graf 1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E5149" w:rsidRPr="009110F7" w14:paraId="52CA5ACB" w14:textId="77777777" w:rsidTr="20D21749">
        <w:trPr>
          <w:trHeight w:val="154"/>
        </w:trPr>
        <w:tc>
          <w:tcPr>
            <w:tcW w:w="1806" w:type="dxa"/>
            <w:vMerge/>
            <w:tcMar>
              <w:left w:w="0" w:type="dxa"/>
            </w:tcMar>
          </w:tcPr>
          <w:p w14:paraId="5843E33F" w14:textId="77777777" w:rsidR="007E5149" w:rsidRDefault="007E5149" w:rsidP="007E5149">
            <w:pPr>
              <w:pStyle w:val="Marginlie"/>
            </w:pPr>
          </w:p>
        </w:tc>
        <w:tc>
          <w:tcPr>
            <w:tcW w:w="223" w:type="dxa"/>
            <w:vMerge/>
            <w:tcMar>
              <w:left w:w="0" w:type="dxa"/>
            </w:tcMar>
          </w:tcPr>
          <w:p w14:paraId="3F71DBCD" w14:textId="77777777" w:rsidR="007E5149" w:rsidRDefault="007E5149" w:rsidP="007E5149">
            <w:pPr>
              <w:pStyle w:val="Textpoznpodarou"/>
              <w:jc w:val="both"/>
              <w:rPr>
                <w:spacing w:val="-4"/>
              </w:rPr>
            </w:pPr>
          </w:p>
        </w:tc>
        <w:tc>
          <w:tcPr>
            <w:tcW w:w="7610" w:type="dxa"/>
            <w:shd w:val="clear" w:color="auto" w:fill="auto"/>
            <w:tcMar>
              <w:left w:w="0" w:type="dxa"/>
            </w:tcMar>
          </w:tcPr>
          <w:p w14:paraId="0E0A213D" w14:textId="77777777" w:rsidR="007E5149" w:rsidRDefault="007E5149" w:rsidP="007E5149">
            <w:pPr>
              <w:spacing w:after="0"/>
              <w:rPr>
                <w:sz w:val="14"/>
                <w:szCs w:val="14"/>
              </w:rPr>
            </w:pPr>
            <w:r>
              <w:rPr>
                <w:sz w:val="14"/>
                <w:szCs w:val="14"/>
              </w:rPr>
              <w:t>Zdroj: ČSÚ</w:t>
            </w:r>
          </w:p>
          <w:p w14:paraId="35A9EBDD" w14:textId="77777777" w:rsidR="007E5149" w:rsidRDefault="007E5149" w:rsidP="007E5149">
            <w:r>
              <w:rPr>
                <w:sz w:val="14"/>
                <w:szCs w:val="14"/>
              </w:rPr>
              <w:t>* po vyloučení dovozu pro konečné užití</w:t>
            </w:r>
          </w:p>
        </w:tc>
      </w:tr>
      <w:tr w:rsidR="007E5149" w:rsidRPr="009110F7" w14:paraId="595C88FA" w14:textId="77777777" w:rsidTr="20D21749">
        <w:trPr>
          <w:trHeight w:val="145"/>
        </w:trPr>
        <w:tc>
          <w:tcPr>
            <w:tcW w:w="1806" w:type="dxa"/>
            <w:shd w:val="clear" w:color="auto" w:fill="auto"/>
            <w:tcMar>
              <w:left w:w="0" w:type="dxa"/>
            </w:tcMar>
          </w:tcPr>
          <w:p w14:paraId="380A11F6" w14:textId="77777777" w:rsidR="007E5149" w:rsidRDefault="007E5149" w:rsidP="007E5149">
            <w:pPr>
              <w:pStyle w:val="Marginlie"/>
            </w:pPr>
            <w:r>
              <w:lastRenderedPageBreak/>
              <w:t>Bilance zahraničního obchodu se výrazně meziročně zlepšila.</w:t>
            </w:r>
          </w:p>
        </w:tc>
        <w:tc>
          <w:tcPr>
            <w:tcW w:w="223" w:type="dxa"/>
            <w:shd w:val="clear" w:color="auto" w:fill="auto"/>
            <w:tcMar>
              <w:left w:w="0" w:type="dxa"/>
            </w:tcMar>
          </w:tcPr>
          <w:p w14:paraId="755FD9A3" w14:textId="77777777" w:rsidR="007E5149" w:rsidRDefault="007E5149" w:rsidP="007E5149">
            <w:pPr>
              <w:pStyle w:val="Textpoznpodarou"/>
              <w:jc w:val="both"/>
              <w:rPr>
                <w:spacing w:val="-4"/>
              </w:rPr>
            </w:pPr>
          </w:p>
        </w:tc>
        <w:tc>
          <w:tcPr>
            <w:tcW w:w="7610" w:type="dxa"/>
            <w:shd w:val="clear" w:color="auto" w:fill="auto"/>
            <w:tcMar>
              <w:left w:w="0" w:type="dxa"/>
            </w:tcMar>
          </w:tcPr>
          <w:p w14:paraId="792D4928" w14:textId="77777777" w:rsidR="007E5149" w:rsidRDefault="007E5149" w:rsidP="007E5149">
            <w:r>
              <w:t>Vývoz zboží a služeb</w:t>
            </w:r>
            <w:r w:rsidRPr="009110F7">
              <w:rPr>
                <w:rStyle w:val="Znakapoznpodarou"/>
              </w:rPr>
              <w:footnoteReference w:id="12"/>
            </w:r>
            <w:r>
              <w:t xml:space="preserve"> se 2. čtvrtletí poprvé od 3. čtvrtletí 2021 mezičtvrtletně snížil (−0,5 %). Zatímco export zboží vykazoval stagnaci potřetí v řadě, u vývozu služeb došlo k propadu o 2,9 %. Dynamika dovozu již více než rok zaostává za exportem </w:t>
            </w:r>
            <w:r>
              <w:br/>
              <w:t>a podobně se ve 2. čtvrtletí týkal importu výraznější propad (−1,2 %), a to v případě zboží i služeb. Klesající import zčásti souvisí s nižší domácí spotřebitelskou poptávkou. Zároveň ale nelze nevnímat ochlazení v části domácího průmyslu. Meziroční růst exportu zboží a služeb ale pokračoval (4,5 %) a mírně vyšší byl i jejich dovoz (0,8 %). Bilance zahraničního obchodu se zbožím a službami (sezónně očištěná) ve 2. čtvrtletí 2023 dosáhla přebytku 100,9 mld. korun. Kladné saldo se meziročně výrazně zlepšilo o 101,0 mld., prakticky zcela vlivem rostoucího přebytku obchodu se zbožím. Celkem meziroční zlepšení bilance přispělo k růstu HDP 2,5 p. b. Bilance zahraničního obchodu se zbožím a službami se podruhé v řadě zlepšila i mezičtvrtletně.</w:t>
            </w:r>
          </w:p>
        </w:tc>
      </w:tr>
      <w:tr w:rsidR="007E5149" w:rsidRPr="009110F7" w14:paraId="16A3B338" w14:textId="77777777" w:rsidTr="20D21749">
        <w:trPr>
          <w:trHeight w:val="170"/>
        </w:trPr>
        <w:tc>
          <w:tcPr>
            <w:tcW w:w="1806" w:type="dxa"/>
            <w:vMerge w:val="restart"/>
            <w:shd w:val="clear" w:color="auto" w:fill="auto"/>
            <w:tcMar>
              <w:left w:w="0" w:type="dxa"/>
            </w:tcMar>
          </w:tcPr>
          <w:p w14:paraId="4DFFCBFE" w14:textId="77777777" w:rsidR="007E5149" w:rsidRDefault="007E5149" w:rsidP="007E5149">
            <w:pPr>
              <w:pStyle w:val="Marginlie"/>
            </w:pPr>
          </w:p>
        </w:tc>
        <w:tc>
          <w:tcPr>
            <w:tcW w:w="223" w:type="dxa"/>
            <w:vMerge w:val="restart"/>
            <w:shd w:val="clear" w:color="auto" w:fill="auto"/>
            <w:tcMar>
              <w:left w:w="0" w:type="dxa"/>
            </w:tcMar>
          </w:tcPr>
          <w:p w14:paraId="69419BB3" w14:textId="77777777" w:rsidR="007E5149" w:rsidRDefault="007E5149" w:rsidP="007E5149">
            <w:pPr>
              <w:pStyle w:val="Textpoznpodarou"/>
              <w:jc w:val="both"/>
              <w:rPr>
                <w:spacing w:val="-4"/>
              </w:rPr>
            </w:pPr>
          </w:p>
        </w:tc>
        <w:tc>
          <w:tcPr>
            <w:tcW w:w="7610" w:type="dxa"/>
            <w:shd w:val="clear" w:color="auto" w:fill="auto"/>
            <w:tcMar>
              <w:left w:w="0" w:type="dxa"/>
            </w:tcMar>
          </w:tcPr>
          <w:p w14:paraId="14FF065C" w14:textId="77777777" w:rsidR="007E5149" w:rsidRDefault="007E5149" w:rsidP="007E5149">
            <w:pPr>
              <w:spacing w:after="0"/>
            </w:pPr>
            <w:r w:rsidRPr="00D721B4">
              <w:rPr>
                <w:b/>
                <w:szCs w:val="20"/>
              </w:rPr>
              <w:t>Graf č. 3</w:t>
            </w:r>
            <w:r>
              <w:rPr>
                <w:b/>
                <w:szCs w:val="20"/>
              </w:rPr>
              <w:t xml:space="preserve"> </w:t>
            </w:r>
            <w:r w:rsidRPr="00D721B4">
              <w:rPr>
                <w:rFonts w:cs="Arial"/>
                <w:b/>
                <w:szCs w:val="20"/>
                <w:lang w:eastAsia="en-US"/>
              </w:rPr>
              <w:t xml:space="preserve">Příspěvky odvětví k reálné změně HPH </w:t>
            </w:r>
            <w:r w:rsidRPr="00D721B4">
              <w:rPr>
                <w:rFonts w:cs="Arial"/>
                <w:bCs/>
                <w:szCs w:val="20"/>
                <w:lang w:eastAsia="en-US"/>
              </w:rPr>
              <w:t>(objemové indexy, meziroční příspěvky v p. b., HPH v %)</w:t>
            </w:r>
          </w:p>
        </w:tc>
      </w:tr>
      <w:tr w:rsidR="007E5149" w:rsidRPr="009110F7" w14:paraId="3532C06E" w14:textId="77777777" w:rsidTr="20D21749">
        <w:trPr>
          <w:trHeight w:val="170"/>
        </w:trPr>
        <w:tc>
          <w:tcPr>
            <w:tcW w:w="1806" w:type="dxa"/>
            <w:vMerge/>
            <w:tcMar>
              <w:left w:w="0" w:type="dxa"/>
            </w:tcMar>
          </w:tcPr>
          <w:p w14:paraId="211F1CE0" w14:textId="77777777" w:rsidR="007E5149" w:rsidRDefault="007E5149" w:rsidP="007E5149">
            <w:pPr>
              <w:pStyle w:val="Marginlie"/>
            </w:pPr>
          </w:p>
        </w:tc>
        <w:tc>
          <w:tcPr>
            <w:tcW w:w="223" w:type="dxa"/>
            <w:vMerge/>
            <w:tcMar>
              <w:left w:w="0" w:type="dxa"/>
            </w:tcMar>
          </w:tcPr>
          <w:p w14:paraId="41A37353" w14:textId="77777777" w:rsidR="007E5149" w:rsidRDefault="007E5149" w:rsidP="007E5149">
            <w:pPr>
              <w:pStyle w:val="Textpoznpodarou"/>
              <w:jc w:val="both"/>
              <w:rPr>
                <w:spacing w:val="-4"/>
              </w:rPr>
            </w:pPr>
          </w:p>
        </w:tc>
        <w:tc>
          <w:tcPr>
            <w:tcW w:w="7610" w:type="dxa"/>
            <w:shd w:val="clear" w:color="auto" w:fill="auto"/>
            <w:tcMar>
              <w:left w:w="0" w:type="dxa"/>
            </w:tcMar>
          </w:tcPr>
          <w:p w14:paraId="368C089A" w14:textId="77777777" w:rsidR="007E5149" w:rsidRDefault="007E5149" w:rsidP="007E5149">
            <w:pPr>
              <w:spacing w:after="0"/>
            </w:pPr>
            <w:r>
              <w:rPr>
                <w:noProof/>
              </w:rPr>
              <w:drawing>
                <wp:inline distT="0" distB="0" distL="0" distR="0" wp14:anchorId="1E8BAB34" wp14:editId="6F339C04">
                  <wp:extent cx="4737600" cy="3486525"/>
                  <wp:effectExtent l="0" t="0" r="6350" b="0"/>
                  <wp:docPr id="16" name="Graf 1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7E5149" w:rsidRPr="009110F7" w14:paraId="1768F2A2" w14:textId="77777777" w:rsidTr="20D21749">
        <w:trPr>
          <w:trHeight w:val="170"/>
        </w:trPr>
        <w:tc>
          <w:tcPr>
            <w:tcW w:w="1806" w:type="dxa"/>
            <w:vMerge/>
            <w:tcMar>
              <w:left w:w="0" w:type="dxa"/>
            </w:tcMar>
          </w:tcPr>
          <w:p w14:paraId="770D168C" w14:textId="77777777" w:rsidR="007E5149" w:rsidRDefault="007E5149" w:rsidP="007E5149">
            <w:pPr>
              <w:pStyle w:val="Marginlie"/>
            </w:pPr>
          </w:p>
        </w:tc>
        <w:tc>
          <w:tcPr>
            <w:tcW w:w="223" w:type="dxa"/>
            <w:vMerge/>
            <w:tcMar>
              <w:left w:w="0" w:type="dxa"/>
            </w:tcMar>
          </w:tcPr>
          <w:p w14:paraId="4C26E9DA" w14:textId="77777777" w:rsidR="007E5149" w:rsidRDefault="007E5149" w:rsidP="007E5149">
            <w:pPr>
              <w:pStyle w:val="Textpoznpodarou"/>
              <w:jc w:val="both"/>
              <w:rPr>
                <w:spacing w:val="-4"/>
              </w:rPr>
            </w:pPr>
          </w:p>
        </w:tc>
        <w:tc>
          <w:tcPr>
            <w:tcW w:w="7610" w:type="dxa"/>
            <w:shd w:val="clear" w:color="auto" w:fill="auto"/>
            <w:tcMar>
              <w:left w:w="0" w:type="dxa"/>
            </w:tcMar>
          </w:tcPr>
          <w:p w14:paraId="0BE626BE" w14:textId="77777777" w:rsidR="007E5149" w:rsidRDefault="007E5149" w:rsidP="007E5149">
            <w:r w:rsidRPr="00A85DE1">
              <w:rPr>
                <w:sz w:val="14"/>
                <w:szCs w:val="14"/>
              </w:rPr>
              <w:t>Zdroj: ČSÚ</w:t>
            </w:r>
          </w:p>
        </w:tc>
      </w:tr>
      <w:tr w:rsidR="007E5149" w:rsidRPr="009110F7" w14:paraId="51D9FB74" w14:textId="77777777" w:rsidTr="20D21749">
        <w:trPr>
          <w:trHeight w:val="145"/>
        </w:trPr>
        <w:tc>
          <w:tcPr>
            <w:tcW w:w="1806" w:type="dxa"/>
            <w:shd w:val="clear" w:color="auto" w:fill="auto"/>
            <w:tcMar>
              <w:left w:w="0" w:type="dxa"/>
            </w:tcMar>
          </w:tcPr>
          <w:p w14:paraId="3030FFC1" w14:textId="77777777" w:rsidR="007E5149" w:rsidRDefault="007E5149" w:rsidP="007E5149">
            <w:pPr>
              <w:pStyle w:val="Marginlie"/>
            </w:pPr>
            <w:r>
              <w:t xml:space="preserve">Hrubá přidaná hodnota mezičtvrtletně klesla </w:t>
            </w:r>
            <w:r>
              <w:br/>
              <w:t>a meziročně rostla.</w:t>
            </w:r>
          </w:p>
        </w:tc>
        <w:tc>
          <w:tcPr>
            <w:tcW w:w="223" w:type="dxa"/>
            <w:shd w:val="clear" w:color="auto" w:fill="auto"/>
            <w:tcMar>
              <w:left w:w="0" w:type="dxa"/>
            </w:tcMar>
          </w:tcPr>
          <w:p w14:paraId="62D04CDA" w14:textId="77777777" w:rsidR="007E5149" w:rsidRDefault="007E5149" w:rsidP="007E5149">
            <w:pPr>
              <w:pStyle w:val="Textpoznpodarou"/>
              <w:jc w:val="both"/>
              <w:rPr>
                <w:spacing w:val="-4"/>
              </w:rPr>
            </w:pPr>
          </w:p>
        </w:tc>
        <w:tc>
          <w:tcPr>
            <w:tcW w:w="7610" w:type="dxa"/>
            <w:shd w:val="clear" w:color="auto" w:fill="auto"/>
            <w:tcMar>
              <w:left w:w="0" w:type="dxa"/>
            </w:tcMar>
          </w:tcPr>
          <w:p w14:paraId="6C213ACF" w14:textId="77777777" w:rsidR="007E5149" w:rsidRPr="00F93F2C" w:rsidRDefault="007E5149" w:rsidP="007E5149">
            <w:r>
              <w:t xml:space="preserve">Hrubá přidaná hodnota (HPH) ve 2. čtvrtletí 2023 mezičtvrtletně klesla </w:t>
            </w:r>
            <w:r>
              <w:br/>
              <w:t>o 0,2 % a meziročně byla vyšší o 0,6 %</w:t>
            </w:r>
            <w:r>
              <w:rPr>
                <w:rStyle w:val="Znakapoznpodarou"/>
              </w:rPr>
              <w:footnoteReference w:id="13"/>
            </w:r>
            <w:r>
              <w:t xml:space="preserve">. Meziročně k růstu HPH výrazně přispíval průmysl jako celek (růst HPH o 1,5 %), ale z bližšího pohledu je opět patrné, že za tím výhradně stojí dobré výkony ve zpracovatelském průmyslu (3,8 %). Ten je silně propojen se zahraniční poptávkou a především výroba motorových vozidel a navazující obory přispívají k jeho příznivému vývoji. Různorodý byl také vývoj ve službách. V uskupení obchod, doprava, ubytování a pohostinství, které je silně propojeno s domácí spotřebou, HPH meziročně klesla o 1,3 %. Pokles se týkal i peněžnictví a pojišťovnictví (−1,1 %), činností v oblasti nemovitostí (−0,2 %) a ostatních činností (−0,4 %). Naopak výrazně rostla HPH v informačních a komunikačních činnostech </w:t>
            </w:r>
            <w:r>
              <w:lastRenderedPageBreak/>
              <w:t xml:space="preserve">(5,6 %) a vyšší byla i v profesních, vědeckých, technických a administrativních činnostech (1,6 %) navázaných na podnikovou sféru. Posedmé v řadě meziročně klesla HPH ve stavebnictví (−2,7 %). Také ve směru celkového mezičtvrtletního růstu HPH výrazně působil zpracovatelský průmysl (navýšení o 1,0 %). V celém průmyslu se ale HPH zvyšovala mezičtvrtletně jen o 0,2 %. Ve stavebnictví došlo k drobnému mezičtvrtletnímu nárůstu HPH o 0,2 %. Ze služeb HPH mezičtvrtletně rostla jen v peněžnictví a pojišťovnictví (2,5 %) a mírně také v profesních, vědeckých, technických a administrativních činnostech (0,3 %) a ostatních činnostech (0,4 %). Mezičtvrtletně klesla HPH v uskupení obchod, doprava, ubytování a pohostinství (−1,0 %) a činnostech v oblasti nemovitostí (−1,0 %). V případě informačních a komunikačních činností HPH v zásadě stagnovala (−0,1 %). </w:t>
            </w:r>
          </w:p>
        </w:tc>
      </w:tr>
    </w:tbl>
    <w:p w14:paraId="32906C7B" w14:textId="77777777" w:rsidR="007E5149" w:rsidRDefault="007E5149" w:rsidP="007E5149">
      <w:pPr>
        <w:pStyle w:val="Nadpis11"/>
        <w:rPr>
          <w:szCs w:val="32"/>
        </w:rPr>
      </w:pPr>
    </w:p>
    <w:p w14:paraId="699E6E44" w14:textId="77777777" w:rsidR="007E5149" w:rsidRPr="001C3855" w:rsidRDefault="007E5149" w:rsidP="007E5149">
      <w:pPr>
        <w:pStyle w:val="Nadpis11"/>
        <w:rPr>
          <w:sz w:val="2"/>
          <w:szCs w:val="2"/>
        </w:rPr>
      </w:pPr>
    </w:p>
    <w:p w14:paraId="7DF920C2" w14:textId="77777777" w:rsidR="007E5149" w:rsidRPr="001C3855" w:rsidRDefault="007E5149" w:rsidP="007E5149">
      <w:pPr>
        <w:pStyle w:val="Nadpis11"/>
        <w:rPr>
          <w:sz w:val="2"/>
          <w:szCs w:val="2"/>
        </w:rPr>
      </w:pPr>
    </w:p>
    <w:p w14:paraId="79A0A870" w14:textId="77777777" w:rsidR="004E1DB2" w:rsidRDefault="004E1DB2">
      <w:pPr>
        <w:spacing w:after="0" w:line="240" w:lineRule="auto"/>
        <w:jc w:val="left"/>
        <w:rPr>
          <w:rFonts w:eastAsia="MS Gothic"/>
          <w:b/>
          <w:bCs/>
          <w:color w:val="71818C"/>
          <w:sz w:val="32"/>
          <w:szCs w:val="32"/>
        </w:rPr>
      </w:pPr>
      <w:r>
        <w:rPr>
          <w:szCs w:val="32"/>
        </w:rPr>
        <w:br w:type="page"/>
      </w:r>
    </w:p>
    <w:p w14:paraId="2275A021" w14:textId="77777777" w:rsidR="00D27F07" w:rsidRPr="00652444" w:rsidRDefault="00D27F07" w:rsidP="00D27F07">
      <w:pPr>
        <w:pStyle w:val="Nadpis11"/>
      </w:pPr>
      <w:bookmarkStart w:id="25" w:name="_Toc137233026"/>
      <w:bookmarkStart w:id="26" w:name="_Toc145581248"/>
      <w:bookmarkStart w:id="27" w:name="_Toc130286019"/>
      <w:bookmarkStart w:id="28" w:name="_Toc114134050"/>
      <w:bookmarkStart w:id="29" w:name="_Toc121993822"/>
      <w:bookmarkEnd w:id="18"/>
      <w:bookmarkEnd w:id="19"/>
      <w:bookmarkEnd w:id="20"/>
      <w:bookmarkEnd w:id="21"/>
      <w:bookmarkEnd w:id="22"/>
      <w:bookmarkEnd w:id="23"/>
      <w:r w:rsidRPr="00652444">
        <w:rPr>
          <w:szCs w:val="32"/>
        </w:rPr>
        <w:lastRenderedPageBreak/>
        <w:t>3</w:t>
      </w:r>
      <w:r w:rsidRPr="00652444">
        <w:t>. Výkonnost odvětví</w:t>
      </w:r>
      <w:bookmarkEnd w:id="25"/>
      <w:bookmarkEnd w:id="26"/>
    </w:p>
    <w:p w14:paraId="158CD607" w14:textId="77777777" w:rsidR="00D27F07" w:rsidRPr="004E1DB2" w:rsidRDefault="00D27F07" w:rsidP="00D27F07">
      <w:pPr>
        <w:pStyle w:val="Nadpis11"/>
        <w:rPr>
          <w:b w:val="0"/>
          <w:sz w:val="2"/>
          <w:szCs w:val="2"/>
          <w:highlight w:val="yellow"/>
        </w:rPr>
      </w:pPr>
    </w:p>
    <w:p w14:paraId="56FB7B52" w14:textId="77777777" w:rsidR="00D27F07" w:rsidRPr="004E1DB2" w:rsidRDefault="00D27F07" w:rsidP="00D27F07">
      <w:pPr>
        <w:pStyle w:val="Nadpis11"/>
        <w:rPr>
          <w:b w:val="0"/>
          <w:sz w:val="2"/>
          <w:szCs w:val="2"/>
          <w:highlight w:val="yellow"/>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40"/>
        <w:gridCol w:w="199"/>
        <w:gridCol w:w="7700"/>
      </w:tblGrid>
      <w:tr w:rsidR="00D27F07" w:rsidRPr="00316308" w14:paraId="1FDBEA80" w14:textId="77777777" w:rsidTr="00AD035A">
        <w:trPr>
          <w:trHeight w:val="145"/>
        </w:trPr>
        <w:tc>
          <w:tcPr>
            <w:tcW w:w="1740" w:type="dxa"/>
            <w:tcBorders>
              <w:top w:val="nil"/>
              <w:left w:val="nil"/>
              <w:bottom w:val="nil"/>
              <w:right w:val="nil"/>
            </w:tcBorders>
            <w:shd w:val="clear" w:color="auto" w:fill="auto"/>
            <w:tcMar>
              <w:left w:w="0" w:type="dxa"/>
            </w:tcMar>
          </w:tcPr>
          <w:p w14:paraId="08B6DC26" w14:textId="77777777" w:rsidR="00D27F07" w:rsidRPr="007E6076" w:rsidRDefault="00D27F07" w:rsidP="00AD035A">
            <w:pPr>
              <w:pStyle w:val="Marginlie"/>
              <w:rPr>
                <w:color w:val="0D0D0D" w:themeColor="text1" w:themeTint="F2"/>
                <w:spacing w:val="-5"/>
              </w:rPr>
            </w:pPr>
            <w:r>
              <w:rPr>
                <w:color w:val="0D0D0D" w:themeColor="text1" w:themeTint="F2"/>
                <w:spacing w:val="-5"/>
              </w:rPr>
              <w:t>K meziročnímu růstu HPH zásadně přispěl zpracovatelský průmysl.</w:t>
            </w:r>
          </w:p>
        </w:tc>
        <w:tc>
          <w:tcPr>
            <w:tcW w:w="199" w:type="dxa"/>
            <w:tcBorders>
              <w:top w:val="nil"/>
              <w:left w:val="nil"/>
              <w:bottom w:val="nil"/>
              <w:right w:val="nil"/>
            </w:tcBorders>
            <w:shd w:val="clear" w:color="auto" w:fill="auto"/>
            <w:tcMar>
              <w:left w:w="0" w:type="dxa"/>
            </w:tcMar>
          </w:tcPr>
          <w:p w14:paraId="6A284BBC"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26EE5266" w14:textId="77777777" w:rsidR="00D27F07" w:rsidRPr="000840F8" w:rsidRDefault="00D27F07" w:rsidP="00AD035A">
            <w:pPr>
              <w:rPr>
                <w:spacing w:val="-4"/>
              </w:rPr>
            </w:pPr>
            <w:r w:rsidRPr="000840F8">
              <w:rPr>
                <w:color w:val="0D0D0D" w:themeColor="text1" w:themeTint="F2"/>
                <w:spacing w:val="-4"/>
              </w:rPr>
              <w:t>Výkon tuzemské ekonomiky stále balancoval na hraně recese</w:t>
            </w:r>
            <w:r w:rsidRPr="000840F8">
              <w:rPr>
                <w:rStyle w:val="Znakapoznpodarou"/>
                <w:color w:val="0D0D0D" w:themeColor="text1" w:themeTint="F2"/>
                <w:spacing w:val="-4"/>
              </w:rPr>
              <w:footnoteReference w:id="14"/>
            </w:r>
            <w:r w:rsidRPr="000840F8">
              <w:rPr>
                <w:color w:val="0D0D0D" w:themeColor="text1" w:themeTint="F2"/>
                <w:spacing w:val="-4"/>
              </w:rPr>
              <w:t xml:space="preserve">. Zatímco na počátku letošního roku se celková </w:t>
            </w:r>
            <w:r w:rsidRPr="000840F8">
              <w:rPr>
                <w:spacing w:val="-4"/>
              </w:rPr>
              <w:t>hrubá přidaná hodnota (HPH)</w:t>
            </w:r>
            <w:r w:rsidRPr="000840F8">
              <w:rPr>
                <w:rStyle w:val="Znakapoznpodarou"/>
                <w:spacing w:val="-4"/>
              </w:rPr>
              <w:footnoteReference w:id="15"/>
            </w:r>
            <w:r w:rsidRPr="000840F8">
              <w:rPr>
                <w:spacing w:val="-4"/>
              </w:rPr>
              <w:t xml:space="preserve"> mezikvartálně zvýšila o 0,5 % (a rostla tak svižněji než v jakékoli loňské čtvrtletí), </w:t>
            </w:r>
            <w:r w:rsidRPr="000840F8">
              <w:rPr>
                <w:color w:val="0D0D0D" w:themeColor="text1" w:themeTint="F2"/>
                <w:spacing w:val="-4"/>
              </w:rPr>
              <w:t>ve 2. čtvrtletí</w:t>
            </w:r>
            <w:r>
              <w:rPr>
                <w:color w:val="0D0D0D" w:themeColor="text1" w:themeTint="F2"/>
                <w:spacing w:val="-4"/>
              </w:rPr>
              <w:t xml:space="preserve"> se snížila o 0,2</w:t>
            </w:r>
            <w:r w:rsidRPr="000840F8">
              <w:rPr>
                <w:color w:val="0D0D0D" w:themeColor="text1" w:themeTint="F2"/>
                <w:spacing w:val="-4"/>
              </w:rPr>
              <w:t xml:space="preserve"> %. Na tomto zpomalení se </w:t>
            </w:r>
            <w:r>
              <w:rPr>
                <w:color w:val="0D0D0D" w:themeColor="text1" w:themeTint="F2"/>
                <w:spacing w:val="-4"/>
              </w:rPr>
              <w:t>podílela zejména váhově významná</w:t>
            </w:r>
            <w:r w:rsidRPr="000840F8">
              <w:rPr>
                <w:color w:val="0D0D0D" w:themeColor="text1" w:themeTint="F2"/>
                <w:spacing w:val="-4"/>
              </w:rPr>
              <w:t xml:space="preserve"> odvětví služeb (vč. veřejných),</w:t>
            </w:r>
            <w:r>
              <w:rPr>
                <w:color w:val="0D0D0D" w:themeColor="text1" w:themeTint="F2"/>
                <w:spacing w:val="-4"/>
              </w:rPr>
              <w:t xml:space="preserve"> roli</w:t>
            </w:r>
            <w:r w:rsidRPr="000840F8">
              <w:rPr>
                <w:color w:val="0D0D0D" w:themeColor="text1" w:themeTint="F2"/>
                <w:spacing w:val="-4"/>
              </w:rPr>
              <w:t xml:space="preserve"> hrálo i zvo</w:t>
            </w:r>
            <w:r>
              <w:rPr>
                <w:color w:val="0D0D0D" w:themeColor="text1" w:themeTint="F2"/>
                <w:spacing w:val="-4"/>
              </w:rPr>
              <w:t>l</w:t>
            </w:r>
            <w:r w:rsidRPr="000840F8">
              <w:rPr>
                <w:color w:val="0D0D0D" w:themeColor="text1" w:themeTint="F2"/>
                <w:spacing w:val="-4"/>
              </w:rPr>
              <w:t xml:space="preserve">nění výkonu v jinak dlouhodobě dynamickém odvětví informačních a komunikačních činností. Za celé 1. pololetí 2023 HPH vzrostla meziročně o 0,8 %. Zásadní vliv zde měl </w:t>
            </w:r>
            <w:r w:rsidRPr="000840F8">
              <w:rPr>
                <w:color w:val="0D0D0D" w:themeColor="text1" w:themeTint="F2"/>
                <w:spacing w:val="-6"/>
              </w:rPr>
              <w:t xml:space="preserve">zpracovatelský průmysl, jehož výkon posílil o 3,8 % a </w:t>
            </w:r>
            <w:r>
              <w:rPr>
                <w:color w:val="0D0D0D" w:themeColor="text1" w:themeTint="F2"/>
                <w:spacing w:val="-6"/>
              </w:rPr>
              <w:t xml:space="preserve">k </w:t>
            </w:r>
            <w:r w:rsidRPr="000840F8">
              <w:rPr>
                <w:color w:val="0D0D0D" w:themeColor="text1" w:themeTint="F2"/>
                <w:spacing w:val="-6"/>
              </w:rPr>
              <w:t>souhrnnému růstu HPH přispěl 0,9</w:t>
            </w:r>
            <w:r>
              <w:rPr>
                <w:color w:val="0D0D0D" w:themeColor="text1" w:themeTint="F2"/>
                <w:spacing w:val="-6"/>
              </w:rPr>
              <w:t> </w:t>
            </w:r>
            <w:r w:rsidRPr="000840F8">
              <w:rPr>
                <w:color w:val="0D0D0D" w:themeColor="text1" w:themeTint="F2"/>
                <w:spacing w:val="-6"/>
              </w:rPr>
              <w:t>p.</w:t>
            </w:r>
            <w:r>
              <w:rPr>
                <w:color w:val="0D0D0D" w:themeColor="text1" w:themeTint="F2"/>
                <w:spacing w:val="-6"/>
              </w:rPr>
              <w:t> </w:t>
            </w:r>
            <w:r w:rsidRPr="000840F8">
              <w:rPr>
                <w:color w:val="0D0D0D" w:themeColor="text1" w:themeTint="F2"/>
                <w:spacing w:val="-6"/>
              </w:rPr>
              <w:t>b. V opačném směru působily zejména těžba a energetika (</w:t>
            </w:r>
            <w:r>
              <w:rPr>
                <w:color w:val="0D0D0D" w:themeColor="text1" w:themeTint="F2"/>
                <w:spacing w:val="-6"/>
              </w:rPr>
              <w:t>−</w:t>
            </w:r>
            <w:r w:rsidRPr="000840F8">
              <w:rPr>
                <w:color w:val="0D0D0D" w:themeColor="text1" w:themeTint="F2"/>
                <w:spacing w:val="-6"/>
              </w:rPr>
              <w:t>0,4 p. b.), stavebnictví (</w:t>
            </w:r>
            <w:r>
              <w:rPr>
                <w:color w:val="0D0D0D" w:themeColor="text1" w:themeTint="F2"/>
                <w:spacing w:val="-6"/>
              </w:rPr>
              <w:t>−</w:t>
            </w:r>
            <w:r w:rsidRPr="000840F8">
              <w:rPr>
                <w:color w:val="0D0D0D" w:themeColor="text1" w:themeTint="F2"/>
                <w:spacing w:val="-6"/>
              </w:rPr>
              <w:t>0,2 p. b.)</w:t>
            </w:r>
            <w:r>
              <w:rPr>
                <w:color w:val="0D0D0D" w:themeColor="text1" w:themeTint="F2"/>
                <w:spacing w:val="-4"/>
              </w:rPr>
              <w:t xml:space="preserve"> a</w:t>
            </w:r>
            <w:r w:rsidRPr="000840F8">
              <w:rPr>
                <w:color w:val="0D0D0D" w:themeColor="text1" w:themeTint="F2"/>
                <w:spacing w:val="-6"/>
              </w:rPr>
              <w:t> </w:t>
            </w:r>
            <w:r w:rsidRPr="000840F8">
              <w:rPr>
                <w:color w:val="0D0D0D" w:themeColor="text1" w:themeTint="F2"/>
                <w:spacing w:val="-4"/>
              </w:rPr>
              <w:t>také uskupení obchod, doprava, ubytování a pohostinství (</w:t>
            </w:r>
            <w:r>
              <w:rPr>
                <w:color w:val="0D0D0D" w:themeColor="text1" w:themeTint="F2"/>
                <w:spacing w:val="-4"/>
              </w:rPr>
              <w:t>−</w:t>
            </w:r>
            <w:r w:rsidRPr="000840F8">
              <w:rPr>
                <w:color w:val="0D0D0D" w:themeColor="text1" w:themeTint="F2"/>
                <w:spacing w:val="-4"/>
              </w:rPr>
              <w:t>0,3 p. b.).</w:t>
            </w:r>
          </w:p>
        </w:tc>
      </w:tr>
      <w:tr w:rsidR="00D27F07" w:rsidRPr="00616A87" w14:paraId="5235ECD9" w14:textId="77777777" w:rsidTr="00AD035A">
        <w:trPr>
          <w:trHeight w:val="145"/>
        </w:trPr>
        <w:tc>
          <w:tcPr>
            <w:tcW w:w="1740" w:type="dxa"/>
            <w:tcBorders>
              <w:top w:val="nil"/>
              <w:left w:val="nil"/>
              <w:bottom w:val="nil"/>
              <w:right w:val="nil"/>
            </w:tcBorders>
            <w:shd w:val="clear" w:color="auto" w:fill="auto"/>
            <w:tcMar>
              <w:left w:w="0" w:type="dxa"/>
            </w:tcMar>
          </w:tcPr>
          <w:p w14:paraId="52BFE300" w14:textId="77777777" w:rsidR="00D27F07" w:rsidRPr="007E6076" w:rsidRDefault="00D27F07" w:rsidP="00AD035A">
            <w:pPr>
              <w:pStyle w:val="Marginlie"/>
              <w:rPr>
                <w:color w:val="0D0D0D" w:themeColor="text1" w:themeTint="F2"/>
                <w:spacing w:val="-5"/>
              </w:rPr>
            </w:pPr>
            <w:r>
              <w:rPr>
                <w:color w:val="0D0D0D" w:themeColor="text1" w:themeTint="F2"/>
                <w:spacing w:val="-5"/>
              </w:rPr>
              <w:t>Za poklesem výroby masa stálo v 1. pololetí, podobně jako vloni, hlavně vepřové. Mírný růst výroby mléka pokračoval.</w:t>
            </w:r>
          </w:p>
        </w:tc>
        <w:tc>
          <w:tcPr>
            <w:tcW w:w="199" w:type="dxa"/>
            <w:tcBorders>
              <w:top w:val="nil"/>
              <w:left w:val="nil"/>
              <w:bottom w:val="nil"/>
              <w:right w:val="nil"/>
            </w:tcBorders>
            <w:shd w:val="clear" w:color="auto" w:fill="auto"/>
            <w:tcMar>
              <w:left w:w="0" w:type="dxa"/>
            </w:tcMar>
          </w:tcPr>
          <w:p w14:paraId="2674612D"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59C0BD95" w14:textId="77777777" w:rsidR="00D27F07" w:rsidRPr="00616A87" w:rsidRDefault="00D27F07" w:rsidP="00AD035A">
            <w:r>
              <w:t xml:space="preserve">V živočišné výrobě přetrvávala obtížná situace některých prvovýrobců související s citelným růstem cen vstupů (krmiva, energie), kolísavým vývojem výkupních cen masa i jeho klesající tuzemskou spotřebou. Pokles fyzické výroby masa, patrný na tuzemských jatkách po celý loňský rok, letos pokračoval. Za celé 1. pololetí bylo vyrobeno meziročně o 2,5 % masa méně. Oživení výroby u hovězího masa (2,0 %) a stagnace produkce </w:t>
            </w:r>
            <w:r w:rsidRPr="009A39B7">
              <w:rPr>
                <w:spacing w:val="-2"/>
              </w:rPr>
              <w:t>drůbežího masa nedokázaly kompenzovat hlubší útlum výroby vepřového masa (</w:t>
            </w:r>
            <w:r>
              <w:rPr>
                <w:spacing w:val="-2"/>
              </w:rPr>
              <w:t>−</w:t>
            </w:r>
            <w:r w:rsidRPr="009A39B7">
              <w:rPr>
                <w:spacing w:val="-2"/>
              </w:rPr>
              <w:t>5,8 %)</w:t>
            </w:r>
            <w:r>
              <w:rPr>
                <w:rStyle w:val="Znakapoznpodarou"/>
              </w:rPr>
              <w:footnoteReference w:id="16"/>
            </w:r>
            <w:r w:rsidRPr="009A39B7">
              <w:rPr>
                <w:spacing w:val="-2"/>
              </w:rPr>
              <w:t>.</w:t>
            </w:r>
            <w:r>
              <w:t xml:space="preserve"> </w:t>
            </w:r>
            <w:r w:rsidRPr="009A39B7">
              <w:t>Pokles veškeré tuzemské produkce v</w:t>
            </w:r>
            <w:r>
              <w:t>epřového masa byl ve skutečnosti</w:t>
            </w:r>
            <w:r w:rsidRPr="009A39B7">
              <w:t xml:space="preserve"> skoro dvojnásobný (</w:t>
            </w:r>
            <w:r>
              <w:t>−</w:t>
            </w:r>
            <w:r w:rsidRPr="009A39B7">
              <w:t>11,2 %),</w:t>
            </w:r>
            <w:r>
              <w:t xml:space="preserve"> neboť ve srovnání s loňským rokem propadl (o více než 50 %) vývoz živých prasat na porážku do zahraničí. Stabilizující segment pro celou živočišnou výrobu v ČR nadále představovalo mlékárenství. </w:t>
            </w:r>
            <w:r>
              <w:rPr>
                <w:rStyle w:val="normaltextrun"/>
                <w:rFonts w:eastAsia="MS Gothic" w:cs="Arial"/>
                <w:szCs w:val="20"/>
              </w:rPr>
              <w:t xml:space="preserve">Dlouhodobý trend růstu produkce mléka, podpořený i vysokou dojivostí, letos pokračoval. Tuzemští producenti v 1. pololetí prodali meziročně o 1,6 % litrů mléka více. </w:t>
            </w:r>
          </w:p>
        </w:tc>
      </w:tr>
      <w:tr w:rsidR="00D27F07" w:rsidRPr="003D1D6D" w14:paraId="123F1EC9" w14:textId="77777777" w:rsidTr="00AD035A">
        <w:trPr>
          <w:trHeight w:val="145"/>
        </w:trPr>
        <w:tc>
          <w:tcPr>
            <w:tcW w:w="1740" w:type="dxa"/>
            <w:tcBorders>
              <w:top w:val="nil"/>
              <w:left w:val="nil"/>
              <w:bottom w:val="nil"/>
              <w:right w:val="nil"/>
            </w:tcBorders>
            <w:shd w:val="clear" w:color="auto" w:fill="auto"/>
            <w:tcMar>
              <w:left w:w="0" w:type="dxa"/>
            </w:tcMar>
          </w:tcPr>
          <w:p w14:paraId="79CC1400" w14:textId="77777777" w:rsidR="00D27F07" w:rsidRDefault="00D27F07" w:rsidP="00AD035A">
            <w:pPr>
              <w:pStyle w:val="Marginlie"/>
              <w:rPr>
                <w:color w:val="0D0D0D" w:themeColor="text1" w:themeTint="F2"/>
                <w:spacing w:val="-4"/>
              </w:rPr>
            </w:pPr>
            <w:r>
              <w:rPr>
                <w:color w:val="0D0D0D" w:themeColor="text1" w:themeTint="F2"/>
                <w:spacing w:val="-4"/>
              </w:rPr>
              <w:t xml:space="preserve">Dle srpnového odhadu sklizní lze očekávat u obilovin i řepky úrodu mírně převyšující průměr za poslední pětiletí.  </w:t>
            </w:r>
          </w:p>
        </w:tc>
        <w:tc>
          <w:tcPr>
            <w:tcW w:w="199" w:type="dxa"/>
            <w:tcBorders>
              <w:top w:val="nil"/>
              <w:left w:val="nil"/>
              <w:bottom w:val="nil"/>
              <w:right w:val="nil"/>
            </w:tcBorders>
            <w:shd w:val="clear" w:color="auto" w:fill="auto"/>
            <w:tcMar>
              <w:left w:w="0" w:type="dxa"/>
            </w:tcMar>
          </w:tcPr>
          <w:p w14:paraId="252835AB"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129FA9BB" w14:textId="77777777" w:rsidR="00D27F07" w:rsidRDefault="00D27F07" w:rsidP="00AD035A">
            <w:pPr>
              <w:spacing w:after="180"/>
              <w:rPr>
                <w:spacing w:val="-4"/>
              </w:rPr>
            </w:pPr>
            <w:r>
              <w:rPr>
                <w:spacing w:val="-4"/>
              </w:rPr>
              <w:t xml:space="preserve">Podle dosavadního průběhu sklizní lze očekávat stabilizovanou situaci také v tuzemské rostlinné výrobě. </w:t>
            </w:r>
            <w:r>
              <w:rPr>
                <w:rStyle w:val="normaltextrun"/>
                <w:rFonts w:eastAsia="MS Gothic" w:cs="Arial"/>
                <w:color w:val="000000"/>
                <w:szCs w:val="20"/>
              </w:rPr>
              <w:t xml:space="preserve">Na základě třetího odhadu sklizní (dle </w:t>
            </w:r>
            <w:r w:rsidRPr="00B561E7">
              <w:rPr>
                <w:rStyle w:val="normaltextrun"/>
                <w:rFonts w:eastAsia="MS Gothic" w:cs="Arial"/>
                <w:color w:val="0D0D0D" w:themeColor="text1" w:themeTint="F2"/>
                <w:szCs w:val="20"/>
              </w:rPr>
              <w:t xml:space="preserve">ČSÚ, k 15. 8.) </w:t>
            </w:r>
            <w:r>
              <w:rPr>
                <w:rStyle w:val="normaltextrun"/>
                <w:rFonts w:eastAsia="MS Gothic" w:cs="Arial"/>
                <w:color w:val="000000"/>
                <w:szCs w:val="20"/>
              </w:rPr>
              <w:t>je letos zatím očekávána úroda obilovin</w:t>
            </w:r>
            <w:r>
              <w:rPr>
                <w:rStyle w:val="normaltextrun"/>
                <w:rFonts w:eastAsia="MS Gothic" w:cs="Arial"/>
                <w:szCs w:val="20"/>
              </w:rPr>
              <w:t xml:space="preserve"> (po započítání kukuřice na zrno) ve výši 7,905 milionu tun</w:t>
            </w:r>
            <w:r>
              <w:rPr>
                <w:rStyle w:val="normaltextrun"/>
                <w:rFonts w:eastAsia="MS Gothic" w:cs="Arial"/>
                <w:color w:val="000000"/>
                <w:szCs w:val="20"/>
              </w:rPr>
              <w:t>, u</w:t>
            </w:r>
            <w:r>
              <w:rPr>
                <w:color w:val="0D0D0D" w:themeColor="text1" w:themeTint="F2"/>
                <w:spacing w:val="-4"/>
              </w:rPr>
              <w:t> </w:t>
            </w:r>
            <w:r>
              <w:rPr>
                <w:rStyle w:val="normaltextrun"/>
                <w:rFonts w:eastAsia="MS Gothic" w:cs="Arial"/>
                <w:color w:val="000000"/>
                <w:szCs w:val="20"/>
              </w:rPr>
              <w:t xml:space="preserve">řepky pak </w:t>
            </w:r>
            <w:r>
              <w:rPr>
                <w:rStyle w:val="normaltextrun"/>
                <w:rFonts w:eastAsia="MS Gothic" w:cs="Arial"/>
                <w:szCs w:val="20"/>
              </w:rPr>
              <w:t>1,274 milionu tun</w:t>
            </w:r>
            <w:r>
              <w:rPr>
                <w:rStyle w:val="Znakapoznpodarou"/>
                <w:rFonts w:eastAsia="MS Gothic"/>
                <w:color w:val="000000"/>
                <w:szCs w:val="20"/>
              </w:rPr>
              <w:footnoteReference w:id="17"/>
            </w:r>
            <w:r>
              <w:rPr>
                <w:rStyle w:val="normaltextrun"/>
                <w:rFonts w:eastAsia="MS Gothic" w:cs="Arial"/>
                <w:color w:val="000000"/>
                <w:szCs w:val="20"/>
              </w:rPr>
              <w:t>.</w:t>
            </w:r>
            <w:r>
              <w:rPr>
                <w:rStyle w:val="Nadpis3Char"/>
                <w:rFonts w:cs="Arial"/>
                <w:color w:val="000000"/>
                <w:sz w:val="20"/>
                <w:szCs w:val="20"/>
              </w:rPr>
              <w:t xml:space="preserve"> </w:t>
            </w:r>
            <w:r>
              <w:rPr>
                <w:rStyle w:val="normaltextrun"/>
                <w:rFonts w:eastAsia="MS Gothic" w:cs="Arial"/>
                <w:color w:val="000000"/>
                <w:szCs w:val="20"/>
              </w:rPr>
              <w:t xml:space="preserve">Sklizeň obilovin je sice meziročně mírně nižší </w:t>
            </w:r>
            <w:r>
              <w:rPr>
                <w:rStyle w:val="normaltextrun"/>
                <w:rFonts w:eastAsia="MS Gothic" w:cs="Arial"/>
                <w:color w:val="000000"/>
                <w:szCs w:val="20"/>
              </w:rPr>
              <w:br/>
              <w:t>(o 3,7 %), převyšuje však úroveň z posledního pětiletí (+1,0 %) a jen minimálně zaostává proti průměru z období let 2013–2022 (−0,8 %, výhradně kvůli poklesu osevních ploch). Obdobné platí i pro řepku, jejíž sklizeň ale zřetelněji převyšovala pětiletý průměr (o 6,1 %) a výrazněji vzrostla i meziročně (+9,2 %, výhradně díky navýšení osevní plochy). U</w:t>
            </w:r>
            <w:r>
              <w:rPr>
                <w:color w:val="0D0D0D" w:themeColor="text1" w:themeTint="F2"/>
                <w:spacing w:val="-4"/>
              </w:rPr>
              <w:t> </w:t>
            </w:r>
            <w:r>
              <w:rPr>
                <w:rStyle w:val="normaltextrun"/>
                <w:rFonts w:eastAsia="MS Gothic" w:cs="Arial"/>
                <w:color w:val="000000"/>
                <w:szCs w:val="20"/>
              </w:rPr>
              <w:t>některých dalších plodin jsou aktuální odhady sklizně méně příznivé</w:t>
            </w:r>
            <w:r>
              <w:rPr>
                <w:rStyle w:val="Znakapoznpodarou"/>
                <w:rFonts w:eastAsia="MS Gothic"/>
                <w:color w:val="000000"/>
                <w:szCs w:val="20"/>
              </w:rPr>
              <w:footnoteReference w:id="18"/>
            </w:r>
            <w:r>
              <w:rPr>
                <w:rStyle w:val="normaltextrun"/>
                <w:rFonts w:eastAsia="MS Gothic" w:cs="Arial"/>
                <w:color w:val="000000"/>
                <w:szCs w:val="20"/>
              </w:rPr>
              <w:t xml:space="preserve">. </w:t>
            </w:r>
          </w:p>
        </w:tc>
      </w:tr>
      <w:tr w:rsidR="00D27F07" w:rsidRPr="003D1D6D" w14:paraId="6CB6F972" w14:textId="77777777" w:rsidTr="00AD035A">
        <w:trPr>
          <w:trHeight w:val="145"/>
        </w:trPr>
        <w:tc>
          <w:tcPr>
            <w:tcW w:w="1740" w:type="dxa"/>
            <w:tcBorders>
              <w:top w:val="nil"/>
              <w:left w:val="nil"/>
              <w:bottom w:val="nil"/>
              <w:right w:val="nil"/>
            </w:tcBorders>
            <w:shd w:val="clear" w:color="auto" w:fill="auto"/>
            <w:tcMar>
              <w:left w:w="0" w:type="dxa"/>
            </w:tcMar>
          </w:tcPr>
          <w:p w14:paraId="1A8CD32C" w14:textId="77777777" w:rsidR="00D27F07" w:rsidRDefault="00D27F07" w:rsidP="00AD035A">
            <w:pPr>
              <w:pStyle w:val="Marginlie"/>
              <w:rPr>
                <w:color w:val="0D0D0D" w:themeColor="text1" w:themeTint="F2"/>
                <w:spacing w:val="-4"/>
              </w:rPr>
            </w:pPr>
            <w:r>
              <w:rPr>
                <w:color w:val="0D0D0D" w:themeColor="text1" w:themeTint="F2"/>
                <w:spacing w:val="-4"/>
              </w:rPr>
              <w:t xml:space="preserve">Mezikvartální růst průmyslové produkce se obnovil po mělké recesi z přelomu let 2022 a 2023. </w:t>
            </w:r>
          </w:p>
          <w:p w14:paraId="278E03C5" w14:textId="77777777" w:rsidR="00D27F07" w:rsidRDefault="00D27F07" w:rsidP="00AD035A">
            <w:pPr>
              <w:pStyle w:val="Marginlie"/>
              <w:rPr>
                <w:color w:val="0D0D0D" w:themeColor="text1" w:themeTint="F2"/>
                <w:spacing w:val="-4"/>
              </w:rPr>
            </w:pPr>
          </w:p>
          <w:p w14:paraId="0E336CAB" w14:textId="77777777" w:rsidR="00D27F07" w:rsidRDefault="00D27F07" w:rsidP="00AD035A">
            <w:pPr>
              <w:pStyle w:val="Marginlie"/>
              <w:rPr>
                <w:color w:val="0D0D0D" w:themeColor="text1" w:themeTint="F2"/>
                <w:spacing w:val="-4"/>
              </w:rPr>
            </w:pPr>
          </w:p>
          <w:p w14:paraId="65DC9643" w14:textId="77777777" w:rsidR="00D27F07" w:rsidRDefault="00D27F07" w:rsidP="00AD035A">
            <w:pPr>
              <w:pStyle w:val="Marginlie"/>
              <w:rPr>
                <w:color w:val="0D0D0D" w:themeColor="text1" w:themeTint="F2"/>
                <w:spacing w:val="-4"/>
              </w:rPr>
            </w:pPr>
          </w:p>
          <w:p w14:paraId="5A7D86BE" w14:textId="77777777" w:rsidR="00D27F07" w:rsidRDefault="00D27F07" w:rsidP="00AD035A">
            <w:pPr>
              <w:pStyle w:val="Marginlie"/>
              <w:rPr>
                <w:color w:val="0D0D0D" w:themeColor="text1" w:themeTint="F2"/>
                <w:spacing w:val="-4"/>
              </w:rPr>
            </w:pPr>
            <w:r>
              <w:rPr>
                <w:color w:val="0D0D0D" w:themeColor="text1" w:themeTint="F2"/>
                <w:spacing w:val="-4"/>
              </w:rPr>
              <w:lastRenderedPageBreak/>
              <w:t>Většina průmyslových oborů se ale stále potýkala se sníženou poptávkou i růstem výrobních nákladů.</w:t>
            </w:r>
          </w:p>
        </w:tc>
        <w:tc>
          <w:tcPr>
            <w:tcW w:w="199" w:type="dxa"/>
            <w:tcBorders>
              <w:top w:val="nil"/>
              <w:left w:val="nil"/>
              <w:bottom w:val="nil"/>
              <w:right w:val="nil"/>
            </w:tcBorders>
            <w:shd w:val="clear" w:color="auto" w:fill="auto"/>
            <w:tcMar>
              <w:left w:w="0" w:type="dxa"/>
            </w:tcMar>
          </w:tcPr>
          <w:p w14:paraId="1CA71146"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504E73A2" w14:textId="77777777" w:rsidR="00D27F07" w:rsidRDefault="00D27F07" w:rsidP="00AD035A">
            <w:pPr>
              <w:spacing w:after="180"/>
              <w:rPr>
                <w:spacing w:val="-4"/>
              </w:rPr>
            </w:pPr>
            <w:r>
              <w:rPr>
                <w:color w:val="0D0D0D" w:themeColor="text1" w:themeTint="F2"/>
                <w:spacing w:val="-4"/>
              </w:rPr>
              <w:t>Tuzemský průmysl se díky solidní investiční aktivitě v ČR</w:t>
            </w:r>
            <w:r>
              <w:rPr>
                <w:rStyle w:val="Znakapoznpodarou"/>
                <w:color w:val="0D0D0D" w:themeColor="text1" w:themeTint="F2"/>
                <w:spacing w:val="-4"/>
              </w:rPr>
              <w:footnoteReference w:id="19"/>
            </w:r>
            <w:r>
              <w:rPr>
                <w:color w:val="0D0D0D" w:themeColor="text1" w:themeTint="F2"/>
                <w:spacing w:val="-4"/>
              </w:rPr>
              <w:t xml:space="preserve"> i oborové diverzifikaci dosud obstojně vypořádával se složitými vnitřními i</w:t>
            </w:r>
            <w:r w:rsidRPr="00197756">
              <w:t> </w:t>
            </w:r>
            <w:r>
              <w:rPr>
                <w:color w:val="0D0D0D" w:themeColor="text1" w:themeTint="F2"/>
                <w:spacing w:val="-4"/>
              </w:rPr>
              <w:t>vnějšími ekonomickými a politickými podmínkami. Stejně jako celá česká ekonomika se i její průmysl na přelomu let 2022 a 2023 ocitl v mělké recesi, což stvrzuje i fakt, že na rozdíl od řady jiných odvětví byl současně postižen také redukcí zaměstnanosti. Ve 2. čtvrtletí 2023 se mezikvartální růst průmyslové produkce</w:t>
            </w:r>
            <w:r w:rsidRPr="008D3CD4">
              <w:rPr>
                <w:rStyle w:val="Znakapoznpodarou"/>
                <w:color w:val="0D0D0D" w:themeColor="text1" w:themeTint="F2"/>
                <w:spacing w:val="-4"/>
              </w:rPr>
              <w:footnoteReference w:id="20"/>
            </w:r>
            <w:r>
              <w:rPr>
                <w:color w:val="0D0D0D" w:themeColor="text1" w:themeTint="F2"/>
                <w:spacing w:val="-4"/>
              </w:rPr>
              <w:t xml:space="preserve"> obnovil (+0,8 %) a výkon průmyslu tak opět těsně vystoupal nad úroveň z vrcholu předpandemické konjunktury. O letošní zotavení průmyslu se nicméně zasloužila pouze </w:t>
            </w:r>
            <w:r>
              <w:rPr>
                <w:color w:val="0D0D0D" w:themeColor="text1" w:themeTint="F2"/>
                <w:spacing w:val="-4"/>
              </w:rPr>
              <w:lastRenderedPageBreak/>
              <w:t>jeho zpracovatelská část a v rámci ní v zásadě jen výroba dopravních prostředků (vč. některých návazných oborů) spolu s malým, ale dynamickým oborem – farmacií. Tato odvětví tak tlumila dopad snížené produkce řady energeticky náročných oborů i dalších segmentů průmyslu zasažených cyklickým útlumem poptávky.</w:t>
            </w:r>
          </w:p>
        </w:tc>
      </w:tr>
      <w:tr w:rsidR="00D27F07" w:rsidRPr="003D1D6D" w14:paraId="7CE587B2" w14:textId="77777777" w:rsidTr="00AD035A">
        <w:trPr>
          <w:trHeight w:val="145"/>
        </w:trPr>
        <w:tc>
          <w:tcPr>
            <w:tcW w:w="1740" w:type="dxa"/>
            <w:tcBorders>
              <w:top w:val="nil"/>
              <w:left w:val="nil"/>
              <w:bottom w:val="nil"/>
              <w:right w:val="nil"/>
            </w:tcBorders>
            <w:shd w:val="clear" w:color="auto" w:fill="auto"/>
            <w:tcMar>
              <w:left w:w="0" w:type="dxa"/>
            </w:tcMar>
          </w:tcPr>
          <w:p w14:paraId="428C8453" w14:textId="77777777" w:rsidR="00D27F07" w:rsidRDefault="00D27F07" w:rsidP="00AD035A">
            <w:pPr>
              <w:pStyle w:val="Marginlie"/>
              <w:rPr>
                <w:color w:val="0D0D0D" w:themeColor="text1" w:themeTint="F2"/>
                <w:spacing w:val="-4"/>
              </w:rPr>
            </w:pPr>
            <w:r>
              <w:rPr>
                <w:color w:val="0D0D0D" w:themeColor="text1" w:themeTint="F2"/>
                <w:spacing w:val="-4"/>
              </w:rPr>
              <w:lastRenderedPageBreak/>
              <w:t>Bez výroby motorových vozidel by průmyslová produkce meziročně znatelně klesala, neboť výkon více než dvou třetin průmyslových oborů se snižoval.</w:t>
            </w:r>
          </w:p>
          <w:p w14:paraId="23BD2C03" w14:textId="77777777" w:rsidR="00D27F07" w:rsidRDefault="00D27F07" w:rsidP="00AD035A">
            <w:pPr>
              <w:pStyle w:val="Marginlie"/>
              <w:rPr>
                <w:color w:val="0D0D0D" w:themeColor="text1" w:themeTint="F2"/>
                <w:spacing w:val="-4"/>
              </w:rPr>
            </w:pPr>
          </w:p>
          <w:p w14:paraId="2B4E29FC" w14:textId="77777777" w:rsidR="00D27F07" w:rsidRDefault="00D27F07" w:rsidP="00AD035A">
            <w:pPr>
              <w:pStyle w:val="Marginlie"/>
              <w:rPr>
                <w:color w:val="0D0D0D" w:themeColor="text1" w:themeTint="F2"/>
                <w:spacing w:val="-4"/>
              </w:rPr>
            </w:pPr>
          </w:p>
          <w:p w14:paraId="70AD798B" w14:textId="77777777" w:rsidR="00D27F07" w:rsidRDefault="00D27F07" w:rsidP="00AD035A">
            <w:pPr>
              <w:pStyle w:val="Marginlie"/>
              <w:rPr>
                <w:color w:val="0D0D0D" w:themeColor="text1" w:themeTint="F2"/>
                <w:spacing w:val="-4"/>
              </w:rPr>
            </w:pPr>
          </w:p>
          <w:p w14:paraId="4A1CB0E6" w14:textId="77777777" w:rsidR="00D27F07" w:rsidRDefault="00D27F07" w:rsidP="00AD035A">
            <w:pPr>
              <w:pStyle w:val="Marginlie"/>
              <w:rPr>
                <w:color w:val="0D0D0D" w:themeColor="text1" w:themeTint="F2"/>
                <w:spacing w:val="-4"/>
              </w:rPr>
            </w:pPr>
            <w:r>
              <w:rPr>
                <w:color w:val="0D0D0D" w:themeColor="text1" w:themeTint="F2"/>
                <w:spacing w:val="-4"/>
              </w:rPr>
              <w:t>Svižný růst výroby ostatních dopravních prostředků stimulovala zejména domácí poptávka.</w:t>
            </w:r>
          </w:p>
          <w:p w14:paraId="49BB3481" w14:textId="77777777" w:rsidR="00D27F07" w:rsidRDefault="00D27F07" w:rsidP="00AD035A">
            <w:pPr>
              <w:pStyle w:val="Marginlie"/>
              <w:rPr>
                <w:color w:val="0D0D0D" w:themeColor="text1" w:themeTint="F2"/>
                <w:spacing w:val="-4"/>
              </w:rPr>
            </w:pPr>
          </w:p>
        </w:tc>
        <w:tc>
          <w:tcPr>
            <w:tcW w:w="199" w:type="dxa"/>
            <w:tcBorders>
              <w:top w:val="nil"/>
              <w:left w:val="nil"/>
              <w:bottom w:val="nil"/>
              <w:right w:val="nil"/>
            </w:tcBorders>
            <w:shd w:val="clear" w:color="auto" w:fill="auto"/>
            <w:tcMar>
              <w:left w:w="0" w:type="dxa"/>
            </w:tcMar>
          </w:tcPr>
          <w:p w14:paraId="2DDA279C"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252E50FC" w14:textId="77777777" w:rsidR="00D27F07" w:rsidRPr="003D1D6D" w:rsidRDefault="00D27F07" w:rsidP="00AD035A">
            <w:pPr>
              <w:spacing w:after="180"/>
              <w:rPr>
                <w:spacing w:val="-5"/>
              </w:rPr>
            </w:pPr>
            <w:r w:rsidRPr="008C2F46">
              <w:rPr>
                <w:spacing w:val="-5"/>
              </w:rPr>
              <w:t>V meziročním pohledu</w:t>
            </w:r>
            <w:r>
              <w:rPr>
                <w:spacing w:val="-5"/>
              </w:rPr>
              <w:t xml:space="preserve"> mírný růst průmyslové produkce pokračoval (v 1. polol</w:t>
            </w:r>
            <w:r w:rsidRPr="008C2F46">
              <w:rPr>
                <w:spacing w:val="-5"/>
              </w:rPr>
              <w:t xml:space="preserve">etí 2023 </w:t>
            </w:r>
            <w:r>
              <w:rPr>
                <w:spacing w:val="-5"/>
              </w:rPr>
              <w:t>+1,1</w:t>
            </w:r>
            <w:r w:rsidRPr="008C2F46">
              <w:rPr>
                <w:color w:val="0D0D0D" w:themeColor="text1" w:themeTint="F2"/>
                <w:spacing w:val="-5"/>
              </w:rPr>
              <w:t> </w:t>
            </w:r>
            <w:r w:rsidRPr="008C2F46">
              <w:rPr>
                <w:spacing w:val="-5"/>
              </w:rPr>
              <w:t>%)</w:t>
            </w:r>
            <w:r>
              <w:rPr>
                <w:spacing w:val="-5"/>
              </w:rPr>
              <w:t>. Klíčovou</w:t>
            </w:r>
            <w:r w:rsidRPr="008C2F46">
              <w:rPr>
                <w:spacing w:val="-5"/>
              </w:rPr>
              <w:t xml:space="preserve"> roli zde sehráli výrobci mot</w:t>
            </w:r>
            <w:r>
              <w:rPr>
                <w:spacing w:val="-5"/>
              </w:rPr>
              <w:t>orových vozidel (příspěvek +4,5 p. b.), jimž svižně rostl odbyt v zahraničí i tuzemsku. V kontrastu s tím zůstal v</w:t>
            </w:r>
            <w:r w:rsidRPr="008C2F46">
              <w:rPr>
                <w:spacing w:val="-5"/>
              </w:rPr>
              <w:t xml:space="preserve">ýkon </w:t>
            </w:r>
            <w:r>
              <w:rPr>
                <w:spacing w:val="-5"/>
              </w:rPr>
              <w:t xml:space="preserve">více než dvou třetin průmyslových oborů </w:t>
            </w:r>
            <w:r w:rsidRPr="008C2F46">
              <w:rPr>
                <w:spacing w:val="-5"/>
              </w:rPr>
              <w:t>pod loňskou úrovní. Produkce v automobil</w:t>
            </w:r>
            <w:r>
              <w:rPr>
                <w:spacing w:val="-5"/>
              </w:rPr>
              <w:t>ovém průmyslu byla naopak téměř o</w:t>
            </w:r>
            <w:r w:rsidRPr="008C2F46">
              <w:rPr>
                <w:spacing w:val="-5"/>
              </w:rPr>
              <w:t xml:space="preserve"> čtvrtinu</w:t>
            </w:r>
            <w:r>
              <w:rPr>
                <w:spacing w:val="-5"/>
              </w:rPr>
              <w:t xml:space="preserve"> vyšší, a to zásluhou výrobců automobilů i dílů. Z velké části šlo ovšem </w:t>
            </w:r>
            <w:r w:rsidRPr="008C2F46">
              <w:rPr>
                <w:spacing w:val="-5"/>
              </w:rPr>
              <w:t>o</w:t>
            </w:r>
            <w:r>
              <w:rPr>
                <w:spacing w:val="-5"/>
              </w:rPr>
              <w:t> </w:t>
            </w:r>
            <w:r w:rsidRPr="008C2F46">
              <w:rPr>
                <w:spacing w:val="-5"/>
              </w:rPr>
              <w:t>kompenzaci nižší výroby z období na počá</w:t>
            </w:r>
            <w:r>
              <w:rPr>
                <w:spacing w:val="-5"/>
              </w:rPr>
              <w:t xml:space="preserve">tku loňského roku (kdy problémy </w:t>
            </w:r>
            <w:r w:rsidRPr="008C2F46">
              <w:rPr>
                <w:spacing w:val="-5"/>
              </w:rPr>
              <w:t xml:space="preserve">v dodavatelských řetězcích eskalovaly vinou </w:t>
            </w:r>
            <w:r w:rsidRPr="008C2F46">
              <w:rPr>
                <w:color w:val="0D0D0D" w:themeColor="text1" w:themeTint="F2"/>
                <w:spacing w:val="-5"/>
              </w:rPr>
              <w:t>zmrazení výroby některých zdrojových komponent v Číně i na Ukrajině</w:t>
            </w:r>
            <w:r>
              <w:rPr>
                <w:color w:val="0D0D0D" w:themeColor="text1" w:themeTint="F2"/>
                <w:spacing w:val="-5"/>
              </w:rPr>
              <w:t>). Rozvoj výroby autom</w:t>
            </w:r>
            <w:r w:rsidRPr="008C2F46">
              <w:rPr>
                <w:color w:val="0D0D0D" w:themeColor="text1" w:themeTint="F2"/>
                <w:spacing w:val="-5"/>
              </w:rPr>
              <w:t>obilů dokládají i údaje o fyzické produkci</w:t>
            </w:r>
            <w:r w:rsidRPr="008C2F46">
              <w:rPr>
                <w:rStyle w:val="Znakapoznpodarou"/>
                <w:color w:val="0D0D0D" w:themeColor="text1" w:themeTint="F2"/>
                <w:spacing w:val="-5"/>
              </w:rPr>
              <w:footnoteReference w:id="21"/>
            </w:r>
            <w:r w:rsidRPr="008C2F46">
              <w:rPr>
                <w:color w:val="0D0D0D" w:themeColor="text1" w:themeTint="F2"/>
                <w:spacing w:val="-5"/>
              </w:rPr>
              <w:t>.</w:t>
            </w:r>
            <w:r>
              <w:rPr>
                <w:color w:val="0D0D0D" w:themeColor="text1" w:themeTint="F2"/>
                <w:spacing w:val="-5"/>
              </w:rPr>
              <w:t xml:space="preserve"> Zlepšení dříve váznoucích dodávek některých výrobních komponentů se odrazilo citelným zvýšením využití výrobních kapacit automobilového průmyslu. To na počátku </w:t>
            </w:r>
            <w:r>
              <w:rPr>
                <w:color w:val="0D0D0D" w:themeColor="text1" w:themeTint="F2"/>
                <w:spacing w:val="-5"/>
              </w:rPr>
              <w:br/>
              <w:t>2. i 3. čtvrtletí 2023 přesáhlo 92 % (společně s petrochemií bylo nejvyšší ze všech hlavních zpracovatelských oborů) a vrátilo se na svou předkrizovou úroveň. Především vlivem domácí poptávky se dařilo také odvětví výroby ostatních (především kolejových) dopravních prostředků, kde v 1. pololetí díky dokončení významných dlouhodobých zakázek produkce meziročně vzrostla skoro o pětinu (k růstu celého průmyslu ovšem přispěla „jen“ 0,4 p. b).</w:t>
            </w:r>
          </w:p>
        </w:tc>
      </w:tr>
      <w:tr w:rsidR="00D27F07" w:rsidRPr="008C2F46" w14:paraId="67FB07EB" w14:textId="77777777" w:rsidTr="00AD035A">
        <w:trPr>
          <w:trHeight w:val="145"/>
        </w:trPr>
        <w:tc>
          <w:tcPr>
            <w:tcW w:w="1740" w:type="dxa"/>
            <w:tcBorders>
              <w:top w:val="nil"/>
              <w:left w:val="nil"/>
              <w:bottom w:val="nil"/>
              <w:right w:val="nil"/>
            </w:tcBorders>
            <w:shd w:val="clear" w:color="auto" w:fill="auto"/>
            <w:tcMar>
              <w:left w:w="0" w:type="dxa"/>
            </w:tcMar>
          </w:tcPr>
          <w:p w14:paraId="0C93A1B1" w14:textId="77777777" w:rsidR="00D27F07" w:rsidRPr="00D40A02" w:rsidRDefault="00D27F07" w:rsidP="00AD035A">
            <w:pPr>
              <w:pStyle w:val="Marginlie"/>
              <w:rPr>
                <w:color w:val="0D0D0D" w:themeColor="text1" w:themeTint="F2"/>
                <w:spacing w:val="-5"/>
              </w:rPr>
            </w:pPr>
            <w:r>
              <w:rPr>
                <w:color w:val="0D0D0D" w:themeColor="text1" w:themeTint="F2"/>
                <w:spacing w:val="-5"/>
              </w:rPr>
              <w:t>Produkce mírně rostla ve strojírenství či elektrotechnice, z malých oborů zejména ve farmacii.</w:t>
            </w:r>
          </w:p>
        </w:tc>
        <w:tc>
          <w:tcPr>
            <w:tcW w:w="199" w:type="dxa"/>
            <w:tcBorders>
              <w:top w:val="nil"/>
              <w:left w:val="nil"/>
              <w:bottom w:val="nil"/>
              <w:right w:val="nil"/>
            </w:tcBorders>
            <w:shd w:val="clear" w:color="auto" w:fill="auto"/>
            <w:tcMar>
              <w:left w:w="0" w:type="dxa"/>
            </w:tcMar>
          </w:tcPr>
          <w:p w14:paraId="16AEB7AE"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47C9406A" w14:textId="77777777" w:rsidR="00D27F07" w:rsidRPr="008C2F46" w:rsidRDefault="00D27F07" w:rsidP="00AD035A">
            <w:pPr>
              <w:spacing w:after="0"/>
              <w:rPr>
                <w:spacing w:val="-5"/>
              </w:rPr>
            </w:pPr>
            <w:r>
              <w:rPr>
                <w:spacing w:val="-5"/>
              </w:rPr>
              <w:t>Rozvoj výroby automobilů podpořil i návazné odvětví elektrotechnického průmyslu, v němž k mírnému růstu produkce v 1. pololetí (+5,1 % meziročně) pomohla hlavně zahraniční poptávka. Naopak vyšší odbyt z tuzemska stál primárně za posílením produkce v dalších váhově významných oborech – strojírenství (+4,2 %) i výroby</w:t>
            </w:r>
            <w:r w:rsidRPr="00586EB4">
              <w:rPr>
                <w:spacing w:val="-5"/>
              </w:rPr>
              <w:t xml:space="preserve"> počítačů, elektronických a</w:t>
            </w:r>
            <w:r>
              <w:rPr>
                <w:spacing w:val="-5"/>
              </w:rPr>
              <w:t> </w:t>
            </w:r>
            <w:r w:rsidRPr="00586EB4">
              <w:rPr>
                <w:spacing w:val="-5"/>
              </w:rPr>
              <w:t>optických přístrojů</w:t>
            </w:r>
            <w:r>
              <w:rPr>
                <w:spacing w:val="-5"/>
              </w:rPr>
              <w:t xml:space="preserve"> (3,5 %), ve které se pozitivně projevil i </w:t>
            </w:r>
            <w:r>
              <w:rPr>
                <w:color w:val="0D0D0D" w:themeColor="text1" w:themeTint="F2"/>
                <w:spacing w:val="-4"/>
              </w:rPr>
              <w:t>dynamicky rostoucí trh v oblasti fotovoltaiky</w:t>
            </w:r>
            <w:r>
              <w:rPr>
                <w:spacing w:val="-5"/>
              </w:rPr>
              <w:t xml:space="preserve">. Z malých oborů se dařilo dlouhodobě rostoucímu a výrazně proexportnímu farmaceutickému průmyslu (+11,7 %, proti 1. pololetí 2019 +31,5 %), zahraniční odbyt výrazně pomohl k oživení kožedělného a obuvnického průmyslu (meziročně +7,4 %). Všechny výše uvedené obory přispěly letos k růstu výkonu průmyslu rovným 1 p. b. </w:t>
            </w:r>
          </w:p>
          <w:p w14:paraId="0EB8F0D0" w14:textId="77777777" w:rsidR="00D27F07" w:rsidRPr="008C2F46" w:rsidRDefault="00D27F07" w:rsidP="00AD035A">
            <w:pPr>
              <w:spacing w:after="0"/>
              <w:rPr>
                <w:spacing w:val="-5"/>
              </w:rPr>
            </w:pPr>
          </w:p>
        </w:tc>
      </w:tr>
      <w:tr w:rsidR="00D27F07" w:rsidRPr="00D40A02" w14:paraId="67E8AFCE" w14:textId="77777777" w:rsidTr="00AD035A">
        <w:trPr>
          <w:trHeight w:val="145"/>
        </w:trPr>
        <w:tc>
          <w:tcPr>
            <w:tcW w:w="1740" w:type="dxa"/>
            <w:tcBorders>
              <w:top w:val="nil"/>
              <w:left w:val="nil"/>
              <w:bottom w:val="nil"/>
              <w:right w:val="nil"/>
            </w:tcBorders>
            <w:shd w:val="clear" w:color="auto" w:fill="auto"/>
            <w:tcMar>
              <w:left w:w="0" w:type="dxa"/>
            </w:tcMar>
          </w:tcPr>
          <w:p w14:paraId="246BB098" w14:textId="77777777" w:rsidR="00D27F07" w:rsidRPr="00A27018" w:rsidRDefault="00D27F07" w:rsidP="00AD035A">
            <w:pPr>
              <w:pStyle w:val="Marginlie"/>
              <w:rPr>
                <w:color w:val="0D0D0D" w:themeColor="text1" w:themeTint="F2"/>
                <w:spacing w:val="-5"/>
              </w:rPr>
            </w:pPr>
            <w:r>
              <w:rPr>
                <w:color w:val="0D0D0D" w:themeColor="text1" w:themeTint="F2"/>
                <w:spacing w:val="-5"/>
              </w:rPr>
              <w:t>Výkony energeticky nejnáročnějších zpracovatelských oborů byly nadále utlumené. V hutnictví propadla produkce skoro o pětinu.</w:t>
            </w:r>
          </w:p>
        </w:tc>
        <w:tc>
          <w:tcPr>
            <w:tcW w:w="199" w:type="dxa"/>
            <w:tcBorders>
              <w:top w:val="nil"/>
              <w:left w:val="nil"/>
              <w:bottom w:val="nil"/>
              <w:right w:val="nil"/>
            </w:tcBorders>
            <w:shd w:val="clear" w:color="auto" w:fill="auto"/>
            <w:tcMar>
              <w:left w:w="0" w:type="dxa"/>
            </w:tcMar>
          </w:tcPr>
          <w:p w14:paraId="5262721D" w14:textId="77777777" w:rsidR="00D27F07" w:rsidRPr="00D40A02" w:rsidRDefault="00D27F07" w:rsidP="00AD035A">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25C09389" w14:textId="77777777" w:rsidR="00D27F07" w:rsidRPr="00D40A02" w:rsidRDefault="00D27F07" w:rsidP="00AD035A">
            <w:pPr>
              <w:spacing w:after="220"/>
              <w:rPr>
                <w:color w:val="0D0D0D" w:themeColor="text1" w:themeTint="F2"/>
                <w:spacing w:val="-4"/>
              </w:rPr>
            </w:pPr>
            <w:r>
              <w:rPr>
                <w:color w:val="0D0D0D" w:themeColor="text1" w:themeTint="F2"/>
                <w:spacing w:val="-4"/>
              </w:rPr>
              <w:t xml:space="preserve">S přetrvávajícími vážnými problémy se potýkala významná a </w:t>
            </w:r>
            <w:r w:rsidRPr="00AC49FC">
              <w:rPr>
                <w:color w:val="0D0D0D" w:themeColor="text1" w:themeTint="F2"/>
                <w:spacing w:val="-4"/>
              </w:rPr>
              <w:t xml:space="preserve">energeticky </w:t>
            </w:r>
            <w:r>
              <w:rPr>
                <w:color w:val="0D0D0D" w:themeColor="text1" w:themeTint="F2"/>
                <w:spacing w:val="-4"/>
              </w:rPr>
              <w:t xml:space="preserve">velmi </w:t>
            </w:r>
            <w:r w:rsidRPr="00AC49FC">
              <w:rPr>
                <w:color w:val="0D0D0D" w:themeColor="text1" w:themeTint="F2"/>
                <w:spacing w:val="-4"/>
              </w:rPr>
              <w:t>náročná odvětví chem</w:t>
            </w:r>
            <w:r>
              <w:rPr>
                <w:color w:val="0D0D0D" w:themeColor="text1" w:themeTint="F2"/>
                <w:spacing w:val="-4"/>
              </w:rPr>
              <w:t>ického a hutnického</w:t>
            </w:r>
            <w:r w:rsidRPr="00AC49FC">
              <w:rPr>
                <w:color w:val="0D0D0D" w:themeColor="text1" w:themeTint="F2"/>
                <w:spacing w:val="-4"/>
              </w:rPr>
              <w:t xml:space="preserve"> průmyslu či výroby stavebních hmot</w:t>
            </w:r>
            <w:r>
              <w:rPr>
                <w:color w:val="0D0D0D" w:themeColor="text1" w:themeTint="F2"/>
                <w:spacing w:val="-4"/>
              </w:rPr>
              <w:t xml:space="preserve">. Prudký růst cen vstupů v loňském roce spolu s přetrvávající slabou tuzemskou i zahraniční poptávkou vyústily v 1. pololetí 2023 ve dvojciferný meziroční pokles produkce, jenž např. v hutnictví (včetně slévárenství) činil 18 % (podobně zastával výkon tohoto odvětví i za předkrizovým rokem 2019). Výše uvedené obory také významně poznamenaly výkon celého průmyslu (příspěvek −1,9 p. b.). Podstatně lépe si vedlo diverzifikované odvětví kovodělného průmyslu, kde byl pokles produkce řádově nižší (−2,4 %). Útlum energeticky náročných segmentů zde mohl být zčásti kompenzován rozvojem zbrojní výroby. Mírnějšího snížení produkce docílilo i gumárenství a plastikářství (−3,7 %), jež částečně profitovalo ze solidní poptávky v související výrobě motorových vozidel. </w:t>
            </w:r>
          </w:p>
        </w:tc>
      </w:tr>
      <w:tr w:rsidR="00D27F07" w14:paraId="75F880DB" w14:textId="77777777" w:rsidTr="00AD035A">
        <w:trPr>
          <w:trHeight w:val="145"/>
        </w:trPr>
        <w:tc>
          <w:tcPr>
            <w:tcW w:w="1740" w:type="dxa"/>
            <w:tcBorders>
              <w:top w:val="nil"/>
              <w:left w:val="nil"/>
              <w:bottom w:val="nil"/>
              <w:right w:val="nil"/>
            </w:tcBorders>
            <w:shd w:val="clear" w:color="auto" w:fill="auto"/>
            <w:tcMar>
              <w:left w:w="0" w:type="dxa"/>
            </w:tcMar>
          </w:tcPr>
          <w:p w14:paraId="64AD6526" w14:textId="77777777" w:rsidR="00D27F07" w:rsidRDefault="00D27F07" w:rsidP="00AD035A">
            <w:pPr>
              <w:pStyle w:val="Marginlie"/>
              <w:rPr>
                <w:color w:val="0D0D0D" w:themeColor="text1" w:themeTint="F2"/>
                <w:spacing w:val="-4"/>
              </w:rPr>
            </w:pPr>
            <w:r>
              <w:rPr>
                <w:color w:val="0D0D0D" w:themeColor="text1" w:themeTint="F2"/>
                <w:spacing w:val="-4"/>
              </w:rPr>
              <w:t xml:space="preserve">Dvojciferný pokles produkce postihl tiskárenství, textilní či nábytkářský průmysl. </w:t>
            </w:r>
          </w:p>
          <w:p w14:paraId="6B0E518C" w14:textId="77777777" w:rsidR="00D27F07" w:rsidRDefault="00D27F07" w:rsidP="00AD035A">
            <w:pPr>
              <w:pStyle w:val="Marginlie"/>
              <w:rPr>
                <w:color w:val="0D0D0D" w:themeColor="text1" w:themeTint="F2"/>
                <w:spacing w:val="-4"/>
              </w:rPr>
            </w:pPr>
          </w:p>
          <w:p w14:paraId="1F5B5389" w14:textId="77777777" w:rsidR="00D27F07" w:rsidRDefault="00D27F07" w:rsidP="00AD035A">
            <w:pPr>
              <w:pStyle w:val="Marginlie"/>
              <w:rPr>
                <w:color w:val="0D0D0D" w:themeColor="text1" w:themeTint="F2"/>
                <w:spacing w:val="-4"/>
              </w:rPr>
            </w:pPr>
          </w:p>
          <w:p w14:paraId="0DA062FF" w14:textId="77777777" w:rsidR="00D27F07" w:rsidRDefault="00D27F07" w:rsidP="00AD035A">
            <w:pPr>
              <w:pStyle w:val="Marginlie"/>
              <w:rPr>
                <w:color w:val="0D0D0D" w:themeColor="text1" w:themeTint="F2"/>
                <w:spacing w:val="-4"/>
              </w:rPr>
            </w:pPr>
            <w:r>
              <w:rPr>
                <w:color w:val="0D0D0D" w:themeColor="text1" w:themeTint="F2"/>
                <w:spacing w:val="-4"/>
              </w:rPr>
              <w:t xml:space="preserve">Klesající kupní síla tuzemských domácností </w:t>
            </w:r>
            <w:r>
              <w:rPr>
                <w:color w:val="0D0D0D" w:themeColor="text1" w:themeTint="F2"/>
                <w:spacing w:val="-4"/>
              </w:rPr>
              <w:lastRenderedPageBreak/>
              <w:t>vedla k nižší produkci v potravinářství i výrobě nápojů.</w:t>
            </w:r>
          </w:p>
        </w:tc>
        <w:tc>
          <w:tcPr>
            <w:tcW w:w="199" w:type="dxa"/>
            <w:tcBorders>
              <w:top w:val="nil"/>
              <w:left w:val="nil"/>
              <w:bottom w:val="nil"/>
              <w:right w:val="nil"/>
            </w:tcBorders>
            <w:shd w:val="clear" w:color="auto" w:fill="auto"/>
            <w:tcMar>
              <w:left w:w="0" w:type="dxa"/>
            </w:tcMar>
          </w:tcPr>
          <w:p w14:paraId="5D029B44" w14:textId="77777777" w:rsidR="00D27F07" w:rsidRPr="00AC49FC" w:rsidRDefault="00D27F07" w:rsidP="00AD035A">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480B563F" w14:textId="77777777" w:rsidR="00D27F07" w:rsidRDefault="00D27F07" w:rsidP="00AD035A">
            <w:pPr>
              <w:spacing w:after="200"/>
              <w:rPr>
                <w:color w:val="0D0D0D" w:themeColor="text1" w:themeTint="F2"/>
                <w:spacing w:val="-4"/>
              </w:rPr>
            </w:pPr>
            <w:r>
              <w:rPr>
                <w:color w:val="0D0D0D" w:themeColor="text1" w:themeTint="F2"/>
                <w:spacing w:val="-4"/>
              </w:rPr>
              <w:t xml:space="preserve">S poklesem poptávky se v 1. pololetí potýkala i většina menších zpracovatelských oborů. V tiskárenství tak propadla produkce meziročně o 18,4 %, v textilním průmyslu o 11,7 %. V dřevozpracujícím průmyslu pokračoval zhruba 10% pokles produkce započatý loni. Efekt nižší těžby dřeva vlivem postupného ústupu kůrovcové kalamity převážil nad vlivem rostoucí poptávky po dřevě zažehnuté energetickou krizí. Také v navazujícím papírenském průmyslu se letos výkon meziročně snížil skoro o desetinu, v nábytkářství zasaženém především </w:t>
            </w:r>
            <w:r>
              <w:rPr>
                <w:color w:val="0D0D0D" w:themeColor="text1" w:themeTint="F2"/>
                <w:spacing w:val="-4"/>
              </w:rPr>
              <w:lastRenderedPageBreak/>
              <w:t xml:space="preserve">slabším odbytem v zahraničí pak o celou šestinu. Vysoký růst výrobních nákladů spolu </w:t>
            </w:r>
            <w:r w:rsidRPr="00372273">
              <w:rPr>
                <w:color w:val="0D0D0D" w:themeColor="text1" w:themeTint="F2"/>
                <w:spacing w:val="-3"/>
              </w:rPr>
              <w:t>s klesající spotřebou tuzemských domácností vyústily v nižší produkci nápojového (</w:t>
            </w:r>
            <w:r>
              <w:rPr>
                <w:color w:val="0D0D0D" w:themeColor="text1" w:themeTint="F2"/>
                <w:spacing w:val="-3"/>
              </w:rPr>
              <w:t>−</w:t>
            </w:r>
            <w:r w:rsidRPr="00372273">
              <w:rPr>
                <w:color w:val="0D0D0D" w:themeColor="text1" w:themeTint="F2"/>
                <w:spacing w:val="-3"/>
              </w:rPr>
              <w:t>2,7 %) či potravinářského průmyslu (</w:t>
            </w:r>
            <w:r>
              <w:rPr>
                <w:color w:val="0D0D0D" w:themeColor="text1" w:themeTint="F2"/>
                <w:spacing w:val="-3"/>
              </w:rPr>
              <w:t>−</w:t>
            </w:r>
            <w:r w:rsidRPr="00372273">
              <w:rPr>
                <w:color w:val="0D0D0D" w:themeColor="text1" w:themeTint="F2"/>
                <w:spacing w:val="-3"/>
              </w:rPr>
              <w:t>3,6 %, nejhorší pololetní výsledek od konce roku 2011).</w:t>
            </w:r>
            <w:r>
              <w:rPr>
                <w:color w:val="0D0D0D" w:themeColor="text1" w:themeTint="F2"/>
                <w:spacing w:val="-4"/>
              </w:rPr>
              <w:t xml:space="preserve"> </w:t>
            </w:r>
          </w:p>
        </w:tc>
      </w:tr>
      <w:tr w:rsidR="00D27F07" w:rsidRPr="005447DB" w14:paraId="450E5680" w14:textId="77777777" w:rsidTr="00AD035A">
        <w:trPr>
          <w:trHeight w:val="145"/>
        </w:trPr>
        <w:tc>
          <w:tcPr>
            <w:tcW w:w="1740" w:type="dxa"/>
            <w:tcBorders>
              <w:top w:val="nil"/>
              <w:left w:val="nil"/>
              <w:bottom w:val="nil"/>
              <w:right w:val="nil"/>
            </w:tcBorders>
            <w:shd w:val="clear" w:color="auto" w:fill="auto"/>
            <w:tcMar>
              <w:left w:w="0" w:type="dxa"/>
            </w:tcMar>
          </w:tcPr>
          <w:p w14:paraId="597446D2" w14:textId="77777777" w:rsidR="00D27F07" w:rsidRDefault="00D27F07" w:rsidP="00AD035A">
            <w:pPr>
              <w:pStyle w:val="Marginlie"/>
              <w:rPr>
                <w:color w:val="0D0D0D" w:themeColor="text1" w:themeTint="F2"/>
                <w:spacing w:val="-4"/>
              </w:rPr>
            </w:pPr>
            <w:r>
              <w:rPr>
                <w:color w:val="0D0D0D" w:themeColor="text1" w:themeTint="F2"/>
                <w:spacing w:val="-4"/>
              </w:rPr>
              <w:lastRenderedPageBreak/>
              <w:t xml:space="preserve">Útlum produkce v těžbě uhlí i stavebních surovin, podobně jako v odvětví energetiky, se během 1. pololetí prohluboval. </w:t>
            </w:r>
          </w:p>
          <w:p w14:paraId="5CCDCA77" w14:textId="77777777" w:rsidR="00D27F07" w:rsidRDefault="00D27F07" w:rsidP="00AD035A">
            <w:pPr>
              <w:pStyle w:val="Marginlie"/>
              <w:rPr>
                <w:color w:val="0D0D0D" w:themeColor="text1" w:themeTint="F2"/>
                <w:spacing w:val="-4"/>
              </w:rPr>
            </w:pPr>
          </w:p>
          <w:p w14:paraId="5DDD31D0" w14:textId="77777777" w:rsidR="00D27F07" w:rsidRDefault="00D27F07" w:rsidP="00AD035A">
            <w:pPr>
              <w:pStyle w:val="Marginlie"/>
              <w:rPr>
                <w:color w:val="0D0D0D" w:themeColor="text1" w:themeTint="F2"/>
                <w:spacing w:val="-4"/>
              </w:rPr>
            </w:pPr>
          </w:p>
          <w:p w14:paraId="09CCD8B3" w14:textId="77777777" w:rsidR="00D27F07" w:rsidRDefault="00D27F07" w:rsidP="00AD035A">
            <w:pPr>
              <w:pStyle w:val="Marginlie"/>
              <w:rPr>
                <w:color w:val="0D0D0D" w:themeColor="text1" w:themeTint="F2"/>
                <w:spacing w:val="-4"/>
              </w:rPr>
            </w:pPr>
          </w:p>
          <w:p w14:paraId="12A2003B" w14:textId="77777777" w:rsidR="00D27F07" w:rsidRDefault="00D27F07" w:rsidP="00AD035A">
            <w:pPr>
              <w:pStyle w:val="Marginlie"/>
              <w:rPr>
                <w:color w:val="0D0D0D" w:themeColor="text1" w:themeTint="F2"/>
                <w:spacing w:val="-4"/>
              </w:rPr>
            </w:pPr>
            <w:r>
              <w:rPr>
                <w:color w:val="0D0D0D" w:themeColor="text1" w:themeTint="F2"/>
                <w:spacing w:val="-4"/>
              </w:rPr>
              <w:t>Stála za tím slabší poptávka ze strany domácností i firem, jež reagovala na turbulentní cenový vývoj v této oblasti.</w:t>
            </w:r>
          </w:p>
          <w:p w14:paraId="6BEF898F" w14:textId="77777777" w:rsidR="00D27F07" w:rsidRPr="003B6934" w:rsidRDefault="00D27F07" w:rsidP="00AD035A">
            <w:pPr>
              <w:pStyle w:val="Marginlie"/>
              <w:rPr>
                <w:color w:val="0D0D0D" w:themeColor="text1" w:themeTint="F2"/>
                <w:spacing w:val="-4"/>
              </w:rPr>
            </w:pPr>
          </w:p>
        </w:tc>
        <w:tc>
          <w:tcPr>
            <w:tcW w:w="199" w:type="dxa"/>
            <w:tcBorders>
              <w:top w:val="nil"/>
              <w:left w:val="nil"/>
              <w:bottom w:val="nil"/>
              <w:right w:val="nil"/>
            </w:tcBorders>
            <w:shd w:val="clear" w:color="auto" w:fill="auto"/>
            <w:tcMar>
              <w:left w:w="0" w:type="dxa"/>
            </w:tcMar>
          </w:tcPr>
          <w:p w14:paraId="5F7D20A5"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5E5A30C8" w14:textId="77777777" w:rsidR="00D27F07" w:rsidRPr="005447DB" w:rsidRDefault="00D27F07" w:rsidP="00AD035A">
            <w:pPr>
              <w:spacing w:after="200"/>
              <w:rPr>
                <w:color w:val="0D0D0D" w:themeColor="text1" w:themeTint="F2"/>
                <w:spacing w:val="-5"/>
              </w:rPr>
            </w:pPr>
            <w:r w:rsidRPr="005447DB">
              <w:rPr>
                <w:color w:val="0D0D0D" w:themeColor="text1" w:themeTint="F2"/>
                <w:spacing w:val="-5"/>
              </w:rPr>
              <w:t>Produkce v</w:t>
            </w:r>
            <w:r>
              <w:rPr>
                <w:color w:val="0D0D0D" w:themeColor="text1" w:themeTint="F2"/>
                <w:spacing w:val="-5"/>
              </w:rPr>
              <w:t> </w:t>
            </w:r>
            <w:r w:rsidRPr="005447DB">
              <w:rPr>
                <w:color w:val="0D0D0D" w:themeColor="text1" w:themeTint="F2"/>
                <w:spacing w:val="-5"/>
              </w:rPr>
              <w:t>nezpracov</w:t>
            </w:r>
            <w:r>
              <w:rPr>
                <w:color w:val="0D0D0D" w:themeColor="text1" w:themeTint="F2"/>
                <w:spacing w:val="-5"/>
              </w:rPr>
              <w:t>atelském segmentu průmyslu, jenž zahrnuje vesměs jen energeticky vysoce náročné obory, pokračovala v útlumu, jehož náznaky byly patrné již ke konci loňského roku. Meziroční propad výkonu zde v 1. pololetí 2023 dosáhl dvojciferných hodnot</w:t>
            </w:r>
            <w:r w:rsidRPr="005447DB">
              <w:rPr>
                <w:color w:val="0D0D0D" w:themeColor="text1" w:themeTint="F2"/>
                <w:spacing w:val="-5"/>
              </w:rPr>
              <w:t xml:space="preserve"> a růst produkce v celém průmyslu </w:t>
            </w:r>
            <w:r>
              <w:rPr>
                <w:color w:val="0D0D0D" w:themeColor="text1" w:themeTint="F2"/>
                <w:spacing w:val="-5"/>
              </w:rPr>
              <w:t>tak v úhrnu snižoval o 1,4</w:t>
            </w:r>
            <w:r w:rsidRPr="005447DB">
              <w:rPr>
                <w:color w:val="0D0D0D" w:themeColor="text1" w:themeTint="F2"/>
                <w:spacing w:val="-5"/>
              </w:rPr>
              <w:t xml:space="preserve"> p. b. </w:t>
            </w:r>
            <w:r>
              <w:rPr>
                <w:color w:val="0D0D0D" w:themeColor="text1" w:themeTint="F2"/>
                <w:spacing w:val="-5"/>
              </w:rPr>
              <w:t>Klíčový</w:t>
            </w:r>
            <w:r w:rsidRPr="005447DB">
              <w:rPr>
                <w:color w:val="0D0D0D" w:themeColor="text1" w:themeTint="F2"/>
                <w:spacing w:val="-5"/>
              </w:rPr>
              <w:t xml:space="preserve"> vliv </w:t>
            </w:r>
            <w:r>
              <w:rPr>
                <w:color w:val="0D0D0D" w:themeColor="text1" w:themeTint="F2"/>
                <w:spacing w:val="-5"/>
              </w:rPr>
              <w:t xml:space="preserve">zde </w:t>
            </w:r>
            <w:r w:rsidRPr="005447DB">
              <w:rPr>
                <w:color w:val="0D0D0D" w:themeColor="text1" w:themeTint="F2"/>
                <w:spacing w:val="-5"/>
              </w:rPr>
              <w:t xml:space="preserve">mělo váhově významné odvětví energetiky, v němž produkce </w:t>
            </w:r>
            <w:r>
              <w:rPr>
                <w:color w:val="0D0D0D" w:themeColor="text1" w:themeTint="F2"/>
                <w:spacing w:val="-5"/>
              </w:rPr>
              <w:t>letos v 1. čtvrtletí klesla o 9,3 % a ve 2. kvartálu o 14,1 %. Za nižší výrobou elektřiny stál z drtivé části hlubší útlum u parních a paroplynových elektráren (naopak produkce u jaderných elektráren velmi mírně rostla). Vedle pravidelných odstávek výrobních zařízení souvisel výkon celé energetiky s očekávaným poklesem</w:t>
            </w:r>
            <w:r w:rsidRPr="005447DB">
              <w:rPr>
                <w:color w:val="0D0D0D" w:themeColor="text1" w:themeTint="F2"/>
                <w:spacing w:val="-5"/>
              </w:rPr>
              <w:t xml:space="preserve"> tuzemské poptávky (</w:t>
            </w:r>
            <w:r>
              <w:rPr>
                <w:color w:val="0D0D0D" w:themeColor="text1" w:themeTint="F2"/>
                <w:spacing w:val="-5"/>
              </w:rPr>
              <w:t xml:space="preserve">dopad </w:t>
            </w:r>
            <w:r w:rsidRPr="005447DB">
              <w:rPr>
                <w:color w:val="0D0D0D" w:themeColor="text1" w:themeTint="F2"/>
                <w:spacing w:val="-5"/>
              </w:rPr>
              <w:t>úspor ve spotřebě elektřiny, zemní</w:t>
            </w:r>
            <w:r>
              <w:rPr>
                <w:color w:val="0D0D0D" w:themeColor="text1" w:themeTint="F2"/>
                <w:spacing w:val="-5"/>
              </w:rPr>
              <w:t>ho</w:t>
            </w:r>
            <w:r w:rsidRPr="005447DB">
              <w:rPr>
                <w:color w:val="0D0D0D" w:themeColor="text1" w:themeTint="F2"/>
                <w:spacing w:val="-5"/>
              </w:rPr>
              <w:t xml:space="preserve"> plynu i tepla na straně domácností </w:t>
            </w:r>
            <w:r w:rsidRPr="00B0580E">
              <w:rPr>
                <w:color w:val="0D0D0D" w:themeColor="text1" w:themeTint="F2"/>
                <w:spacing w:val="-5"/>
              </w:rPr>
              <w:t>i firem</w:t>
            </w:r>
            <w:r w:rsidRPr="00B0580E">
              <w:rPr>
                <w:rStyle w:val="Znakapoznpodarou"/>
                <w:color w:val="0D0D0D" w:themeColor="text1" w:themeTint="F2"/>
                <w:spacing w:val="-5"/>
              </w:rPr>
              <w:footnoteReference w:id="22"/>
            </w:r>
            <w:r w:rsidRPr="00B0580E">
              <w:rPr>
                <w:color w:val="0D0D0D" w:themeColor="text1" w:themeTint="F2"/>
                <w:spacing w:val="-5"/>
              </w:rPr>
              <w:t xml:space="preserve"> byl umocněn</w:t>
            </w:r>
            <w:r>
              <w:rPr>
                <w:color w:val="0D0D0D" w:themeColor="text1" w:themeTint="F2"/>
                <w:spacing w:val="-5"/>
              </w:rPr>
              <w:t xml:space="preserve"> teplotně nadprůměrným zimním obdobím</w:t>
            </w:r>
            <w:r w:rsidRPr="005447DB">
              <w:rPr>
                <w:color w:val="0D0D0D" w:themeColor="text1" w:themeTint="F2"/>
                <w:spacing w:val="-5"/>
              </w:rPr>
              <w:t>)</w:t>
            </w:r>
            <w:r>
              <w:t>.</w:t>
            </w:r>
            <w:r w:rsidRPr="005447DB">
              <w:rPr>
                <w:color w:val="0D0D0D" w:themeColor="text1" w:themeTint="F2"/>
                <w:spacing w:val="-5"/>
              </w:rPr>
              <w:t xml:space="preserve"> </w:t>
            </w:r>
            <w:r>
              <w:rPr>
                <w:color w:val="0D0D0D" w:themeColor="text1" w:themeTint="F2"/>
                <w:spacing w:val="-5"/>
              </w:rPr>
              <w:t>Útlum produkce se letos během 1. pololetí prohluboval i v těžebním průmyslu. Zvlášť patrné to bylo v těžbě uhlí, kde ve 2. čtvrtletí výkon propadl skoro o 23,3 %</w:t>
            </w:r>
            <w:r>
              <w:rPr>
                <w:rStyle w:val="Znakapoznpodarou"/>
                <w:color w:val="0D0D0D" w:themeColor="text1" w:themeTint="F2"/>
                <w:spacing w:val="-5"/>
              </w:rPr>
              <w:footnoteReference w:id="23"/>
            </w:r>
            <w:r>
              <w:rPr>
                <w:color w:val="0D0D0D" w:themeColor="text1" w:themeTint="F2"/>
                <w:spacing w:val="-5"/>
              </w:rPr>
              <w:t>, v menší míře také</w:t>
            </w:r>
            <w:r w:rsidRPr="005447DB">
              <w:rPr>
                <w:color w:val="0D0D0D" w:themeColor="text1" w:themeTint="F2"/>
                <w:spacing w:val="-5"/>
              </w:rPr>
              <w:t xml:space="preserve"> v těžbě stavebních materiálů (</w:t>
            </w:r>
            <w:r>
              <w:rPr>
                <w:color w:val="0D0D0D" w:themeColor="text1" w:themeTint="F2"/>
                <w:spacing w:val="-5"/>
              </w:rPr>
              <w:t>−16,3</w:t>
            </w:r>
            <w:r w:rsidRPr="005447DB">
              <w:rPr>
                <w:color w:val="0D0D0D" w:themeColor="text1" w:themeTint="F2"/>
                <w:spacing w:val="-5"/>
              </w:rPr>
              <w:t xml:space="preserve"> %), což souviselo s oslabením</w:t>
            </w:r>
            <w:r>
              <w:rPr>
                <w:color w:val="0D0D0D" w:themeColor="text1" w:themeTint="F2"/>
                <w:spacing w:val="-5"/>
              </w:rPr>
              <w:t xml:space="preserve"> poptávky ze strany stavebníků i s </w:t>
            </w:r>
            <w:r w:rsidRPr="005447DB">
              <w:rPr>
                <w:color w:val="0D0D0D" w:themeColor="text1" w:themeTint="F2"/>
                <w:spacing w:val="-5"/>
              </w:rPr>
              <w:t>vyšší energetickou náročností tohoto oboru.</w:t>
            </w:r>
          </w:p>
        </w:tc>
      </w:tr>
      <w:tr w:rsidR="00D27F07" w:rsidRPr="00A92514" w14:paraId="1EDA50E8" w14:textId="77777777" w:rsidTr="00AD035A">
        <w:trPr>
          <w:trHeight w:val="170"/>
        </w:trPr>
        <w:tc>
          <w:tcPr>
            <w:tcW w:w="1740" w:type="dxa"/>
            <w:vMerge w:val="restart"/>
            <w:tcBorders>
              <w:top w:val="nil"/>
              <w:left w:val="nil"/>
              <w:bottom w:val="nil"/>
              <w:right w:val="nil"/>
            </w:tcBorders>
            <w:shd w:val="clear" w:color="auto" w:fill="auto"/>
            <w:tcMar>
              <w:left w:w="0" w:type="dxa"/>
            </w:tcMar>
          </w:tcPr>
          <w:p w14:paraId="52195147" w14:textId="77777777" w:rsidR="00D27F07" w:rsidRDefault="00D27F07" w:rsidP="00AD035A">
            <w:pPr>
              <w:pStyle w:val="Marginlie"/>
            </w:pPr>
          </w:p>
        </w:tc>
        <w:tc>
          <w:tcPr>
            <w:tcW w:w="199" w:type="dxa"/>
            <w:vMerge w:val="restart"/>
            <w:tcBorders>
              <w:top w:val="nil"/>
              <w:left w:val="nil"/>
              <w:bottom w:val="nil"/>
              <w:right w:val="nil"/>
            </w:tcBorders>
            <w:shd w:val="clear" w:color="auto" w:fill="auto"/>
            <w:tcMar>
              <w:left w:w="0" w:type="dxa"/>
            </w:tcMar>
          </w:tcPr>
          <w:p w14:paraId="304FF666"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06AC6639" w14:textId="77777777" w:rsidR="00D27F07" w:rsidRPr="00884AAD" w:rsidRDefault="00D27F07" w:rsidP="00AD035A">
            <w:pPr>
              <w:spacing w:after="0"/>
              <w:rPr>
                <w:spacing w:val="-2"/>
              </w:rPr>
            </w:pPr>
            <w:r w:rsidRPr="00884AAD">
              <w:rPr>
                <w:rFonts w:cs="Arial"/>
                <w:b/>
                <w:bCs/>
                <w:color w:val="000000"/>
                <w:spacing w:val="-2"/>
                <w:szCs w:val="20"/>
              </w:rPr>
              <w:t xml:space="preserve">Graf č. 4 </w:t>
            </w:r>
            <w:r w:rsidRPr="00884AAD">
              <w:rPr>
                <w:b/>
                <w:spacing w:val="-2"/>
              </w:rPr>
              <w:t xml:space="preserve">Příspěvky dílčích odvětví k meziroční změně průmyslové produkce v ČR </w:t>
            </w:r>
            <w:r w:rsidRPr="00884AAD">
              <w:rPr>
                <w:spacing w:val="-2"/>
              </w:rPr>
              <w:t xml:space="preserve">(očištěno o kalendářní vlivy, reálně, v p. b.) </w:t>
            </w:r>
            <w:r w:rsidRPr="00884AAD">
              <w:rPr>
                <w:b/>
                <w:spacing w:val="-2"/>
              </w:rPr>
              <w:t xml:space="preserve">a produkce v celém průmyslu v ČR, Německu a EU27 </w:t>
            </w:r>
            <w:r w:rsidRPr="00884AAD">
              <w:rPr>
                <w:spacing w:val="-2"/>
              </w:rPr>
              <w:t>(sezónně očištěno, úroveň roku 2015=100, pravá osa)</w:t>
            </w:r>
          </w:p>
        </w:tc>
      </w:tr>
      <w:tr w:rsidR="00D27F07" w:rsidRPr="0067514E" w14:paraId="4C286A51" w14:textId="77777777" w:rsidTr="00AD035A">
        <w:tblPrEx>
          <w:tblCellMar>
            <w:left w:w="70" w:type="dxa"/>
            <w:right w:w="70" w:type="dxa"/>
          </w:tblCellMar>
        </w:tblPrEx>
        <w:trPr>
          <w:trHeight w:val="170"/>
        </w:trPr>
        <w:tc>
          <w:tcPr>
            <w:tcW w:w="1740" w:type="dxa"/>
            <w:vMerge/>
            <w:tcBorders>
              <w:top w:val="nil"/>
              <w:left w:val="nil"/>
              <w:bottom w:val="nil"/>
              <w:right w:val="nil"/>
            </w:tcBorders>
            <w:shd w:val="clear" w:color="auto" w:fill="auto"/>
          </w:tcPr>
          <w:p w14:paraId="385E9099" w14:textId="77777777" w:rsidR="00D27F07" w:rsidRDefault="00D27F07" w:rsidP="00AD035A">
            <w:pPr>
              <w:pStyle w:val="Marginlie"/>
            </w:pPr>
          </w:p>
        </w:tc>
        <w:tc>
          <w:tcPr>
            <w:tcW w:w="199" w:type="dxa"/>
            <w:vMerge/>
            <w:tcBorders>
              <w:top w:val="nil"/>
              <w:left w:val="nil"/>
              <w:bottom w:val="nil"/>
              <w:right w:val="nil"/>
            </w:tcBorders>
            <w:shd w:val="clear" w:color="auto" w:fill="auto"/>
          </w:tcPr>
          <w:p w14:paraId="1EDE1FE4"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Pr>
          <w:p w14:paraId="4A7A2D4B" w14:textId="77777777" w:rsidR="00D27F07" w:rsidRPr="0067514E" w:rsidRDefault="00D27F07" w:rsidP="00AD035A">
            <w:pPr>
              <w:spacing w:after="0"/>
              <w:rPr>
                <w:spacing w:val="-6"/>
              </w:rPr>
            </w:pPr>
            <w:r>
              <w:rPr>
                <w:noProof/>
              </w:rPr>
              <w:drawing>
                <wp:inline distT="0" distB="0" distL="0" distR="0" wp14:anchorId="6AB10FD0" wp14:editId="25B89148">
                  <wp:extent cx="4635776" cy="3692057"/>
                  <wp:effectExtent l="0" t="0" r="0" b="381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D27F07" w:rsidRPr="00E52D45" w14:paraId="31CFE33F" w14:textId="77777777" w:rsidTr="00AD035A">
        <w:trPr>
          <w:trHeight w:val="170"/>
        </w:trPr>
        <w:tc>
          <w:tcPr>
            <w:tcW w:w="1740" w:type="dxa"/>
            <w:vMerge/>
            <w:tcBorders>
              <w:top w:val="nil"/>
              <w:left w:val="nil"/>
              <w:bottom w:val="nil"/>
              <w:right w:val="nil"/>
            </w:tcBorders>
            <w:shd w:val="clear" w:color="auto" w:fill="auto"/>
            <w:tcMar>
              <w:left w:w="0" w:type="dxa"/>
            </w:tcMar>
          </w:tcPr>
          <w:p w14:paraId="4583779F" w14:textId="77777777" w:rsidR="00D27F07" w:rsidRDefault="00D27F07" w:rsidP="00AD035A">
            <w:pPr>
              <w:pStyle w:val="Marginlie"/>
            </w:pPr>
          </w:p>
        </w:tc>
        <w:tc>
          <w:tcPr>
            <w:tcW w:w="199" w:type="dxa"/>
            <w:vMerge/>
            <w:tcBorders>
              <w:top w:val="nil"/>
              <w:left w:val="nil"/>
              <w:bottom w:val="nil"/>
              <w:right w:val="nil"/>
            </w:tcBorders>
            <w:shd w:val="clear" w:color="auto" w:fill="auto"/>
            <w:tcMar>
              <w:left w:w="0" w:type="dxa"/>
            </w:tcMar>
          </w:tcPr>
          <w:p w14:paraId="5F90F291"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56B67C6A" w14:textId="77777777" w:rsidR="00D27F07" w:rsidRPr="00E52D45" w:rsidRDefault="00D27F07" w:rsidP="00AD035A">
            <w:pPr>
              <w:tabs>
                <w:tab w:val="right" w:pos="7683"/>
              </w:tabs>
              <w:spacing w:after="200" w:line="240" w:lineRule="auto"/>
              <w:jc w:val="left"/>
              <w:rPr>
                <w:spacing w:val="-2"/>
                <w:sz w:val="14"/>
                <w:szCs w:val="14"/>
              </w:rPr>
            </w:pPr>
            <w:r>
              <w:rPr>
                <w:rFonts w:cs="Arial"/>
                <w:sz w:val="14"/>
                <w:szCs w:val="14"/>
              </w:rPr>
              <w:t xml:space="preserve">Poznámka: Tržby jsou uvedeny v běžných cenách. </w:t>
            </w:r>
            <w:r>
              <w:rPr>
                <w:rFonts w:cs="Arial"/>
                <w:sz w:val="14"/>
                <w:szCs w:val="14"/>
              </w:rPr>
              <w:tab/>
              <w:t xml:space="preserve"> </w:t>
            </w:r>
            <w:r w:rsidRPr="00883202">
              <w:rPr>
                <w:rFonts w:cs="Arial"/>
                <w:sz w:val="14"/>
                <w:szCs w:val="14"/>
              </w:rPr>
              <w:t>Zdroj: ČSÚ</w:t>
            </w:r>
            <w:r>
              <w:rPr>
                <w:rFonts w:cs="Arial"/>
                <w:sz w:val="14"/>
                <w:szCs w:val="14"/>
              </w:rPr>
              <w:t>, Eurostat</w:t>
            </w:r>
          </w:p>
        </w:tc>
      </w:tr>
      <w:tr w:rsidR="00D27F07" w:rsidRPr="00823342" w14:paraId="3FC0B3D4" w14:textId="77777777" w:rsidTr="00AD035A">
        <w:trPr>
          <w:trHeight w:val="170"/>
        </w:trPr>
        <w:tc>
          <w:tcPr>
            <w:tcW w:w="1740" w:type="dxa"/>
            <w:tcBorders>
              <w:top w:val="nil"/>
              <w:left w:val="nil"/>
              <w:bottom w:val="nil"/>
              <w:right w:val="nil"/>
            </w:tcBorders>
            <w:shd w:val="clear" w:color="auto" w:fill="auto"/>
            <w:tcMar>
              <w:left w:w="0" w:type="dxa"/>
            </w:tcMar>
          </w:tcPr>
          <w:p w14:paraId="0F4DC194" w14:textId="77777777" w:rsidR="00D27F07" w:rsidRDefault="00D27F07" w:rsidP="00AD035A">
            <w:pPr>
              <w:pStyle w:val="Marginlie"/>
              <w:rPr>
                <w:color w:val="0D0D0D" w:themeColor="text1" w:themeTint="F2"/>
              </w:rPr>
            </w:pPr>
            <w:r>
              <w:rPr>
                <w:color w:val="0D0D0D" w:themeColor="text1" w:themeTint="F2"/>
              </w:rPr>
              <w:lastRenderedPageBreak/>
              <w:t>Průmyslovým podnikům rostly meziročně domácí tržby více než tržby z přímého vývozu. V těžbě či potravinářství se tržby svižně zvyšovaly, navzdory poklesu reálné poptávky.</w:t>
            </w:r>
          </w:p>
        </w:tc>
        <w:tc>
          <w:tcPr>
            <w:tcW w:w="199" w:type="dxa"/>
            <w:tcBorders>
              <w:top w:val="nil"/>
              <w:left w:val="nil"/>
              <w:bottom w:val="nil"/>
              <w:right w:val="nil"/>
            </w:tcBorders>
            <w:shd w:val="clear" w:color="auto" w:fill="auto"/>
            <w:tcMar>
              <w:left w:w="0" w:type="dxa"/>
            </w:tcMar>
          </w:tcPr>
          <w:p w14:paraId="35080E80" w14:textId="77777777" w:rsidR="00D27F07" w:rsidRPr="00B51DC6" w:rsidRDefault="00D27F07" w:rsidP="00AD035A">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11212622" w14:textId="77777777" w:rsidR="00D27F07" w:rsidRPr="008F675B" w:rsidRDefault="00D27F07" w:rsidP="00AD035A">
            <w:pPr>
              <w:spacing w:after="200"/>
              <w:rPr>
                <w:rFonts w:cs="Arial"/>
                <w:bCs/>
                <w:color w:val="0D0D0D" w:themeColor="text1" w:themeTint="F2"/>
                <w:spacing w:val="-5"/>
                <w:szCs w:val="20"/>
              </w:rPr>
            </w:pPr>
            <w:r w:rsidRPr="003D0325">
              <w:rPr>
                <w:rFonts w:cs="Arial"/>
                <w:bCs/>
                <w:color w:val="0D0D0D" w:themeColor="text1" w:themeTint="F2"/>
                <w:spacing w:val="-5"/>
                <w:szCs w:val="20"/>
              </w:rPr>
              <w:t xml:space="preserve">Nominální tržby průmyslových </w:t>
            </w:r>
            <w:r w:rsidRPr="00030362">
              <w:rPr>
                <w:rFonts w:cs="Arial"/>
                <w:bCs/>
                <w:color w:val="0D0D0D" w:themeColor="text1" w:themeTint="F2"/>
                <w:spacing w:val="-5"/>
                <w:szCs w:val="20"/>
              </w:rPr>
              <w:t>podniků</w:t>
            </w:r>
            <w:r w:rsidRPr="00030362">
              <w:rPr>
                <w:rStyle w:val="Znakapoznpodarou"/>
                <w:bCs/>
                <w:color w:val="0D0D0D" w:themeColor="text1" w:themeTint="F2"/>
                <w:spacing w:val="-5"/>
                <w:szCs w:val="20"/>
              </w:rPr>
              <w:footnoteReference w:id="24"/>
            </w:r>
            <w:r>
              <w:rPr>
                <w:rFonts w:cs="Arial"/>
                <w:bCs/>
                <w:color w:val="0D0D0D" w:themeColor="text1" w:themeTint="F2"/>
                <w:spacing w:val="-5"/>
                <w:szCs w:val="20"/>
              </w:rPr>
              <w:t xml:space="preserve"> se v 1. pololetí 2023 zvýšily meziročně o 8,2 % (z</w:t>
            </w:r>
            <w:r>
              <w:rPr>
                <w:color w:val="0D0D0D" w:themeColor="text1" w:themeTint="F2"/>
                <w:spacing w:val="-5"/>
              </w:rPr>
              <w:t> </w:t>
            </w:r>
            <w:r>
              <w:rPr>
                <w:rFonts w:cs="Arial"/>
                <w:bCs/>
                <w:color w:val="0D0D0D" w:themeColor="text1" w:themeTint="F2"/>
                <w:spacing w:val="-5"/>
                <w:szCs w:val="20"/>
              </w:rPr>
              <w:t>toho ve 2. čtvrtletí již jen o 5,4 %). Slábnoucí tempo tržeb lze z velké části připsat vlivu pozvolna odeznívajícího cenového růstu na straně výrobců, zejména v samotném zpracovatelském průmyslu. Tuzemské tržby posílily o 9,9 % a již dva roky tak rostly dynamičtěji než tržby z přímého vývozu</w:t>
            </w:r>
            <w:r>
              <w:rPr>
                <w:rStyle w:val="Znakapoznpodarou"/>
                <w:bCs/>
                <w:color w:val="0D0D0D" w:themeColor="text1" w:themeTint="F2"/>
                <w:spacing w:val="-5"/>
                <w:szCs w:val="20"/>
              </w:rPr>
              <w:footnoteReference w:id="25"/>
            </w:r>
            <w:r>
              <w:rPr>
                <w:rFonts w:cs="Arial"/>
                <w:bCs/>
                <w:color w:val="0D0D0D" w:themeColor="text1" w:themeTint="F2"/>
                <w:spacing w:val="-5"/>
                <w:szCs w:val="20"/>
              </w:rPr>
              <w:t xml:space="preserve">. Celkové tržby se zvýšily nejvíce výrobcům motorových vozidel (+27,5 %) a výrobcům ostatních dopravních prostředků (31,2 %). Klesly naopak v polovině hlavních průmyslových oborů (v hutnictví až o 22,6 %). V některých oborech postižených poklesem reálné poptávky však tržby díky přetrvávajícím cenovým vlivům svižně rostly (v těžbě uhlí a stavebních materiálů, v potravinářství či výrobě nápojů). Naproti tomu ve výrobě počítačů a elektronických a optických přístrojů tržby za úrovní </w:t>
            </w:r>
            <w:r>
              <w:rPr>
                <w:rFonts w:cs="Arial"/>
                <w:bCs/>
                <w:color w:val="0D0D0D" w:themeColor="text1" w:themeTint="F2"/>
                <w:spacing w:val="-5"/>
                <w:szCs w:val="20"/>
              </w:rPr>
              <w:br/>
              <w:t>z 1. pololetí 2022 lehce zaostaly (−1,3 %), a to i přesto, že produkce v tomto odvětví rostla.</w:t>
            </w:r>
          </w:p>
        </w:tc>
      </w:tr>
      <w:tr w:rsidR="00D27F07" w:rsidRPr="00FA6878" w14:paraId="3B36B5F8" w14:textId="77777777" w:rsidTr="00AD035A">
        <w:trPr>
          <w:trHeight w:val="170"/>
        </w:trPr>
        <w:tc>
          <w:tcPr>
            <w:tcW w:w="1740" w:type="dxa"/>
            <w:tcBorders>
              <w:top w:val="nil"/>
              <w:left w:val="nil"/>
              <w:bottom w:val="nil"/>
              <w:right w:val="nil"/>
            </w:tcBorders>
            <w:shd w:val="clear" w:color="auto" w:fill="auto"/>
            <w:tcMar>
              <w:left w:w="0" w:type="dxa"/>
            </w:tcMar>
          </w:tcPr>
          <w:p w14:paraId="5EBF9ECF" w14:textId="77777777" w:rsidR="00D27F07" w:rsidRDefault="00D27F07" w:rsidP="00AD035A">
            <w:pPr>
              <w:pStyle w:val="Marginlie"/>
              <w:rPr>
                <w:color w:val="0D0D0D" w:themeColor="text1" w:themeTint="F2"/>
              </w:rPr>
            </w:pPr>
            <w:r>
              <w:rPr>
                <w:color w:val="0D0D0D" w:themeColor="text1" w:themeTint="F2"/>
              </w:rPr>
              <w:t xml:space="preserve">Hodnota nových průmyslových zakázek se ve 2. čtvrtletí meziročně snížila. </w:t>
            </w:r>
          </w:p>
          <w:p w14:paraId="783C6062" w14:textId="77777777" w:rsidR="00D27F07" w:rsidRDefault="00D27F07" w:rsidP="00AD035A">
            <w:pPr>
              <w:pStyle w:val="Marginlie"/>
              <w:rPr>
                <w:color w:val="0D0D0D" w:themeColor="text1" w:themeTint="F2"/>
              </w:rPr>
            </w:pPr>
          </w:p>
          <w:p w14:paraId="3F4A931A" w14:textId="77777777" w:rsidR="00D27F07" w:rsidRDefault="00D27F07" w:rsidP="00AD035A">
            <w:pPr>
              <w:pStyle w:val="Marginlie"/>
              <w:rPr>
                <w:color w:val="0D0D0D" w:themeColor="text1" w:themeTint="F2"/>
              </w:rPr>
            </w:pPr>
          </w:p>
          <w:p w14:paraId="2AFA1DE5" w14:textId="77777777" w:rsidR="00D27F07" w:rsidRDefault="00D27F07" w:rsidP="00AD035A">
            <w:pPr>
              <w:pStyle w:val="Marginlie"/>
              <w:rPr>
                <w:color w:val="0D0D0D" w:themeColor="text1" w:themeTint="F2"/>
              </w:rPr>
            </w:pPr>
          </w:p>
          <w:p w14:paraId="58599EAD" w14:textId="77777777" w:rsidR="00D27F07" w:rsidRDefault="00D27F07" w:rsidP="00AD035A">
            <w:pPr>
              <w:pStyle w:val="Marginlie"/>
              <w:rPr>
                <w:color w:val="0D0D0D" w:themeColor="text1" w:themeTint="F2"/>
              </w:rPr>
            </w:pPr>
            <w:r>
              <w:rPr>
                <w:color w:val="0D0D0D" w:themeColor="text1" w:themeTint="F2"/>
              </w:rPr>
              <w:t>Zřetelně pozitivní signál očekávané vyšší poptávky vysílal pouze farmaceutický průmysl.</w:t>
            </w:r>
          </w:p>
        </w:tc>
        <w:tc>
          <w:tcPr>
            <w:tcW w:w="199" w:type="dxa"/>
            <w:tcBorders>
              <w:top w:val="nil"/>
              <w:left w:val="nil"/>
              <w:bottom w:val="nil"/>
              <w:right w:val="nil"/>
            </w:tcBorders>
            <w:shd w:val="clear" w:color="auto" w:fill="auto"/>
            <w:tcMar>
              <w:left w:w="0" w:type="dxa"/>
            </w:tcMar>
          </w:tcPr>
          <w:p w14:paraId="01292D71" w14:textId="77777777" w:rsidR="00D27F07" w:rsidRPr="00B51DC6" w:rsidRDefault="00D27F07" w:rsidP="00AD035A">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23C0EC51" w14:textId="77777777" w:rsidR="00D27F07" w:rsidRDefault="00D27F07" w:rsidP="00AD035A">
            <w:pPr>
              <w:spacing w:after="200"/>
              <w:rPr>
                <w:color w:val="0D0D0D" w:themeColor="text1" w:themeTint="F2"/>
                <w:spacing w:val="-5"/>
              </w:rPr>
            </w:pPr>
            <w:r>
              <w:rPr>
                <w:color w:val="0D0D0D" w:themeColor="text1" w:themeTint="F2"/>
                <w:spacing w:val="-5"/>
              </w:rPr>
              <w:t xml:space="preserve">Dynamika nových průmyslových zakázek vykazovala známky slábnoucí poptávky. Zatímco v 1. čtvrtletí 2023 nominální hodnota zakázek </w:t>
            </w:r>
            <w:r w:rsidRPr="00D97905">
              <w:rPr>
                <w:color w:val="0D0D0D" w:themeColor="text1" w:themeTint="F2"/>
                <w:spacing w:val="-5"/>
              </w:rPr>
              <w:t xml:space="preserve">ve sledovaných </w:t>
            </w:r>
            <w:r w:rsidRPr="00030362">
              <w:rPr>
                <w:color w:val="0D0D0D" w:themeColor="text1" w:themeTint="F2"/>
                <w:spacing w:val="-5"/>
              </w:rPr>
              <w:t>průmyslových odvětvích</w:t>
            </w:r>
            <w:r w:rsidRPr="00030362">
              <w:rPr>
                <w:rStyle w:val="Znakapoznpodarou"/>
                <w:color w:val="0D0D0D" w:themeColor="text1" w:themeTint="F2"/>
                <w:spacing w:val="-5"/>
              </w:rPr>
              <w:footnoteReference w:id="26"/>
            </w:r>
            <w:r>
              <w:rPr>
                <w:color w:val="0D0D0D" w:themeColor="text1" w:themeTint="F2"/>
                <w:spacing w:val="-5"/>
              </w:rPr>
              <w:t xml:space="preserve"> meziročně rostla o 2,1 %, v následujícím období již zaznamenala pokles o 2,6 %</w:t>
            </w:r>
            <w:r>
              <w:rPr>
                <w:rStyle w:val="Znakapoznpodarou"/>
                <w:color w:val="0D0D0D" w:themeColor="text1" w:themeTint="F2"/>
                <w:spacing w:val="-5"/>
              </w:rPr>
              <w:footnoteReference w:id="27"/>
            </w:r>
            <w:r>
              <w:rPr>
                <w:color w:val="0D0D0D" w:themeColor="text1" w:themeTint="F2"/>
                <w:spacing w:val="-5"/>
              </w:rPr>
              <w:t xml:space="preserve"> (první od pandemických uzávěr výroby v roce 2020). Rychlejší ochlazení naznačovala zahraniční poptávka. Za celé 1. pololetí se zakázky ze zahraničí snížily o 3,5 %, zatímco ty tuzemské meziročně narostly o 6,9 %. V chemickém průmyslu a v hutnictví se celkový objem zakázek zhruba o pětinu propadl. V automobilovém průmyslu však i vlivem slabší loňské základny zakázky rostly (+6,5 %, z toho tuzemské o 26,9 %). Ve strojírenství i elektrotechnice činil růst necelá 3 %. S přihlédnutím k loňské základně i růstu cen mezivstupů lze jako zřejmý pozitivní signál hodnotit pouze navýšení zakázek ve farmacii (+16,9 %).</w:t>
            </w:r>
          </w:p>
        </w:tc>
      </w:tr>
      <w:tr w:rsidR="00D27F07" w:rsidRPr="00705C3E" w14:paraId="0685C929" w14:textId="77777777" w:rsidTr="00AD035A">
        <w:trPr>
          <w:trHeight w:val="134"/>
        </w:trPr>
        <w:tc>
          <w:tcPr>
            <w:tcW w:w="1740" w:type="dxa"/>
            <w:vMerge w:val="restart"/>
            <w:tcBorders>
              <w:top w:val="nil"/>
              <w:left w:val="nil"/>
              <w:bottom w:val="nil"/>
              <w:right w:val="nil"/>
            </w:tcBorders>
            <w:shd w:val="clear" w:color="auto" w:fill="auto"/>
            <w:tcMar>
              <w:left w:w="0" w:type="dxa"/>
            </w:tcMar>
          </w:tcPr>
          <w:p w14:paraId="3CEFC891" w14:textId="77777777" w:rsidR="00D27F07" w:rsidRDefault="00D27F07" w:rsidP="00AD035A">
            <w:pPr>
              <w:pStyle w:val="Marginlie"/>
            </w:pPr>
          </w:p>
        </w:tc>
        <w:tc>
          <w:tcPr>
            <w:tcW w:w="199" w:type="dxa"/>
            <w:vMerge w:val="restart"/>
            <w:tcBorders>
              <w:top w:val="nil"/>
              <w:left w:val="nil"/>
              <w:bottom w:val="nil"/>
              <w:right w:val="nil"/>
            </w:tcBorders>
            <w:shd w:val="clear" w:color="auto" w:fill="auto"/>
            <w:tcMar>
              <w:left w:w="0" w:type="dxa"/>
            </w:tcMar>
          </w:tcPr>
          <w:p w14:paraId="55EE402F"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30213F4A" w14:textId="77777777" w:rsidR="00D27F07" w:rsidRPr="00705C3E" w:rsidRDefault="00D27F07" w:rsidP="00AD035A">
            <w:pPr>
              <w:spacing w:after="0"/>
              <w:rPr>
                <w:color w:val="0D0D0D" w:themeColor="text1" w:themeTint="F2"/>
                <w:spacing w:val="-5"/>
              </w:rPr>
            </w:pPr>
            <w:r w:rsidRPr="00760356">
              <w:rPr>
                <w:b/>
                <w:spacing w:val="-2"/>
              </w:rPr>
              <w:t>Graf č. 5</w:t>
            </w:r>
            <w:r>
              <w:rPr>
                <w:b/>
                <w:spacing w:val="-2"/>
              </w:rPr>
              <w:t xml:space="preserve"> Nové zakázky v </w:t>
            </w:r>
            <w:r w:rsidRPr="00760356">
              <w:rPr>
                <w:b/>
                <w:spacing w:val="-2"/>
              </w:rPr>
              <w:t xml:space="preserve">průmyslu </w:t>
            </w:r>
            <w:r w:rsidRPr="00760356">
              <w:rPr>
                <w:bCs/>
                <w:spacing w:val="-2"/>
              </w:rPr>
              <w:t>(</w:t>
            </w:r>
            <w:r>
              <w:rPr>
                <w:bCs/>
                <w:spacing w:val="-2"/>
              </w:rPr>
              <w:t>nominálně</w:t>
            </w:r>
            <w:r w:rsidRPr="00760356">
              <w:rPr>
                <w:bCs/>
                <w:spacing w:val="-2"/>
              </w:rPr>
              <w:t xml:space="preserve">, </w:t>
            </w:r>
            <w:r w:rsidRPr="00760356">
              <w:rPr>
                <w:spacing w:val="-2"/>
              </w:rPr>
              <w:t>meziročně</w:t>
            </w:r>
            <w:r>
              <w:rPr>
                <w:spacing w:val="-2"/>
              </w:rPr>
              <w:t>,</w:t>
            </w:r>
            <w:r w:rsidRPr="00760356">
              <w:rPr>
                <w:bCs/>
                <w:spacing w:val="-2"/>
              </w:rPr>
              <w:t xml:space="preserve"> v %)</w:t>
            </w:r>
            <w:r>
              <w:rPr>
                <w:b/>
                <w:spacing w:val="-2"/>
              </w:rPr>
              <w:t xml:space="preserve">, </w:t>
            </w:r>
            <w:r w:rsidRPr="00760356">
              <w:rPr>
                <w:b/>
                <w:spacing w:val="-2"/>
              </w:rPr>
              <w:t>využi</w:t>
            </w:r>
            <w:r>
              <w:rPr>
                <w:b/>
                <w:spacing w:val="-2"/>
              </w:rPr>
              <w:t xml:space="preserve">tí výrobních kapacit v průmyslu, </w:t>
            </w:r>
            <w:r w:rsidRPr="00760356">
              <w:rPr>
                <w:b/>
                <w:spacing w:val="-2"/>
              </w:rPr>
              <w:t>vybrané bariéry růst</w:t>
            </w:r>
            <w:r w:rsidRPr="006E759E">
              <w:rPr>
                <w:b/>
                <w:spacing w:val="-2"/>
              </w:rPr>
              <w:t>u</w:t>
            </w:r>
            <w:r w:rsidRPr="006E759E">
              <w:rPr>
                <w:spacing w:val="-2"/>
              </w:rPr>
              <w:t xml:space="preserve">* (v %, pravá osa) </w:t>
            </w:r>
            <w:r w:rsidRPr="006E759E">
              <w:rPr>
                <w:b/>
                <w:spacing w:val="-2"/>
              </w:rPr>
              <w:t>a </w:t>
            </w:r>
            <w:r>
              <w:rPr>
                <w:b/>
              </w:rPr>
              <w:t>saldo</w:t>
            </w:r>
            <w:r w:rsidRPr="006E759E">
              <w:rPr>
                <w:b/>
              </w:rPr>
              <w:t xml:space="preserve"> důvěry</w:t>
            </w:r>
            <w:r w:rsidRPr="00883202">
              <w:rPr>
                <w:b/>
              </w:rPr>
              <w:t xml:space="preserve"> </w:t>
            </w:r>
            <w:r>
              <w:rPr>
                <w:b/>
              </w:rPr>
              <w:t xml:space="preserve">podnikatelů </w:t>
            </w:r>
            <w:r w:rsidRPr="00883202">
              <w:rPr>
                <w:b/>
              </w:rPr>
              <w:t xml:space="preserve">v průmyslu* </w:t>
            </w:r>
            <w:r>
              <w:t xml:space="preserve">(v p. b., pravá </w:t>
            </w:r>
            <w:r w:rsidRPr="00883202">
              <w:t>osa)</w:t>
            </w:r>
          </w:p>
        </w:tc>
      </w:tr>
      <w:tr w:rsidR="00D27F07" w:rsidRPr="00705C3E" w14:paraId="50CEF8B4" w14:textId="77777777" w:rsidTr="00AD035A">
        <w:tblPrEx>
          <w:tblCellMar>
            <w:left w:w="70" w:type="dxa"/>
            <w:right w:w="70" w:type="dxa"/>
          </w:tblCellMar>
        </w:tblPrEx>
        <w:trPr>
          <w:trHeight w:val="133"/>
        </w:trPr>
        <w:tc>
          <w:tcPr>
            <w:tcW w:w="1740" w:type="dxa"/>
            <w:vMerge/>
            <w:tcBorders>
              <w:top w:val="nil"/>
              <w:left w:val="nil"/>
              <w:bottom w:val="nil"/>
              <w:right w:val="nil"/>
            </w:tcBorders>
            <w:shd w:val="clear" w:color="auto" w:fill="auto"/>
          </w:tcPr>
          <w:p w14:paraId="5582E41D" w14:textId="77777777" w:rsidR="00D27F07" w:rsidRDefault="00D27F07" w:rsidP="00AD035A">
            <w:pPr>
              <w:pStyle w:val="Marginlie"/>
            </w:pPr>
          </w:p>
        </w:tc>
        <w:tc>
          <w:tcPr>
            <w:tcW w:w="199" w:type="dxa"/>
            <w:vMerge/>
            <w:tcBorders>
              <w:top w:val="nil"/>
              <w:left w:val="nil"/>
              <w:bottom w:val="nil"/>
              <w:right w:val="nil"/>
            </w:tcBorders>
            <w:shd w:val="clear" w:color="auto" w:fill="auto"/>
          </w:tcPr>
          <w:p w14:paraId="19760B8C"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Pr>
          <w:p w14:paraId="60A5B99F" w14:textId="77777777" w:rsidR="00D27F07" w:rsidRPr="00705C3E" w:rsidRDefault="00D27F07" w:rsidP="00AD035A">
            <w:pPr>
              <w:spacing w:after="0"/>
              <w:rPr>
                <w:color w:val="0D0D0D" w:themeColor="text1" w:themeTint="F2"/>
                <w:spacing w:val="-5"/>
              </w:rPr>
            </w:pPr>
            <w:r>
              <w:rPr>
                <w:noProof/>
              </w:rPr>
              <w:drawing>
                <wp:inline distT="0" distB="0" distL="0" distR="0" wp14:anchorId="34AA2E28" wp14:editId="7FB97471">
                  <wp:extent cx="4666080" cy="3636780"/>
                  <wp:effectExtent l="0" t="0" r="1270" b="190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D27F07" w:rsidRPr="00705C3E" w14:paraId="09FF7248" w14:textId="77777777" w:rsidTr="00AD035A">
        <w:trPr>
          <w:trHeight w:val="133"/>
        </w:trPr>
        <w:tc>
          <w:tcPr>
            <w:tcW w:w="1740" w:type="dxa"/>
            <w:vMerge/>
            <w:tcBorders>
              <w:top w:val="nil"/>
              <w:left w:val="nil"/>
              <w:bottom w:val="nil"/>
              <w:right w:val="nil"/>
            </w:tcBorders>
            <w:shd w:val="clear" w:color="auto" w:fill="auto"/>
            <w:tcMar>
              <w:left w:w="0" w:type="dxa"/>
            </w:tcMar>
          </w:tcPr>
          <w:p w14:paraId="2F27F978" w14:textId="77777777" w:rsidR="00D27F07" w:rsidRDefault="00D27F07" w:rsidP="00AD035A">
            <w:pPr>
              <w:pStyle w:val="Marginlie"/>
            </w:pPr>
          </w:p>
        </w:tc>
        <w:tc>
          <w:tcPr>
            <w:tcW w:w="199" w:type="dxa"/>
            <w:vMerge/>
            <w:tcBorders>
              <w:top w:val="nil"/>
              <w:left w:val="nil"/>
              <w:bottom w:val="nil"/>
              <w:right w:val="nil"/>
            </w:tcBorders>
            <w:shd w:val="clear" w:color="auto" w:fill="auto"/>
            <w:tcMar>
              <w:left w:w="0" w:type="dxa"/>
            </w:tcMar>
          </w:tcPr>
          <w:p w14:paraId="2B9A2F89"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551E646C" w14:textId="77777777" w:rsidR="00D27F07" w:rsidRPr="00705C3E" w:rsidRDefault="00D27F07" w:rsidP="00AD035A">
            <w:pPr>
              <w:spacing w:after="200" w:line="240" w:lineRule="auto"/>
              <w:rPr>
                <w:color w:val="0D0D0D" w:themeColor="text1" w:themeTint="F2"/>
                <w:spacing w:val="-5"/>
              </w:rPr>
            </w:pPr>
            <w:r>
              <w:rPr>
                <w:color w:val="0D0D0D" w:themeColor="text1" w:themeTint="F2"/>
                <w:spacing w:val="-5"/>
              </w:rPr>
              <w:t>*</w:t>
            </w:r>
            <w:r w:rsidRPr="00883202">
              <w:rPr>
                <w:rFonts w:cs="Arial"/>
                <w:sz w:val="14"/>
                <w:szCs w:val="14"/>
              </w:rPr>
              <w:t>Využití průmys</w:t>
            </w:r>
            <w:r>
              <w:rPr>
                <w:rFonts w:cs="Arial"/>
                <w:sz w:val="14"/>
                <w:szCs w:val="14"/>
              </w:rPr>
              <w:t xml:space="preserve">lových kapacit i bariéry růstu vyjadřují stav v prvním měsíci daného čtvrtletí, </w:t>
            </w:r>
            <w:r w:rsidRPr="006E759E">
              <w:rPr>
                <w:rFonts w:cs="Arial"/>
                <w:sz w:val="14"/>
                <w:szCs w:val="14"/>
              </w:rPr>
              <w:t>saldo důvěry</w:t>
            </w:r>
            <w:r>
              <w:rPr>
                <w:rFonts w:cs="Arial"/>
                <w:sz w:val="14"/>
                <w:szCs w:val="14"/>
              </w:rPr>
              <w:t xml:space="preserve"> podnikatelů je vztaženo k</w:t>
            </w:r>
            <w:r w:rsidRPr="00883202">
              <w:rPr>
                <w:rFonts w:cs="Arial"/>
                <w:sz w:val="14"/>
                <w:szCs w:val="14"/>
              </w:rPr>
              <w:t xml:space="preserve">e </w:t>
            </w:r>
            <w:r>
              <w:rPr>
                <w:rFonts w:cs="Arial"/>
                <w:sz w:val="14"/>
                <w:szCs w:val="14"/>
              </w:rPr>
              <w:t xml:space="preserve">druhému měsíci čtvrtletí. Zakázky jsou očištěny o kalendářní vlivy, ostatní ukazatele jsou </w:t>
            </w:r>
            <w:r w:rsidRPr="00883202">
              <w:rPr>
                <w:rFonts w:cs="Arial"/>
                <w:spacing w:val="-2"/>
                <w:sz w:val="14"/>
                <w:szCs w:val="14"/>
              </w:rPr>
              <w:t>sezónně očištěny</w:t>
            </w:r>
            <w:r>
              <w:rPr>
                <w:rFonts w:cs="Arial"/>
                <w:spacing w:val="-2"/>
                <w:sz w:val="14"/>
                <w:szCs w:val="14"/>
              </w:rPr>
              <w:t>.</w:t>
            </w:r>
            <w:r w:rsidRPr="00883202">
              <w:rPr>
                <w:rFonts w:cs="Arial"/>
                <w:spacing w:val="-2"/>
                <w:sz w:val="14"/>
                <w:szCs w:val="14"/>
              </w:rPr>
              <w:t xml:space="preserve"> </w:t>
            </w:r>
            <w:r>
              <w:rPr>
                <w:rFonts w:cs="Arial"/>
                <w:sz w:val="14"/>
                <w:szCs w:val="14"/>
              </w:rPr>
              <w:t xml:space="preserve">Podniky mohly uvést více hlavních růstových bariér současně.                                                                   </w:t>
            </w:r>
            <w:r w:rsidRPr="00883202">
              <w:rPr>
                <w:rFonts w:cs="Arial"/>
                <w:sz w:val="14"/>
                <w:szCs w:val="14"/>
              </w:rPr>
              <w:t>Zdroj: ČSÚ</w:t>
            </w:r>
            <w:r>
              <w:rPr>
                <w:rFonts w:cs="Arial"/>
                <w:sz w:val="14"/>
                <w:szCs w:val="14"/>
              </w:rPr>
              <w:t>, Eurostat</w:t>
            </w:r>
          </w:p>
        </w:tc>
      </w:tr>
      <w:tr w:rsidR="00D27F07" w:rsidRPr="005A37A7" w14:paraId="24845C67" w14:textId="77777777" w:rsidTr="00AD035A">
        <w:trPr>
          <w:trHeight w:val="170"/>
        </w:trPr>
        <w:tc>
          <w:tcPr>
            <w:tcW w:w="1740" w:type="dxa"/>
            <w:tcBorders>
              <w:top w:val="nil"/>
              <w:left w:val="nil"/>
              <w:bottom w:val="nil"/>
              <w:right w:val="nil"/>
            </w:tcBorders>
            <w:shd w:val="clear" w:color="auto" w:fill="auto"/>
            <w:tcMar>
              <w:left w:w="0" w:type="dxa"/>
            </w:tcMar>
          </w:tcPr>
          <w:p w14:paraId="27CFEEFA" w14:textId="77777777" w:rsidR="00D27F07" w:rsidRDefault="00D27F07" w:rsidP="00AD035A">
            <w:pPr>
              <w:pStyle w:val="Marginlie"/>
              <w:rPr>
                <w:color w:val="0D0D0D" w:themeColor="text1" w:themeTint="F2"/>
                <w:spacing w:val="-4"/>
              </w:rPr>
            </w:pPr>
            <w:r>
              <w:rPr>
                <w:color w:val="0D0D0D" w:themeColor="text1" w:themeTint="F2"/>
                <w:spacing w:val="-4"/>
              </w:rPr>
              <w:t xml:space="preserve">Pesimismus podnikatelů v průmyslu narostl letos během 2. čtvrtletí na tříleté minimum. </w:t>
            </w:r>
          </w:p>
          <w:p w14:paraId="6F0FB6D9" w14:textId="77777777" w:rsidR="00D27F07" w:rsidRDefault="00D27F07" w:rsidP="00AD035A">
            <w:pPr>
              <w:pStyle w:val="Marginlie"/>
              <w:rPr>
                <w:color w:val="0D0D0D" w:themeColor="text1" w:themeTint="F2"/>
                <w:spacing w:val="-4"/>
              </w:rPr>
            </w:pPr>
          </w:p>
          <w:p w14:paraId="48E68E5B" w14:textId="77777777" w:rsidR="00D27F07" w:rsidRDefault="00D27F07" w:rsidP="00AD035A">
            <w:pPr>
              <w:pStyle w:val="Marginlie"/>
              <w:rPr>
                <w:color w:val="0D0D0D" w:themeColor="text1" w:themeTint="F2"/>
                <w:spacing w:val="-4"/>
              </w:rPr>
            </w:pPr>
          </w:p>
          <w:p w14:paraId="4FF005B6" w14:textId="77777777" w:rsidR="00D27F07" w:rsidRDefault="00D27F07" w:rsidP="00AD035A">
            <w:pPr>
              <w:pStyle w:val="Marginlie"/>
              <w:rPr>
                <w:color w:val="0D0D0D" w:themeColor="text1" w:themeTint="F2"/>
                <w:spacing w:val="-4"/>
              </w:rPr>
            </w:pPr>
          </w:p>
          <w:p w14:paraId="4617E9FD" w14:textId="77777777" w:rsidR="00D27F07" w:rsidRDefault="00D27F07" w:rsidP="00AD035A">
            <w:pPr>
              <w:pStyle w:val="Marginlie"/>
              <w:rPr>
                <w:color w:val="0D0D0D" w:themeColor="text1" w:themeTint="F2"/>
                <w:spacing w:val="-4"/>
              </w:rPr>
            </w:pPr>
            <w:r>
              <w:rPr>
                <w:spacing w:val="-4"/>
              </w:rPr>
              <w:t>Klíčovou růstovou bariérou je od počátku roku nedostatečná poptávka.</w:t>
            </w:r>
          </w:p>
          <w:p w14:paraId="1E7864B5" w14:textId="77777777" w:rsidR="00D27F07" w:rsidRDefault="00D27F07" w:rsidP="00AD035A">
            <w:pPr>
              <w:pStyle w:val="Marginlie"/>
              <w:rPr>
                <w:color w:val="0D0D0D" w:themeColor="text1" w:themeTint="F2"/>
                <w:spacing w:val="-4"/>
              </w:rPr>
            </w:pPr>
          </w:p>
        </w:tc>
        <w:tc>
          <w:tcPr>
            <w:tcW w:w="199" w:type="dxa"/>
            <w:tcBorders>
              <w:top w:val="nil"/>
              <w:left w:val="nil"/>
              <w:bottom w:val="nil"/>
              <w:right w:val="nil"/>
            </w:tcBorders>
            <w:shd w:val="clear" w:color="auto" w:fill="auto"/>
            <w:tcMar>
              <w:left w:w="0" w:type="dxa"/>
            </w:tcMar>
          </w:tcPr>
          <w:p w14:paraId="0BBC2669" w14:textId="77777777" w:rsidR="00D27F07" w:rsidRPr="004B53F7" w:rsidRDefault="00D27F07" w:rsidP="00AD035A">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4C1A3587" w14:textId="77777777" w:rsidR="00D27F07" w:rsidRPr="005A37A7" w:rsidRDefault="00D27F07" w:rsidP="00AD035A">
            <w:pPr>
              <w:spacing w:after="200"/>
              <w:rPr>
                <w:color w:val="0D0D0D" w:themeColor="text1" w:themeTint="F2"/>
                <w:spacing w:val="-3"/>
              </w:rPr>
            </w:pPr>
            <w:r w:rsidRPr="005A37A7">
              <w:rPr>
                <w:color w:val="0D0D0D" w:themeColor="text1" w:themeTint="F2"/>
                <w:spacing w:val="-3"/>
              </w:rPr>
              <w:t>Důvěra podnikatelů v</w:t>
            </w:r>
            <w:r>
              <w:rPr>
                <w:color w:val="0D0D0D" w:themeColor="text1" w:themeTint="F2"/>
                <w:spacing w:val="-3"/>
              </w:rPr>
              <w:t> </w:t>
            </w:r>
            <w:r w:rsidRPr="005A37A7">
              <w:rPr>
                <w:color w:val="0D0D0D" w:themeColor="text1" w:themeTint="F2"/>
                <w:spacing w:val="-3"/>
              </w:rPr>
              <w:t>průmyslu</w:t>
            </w:r>
            <w:r>
              <w:rPr>
                <w:color w:val="0D0D0D" w:themeColor="text1" w:themeTint="F2"/>
                <w:spacing w:val="-3"/>
              </w:rPr>
              <w:t xml:space="preserve"> po odeznění „horké fáze“ energetické krize během letošního jara postupně narůstala (v dubnu byla nejvyšší od loňského léta). Později se ale trend obrátil a i pod vlivem zhoršujících se hospodářských výhledů v klíčových exportních destinacích sestoupila důvěra v tuzemském průmyslu až na tříleté minimum. Narůstající pesimismus úzce souvisel se zhoršeným hodnocením poptávky, krátkodobým očekáváním vlastní výroby či hospodářské situace podniku, ale i zaměstnanosti</w:t>
            </w:r>
            <w:r w:rsidRPr="005A37A7">
              <w:rPr>
                <w:rStyle w:val="Znakapoznpodarou"/>
                <w:color w:val="0D0D0D" w:themeColor="text1" w:themeTint="F2"/>
                <w:spacing w:val="-3"/>
              </w:rPr>
              <w:footnoteReference w:id="28"/>
            </w:r>
            <w:r>
              <w:rPr>
                <w:color w:val="0D0D0D" w:themeColor="text1" w:themeTint="F2"/>
                <w:spacing w:val="-3"/>
              </w:rPr>
              <w:t>. Již takřka celý rok přetrvává</w:t>
            </w:r>
            <w:r w:rsidRPr="005A37A7">
              <w:rPr>
                <w:color w:val="0D0D0D" w:themeColor="text1" w:themeTint="F2"/>
                <w:spacing w:val="-3"/>
              </w:rPr>
              <w:t xml:space="preserve"> v průmyslu mírný pesimismus ohledně současné poptávky, kterou </w:t>
            </w:r>
            <w:r>
              <w:rPr>
                <w:color w:val="0D0D0D" w:themeColor="text1" w:themeTint="F2"/>
                <w:spacing w:val="-3"/>
              </w:rPr>
              <w:t>letos v červenci již téměř 45</w:t>
            </w:r>
            <w:r w:rsidRPr="005A37A7">
              <w:rPr>
                <w:color w:val="0D0D0D" w:themeColor="text1" w:themeTint="F2"/>
                <w:spacing w:val="-3"/>
              </w:rPr>
              <w:t xml:space="preserve"> % podniků</w:t>
            </w:r>
            <w:r w:rsidRPr="005A37A7">
              <w:rPr>
                <w:rStyle w:val="Znakapoznpodarou"/>
                <w:color w:val="0D0D0D" w:themeColor="text1" w:themeTint="F2"/>
                <w:spacing w:val="-3"/>
              </w:rPr>
              <w:footnoteReference w:id="29"/>
            </w:r>
            <w:r>
              <w:rPr>
                <w:color w:val="0D0D0D" w:themeColor="text1" w:themeTint="F2"/>
                <w:spacing w:val="-3"/>
              </w:rPr>
              <w:t xml:space="preserve"> vnímalo</w:t>
            </w:r>
            <w:r w:rsidRPr="005A37A7">
              <w:rPr>
                <w:color w:val="0D0D0D" w:themeColor="text1" w:themeTint="F2"/>
                <w:spacing w:val="-3"/>
              </w:rPr>
              <w:t xml:space="preserve"> jako významnou růstovou bariéru. Váznoucí odbyt se projevuje ve vy</w:t>
            </w:r>
            <w:r>
              <w:rPr>
                <w:color w:val="0D0D0D" w:themeColor="text1" w:themeTint="F2"/>
                <w:spacing w:val="-3"/>
              </w:rPr>
              <w:t>šším stavu zásob. Nedostatek pracovníků, obdobně jako materiálu a zařízení, limitoval již „pouze“ pětinu podniků. V některých průmyslových oborech se však stále jednalo o klíčovou rozvojovou bariéru</w:t>
            </w:r>
            <w:r>
              <w:rPr>
                <w:rStyle w:val="Znakapoznpodarou"/>
                <w:color w:val="0D0D0D" w:themeColor="text1" w:themeTint="F2"/>
                <w:spacing w:val="-3"/>
              </w:rPr>
              <w:footnoteReference w:id="30"/>
            </w:r>
            <w:r>
              <w:rPr>
                <w:color w:val="0D0D0D" w:themeColor="text1" w:themeTint="F2"/>
                <w:spacing w:val="-3"/>
              </w:rPr>
              <w:t>.</w:t>
            </w:r>
          </w:p>
        </w:tc>
      </w:tr>
      <w:tr w:rsidR="00D27F07" w:rsidRPr="00784EC8" w14:paraId="4CD58B4F" w14:textId="77777777" w:rsidTr="00AD035A">
        <w:trPr>
          <w:trHeight w:val="170"/>
        </w:trPr>
        <w:tc>
          <w:tcPr>
            <w:tcW w:w="1740" w:type="dxa"/>
            <w:tcBorders>
              <w:top w:val="nil"/>
              <w:left w:val="nil"/>
              <w:bottom w:val="nil"/>
              <w:right w:val="nil"/>
            </w:tcBorders>
            <w:shd w:val="clear" w:color="auto" w:fill="auto"/>
            <w:tcMar>
              <w:left w:w="0" w:type="dxa"/>
            </w:tcMar>
          </w:tcPr>
          <w:p w14:paraId="04D9A587" w14:textId="77777777" w:rsidR="00D27F07" w:rsidRDefault="00D27F07" w:rsidP="00AD035A">
            <w:pPr>
              <w:pStyle w:val="Marginlie"/>
              <w:rPr>
                <w:color w:val="0D0D0D" w:themeColor="text1" w:themeTint="F2"/>
                <w:spacing w:val="-4"/>
              </w:rPr>
            </w:pPr>
            <w:r>
              <w:rPr>
                <w:color w:val="0D0D0D" w:themeColor="text1" w:themeTint="F2"/>
                <w:spacing w:val="-4"/>
              </w:rPr>
              <w:t xml:space="preserve">Výkon stavebnictví ovlivňovaly dosud významné nákladové tlaky i slábnoucí soukromá investiční aktivita. </w:t>
            </w:r>
          </w:p>
        </w:tc>
        <w:tc>
          <w:tcPr>
            <w:tcW w:w="199" w:type="dxa"/>
            <w:tcBorders>
              <w:top w:val="nil"/>
              <w:left w:val="nil"/>
              <w:bottom w:val="nil"/>
              <w:right w:val="nil"/>
            </w:tcBorders>
            <w:shd w:val="clear" w:color="auto" w:fill="auto"/>
            <w:tcMar>
              <w:left w:w="0" w:type="dxa"/>
            </w:tcMar>
          </w:tcPr>
          <w:p w14:paraId="2CAFD1CF" w14:textId="77777777" w:rsidR="00D27F07" w:rsidRPr="00784EC8" w:rsidRDefault="00D27F07" w:rsidP="00AD035A">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7010BAA7" w14:textId="77777777" w:rsidR="00D27F07" w:rsidRDefault="00D27F07" w:rsidP="00AD035A">
            <w:pPr>
              <w:spacing w:after="200"/>
              <w:rPr>
                <w:color w:val="0D0D0D" w:themeColor="text1" w:themeTint="F2"/>
                <w:spacing w:val="-6"/>
              </w:rPr>
            </w:pPr>
            <w:r>
              <w:rPr>
                <w:color w:val="0D0D0D" w:themeColor="text1" w:themeTint="F2"/>
                <w:spacing w:val="-6"/>
              </w:rPr>
              <w:t>Stavebnictví bylo v 1. pololetí stále ovlivňováno rostoucími nákladovými tlaky i slábnoucí investiční aktivitou v soukromé sféře. Ačkoli meziroční růst cen stavebních materiálů zmírňoval (meziměsíčně se během 2. čtvrtletí dokonce již snižoval), citelnějšímu poklesu realizovaných i očekávaných cen stavební výroby</w:t>
            </w:r>
            <w:r>
              <w:rPr>
                <w:rStyle w:val="Znakapoznpodarou"/>
                <w:color w:val="0D0D0D" w:themeColor="text1" w:themeTint="F2"/>
                <w:spacing w:val="-6"/>
              </w:rPr>
              <w:footnoteReference w:id="31"/>
            </w:r>
            <w:r>
              <w:rPr>
                <w:color w:val="0D0D0D" w:themeColor="text1" w:themeTint="F2"/>
                <w:spacing w:val="-6"/>
              </w:rPr>
              <w:t xml:space="preserve"> bránil svižný růst pracovních nákladů (ovlivněný dlouhodobým nedostatkem kvalifikované pracovní síly). Oslabení investiční aktivity souviselo s mělkou recesí, respektive se stagnací celkového výkonu ekonomiky. </w:t>
            </w:r>
            <w:r>
              <w:rPr>
                <w:rStyle w:val="normaltextrun"/>
                <w:rFonts w:eastAsia="MS Gothic" w:cs="Arial"/>
                <w:szCs w:val="20"/>
              </w:rPr>
              <w:t>Zhoršená finanční situace domácností spolu s výrazně sníženou dostupností hypoték zásadně ochladily loňský boom realitního trhu. Proti hlubšímu útlumu výkonu stavebnictví naopak působil sílící příliv prostředků z rozpočtu EU určený na výstavbu i modernizaci dopravní infrastruktury či na snížení energetické náročnosti v oblasti bydlení.</w:t>
            </w:r>
          </w:p>
        </w:tc>
      </w:tr>
      <w:tr w:rsidR="00D27F07" w:rsidRPr="00784EC8" w14:paraId="15783060" w14:textId="77777777" w:rsidTr="00AD035A">
        <w:trPr>
          <w:trHeight w:val="170"/>
        </w:trPr>
        <w:tc>
          <w:tcPr>
            <w:tcW w:w="1740" w:type="dxa"/>
            <w:tcBorders>
              <w:top w:val="nil"/>
              <w:left w:val="nil"/>
              <w:bottom w:val="nil"/>
              <w:right w:val="nil"/>
            </w:tcBorders>
            <w:shd w:val="clear" w:color="auto" w:fill="auto"/>
            <w:tcMar>
              <w:left w:w="0" w:type="dxa"/>
            </w:tcMar>
          </w:tcPr>
          <w:p w14:paraId="374E2C3E" w14:textId="77777777" w:rsidR="00D27F07" w:rsidRPr="00784EC8" w:rsidRDefault="00D27F07" w:rsidP="00AD035A">
            <w:pPr>
              <w:pStyle w:val="Marginlie"/>
              <w:rPr>
                <w:color w:val="0D0D0D" w:themeColor="text1" w:themeTint="F2"/>
                <w:spacing w:val="-4"/>
              </w:rPr>
            </w:pPr>
            <w:r>
              <w:rPr>
                <w:color w:val="0D0D0D" w:themeColor="text1" w:themeTint="F2"/>
                <w:spacing w:val="-4"/>
              </w:rPr>
              <w:t>Stavební produkce se 2. čtvrtletí meziročně i mezikvartálně snížila. Pokles poptávky se zřetelně otiskl v zahajované bytové výstavbě, a to napříč kraji.</w:t>
            </w:r>
          </w:p>
        </w:tc>
        <w:tc>
          <w:tcPr>
            <w:tcW w:w="199" w:type="dxa"/>
            <w:tcBorders>
              <w:top w:val="nil"/>
              <w:left w:val="nil"/>
              <w:bottom w:val="nil"/>
              <w:right w:val="nil"/>
            </w:tcBorders>
            <w:shd w:val="clear" w:color="auto" w:fill="auto"/>
            <w:tcMar>
              <w:left w:w="0" w:type="dxa"/>
            </w:tcMar>
          </w:tcPr>
          <w:p w14:paraId="4D04187F" w14:textId="77777777" w:rsidR="00D27F07" w:rsidRPr="00784EC8" w:rsidRDefault="00D27F07" w:rsidP="00AD035A">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312C8F0A" w14:textId="77777777" w:rsidR="00D27F07" w:rsidRPr="00784EC8" w:rsidRDefault="00D27F07" w:rsidP="00AD035A">
            <w:pPr>
              <w:spacing w:after="200"/>
              <w:rPr>
                <w:color w:val="0D0D0D" w:themeColor="text1" w:themeTint="F2"/>
                <w:spacing w:val="-6"/>
              </w:rPr>
            </w:pPr>
            <w:r>
              <w:rPr>
                <w:color w:val="0D0D0D" w:themeColor="text1" w:themeTint="F2"/>
                <w:spacing w:val="-6"/>
              </w:rPr>
              <w:t>Celková stavební produkce</w:t>
            </w:r>
            <w:r w:rsidRPr="00B63E5E">
              <w:rPr>
                <w:rStyle w:val="Znakapoznpodarou"/>
                <w:color w:val="0D0D0D" w:themeColor="text1" w:themeTint="F2"/>
                <w:spacing w:val="-6"/>
              </w:rPr>
              <w:footnoteReference w:id="32"/>
            </w:r>
            <w:r>
              <w:rPr>
                <w:color w:val="0D0D0D" w:themeColor="text1" w:themeTint="F2"/>
                <w:spacing w:val="-6"/>
              </w:rPr>
              <w:t xml:space="preserve"> letos od počátku roku kolísala. V 1. čtvrtletí mezikvartálně rostla o 2,2 % (zčásti díky velmi mírné zimě). V následujícím období se však o celá 3 % snížila, když slabší výkon zaznamenaly pozemní i inženýrské stavitelství. Meziročně mírně poklesla stavební produkce v 1. pololetí (o 2,3 %, z drtivé části vlivem inženýrského stavitelství, kde se výkon propadl o 7,2 %). Projevil se zde i vliv vyšší loňské základny (tehdy se produkce celého odvětví nacházela na nejvyšší úrovni od konce roku 2009). V pozemním stavitelství je současné ochlazení poptávky nejplastičtěji zachyceno v oblasti zahajované bytové výstavby. Počet bytů v 1. pololetí meziročně propadl o pětinu</w:t>
            </w:r>
            <w:r>
              <w:rPr>
                <w:rStyle w:val="Znakapoznpodarou"/>
                <w:color w:val="0D0D0D" w:themeColor="text1" w:themeTint="F2"/>
                <w:spacing w:val="-6"/>
              </w:rPr>
              <w:footnoteReference w:id="33"/>
            </w:r>
            <w:r>
              <w:rPr>
                <w:color w:val="0D0D0D" w:themeColor="text1" w:themeTint="F2"/>
                <w:spacing w:val="-6"/>
              </w:rPr>
              <w:t xml:space="preserve"> (na 18,1 tis., v rámci tohoto období roku šlo o nejnižší hladinu za poslední pětiletí). Pokles měl plošný charakter (i v krajském pohledu), růstový trend byl zachován jen</w:t>
            </w:r>
            <w:r>
              <w:rPr>
                <w:rStyle w:val="normaltextrun"/>
                <w:rFonts w:eastAsia="MS Gothic" w:cs="Arial"/>
                <w:szCs w:val="20"/>
              </w:rPr>
              <w:t xml:space="preserve"> v okrajových segmentech (nástavby k bytovým domům, přestavby nebytových budov). Počet dokončených bytů vlivem vysoké </w:t>
            </w:r>
            <w:r w:rsidRPr="00D1005F">
              <w:rPr>
                <w:rStyle w:val="normaltextrun"/>
                <w:rFonts w:eastAsia="MS Gothic" w:cs="Arial"/>
                <w:spacing w:val="-2"/>
                <w:szCs w:val="20"/>
              </w:rPr>
              <w:t xml:space="preserve">rozestavěnosti z předchozích </w:t>
            </w:r>
            <w:r>
              <w:rPr>
                <w:rStyle w:val="normaltextrun"/>
                <w:rFonts w:eastAsia="MS Gothic" w:cs="Arial"/>
                <w:spacing w:val="-2"/>
                <w:szCs w:val="20"/>
              </w:rPr>
              <w:t xml:space="preserve">let </w:t>
            </w:r>
            <w:r w:rsidRPr="00D1005F">
              <w:rPr>
                <w:rStyle w:val="normaltextrun"/>
                <w:rFonts w:eastAsia="MS Gothic" w:cs="Arial"/>
                <w:spacing w:val="-2"/>
                <w:szCs w:val="20"/>
              </w:rPr>
              <w:t>setrvačně</w:t>
            </w:r>
            <w:r>
              <w:rPr>
                <w:rStyle w:val="normaltextrun"/>
                <w:rFonts w:eastAsia="MS Gothic" w:cs="Arial"/>
                <w:spacing w:val="-2"/>
                <w:szCs w:val="20"/>
              </w:rPr>
              <w:t xml:space="preserve"> pokračoval v mírném růstu (+2,9 %, na 17,9</w:t>
            </w:r>
            <w:r w:rsidRPr="00D1005F">
              <w:rPr>
                <w:rStyle w:val="normaltextrun"/>
                <w:rFonts w:eastAsia="MS Gothic" w:cs="Arial"/>
                <w:spacing w:val="-2"/>
                <w:szCs w:val="20"/>
              </w:rPr>
              <w:t xml:space="preserve"> tis.).</w:t>
            </w:r>
            <w:r>
              <w:rPr>
                <w:rStyle w:val="normaltextrun"/>
                <w:rFonts w:eastAsia="MS Gothic" w:cs="Arial"/>
                <w:szCs w:val="20"/>
              </w:rPr>
              <w:t xml:space="preserve"> </w:t>
            </w:r>
          </w:p>
        </w:tc>
      </w:tr>
      <w:tr w:rsidR="00D27F07" w:rsidRPr="00B63E5E" w14:paraId="24BBB0C6" w14:textId="77777777" w:rsidTr="00AD035A">
        <w:trPr>
          <w:trHeight w:val="170"/>
        </w:trPr>
        <w:tc>
          <w:tcPr>
            <w:tcW w:w="1740" w:type="dxa"/>
            <w:tcBorders>
              <w:top w:val="nil"/>
              <w:left w:val="nil"/>
              <w:bottom w:val="nil"/>
              <w:right w:val="nil"/>
            </w:tcBorders>
            <w:shd w:val="clear" w:color="auto" w:fill="auto"/>
            <w:tcMar>
              <w:left w:w="0" w:type="dxa"/>
            </w:tcMar>
          </w:tcPr>
          <w:p w14:paraId="3EE4A020" w14:textId="77777777" w:rsidR="00D27F07" w:rsidRDefault="00D27F07" w:rsidP="00AD035A">
            <w:pPr>
              <w:pStyle w:val="Marginlie"/>
              <w:rPr>
                <w:color w:val="0D0D0D" w:themeColor="text1" w:themeTint="F2"/>
                <w:spacing w:val="-4"/>
              </w:rPr>
            </w:pPr>
            <w:r>
              <w:rPr>
                <w:color w:val="0D0D0D" w:themeColor="text1" w:themeTint="F2"/>
                <w:spacing w:val="-4"/>
              </w:rPr>
              <w:t>Pokles hodnoty nových stavebních zakázek se během roku prohluboval. Výše celkové zásoby práce se meziročně snížila, poprvé za posledních pět a půl roku.</w:t>
            </w:r>
          </w:p>
          <w:p w14:paraId="63DFCFE1" w14:textId="77777777" w:rsidR="00D27F07" w:rsidRDefault="00D27F07" w:rsidP="00AD035A">
            <w:pPr>
              <w:pStyle w:val="Marginlie"/>
              <w:rPr>
                <w:color w:val="0D0D0D" w:themeColor="text1" w:themeTint="F2"/>
                <w:spacing w:val="-4"/>
              </w:rPr>
            </w:pPr>
          </w:p>
          <w:p w14:paraId="1C36C5EE" w14:textId="77777777" w:rsidR="00D27F07" w:rsidRDefault="00D27F07" w:rsidP="00AD035A">
            <w:pPr>
              <w:pStyle w:val="Marginlie"/>
              <w:rPr>
                <w:color w:val="0D0D0D" w:themeColor="text1" w:themeTint="F2"/>
                <w:spacing w:val="-4"/>
              </w:rPr>
            </w:pPr>
          </w:p>
          <w:p w14:paraId="7C53F11B" w14:textId="77777777" w:rsidR="00D27F07" w:rsidRDefault="00D27F07" w:rsidP="00AD035A">
            <w:pPr>
              <w:pStyle w:val="Marginlie"/>
              <w:rPr>
                <w:color w:val="0D0D0D" w:themeColor="text1" w:themeTint="F2"/>
                <w:spacing w:val="-4"/>
              </w:rPr>
            </w:pPr>
          </w:p>
          <w:p w14:paraId="3B559B1C" w14:textId="77777777" w:rsidR="00D27F07" w:rsidRDefault="00D27F07" w:rsidP="00AD035A">
            <w:pPr>
              <w:pStyle w:val="Marginlie"/>
              <w:rPr>
                <w:color w:val="0D0D0D" w:themeColor="text1" w:themeTint="F2"/>
                <w:spacing w:val="-4"/>
              </w:rPr>
            </w:pPr>
          </w:p>
          <w:p w14:paraId="5E2C5637" w14:textId="77777777" w:rsidR="00D27F07" w:rsidRDefault="00D27F07" w:rsidP="00AD035A">
            <w:pPr>
              <w:pStyle w:val="Marginlie"/>
              <w:rPr>
                <w:color w:val="0D0D0D" w:themeColor="text1" w:themeTint="F2"/>
                <w:spacing w:val="-4"/>
              </w:rPr>
            </w:pPr>
          </w:p>
          <w:p w14:paraId="65F45C09" w14:textId="77777777" w:rsidR="00D27F07" w:rsidRDefault="00D27F07" w:rsidP="00AD035A">
            <w:pPr>
              <w:pStyle w:val="Marginlie"/>
              <w:rPr>
                <w:color w:val="0D0D0D" w:themeColor="text1" w:themeTint="F2"/>
                <w:spacing w:val="-4"/>
              </w:rPr>
            </w:pPr>
          </w:p>
          <w:p w14:paraId="6A7BC039" w14:textId="77777777" w:rsidR="00D27F07" w:rsidRDefault="00D27F07" w:rsidP="00AD035A">
            <w:pPr>
              <w:pStyle w:val="Marginlie"/>
              <w:rPr>
                <w:color w:val="0D0D0D" w:themeColor="text1" w:themeTint="F2"/>
                <w:spacing w:val="-4"/>
              </w:rPr>
            </w:pPr>
            <w:r>
              <w:rPr>
                <w:color w:val="0D0D0D" w:themeColor="text1" w:themeTint="F2"/>
                <w:spacing w:val="-4"/>
              </w:rPr>
              <w:t xml:space="preserve">K růstu hodnoty povolených staveb přispěly hlavně rekonstrukce či modernizace. </w:t>
            </w:r>
          </w:p>
        </w:tc>
        <w:tc>
          <w:tcPr>
            <w:tcW w:w="199" w:type="dxa"/>
            <w:tcBorders>
              <w:top w:val="nil"/>
              <w:left w:val="nil"/>
              <w:bottom w:val="nil"/>
              <w:right w:val="nil"/>
            </w:tcBorders>
            <w:shd w:val="clear" w:color="auto" w:fill="auto"/>
            <w:tcMar>
              <w:left w:w="0" w:type="dxa"/>
            </w:tcMar>
          </w:tcPr>
          <w:p w14:paraId="288A4DAF" w14:textId="77777777" w:rsidR="00D27F07" w:rsidRPr="00FB2830" w:rsidRDefault="00D27F07" w:rsidP="00AD035A">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5CD2F988" w14:textId="77777777" w:rsidR="00D27F07" w:rsidRPr="00010D2A" w:rsidRDefault="00D27F07" w:rsidP="00AD035A">
            <w:pPr>
              <w:spacing w:after="200"/>
              <w:rPr>
                <w:rFonts w:cs="Arial"/>
                <w:color w:val="0D0D0D" w:themeColor="text1" w:themeTint="F2"/>
                <w:spacing w:val="-4"/>
              </w:rPr>
            </w:pPr>
            <w:r>
              <w:rPr>
                <w:rStyle w:val="normaltextrun"/>
                <w:rFonts w:eastAsia="MS Gothic" w:cs="Arial"/>
                <w:szCs w:val="20"/>
              </w:rPr>
              <w:t xml:space="preserve">Růst nominální hodnoty nových tuzemských stavebních zakázek (u stavebních firem nad 50 zaměstnanců) se letos po bezmála tříletém růstu zastavil. Za celé pololetí se zakázky propadly meziročně o 15,8 % (nejvíce po krizovém roce 2012), pokles se navíc od počátku letošního roku prohluboval (výhradně vinou inženýrského stavitelství). Objem všech zakázek se tak vrátil zhruba na úroveň předloňského roku. </w:t>
            </w:r>
            <w:r w:rsidRPr="009B0AD6">
              <w:rPr>
                <w:rFonts w:cs="Arial"/>
                <w:color w:val="0D0D0D" w:themeColor="text1" w:themeTint="F2"/>
                <w:spacing w:val="-6"/>
              </w:rPr>
              <w:t xml:space="preserve">Celková zásoba </w:t>
            </w:r>
            <w:r w:rsidRPr="009B0AD6">
              <w:rPr>
                <w:rFonts w:cs="Arial"/>
                <w:color w:val="0D0D0D" w:themeColor="text1" w:themeTint="F2"/>
                <w:spacing w:val="-6"/>
              </w:rPr>
              <w:lastRenderedPageBreak/>
              <w:t xml:space="preserve">práce </w:t>
            </w:r>
            <w:r>
              <w:rPr>
                <w:rFonts w:cs="Arial"/>
                <w:color w:val="0D0D0D" w:themeColor="text1" w:themeTint="F2"/>
                <w:spacing w:val="-6"/>
              </w:rPr>
              <w:t xml:space="preserve">(ve formě hodnoty </w:t>
            </w:r>
            <w:r>
              <w:rPr>
                <w:rFonts w:cs="Arial"/>
                <w:color w:val="0D0D0D" w:themeColor="text1" w:themeTint="F2"/>
                <w:spacing w:val="-4"/>
              </w:rPr>
              <w:t>dosud nerealizovaných</w:t>
            </w:r>
            <w:r w:rsidRPr="003448DB">
              <w:rPr>
                <w:rFonts w:cs="Arial"/>
                <w:color w:val="0D0D0D" w:themeColor="text1" w:themeTint="F2"/>
                <w:spacing w:val="-4"/>
              </w:rPr>
              <w:t xml:space="preserve"> stavební</w:t>
            </w:r>
            <w:r>
              <w:rPr>
                <w:rFonts w:cs="Arial"/>
                <w:color w:val="0D0D0D" w:themeColor="text1" w:themeTint="F2"/>
                <w:spacing w:val="-4"/>
              </w:rPr>
              <w:t xml:space="preserve">ch zakázek) byla na sklonku 2. čtvrtletí 2023 meziročně nižší o 2,6 %, když klesla poprvé za posledních pět a půl roku. Snížila se zejména soukromá tuzemská poptávka, druhým rokem v řadě navíc klesal i spíše doplňkový segment zahraničních zakázek. Zásoba tuzemských veřejných zakázek sice stále mírně rostla (+1,1 %), ale mnohem méně než na konci 1. čtvrtletí 2023 (+16,0 %). Slábnoucí růst během letošního roku vykázala též orientační hodnota povolených staveb. Ta naznačuje investiční aktivitu ve střednědobém horizontu. Za celé pololetí byla vyšší meziročně o 6,7 %, čímž za růstem cen stavebních prací lehce zaostala. V růstu hodnoty povolení se odrážela vyšší očekávaná aktivita firem v oblasti změn dokončených staveb (ve </w:t>
            </w:r>
            <w:r w:rsidRPr="007328AD">
              <w:rPr>
                <w:rFonts w:cs="Arial"/>
                <w:color w:val="0D0D0D" w:themeColor="text1" w:themeTint="F2"/>
                <w:spacing w:val="-5"/>
              </w:rPr>
              <w:t>všech klíčových směrech výstavby) a též nová výstavba inženýrských (primárně dopravních)</w:t>
            </w:r>
            <w:r>
              <w:rPr>
                <w:rFonts w:cs="Arial"/>
                <w:color w:val="0D0D0D" w:themeColor="text1" w:themeTint="F2"/>
                <w:spacing w:val="-4"/>
              </w:rPr>
              <w:t xml:space="preserve"> staveb. Naopak hodnota povolení u nové výstavby bytů propadla skoro o</w:t>
            </w:r>
            <w:r>
              <w:rPr>
                <w:color w:val="0D0D0D" w:themeColor="text1" w:themeTint="F2"/>
                <w:spacing w:val="-6"/>
              </w:rPr>
              <w:t> </w:t>
            </w:r>
            <w:r>
              <w:rPr>
                <w:rFonts w:cs="Arial"/>
                <w:color w:val="0D0D0D" w:themeColor="text1" w:themeTint="F2"/>
                <w:spacing w:val="-4"/>
              </w:rPr>
              <w:t xml:space="preserve">čtvrtinu (na 62 mld. korun – nejnižší úroveň za poslední dva roky). </w:t>
            </w:r>
          </w:p>
        </w:tc>
      </w:tr>
      <w:tr w:rsidR="00D27F07" w:rsidRPr="00B63E5E" w14:paraId="5F3E6ECA" w14:textId="77777777" w:rsidTr="00AD035A">
        <w:trPr>
          <w:trHeight w:val="170"/>
        </w:trPr>
        <w:tc>
          <w:tcPr>
            <w:tcW w:w="1740" w:type="dxa"/>
            <w:tcBorders>
              <w:top w:val="nil"/>
              <w:left w:val="nil"/>
              <w:bottom w:val="nil"/>
              <w:right w:val="nil"/>
            </w:tcBorders>
            <w:shd w:val="clear" w:color="auto" w:fill="auto"/>
            <w:tcMar>
              <w:left w:w="0" w:type="dxa"/>
            </w:tcMar>
          </w:tcPr>
          <w:p w14:paraId="4F7951A7" w14:textId="77777777" w:rsidR="00D27F07" w:rsidRPr="00FB2830" w:rsidRDefault="00D27F07" w:rsidP="00AD035A">
            <w:pPr>
              <w:pStyle w:val="Marginlie"/>
              <w:rPr>
                <w:color w:val="0D0D0D" w:themeColor="text1" w:themeTint="F2"/>
                <w:spacing w:val="-4"/>
              </w:rPr>
            </w:pPr>
            <w:r>
              <w:rPr>
                <w:spacing w:val="-4"/>
              </w:rPr>
              <w:lastRenderedPageBreak/>
              <w:t>Pesimismus podnikatelů ve stavebnictví se letos dále prohluboval. Firmy očekávaly pokles stavební činnosti i</w:t>
            </w:r>
            <w:r>
              <w:rPr>
                <w:color w:val="0D0D0D" w:themeColor="text1" w:themeTint="F2"/>
                <w:spacing w:val="-4"/>
              </w:rPr>
              <w:t> </w:t>
            </w:r>
            <w:r>
              <w:rPr>
                <w:spacing w:val="-4"/>
              </w:rPr>
              <w:t>zaměstnanosti.</w:t>
            </w:r>
          </w:p>
        </w:tc>
        <w:tc>
          <w:tcPr>
            <w:tcW w:w="199" w:type="dxa"/>
            <w:tcBorders>
              <w:top w:val="nil"/>
              <w:left w:val="nil"/>
              <w:bottom w:val="nil"/>
              <w:right w:val="nil"/>
            </w:tcBorders>
            <w:shd w:val="clear" w:color="auto" w:fill="auto"/>
            <w:tcMar>
              <w:left w:w="0" w:type="dxa"/>
            </w:tcMar>
          </w:tcPr>
          <w:p w14:paraId="7C3E5692" w14:textId="77777777" w:rsidR="00D27F07" w:rsidRPr="00FB2830" w:rsidRDefault="00D27F07" w:rsidP="00AD035A">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7E8C163F" w14:textId="77777777" w:rsidR="00D27F07" w:rsidRPr="00291A49" w:rsidRDefault="00D27F07" w:rsidP="00AD035A">
            <w:pPr>
              <w:spacing w:after="200"/>
              <w:rPr>
                <w:rFonts w:cs="Arial"/>
                <w:color w:val="0D0D0D" w:themeColor="text1" w:themeTint="F2"/>
                <w:spacing w:val="-6"/>
              </w:rPr>
            </w:pPr>
            <w:r>
              <w:rPr>
                <w:rFonts w:cs="Arial"/>
                <w:color w:val="0D0D0D" w:themeColor="text1" w:themeTint="F2"/>
                <w:spacing w:val="-6"/>
              </w:rPr>
              <w:t xml:space="preserve">V červenci klesla celková důvěra podnikatelů ve stavebnictví pod dlouhodobý průměr </w:t>
            </w:r>
            <w:r>
              <w:rPr>
                <w:rFonts w:cs="Arial"/>
                <w:color w:val="0D0D0D" w:themeColor="text1" w:themeTint="F2"/>
                <w:spacing w:val="-6"/>
              </w:rPr>
              <w:br/>
              <w:t>(2003–2022) a pesimismus zároveň dosáhl takřka šestiletého maxima. I přes převažující nepříznivý pohled na současnou poptávku hodnotily stavební firmy svou aktuální ekonomickou situaci stále mírně pozitivně, v půlročním výhledu však dále převládal pesimismus. Negativní výhledy ve stavební činnosti se letos prohlubovaly, v srpnu očekávala (v tříměsíčním výhledu) pokles výroby více než čtvrtina podniků (růst zhruba osmina) a každá šestá firma navíc plánovala snižovat zaměstnanost. Podíl podniků, jež limituje nedostatečná poptávka, se meziročně o</w:t>
            </w:r>
            <w:r>
              <w:rPr>
                <w:color w:val="0D0D0D" w:themeColor="text1" w:themeTint="F2"/>
                <w:spacing w:val="-6"/>
              </w:rPr>
              <w:t> </w:t>
            </w:r>
            <w:r>
              <w:rPr>
                <w:rFonts w:cs="Arial"/>
                <w:color w:val="0D0D0D" w:themeColor="text1" w:themeTint="F2"/>
                <w:spacing w:val="-6"/>
              </w:rPr>
              <w:t>polovinu zvýšil (na 36 %</w:t>
            </w:r>
            <w:r>
              <w:rPr>
                <w:rStyle w:val="Znakapoznpodarou"/>
                <w:color w:val="0D0D0D" w:themeColor="text1" w:themeTint="F2"/>
                <w:spacing w:val="-6"/>
              </w:rPr>
              <w:footnoteReference w:id="34"/>
            </w:r>
            <w:r>
              <w:rPr>
                <w:rFonts w:cs="Arial"/>
                <w:color w:val="0D0D0D" w:themeColor="text1" w:themeTint="F2"/>
                <w:spacing w:val="-6"/>
              </w:rPr>
              <w:t>), slabá poptávka se tak po více než dvou letech opět stala klíčovou bariérou celého odvětví. Klesla naopak role nedostatku materiálu a v menší míře i pracovních sil. I tak zůstává otázka lidských zdrojů důležitou růstovou bariérou (palčivá byla především v</w:t>
            </w:r>
            <w:r>
              <w:rPr>
                <w:color w:val="0D0D0D" w:themeColor="text1" w:themeTint="F2"/>
                <w:spacing w:val="-6"/>
              </w:rPr>
              <w:t> </w:t>
            </w:r>
            <w:r w:rsidRPr="00A92A6A">
              <w:rPr>
                <w:rFonts w:cs="Arial"/>
                <w:color w:val="0D0D0D" w:themeColor="text1" w:themeTint="F2"/>
                <w:spacing w:val="-6"/>
              </w:rPr>
              <w:t>segmentu specia</w:t>
            </w:r>
            <w:r>
              <w:rPr>
                <w:rFonts w:cs="Arial"/>
                <w:color w:val="0D0D0D" w:themeColor="text1" w:themeTint="F2"/>
                <w:spacing w:val="-6"/>
              </w:rPr>
              <w:t>lizovaných stavebních činností, kde hrají důležit</w:t>
            </w:r>
            <w:r w:rsidRPr="00A92A6A">
              <w:rPr>
                <w:rFonts w:cs="Arial"/>
                <w:color w:val="0D0D0D" w:themeColor="text1" w:themeTint="F2"/>
                <w:spacing w:val="-6"/>
              </w:rPr>
              <w:t>ou roli malé a</w:t>
            </w:r>
            <w:r>
              <w:rPr>
                <w:rFonts w:cs="Arial"/>
                <w:color w:val="0D0D0D" w:themeColor="text1" w:themeTint="F2"/>
                <w:spacing w:val="-6"/>
              </w:rPr>
              <w:t> </w:t>
            </w:r>
            <w:r w:rsidRPr="00A92A6A">
              <w:rPr>
                <w:rFonts w:cs="Arial"/>
                <w:color w:val="0D0D0D" w:themeColor="text1" w:themeTint="F2"/>
                <w:spacing w:val="-6"/>
              </w:rPr>
              <w:t>střední firmy).</w:t>
            </w:r>
          </w:p>
        </w:tc>
      </w:tr>
      <w:tr w:rsidR="00D27F07" w:rsidRPr="00D232BB" w14:paraId="002DF3F3" w14:textId="77777777" w:rsidTr="00AD035A">
        <w:trPr>
          <w:trHeight w:val="170"/>
        </w:trPr>
        <w:tc>
          <w:tcPr>
            <w:tcW w:w="1740" w:type="dxa"/>
            <w:vMerge w:val="restart"/>
            <w:tcBorders>
              <w:top w:val="nil"/>
              <w:left w:val="nil"/>
              <w:bottom w:val="nil"/>
              <w:right w:val="nil"/>
            </w:tcBorders>
            <w:shd w:val="clear" w:color="auto" w:fill="auto"/>
            <w:tcMar>
              <w:left w:w="0" w:type="dxa"/>
            </w:tcMar>
          </w:tcPr>
          <w:p w14:paraId="792D179E" w14:textId="77777777" w:rsidR="00D27F07" w:rsidRDefault="00D27F07" w:rsidP="00AD035A">
            <w:pPr>
              <w:pStyle w:val="Marginlie"/>
            </w:pPr>
          </w:p>
        </w:tc>
        <w:tc>
          <w:tcPr>
            <w:tcW w:w="199" w:type="dxa"/>
            <w:vMerge w:val="restart"/>
            <w:tcBorders>
              <w:top w:val="nil"/>
              <w:left w:val="nil"/>
              <w:bottom w:val="nil"/>
              <w:right w:val="nil"/>
            </w:tcBorders>
            <w:shd w:val="clear" w:color="auto" w:fill="auto"/>
            <w:tcMar>
              <w:left w:w="0" w:type="dxa"/>
            </w:tcMar>
          </w:tcPr>
          <w:p w14:paraId="51EFF93D"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7E398846" w14:textId="77777777" w:rsidR="00D27F07" w:rsidRPr="00D232BB" w:rsidRDefault="00D27F07" w:rsidP="00AD035A">
            <w:pPr>
              <w:spacing w:after="20"/>
              <w:rPr>
                <w:rFonts w:cs="Arial"/>
                <w:bCs/>
              </w:rPr>
            </w:pPr>
            <w:r w:rsidRPr="006E759E">
              <w:rPr>
                <w:b/>
                <w:spacing w:val="-5"/>
              </w:rPr>
              <w:t xml:space="preserve">Graf č. 6 Příspěvky odvětví k meziroční změně stavební produkce </w:t>
            </w:r>
            <w:r w:rsidRPr="006E759E">
              <w:rPr>
                <w:spacing w:val="-5"/>
              </w:rPr>
              <w:t>(reálně, v p. b.)</w:t>
            </w:r>
            <w:r w:rsidRPr="006E759E">
              <w:rPr>
                <w:b/>
                <w:bCs/>
                <w:spacing w:val="-5"/>
              </w:rPr>
              <w:t>,</w:t>
            </w:r>
            <w:r w:rsidRPr="006E759E">
              <w:rPr>
                <w:b/>
                <w:bCs/>
                <w:spacing w:val="-5"/>
              </w:rPr>
              <w:br/>
            </w:r>
            <w:r w:rsidRPr="006E759E">
              <w:rPr>
                <w:b/>
                <w:spacing w:val="-5"/>
              </w:rPr>
              <w:t xml:space="preserve">nové stavební zakázky </w:t>
            </w:r>
            <w:r w:rsidRPr="006E759E">
              <w:rPr>
                <w:spacing w:val="-5"/>
              </w:rPr>
              <w:t>(</w:t>
            </w:r>
            <w:r w:rsidRPr="006E759E">
              <w:rPr>
                <w:bCs/>
                <w:spacing w:val="-5"/>
              </w:rPr>
              <w:t xml:space="preserve">nominálně, </w:t>
            </w:r>
            <w:r w:rsidRPr="006E759E">
              <w:rPr>
                <w:spacing w:val="-5"/>
              </w:rPr>
              <w:t>meziročně,</w:t>
            </w:r>
            <w:r w:rsidRPr="006E759E">
              <w:rPr>
                <w:bCs/>
                <w:spacing w:val="-5"/>
              </w:rPr>
              <w:t xml:space="preserve"> v %)</w:t>
            </w:r>
            <w:r w:rsidRPr="006E759E">
              <w:rPr>
                <w:b/>
                <w:spacing w:val="-5"/>
              </w:rPr>
              <w:t>, saldo důvěry podnikatelů ve stavebnictví*</w:t>
            </w:r>
            <w:r w:rsidRPr="006E759E">
              <w:rPr>
                <w:spacing w:val="-5"/>
              </w:rPr>
              <w:t xml:space="preserve"> (v p. b., pravá osa) </w:t>
            </w:r>
            <w:r w:rsidRPr="006E759E">
              <w:rPr>
                <w:b/>
                <w:spacing w:val="-5"/>
              </w:rPr>
              <w:t>a vybrané bariéry růstu</w:t>
            </w:r>
            <w:r w:rsidRPr="006E759E">
              <w:rPr>
                <w:spacing w:val="-5"/>
              </w:rPr>
              <w:t>* (v %, pravá osa)</w:t>
            </w:r>
          </w:p>
        </w:tc>
      </w:tr>
      <w:tr w:rsidR="00D27F07" w:rsidRPr="0067514E" w14:paraId="6D322D02" w14:textId="77777777" w:rsidTr="00AD035A">
        <w:tblPrEx>
          <w:tblCellMar>
            <w:left w:w="70" w:type="dxa"/>
            <w:right w:w="70" w:type="dxa"/>
          </w:tblCellMar>
        </w:tblPrEx>
        <w:trPr>
          <w:trHeight w:val="170"/>
        </w:trPr>
        <w:tc>
          <w:tcPr>
            <w:tcW w:w="1740" w:type="dxa"/>
            <w:vMerge/>
            <w:tcBorders>
              <w:top w:val="nil"/>
              <w:left w:val="nil"/>
              <w:bottom w:val="nil"/>
              <w:right w:val="nil"/>
            </w:tcBorders>
            <w:shd w:val="clear" w:color="auto" w:fill="auto"/>
          </w:tcPr>
          <w:p w14:paraId="7DF450F8" w14:textId="77777777" w:rsidR="00D27F07" w:rsidRDefault="00D27F07" w:rsidP="00AD035A">
            <w:pPr>
              <w:pStyle w:val="Marginlie"/>
            </w:pPr>
          </w:p>
        </w:tc>
        <w:tc>
          <w:tcPr>
            <w:tcW w:w="199" w:type="dxa"/>
            <w:vMerge/>
            <w:tcBorders>
              <w:top w:val="nil"/>
              <w:left w:val="nil"/>
              <w:bottom w:val="nil"/>
              <w:right w:val="nil"/>
            </w:tcBorders>
            <w:shd w:val="clear" w:color="auto" w:fill="auto"/>
          </w:tcPr>
          <w:p w14:paraId="20D333EE"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Pr>
          <w:p w14:paraId="617C00A9" w14:textId="77777777" w:rsidR="00D27F07" w:rsidRPr="0067514E" w:rsidRDefault="00D27F07" w:rsidP="00AD035A">
            <w:pPr>
              <w:spacing w:after="0"/>
              <w:rPr>
                <w:spacing w:val="-6"/>
              </w:rPr>
            </w:pPr>
            <w:r>
              <w:rPr>
                <w:noProof/>
              </w:rPr>
              <w:drawing>
                <wp:inline distT="0" distB="0" distL="0" distR="0" wp14:anchorId="08B510EF" wp14:editId="25575A4C">
                  <wp:extent cx="4681982" cy="3598018"/>
                  <wp:effectExtent l="0" t="0" r="4445" b="254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27F07" w:rsidRPr="008F2BE2" w14:paraId="72E96D08" w14:textId="77777777" w:rsidTr="00AD035A">
        <w:trPr>
          <w:trHeight w:val="170"/>
        </w:trPr>
        <w:tc>
          <w:tcPr>
            <w:tcW w:w="1740" w:type="dxa"/>
            <w:vMerge/>
            <w:tcBorders>
              <w:top w:val="nil"/>
              <w:left w:val="nil"/>
              <w:bottom w:val="nil"/>
              <w:right w:val="nil"/>
            </w:tcBorders>
            <w:shd w:val="clear" w:color="auto" w:fill="auto"/>
            <w:tcMar>
              <w:left w:w="0" w:type="dxa"/>
            </w:tcMar>
          </w:tcPr>
          <w:p w14:paraId="38F588DC" w14:textId="77777777" w:rsidR="00D27F07" w:rsidRDefault="00D27F07" w:rsidP="00AD035A">
            <w:pPr>
              <w:pStyle w:val="Marginlie"/>
            </w:pPr>
          </w:p>
        </w:tc>
        <w:tc>
          <w:tcPr>
            <w:tcW w:w="199" w:type="dxa"/>
            <w:vMerge/>
            <w:tcBorders>
              <w:top w:val="nil"/>
              <w:left w:val="nil"/>
              <w:bottom w:val="nil"/>
              <w:right w:val="nil"/>
            </w:tcBorders>
            <w:shd w:val="clear" w:color="auto" w:fill="auto"/>
            <w:tcMar>
              <w:left w:w="0" w:type="dxa"/>
            </w:tcMar>
          </w:tcPr>
          <w:p w14:paraId="3E901F63"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3A10ED09" w14:textId="77777777" w:rsidR="00D27F07" w:rsidRPr="00883202" w:rsidRDefault="00D27F07" w:rsidP="00AD035A">
            <w:pPr>
              <w:spacing w:after="0"/>
              <w:rPr>
                <w:rFonts w:cs="Arial"/>
                <w:sz w:val="14"/>
                <w:szCs w:val="14"/>
              </w:rPr>
            </w:pPr>
            <w:r>
              <w:rPr>
                <w:rFonts w:cs="Arial"/>
                <w:sz w:val="14"/>
                <w:szCs w:val="14"/>
              </w:rPr>
              <w:t xml:space="preserve">Poznámka: </w:t>
            </w:r>
            <w:r w:rsidRPr="00883202">
              <w:rPr>
                <w:rFonts w:cs="Arial"/>
                <w:sz w:val="14"/>
                <w:szCs w:val="14"/>
              </w:rPr>
              <w:t>Údaje o stavební produkci jsou očištěny o kalendářní vlivy.</w:t>
            </w:r>
          </w:p>
          <w:p w14:paraId="36624477" w14:textId="77777777" w:rsidR="00D27F07" w:rsidRPr="008F2BE2" w:rsidRDefault="00D27F07" w:rsidP="00AD035A">
            <w:pPr>
              <w:pStyle w:val="Textpoznpodarou"/>
              <w:jc w:val="both"/>
              <w:rPr>
                <w:spacing w:val="-4"/>
                <w:sz w:val="14"/>
                <w:szCs w:val="14"/>
              </w:rPr>
            </w:pPr>
            <w:r w:rsidRPr="00883202">
              <w:rPr>
                <w:rFonts w:cs="Arial"/>
                <w:sz w:val="14"/>
                <w:szCs w:val="14"/>
              </w:rPr>
              <w:t>*</w:t>
            </w:r>
            <w:r w:rsidRPr="006E759E">
              <w:rPr>
                <w:rFonts w:cs="Arial"/>
                <w:spacing w:val="-2"/>
                <w:sz w:val="14"/>
                <w:szCs w:val="14"/>
              </w:rPr>
              <w:t>Saldo důvěry podnikatelů i bariéry</w:t>
            </w:r>
            <w:r w:rsidRPr="00883202">
              <w:rPr>
                <w:rFonts w:cs="Arial"/>
                <w:spacing w:val="-2"/>
                <w:sz w:val="14"/>
                <w:szCs w:val="14"/>
              </w:rPr>
              <w:t xml:space="preserve">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                                                                                                         </w:t>
            </w:r>
            <w:r w:rsidRPr="00883202">
              <w:rPr>
                <w:rFonts w:cs="Arial"/>
                <w:sz w:val="14"/>
                <w:szCs w:val="14"/>
              </w:rPr>
              <w:t>Zdroj: ČSÚ</w:t>
            </w:r>
            <w:r>
              <w:rPr>
                <w:rFonts w:cs="Arial"/>
                <w:sz w:val="14"/>
                <w:szCs w:val="14"/>
              </w:rPr>
              <w:t>, Eurostat</w:t>
            </w:r>
          </w:p>
        </w:tc>
      </w:tr>
      <w:tr w:rsidR="00D27F07" w:rsidRPr="008F2BE2" w14:paraId="52D0CA25" w14:textId="77777777" w:rsidTr="00AD035A">
        <w:trPr>
          <w:trHeight w:val="170"/>
        </w:trPr>
        <w:tc>
          <w:tcPr>
            <w:tcW w:w="1740" w:type="dxa"/>
            <w:tcBorders>
              <w:top w:val="nil"/>
              <w:left w:val="nil"/>
              <w:bottom w:val="nil"/>
              <w:right w:val="nil"/>
            </w:tcBorders>
            <w:shd w:val="clear" w:color="auto" w:fill="auto"/>
            <w:tcMar>
              <w:left w:w="0" w:type="dxa"/>
            </w:tcMar>
          </w:tcPr>
          <w:p w14:paraId="0008CA04" w14:textId="77777777" w:rsidR="00D27F07" w:rsidRDefault="00D27F07" w:rsidP="00AD035A">
            <w:pPr>
              <w:pStyle w:val="Marginlie"/>
            </w:pPr>
          </w:p>
        </w:tc>
        <w:tc>
          <w:tcPr>
            <w:tcW w:w="199" w:type="dxa"/>
            <w:tcBorders>
              <w:top w:val="nil"/>
              <w:left w:val="nil"/>
              <w:bottom w:val="nil"/>
              <w:right w:val="nil"/>
            </w:tcBorders>
            <w:shd w:val="clear" w:color="auto" w:fill="auto"/>
            <w:tcMar>
              <w:left w:w="0" w:type="dxa"/>
            </w:tcMar>
          </w:tcPr>
          <w:p w14:paraId="6C3AA38A"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20A0C5CB" w14:textId="77777777" w:rsidR="00D27F07" w:rsidRDefault="00D27F07" w:rsidP="00AD035A">
            <w:pPr>
              <w:spacing w:after="0"/>
              <w:rPr>
                <w:rFonts w:cs="Arial"/>
                <w:sz w:val="14"/>
                <w:szCs w:val="14"/>
              </w:rPr>
            </w:pPr>
          </w:p>
        </w:tc>
      </w:tr>
      <w:tr w:rsidR="00D27F07" w14:paraId="250B4342" w14:textId="77777777" w:rsidTr="00AD035A">
        <w:trPr>
          <w:trHeight w:val="170"/>
        </w:trPr>
        <w:tc>
          <w:tcPr>
            <w:tcW w:w="1740" w:type="dxa"/>
            <w:tcBorders>
              <w:top w:val="nil"/>
              <w:left w:val="nil"/>
              <w:bottom w:val="nil"/>
              <w:right w:val="nil"/>
            </w:tcBorders>
            <w:shd w:val="clear" w:color="auto" w:fill="auto"/>
            <w:tcMar>
              <w:left w:w="0" w:type="dxa"/>
            </w:tcMar>
          </w:tcPr>
          <w:p w14:paraId="2EE7DFA2" w14:textId="77777777" w:rsidR="00D27F07" w:rsidRDefault="00D27F07" w:rsidP="00AD035A">
            <w:pPr>
              <w:pStyle w:val="Marginlie"/>
              <w:rPr>
                <w:spacing w:val="-4"/>
              </w:rPr>
            </w:pPr>
            <w:r>
              <w:rPr>
                <w:spacing w:val="-4"/>
              </w:rPr>
              <w:t>Od meziročního poklesu uchránil stavební produkci v EU mírně rostoucí segment inženýrského stavitelství.</w:t>
            </w:r>
          </w:p>
          <w:p w14:paraId="107B1CCD" w14:textId="77777777" w:rsidR="00D27F07" w:rsidRDefault="00D27F07" w:rsidP="00AD035A">
            <w:pPr>
              <w:pStyle w:val="Marginlie"/>
              <w:rPr>
                <w:spacing w:val="-4"/>
              </w:rPr>
            </w:pPr>
            <w:r>
              <w:rPr>
                <w:spacing w:val="-4"/>
              </w:rPr>
              <w:t>Ve dvou třetinách států Unie byl letošní výkon stavebnictví již nad úrovní z roku 2019.</w:t>
            </w:r>
          </w:p>
          <w:p w14:paraId="5E0C9ADE" w14:textId="77777777" w:rsidR="00D27F07" w:rsidRDefault="00D27F07" w:rsidP="00AD035A">
            <w:pPr>
              <w:pStyle w:val="Marginlie"/>
              <w:rPr>
                <w:spacing w:val="-4"/>
              </w:rPr>
            </w:pPr>
          </w:p>
        </w:tc>
        <w:tc>
          <w:tcPr>
            <w:tcW w:w="199" w:type="dxa"/>
            <w:tcBorders>
              <w:top w:val="nil"/>
              <w:left w:val="nil"/>
              <w:bottom w:val="nil"/>
              <w:right w:val="nil"/>
            </w:tcBorders>
            <w:shd w:val="clear" w:color="auto" w:fill="auto"/>
            <w:tcMar>
              <w:left w:w="0" w:type="dxa"/>
            </w:tcMar>
          </w:tcPr>
          <w:p w14:paraId="249E31E8" w14:textId="77777777" w:rsidR="00D27F07" w:rsidRPr="00FB2830" w:rsidRDefault="00D27F07" w:rsidP="00AD035A">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63ED6367" w14:textId="77777777" w:rsidR="00D27F07" w:rsidRDefault="00D27F07" w:rsidP="00AD035A">
            <w:pPr>
              <w:spacing w:after="200"/>
              <w:rPr>
                <w:rFonts w:cs="Arial"/>
                <w:color w:val="0D0D0D" w:themeColor="text1" w:themeTint="F2"/>
                <w:spacing w:val="-6"/>
              </w:rPr>
            </w:pPr>
            <w:r>
              <w:rPr>
                <w:rFonts w:cs="Arial"/>
                <w:color w:val="0D0D0D" w:themeColor="text1" w:themeTint="F2"/>
                <w:spacing w:val="-6"/>
              </w:rPr>
              <w:t>Do stavebnictví se nejen v Česku, ale i v drtivé většině významných evropských ekonomik negativně promítaly dopady celkové hospodářské kontrakce. V 1. pololetí se stavební produkce v EU i eurozóně meziročně zvýšila jen o nepatrných 0,1 %, resp. 0,2 %. Při faktické stagnaci pozemního stavitelství pokračoval mírný růst inženýrského stavitelství (3,2 %, resp. 2,4 %). Celková stavební výroba se nejvíce zvýšila ve Slovinsku (+24 %), dvojciferné tempo zaznamenala i v Řecku, Rumunsku a Lotyšsku. Naopak nejvíce se snížila v Estonsku, Finsku a Maďarsku – tedy ve státech, které zažívají i celkovou recesi ekonomiky. Produkce mírně klesla v Německu (o 1,4 %), příznivější dynamiky než v tuzemsku docílila ale u všech našich sousedů (např. v Polsku +1,4 %). Ve srovnání s 1. pololetím roku 2019 byl výkon stavebnictví zhruba ve dvou třetinách členských zemí letos vyšší – nejvíce v Rumunsku a Slovinsku (skoro o polovinu), v Česku o 1,7 %, v EU o 5,2 %. Znatelně za předkrizovou úrovní ale zaostávaly Španělsko (−22 %) a Slovensko (−12 %).</w:t>
            </w:r>
          </w:p>
        </w:tc>
      </w:tr>
      <w:tr w:rsidR="00D27F07" w14:paraId="47BFF957" w14:textId="77777777" w:rsidTr="00AD035A">
        <w:trPr>
          <w:trHeight w:val="170"/>
        </w:trPr>
        <w:tc>
          <w:tcPr>
            <w:tcW w:w="1740" w:type="dxa"/>
            <w:tcBorders>
              <w:top w:val="nil"/>
              <w:left w:val="nil"/>
              <w:bottom w:val="nil"/>
              <w:right w:val="nil"/>
            </w:tcBorders>
            <w:shd w:val="clear" w:color="auto" w:fill="auto"/>
            <w:tcMar>
              <w:left w:w="0" w:type="dxa"/>
            </w:tcMar>
          </w:tcPr>
          <w:p w14:paraId="3C1FF07A" w14:textId="77777777" w:rsidR="00D27F07" w:rsidRDefault="00D27F07" w:rsidP="00AD035A">
            <w:pPr>
              <w:pStyle w:val="Marginlie"/>
            </w:pPr>
            <w:r>
              <w:t xml:space="preserve">Přetrvával mírný mezikvartální pokles tržeb ve službách, započatý loni ve </w:t>
            </w:r>
            <w:r>
              <w:br/>
              <w:t>2. pololetí.</w:t>
            </w:r>
          </w:p>
        </w:tc>
        <w:tc>
          <w:tcPr>
            <w:tcW w:w="199" w:type="dxa"/>
            <w:tcBorders>
              <w:top w:val="nil"/>
              <w:left w:val="nil"/>
              <w:bottom w:val="nil"/>
              <w:right w:val="nil"/>
            </w:tcBorders>
            <w:shd w:val="clear" w:color="auto" w:fill="auto"/>
            <w:tcMar>
              <w:left w:w="0" w:type="dxa"/>
            </w:tcMar>
          </w:tcPr>
          <w:p w14:paraId="30594652"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6BEB94FF" w14:textId="77777777" w:rsidR="00D27F07" w:rsidRPr="00CF0DCE" w:rsidRDefault="00D27F07" w:rsidP="00AD035A">
            <w:pPr>
              <w:spacing w:after="200"/>
              <w:rPr>
                <w:rFonts w:cs="Arial"/>
                <w:color w:val="0D0D0D" w:themeColor="text1" w:themeTint="F2"/>
                <w:spacing w:val="-6"/>
              </w:rPr>
            </w:pPr>
            <w:r>
              <w:rPr>
                <w:rFonts w:cs="Arial"/>
                <w:color w:val="0D0D0D" w:themeColor="text1" w:themeTint="F2"/>
                <w:spacing w:val="-6"/>
              </w:rPr>
              <w:t>Zastavení hospodářského růstu úzce provázaného s poklesem soukromé spotřeby se logicky muselo projevit na výkonu sektoru služeb. Mezikvartální růst jejich tržeb</w:t>
            </w:r>
            <w:r w:rsidRPr="00231745">
              <w:rPr>
                <w:color w:val="0D0D0D" w:themeColor="text1" w:themeTint="F2"/>
                <w:spacing w:val="-4"/>
                <w:vertAlign w:val="superscript"/>
              </w:rPr>
              <w:footnoteReference w:id="35"/>
            </w:r>
            <w:r>
              <w:rPr>
                <w:rFonts w:cs="Arial"/>
                <w:color w:val="0D0D0D" w:themeColor="text1" w:themeTint="F2"/>
                <w:spacing w:val="-6"/>
              </w:rPr>
              <w:t>, jenž trval od počátku roku 2021, ve druhé polovině loňského roku již nepokračoval a k oživení nedošlo dosud ani letos (v 1. čtvrtletí −0,7 %, ve 2. čtvrtletí −1,3 %). Za nepříznivým vývojem služeb stálo po celé toto období dominantní odvětví dopravy a skladování. Naopak proti hlubšímu útlumu služeb působila stabilně rostoucí poptávka v oblasti p</w:t>
            </w:r>
            <w:r w:rsidRPr="00225452">
              <w:rPr>
                <w:rFonts w:cs="Arial"/>
                <w:color w:val="0D0D0D" w:themeColor="text1" w:themeTint="F2"/>
                <w:spacing w:val="-6"/>
              </w:rPr>
              <w:t>rofesní</w:t>
            </w:r>
            <w:r>
              <w:rPr>
                <w:rFonts w:cs="Arial"/>
                <w:color w:val="0D0D0D" w:themeColor="text1" w:themeTint="F2"/>
                <w:spacing w:val="-6"/>
              </w:rPr>
              <w:t>ch, vědeckých a technických činností, která typicky zahrnuje sofistikovanější služby pro podniky. Tržby ve službách tak letos ve 2. čtvrtletí celkově mírně klesly (o 0,9 %) pod úroveň z vrcholu poslední předkrizové konjunktury (2. čtvrtletí 2019). Ve většině odvětví služeb se již patrně vyčerpal „efekt postpandemického živení“ poptávky a naopak se začalo významněji projevovat to, že část domácností omezovala své „zbytné“ výdaje. Dopady vysokého růstu cen v ekonomice postihly také podnikovou sféru, mj. v podobě zvýšené potřeby optimalizace výrobních nákladů.</w:t>
            </w:r>
          </w:p>
        </w:tc>
      </w:tr>
      <w:tr w:rsidR="00D27F07" w14:paraId="5F18160C" w14:textId="77777777" w:rsidTr="00AD035A">
        <w:trPr>
          <w:trHeight w:val="170"/>
        </w:trPr>
        <w:tc>
          <w:tcPr>
            <w:tcW w:w="1740" w:type="dxa"/>
            <w:tcBorders>
              <w:top w:val="nil"/>
              <w:left w:val="nil"/>
              <w:bottom w:val="nil"/>
              <w:right w:val="nil"/>
            </w:tcBorders>
            <w:shd w:val="clear" w:color="auto" w:fill="auto"/>
            <w:tcMar>
              <w:left w:w="0" w:type="dxa"/>
            </w:tcMar>
          </w:tcPr>
          <w:p w14:paraId="2ACD5E71" w14:textId="77777777" w:rsidR="00D27F07" w:rsidRDefault="00D27F07" w:rsidP="00AD035A">
            <w:pPr>
              <w:pStyle w:val="Marginlie"/>
            </w:pPr>
            <w:r>
              <w:t>Meziroční růst tržeb ve službách se během 1.</w:t>
            </w:r>
            <w:r>
              <w:rPr>
                <w:spacing w:val="-4"/>
              </w:rPr>
              <w:t> </w:t>
            </w:r>
            <w:r>
              <w:t>pololetí prohloubil, a to především vlivem slábnoucí poptávky v dopravě a skladování.</w:t>
            </w:r>
          </w:p>
        </w:tc>
        <w:tc>
          <w:tcPr>
            <w:tcW w:w="199" w:type="dxa"/>
            <w:tcBorders>
              <w:top w:val="nil"/>
              <w:left w:val="nil"/>
              <w:bottom w:val="nil"/>
              <w:right w:val="nil"/>
            </w:tcBorders>
            <w:shd w:val="clear" w:color="auto" w:fill="auto"/>
            <w:tcMar>
              <w:left w:w="0" w:type="dxa"/>
            </w:tcMar>
          </w:tcPr>
          <w:p w14:paraId="23ACD4BE"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386A3FA3" w14:textId="77777777" w:rsidR="00D27F07" w:rsidRDefault="00D27F07" w:rsidP="00AD035A">
            <w:pPr>
              <w:spacing w:after="200"/>
              <w:rPr>
                <w:rFonts w:cs="Arial"/>
                <w:color w:val="0D0D0D" w:themeColor="text1" w:themeTint="F2"/>
                <w:spacing w:val="-6"/>
              </w:rPr>
            </w:pPr>
            <w:r>
              <w:rPr>
                <w:rFonts w:cs="Arial"/>
                <w:color w:val="0D0D0D" w:themeColor="text1" w:themeTint="F2"/>
                <w:spacing w:val="-6"/>
              </w:rPr>
              <w:t xml:space="preserve">V 1. čtvrtletí 2023 se tržby ve službách meziročně nepatrně snížily (o 0,3 %), když k jejich poklesu došlo poprvé za poslední dva roky. V následujícím kvartálu se redukce tržeb prohloubila, neboť ke slabé poptávce v dopravě a skladování se postupně přidávala většina ostatních odvětví. V celém 1. pololetí se tak tržby ve službách snížily o 1,8 %. Nejhlubší útlum poptávky postihl odvětví dopravy a skladování, kde tržby se meziročně propadly o rovných 8 % (a k poklesu všech služeb přispěly −2,5 p. b.). Zásadní roli se sehrál propad v segmentu skladování a </w:t>
            </w:r>
            <w:r w:rsidRPr="00610CE3">
              <w:rPr>
                <w:rFonts w:cs="Arial"/>
                <w:color w:val="0D0D0D" w:themeColor="text1" w:themeTint="F2"/>
                <w:spacing w:val="-6"/>
              </w:rPr>
              <w:t>vedlejší</w:t>
            </w:r>
            <w:r>
              <w:rPr>
                <w:rFonts w:cs="Arial"/>
                <w:color w:val="0D0D0D" w:themeColor="text1" w:themeTint="F2"/>
                <w:spacing w:val="-6"/>
              </w:rPr>
              <w:t>ch činností</w:t>
            </w:r>
            <w:r w:rsidRPr="00610CE3">
              <w:rPr>
                <w:rFonts w:cs="Arial"/>
                <w:color w:val="0D0D0D" w:themeColor="text1" w:themeTint="F2"/>
                <w:spacing w:val="-6"/>
              </w:rPr>
              <w:t xml:space="preserve"> v</w:t>
            </w:r>
            <w:r>
              <w:rPr>
                <w:rFonts w:cs="Arial"/>
                <w:color w:val="0D0D0D" w:themeColor="text1" w:themeTint="F2"/>
                <w:spacing w:val="-6"/>
              </w:rPr>
              <w:t> </w:t>
            </w:r>
            <w:r w:rsidRPr="00610CE3">
              <w:rPr>
                <w:rFonts w:cs="Arial"/>
                <w:color w:val="0D0D0D" w:themeColor="text1" w:themeTint="F2"/>
                <w:spacing w:val="-6"/>
              </w:rPr>
              <w:t>dopravě</w:t>
            </w:r>
            <w:r>
              <w:rPr>
                <w:rFonts w:cs="Arial"/>
                <w:color w:val="0D0D0D" w:themeColor="text1" w:themeTint="F2"/>
                <w:spacing w:val="-6"/>
              </w:rPr>
              <w:t xml:space="preserve"> (−11,5 %, srovnatelně s celým rokem 2020). Výrazně poklesly i tržby v pozemní a potrubní dopravě (−6,9 %), k čemuž přispěly i slabší výkony potrubní dopravy (po mimořádném loňském roce ovlivněném energetickou krizí). Pokles poptávky byl nicméně patrný také v silniční dopravě (i vlivem nižší dynamiky zahraničního obchodu, hlavně dovozu) i na železnici. Mírnější, ale dlouhodobější meziroční pokles tržeb registrovaly p</w:t>
            </w:r>
            <w:r w:rsidRPr="001818F4">
              <w:rPr>
                <w:rFonts w:cs="Arial"/>
                <w:color w:val="0D0D0D" w:themeColor="text1" w:themeTint="F2"/>
                <w:spacing w:val="-6"/>
              </w:rPr>
              <w:t xml:space="preserve">oštovní a </w:t>
            </w:r>
            <w:r w:rsidRPr="00D64816">
              <w:rPr>
                <w:rFonts w:cs="Arial"/>
                <w:color w:val="0D0D0D" w:themeColor="text1" w:themeTint="F2"/>
                <w:spacing w:val="-6"/>
              </w:rPr>
              <w:t>kurý</w:t>
            </w:r>
            <w:r>
              <w:rPr>
                <w:rFonts w:cs="Arial"/>
                <w:color w:val="0D0D0D" w:themeColor="text1" w:themeTint="F2"/>
                <w:spacing w:val="-6"/>
              </w:rPr>
              <w:t>rní činnosti (−2,9 %), což úzce souviselo s hlubším snížením poptávky v oblasti</w:t>
            </w:r>
            <w:r w:rsidRPr="00D64816">
              <w:rPr>
                <w:rFonts w:cs="Arial"/>
                <w:color w:val="0D0D0D" w:themeColor="text1" w:themeTint="F2"/>
                <w:spacing w:val="-6"/>
              </w:rPr>
              <w:t xml:space="preserve"> in</w:t>
            </w:r>
            <w:r>
              <w:rPr>
                <w:rFonts w:cs="Arial"/>
                <w:color w:val="0D0D0D" w:themeColor="text1" w:themeTint="F2"/>
                <w:spacing w:val="-6"/>
              </w:rPr>
              <w:t>ternetového a zásilkového prodeje</w:t>
            </w:r>
            <w:r w:rsidRPr="00D64816">
              <w:rPr>
                <w:rFonts w:cs="Arial"/>
                <w:color w:val="0D0D0D" w:themeColor="text1" w:themeTint="F2"/>
                <w:spacing w:val="-6"/>
              </w:rPr>
              <w:t xml:space="preserve">. I tak zůstaly </w:t>
            </w:r>
            <w:r>
              <w:rPr>
                <w:rFonts w:cs="Arial"/>
                <w:color w:val="0D0D0D" w:themeColor="text1" w:themeTint="F2"/>
                <w:spacing w:val="-6"/>
              </w:rPr>
              <w:t xml:space="preserve">letos </w:t>
            </w:r>
            <w:r w:rsidRPr="00D64816">
              <w:rPr>
                <w:rFonts w:cs="Arial"/>
                <w:color w:val="0D0D0D" w:themeColor="text1" w:themeTint="F2"/>
                <w:spacing w:val="-6"/>
              </w:rPr>
              <w:t xml:space="preserve">tržby těchto činností </w:t>
            </w:r>
            <w:r>
              <w:rPr>
                <w:rFonts w:cs="Arial"/>
                <w:color w:val="0D0D0D" w:themeColor="text1" w:themeTint="F2"/>
                <w:spacing w:val="-6"/>
              </w:rPr>
              <w:t>o pětinu nad úrovní z 1. pololetí 2019. Naopak v okrajových segmentech</w:t>
            </w:r>
            <w:r w:rsidRPr="00D64816">
              <w:rPr>
                <w:rFonts w:cs="Arial"/>
                <w:color w:val="0D0D0D" w:themeColor="text1" w:themeTint="F2"/>
                <w:spacing w:val="-6"/>
              </w:rPr>
              <w:t xml:space="preserve"> letecké a vodní dopravy </w:t>
            </w:r>
            <w:r>
              <w:rPr>
                <w:rFonts w:cs="Arial"/>
                <w:color w:val="0D0D0D" w:themeColor="text1" w:themeTint="F2"/>
                <w:spacing w:val="-6"/>
              </w:rPr>
              <w:t xml:space="preserve">tržby dosud </w:t>
            </w:r>
            <w:r w:rsidRPr="00D64816">
              <w:rPr>
                <w:rFonts w:cs="Arial"/>
                <w:color w:val="0D0D0D" w:themeColor="text1" w:themeTint="F2"/>
                <w:spacing w:val="-6"/>
              </w:rPr>
              <w:t xml:space="preserve">setrvávají (i přes svižný letošní růst) pod předkrizovou </w:t>
            </w:r>
            <w:r>
              <w:rPr>
                <w:rFonts w:cs="Arial"/>
                <w:color w:val="0D0D0D" w:themeColor="text1" w:themeTint="F2"/>
                <w:spacing w:val="-6"/>
              </w:rPr>
              <w:t>úrovní (o 22,5 %, resp. o 18,7 %).</w:t>
            </w:r>
          </w:p>
        </w:tc>
      </w:tr>
      <w:tr w:rsidR="00D27F07" w14:paraId="2AF9A6AF" w14:textId="77777777" w:rsidTr="00AD035A">
        <w:trPr>
          <w:trHeight w:val="170"/>
        </w:trPr>
        <w:tc>
          <w:tcPr>
            <w:tcW w:w="1740" w:type="dxa"/>
            <w:tcBorders>
              <w:top w:val="nil"/>
              <w:left w:val="nil"/>
              <w:bottom w:val="nil"/>
              <w:right w:val="nil"/>
            </w:tcBorders>
            <w:shd w:val="clear" w:color="auto" w:fill="auto"/>
            <w:tcMar>
              <w:left w:w="0" w:type="dxa"/>
            </w:tcMar>
          </w:tcPr>
          <w:p w14:paraId="3A12AF4A" w14:textId="77777777" w:rsidR="00D27F07" w:rsidRDefault="00D27F07" w:rsidP="00AD035A">
            <w:pPr>
              <w:pStyle w:val="Marginlie"/>
              <w:rPr>
                <w:color w:val="0D0D0D" w:themeColor="text1" w:themeTint="F2"/>
              </w:rPr>
            </w:pPr>
            <w:r>
              <w:rPr>
                <w:color w:val="0D0D0D" w:themeColor="text1" w:themeTint="F2"/>
              </w:rPr>
              <w:t xml:space="preserve">Svižný růst tržeb v ubytování souvisel s pokračujícím oživením </w:t>
            </w:r>
            <w:r>
              <w:rPr>
                <w:color w:val="0D0D0D" w:themeColor="text1" w:themeTint="F2"/>
              </w:rPr>
              <w:lastRenderedPageBreak/>
              <w:t xml:space="preserve">turismu. Stravování </w:t>
            </w:r>
            <w:r>
              <w:rPr>
                <w:color w:val="0D0D0D" w:themeColor="text1" w:themeTint="F2"/>
              </w:rPr>
              <w:br/>
              <w:t>a pohostinství bylo více ovlivněno dopady klesající kupní síly tuzemských domácností.</w:t>
            </w:r>
          </w:p>
        </w:tc>
        <w:tc>
          <w:tcPr>
            <w:tcW w:w="199" w:type="dxa"/>
            <w:tcBorders>
              <w:top w:val="nil"/>
              <w:left w:val="nil"/>
              <w:bottom w:val="nil"/>
              <w:right w:val="nil"/>
            </w:tcBorders>
            <w:shd w:val="clear" w:color="auto" w:fill="auto"/>
            <w:tcMar>
              <w:left w:w="0" w:type="dxa"/>
            </w:tcMar>
          </w:tcPr>
          <w:p w14:paraId="79DB770E" w14:textId="77777777" w:rsidR="00D27F07" w:rsidRPr="00B63E5E" w:rsidRDefault="00D27F07" w:rsidP="00AD035A">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737357BB" w14:textId="77777777" w:rsidR="00D27F07" w:rsidRDefault="00D27F07" w:rsidP="00AD035A">
            <w:pPr>
              <w:spacing w:after="200"/>
              <w:rPr>
                <w:rFonts w:cs="Arial"/>
                <w:color w:val="0D0D0D" w:themeColor="text1" w:themeTint="F2"/>
                <w:spacing w:val="-6"/>
              </w:rPr>
            </w:pPr>
            <w:r>
              <w:rPr>
                <w:rFonts w:cs="Arial"/>
                <w:color w:val="0D0D0D" w:themeColor="text1" w:themeTint="F2"/>
                <w:spacing w:val="-6"/>
              </w:rPr>
              <w:t xml:space="preserve">Dynamika tržeb v dílčích odvětvích sekce </w:t>
            </w:r>
            <w:r w:rsidRPr="00C60BAD">
              <w:rPr>
                <w:color w:val="0D0D0D" w:themeColor="text1" w:themeTint="F2"/>
                <w:spacing w:val="-6"/>
              </w:rPr>
              <w:t>ubytování, stravování a pohostin</w:t>
            </w:r>
            <w:r>
              <w:rPr>
                <w:color w:val="0D0D0D" w:themeColor="text1" w:themeTint="F2"/>
                <w:spacing w:val="-6"/>
              </w:rPr>
              <w:t>ství se letos významně odlišovala. V samotném ubytování stržily subjekty v 1. pololetí meziročně o 13,5 % více, neboť pokračovalo pokrizové zotavování příjezdového cestovního ruchu</w:t>
            </w:r>
            <w:r>
              <w:rPr>
                <w:rStyle w:val="Znakapoznpodarou"/>
                <w:color w:val="0D0D0D" w:themeColor="text1" w:themeTint="F2"/>
                <w:spacing w:val="-6"/>
              </w:rPr>
              <w:footnoteReference w:id="36"/>
            </w:r>
            <w:r>
              <w:rPr>
                <w:color w:val="0D0D0D" w:themeColor="text1" w:themeTint="F2"/>
                <w:spacing w:val="-6"/>
              </w:rPr>
              <w:t>. Ve s</w:t>
            </w:r>
            <w:r w:rsidRPr="00C429B4">
              <w:rPr>
                <w:color w:val="0D0D0D" w:themeColor="text1" w:themeTint="F2"/>
                <w:spacing w:val="-6"/>
              </w:rPr>
              <w:t>travování</w:t>
            </w:r>
            <w:r>
              <w:rPr>
                <w:color w:val="0D0D0D" w:themeColor="text1" w:themeTint="F2"/>
                <w:spacing w:val="-6"/>
              </w:rPr>
              <w:t xml:space="preserve"> </w:t>
            </w:r>
            <w:r w:rsidRPr="00C429B4">
              <w:rPr>
                <w:color w:val="0D0D0D" w:themeColor="text1" w:themeTint="F2"/>
                <w:spacing w:val="-6"/>
              </w:rPr>
              <w:lastRenderedPageBreak/>
              <w:t>a pohostinství</w:t>
            </w:r>
            <w:r>
              <w:rPr>
                <w:color w:val="0D0D0D" w:themeColor="text1" w:themeTint="F2"/>
                <w:spacing w:val="-6"/>
              </w:rPr>
              <w:t xml:space="preserve"> byl zaznamenán pouze 1,8% nárůst tržeb. Nevýrazný růst poptávky zde souvisel s přetrvávajícím citelnějším poklesem kupní síly tuzemských domácností, jež vedl k redukci jejich zbytných výdajů. V mezikvartálním vyjádření klesly ve 2. čtvrtletí tržby ve stravování a pohostinství o 0,9 %. Oproti roku 2019 tržby stále výrazně zaostávaly, a to především v ubytování.</w:t>
            </w:r>
          </w:p>
        </w:tc>
      </w:tr>
      <w:tr w:rsidR="00D27F07" w14:paraId="11A082C9" w14:textId="77777777" w:rsidTr="00AD035A">
        <w:trPr>
          <w:trHeight w:val="170"/>
        </w:trPr>
        <w:tc>
          <w:tcPr>
            <w:tcW w:w="1740" w:type="dxa"/>
            <w:tcBorders>
              <w:top w:val="nil"/>
              <w:left w:val="nil"/>
              <w:bottom w:val="nil"/>
              <w:right w:val="nil"/>
            </w:tcBorders>
            <w:shd w:val="clear" w:color="auto" w:fill="auto"/>
            <w:tcMar>
              <w:left w:w="0" w:type="dxa"/>
            </w:tcMar>
          </w:tcPr>
          <w:p w14:paraId="467C43E4" w14:textId="77777777" w:rsidR="00D27F07" w:rsidRDefault="00D27F07" w:rsidP="00AD035A">
            <w:pPr>
              <w:pStyle w:val="Marginlie"/>
              <w:rPr>
                <w:color w:val="0D0D0D" w:themeColor="text1" w:themeTint="F2"/>
              </w:rPr>
            </w:pPr>
            <w:r>
              <w:rPr>
                <w:color w:val="0D0D0D" w:themeColor="text1" w:themeTint="F2"/>
              </w:rPr>
              <w:lastRenderedPageBreak/>
              <w:t xml:space="preserve">Tržby v oblasti ICT ve 2. čtvrtletí meziročně klesly, a to téměř napříč všemi dílčími odvětvími. </w:t>
            </w:r>
          </w:p>
        </w:tc>
        <w:tc>
          <w:tcPr>
            <w:tcW w:w="199" w:type="dxa"/>
            <w:tcBorders>
              <w:top w:val="nil"/>
              <w:left w:val="nil"/>
              <w:bottom w:val="nil"/>
              <w:right w:val="nil"/>
            </w:tcBorders>
            <w:shd w:val="clear" w:color="auto" w:fill="auto"/>
            <w:tcMar>
              <w:left w:w="0" w:type="dxa"/>
            </w:tcMar>
          </w:tcPr>
          <w:p w14:paraId="28456423" w14:textId="77777777" w:rsidR="00D27F07" w:rsidRPr="00B63E5E" w:rsidRDefault="00D27F07" w:rsidP="00AD035A">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091F522F" w14:textId="77777777" w:rsidR="00D27F07" w:rsidRPr="00B56614" w:rsidRDefault="00D27F07" w:rsidP="00AD035A">
            <w:pPr>
              <w:spacing w:after="200"/>
              <w:rPr>
                <w:color w:val="0D0D0D" w:themeColor="text1" w:themeTint="F2"/>
                <w:spacing w:val="-6"/>
              </w:rPr>
            </w:pPr>
            <w:r>
              <w:rPr>
                <w:color w:val="0D0D0D" w:themeColor="text1" w:themeTint="F2"/>
                <w:spacing w:val="-4"/>
              </w:rPr>
              <w:t xml:space="preserve">Signály slábnoucí poptávky letos pocítilo i dlouhodobě rozvíjející se odvětví informačních </w:t>
            </w:r>
            <w:r>
              <w:rPr>
                <w:color w:val="0D0D0D" w:themeColor="text1" w:themeTint="F2"/>
                <w:spacing w:val="-4"/>
              </w:rPr>
              <w:br/>
              <w:t xml:space="preserve">a komunikačních činností. V 1. pololetí zde tržby meziročně fakticky spíše stagnovaly (+0,6 %), z toho ve 2. kvartálu dokonce mírně klesly (−1,0 %), když snížení poptávky zasáhlo takřka všechna dílčí odvětví. V úhrnu za celé </w:t>
            </w:r>
            <w:r w:rsidRPr="00A445E5">
              <w:rPr>
                <w:color w:val="0D0D0D" w:themeColor="text1" w:themeTint="F2"/>
                <w:spacing w:val="-6"/>
              </w:rPr>
              <w:t>1.</w:t>
            </w:r>
            <w:r w:rsidRPr="00A445E5">
              <w:rPr>
                <w:rFonts w:cs="Arial"/>
                <w:color w:val="0D0D0D" w:themeColor="text1" w:themeTint="F2"/>
                <w:spacing w:val="-6"/>
              </w:rPr>
              <w:t> </w:t>
            </w:r>
            <w:r w:rsidRPr="00A445E5">
              <w:rPr>
                <w:color w:val="0D0D0D" w:themeColor="text1" w:themeTint="F2"/>
                <w:spacing w:val="-6"/>
              </w:rPr>
              <w:t>pololetí se tržby mírně zvýšily v</w:t>
            </w:r>
            <w:r>
              <w:rPr>
                <w:color w:val="0D0D0D" w:themeColor="text1" w:themeTint="F2"/>
                <w:spacing w:val="-6"/>
              </w:rPr>
              <w:t> </w:t>
            </w:r>
            <w:r w:rsidRPr="00A445E5">
              <w:rPr>
                <w:color w:val="0D0D0D" w:themeColor="text1" w:themeTint="F2"/>
                <w:spacing w:val="-6"/>
              </w:rPr>
              <w:t>programování či poradenství v IT a též v telekomunikacích</w:t>
            </w:r>
            <w:r>
              <w:rPr>
                <w:color w:val="0D0D0D" w:themeColor="text1" w:themeTint="F2"/>
                <w:spacing w:val="-4"/>
              </w:rPr>
              <w:t>.  Naproti tomu v informačních činnostech</w:t>
            </w:r>
            <w:r>
              <w:rPr>
                <w:rStyle w:val="Znakapoznpodarou"/>
                <w:color w:val="0D0D0D" w:themeColor="text1" w:themeTint="F2"/>
                <w:spacing w:val="-4"/>
              </w:rPr>
              <w:footnoteReference w:id="37"/>
            </w:r>
            <w:r>
              <w:rPr>
                <w:color w:val="0D0D0D" w:themeColor="text1" w:themeTint="F2"/>
                <w:spacing w:val="-4"/>
              </w:rPr>
              <w:t>¨byly tržby nižší o 4,8 % a registrovaly nejhlubší pokles od 2. pololetí 2012. Tržby za tvorbu rozhlasových a televizních programů a vysílání klesly druhým rokem v řadě, meziročně nižší poptávku pocítil i tzv. filmový a hudební průmysl (−8,7 %)</w:t>
            </w:r>
            <w:r w:rsidRPr="0013531C">
              <w:rPr>
                <w:rStyle w:val="Znakapoznpodarou"/>
                <w:color w:val="0D0D0D" w:themeColor="text1" w:themeTint="F2"/>
                <w:spacing w:val="-6"/>
              </w:rPr>
              <w:footnoteReference w:id="38"/>
            </w:r>
            <w:r>
              <w:rPr>
                <w:color w:val="0D0D0D" w:themeColor="text1" w:themeTint="F2"/>
                <w:spacing w:val="-4"/>
              </w:rPr>
              <w:t>, jenž byl zvlášť citelně zasažen restrikcemi v období pandemie (proti roku 2019 zde letošní tržby o více než pětinu zaostaly).</w:t>
            </w:r>
          </w:p>
        </w:tc>
      </w:tr>
      <w:tr w:rsidR="00D27F07" w14:paraId="2D13BD66" w14:textId="77777777" w:rsidTr="00AD035A">
        <w:trPr>
          <w:trHeight w:val="170"/>
        </w:trPr>
        <w:tc>
          <w:tcPr>
            <w:tcW w:w="1740" w:type="dxa"/>
            <w:tcBorders>
              <w:top w:val="nil"/>
              <w:left w:val="nil"/>
              <w:bottom w:val="nil"/>
              <w:right w:val="nil"/>
            </w:tcBorders>
            <w:shd w:val="clear" w:color="auto" w:fill="auto"/>
            <w:tcMar>
              <w:left w:w="0" w:type="dxa"/>
            </w:tcMar>
          </w:tcPr>
          <w:p w14:paraId="55C604DA" w14:textId="77777777" w:rsidR="00D27F07" w:rsidRDefault="00D27F07" w:rsidP="00AD035A">
            <w:pPr>
              <w:pStyle w:val="Marginlie"/>
            </w:pPr>
          </w:p>
        </w:tc>
        <w:tc>
          <w:tcPr>
            <w:tcW w:w="199" w:type="dxa"/>
            <w:tcBorders>
              <w:top w:val="nil"/>
              <w:left w:val="nil"/>
              <w:bottom w:val="nil"/>
              <w:right w:val="nil"/>
            </w:tcBorders>
            <w:shd w:val="clear" w:color="auto" w:fill="auto"/>
            <w:tcMar>
              <w:left w:w="0" w:type="dxa"/>
            </w:tcMar>
          </w:tcPr>
          <w:p w14:paraId="28B50300"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4340EEBE" w14:textId="77777777" w:rsidR="00D27F07" w:rsidRPr="00C32591" w:rsidRDefault="00D27F07" w:rsidP="00AD035A">
            <w:pPr>
              <w:spacing w:after="40"/>
              <w:rPr>
                <w:b/>
                <w:spacing w:val="-4"/>
              </w:rPr>
            </w:pPr>
            <w:r w:rsidRPr="00C32591">
              <w:rPr>
                <w:b/>
                <w:spacing w:val="-4"/>
              </w:rPr>
              <w:t xml:space="preserve">Graf č. 7 </w:t>
            </w:r>
            <w:r w:rsidRPr="00C32591">
              <w:rPr>
                <w:b/>
                <w:bCs/>
                <w:spacing w:val="-4"/>
              </w:rPr>
              <w:t>Příspěvky dílčích odvětví k meziroční změně tržeb ve službách*</w:t>
            </w:r>
            <w:r w:rsidRPr="00C32591">
              <w:rPr>
                <w:b/>
                <w:spacing w:val="-4"/>
              </w:rPr>
              <w:br/>
            </w:r>
            <w:r w:rsidRPr="00C32591">
              <w:rPr>
                <w:spacing w:val="-4"/>
              </w:rPr>
              <w:t>(reálně, v p. b),</w:t>
            </w:r>
            <w:r w:rsidRPr="00C32591">
              <w:rPr>
                <w:b/>
                <w:spacing w:val="-4"/>
              </w:rPr>
              <w:t xml:space="preserve"> </w:t>
            </w:r>
            <w:r w:rsidRPr="00C32591">
              <w:rPr>
                <w:b/>
                <w:bCs/>
                <w:spacing w:val="-4"/>
              </w:rPr>
              <w:t xml:space="preserve">celkové tržby ve službách* </w:t>
            </w:r>
            <w:r w:rsidRPr="00C32591">
              <w:rPr>
                <w:spacing w:val="-4"/>
              </w:rPr>
              <w:t>(báze 2015=100, pravá osa),</w:t>
            </w:r>
            <w:r w:rsidRPr="00C32591">
              <w:rPr>
                <w:b/>
                <w:spacing w:val="-4"/>
              </w:rPr>
              <w:t xml:space="preserve"> </w:t>
            </w:r>
            <w:r w:rsidRPr="00C32591">
              <w:rPr>
                <w:b/>
                <w:bCs/>
                <w:spacing w:val="-4"/>
              </w:rPr>
              <w:t>saldo důvěry podnikatelů ve službách**</w:t>
            </w:r>
            <w:r w:rsidRPr="00C32591">
              <w:rPr>
                <w:b/>
                <w:spacing w:val="-4"/>
              </w:rPr>
              <w:t xml:space="preserve"> </w:t>
            </w:r>
            <w:r w:rsidRPr="00C32591">
              <w:rPr>
                <w:spacing w:val="-4"/>
              </w:rPr>
              <w:t>(v p. b., pravá osa)</w:t>
            </w:r>
            <w:r w:rsidRPr="00C32591">
              <w:rPr>
                <w:b/>
                <w:bCs/>
                <w:spacing w:val="-4"/>
              </w:rPr>
              <w:t xml:space="preserve"> a vybrané bariéry růstu**</w:t>
            </w:r>
            <w:r w:rsidRPr="00C32591">
              <w:rPr>
                <w:b/>
                <w:spacing w:val="-4"/>
              </w:rPr>
              <w:t xml:space="preserve"> </w:t>
            </w:r>
            <w:r w:rsidRPr="00C32591">
              <w:rPr>
                <w:spacing w:val="-4"/>
              </w:rPr>
              <w:t xml:space="preserve">(v %, pravá osa) </w:t>
            </w:r>
          </w:p>
        </w:tc>
      </w:tr>
      <w:tr w:rsidR="00D27F07" w14:paraId="2F4B7EAB" w14:textId="77777777" w:rsidTr="00AD035A">
        <w:tblPrEx>
          <w:tblCellMar>
            <w:left w:w="70" w:type="dxa"/>
            <w:right w:w="70" w:type="dxa"/>
          </w:tblCellMar>
        </w:tblPrEx>
        <w:trPr>
          <w:trHeight w:val="170"/>
        </w:trPr>
        <w:tc>
          <w:tcPr>
            <w:tcW w:w="1740" w:type="dxa"/>
            <w:tcBorders>
              <w:top w:val="nil"/>
              <w:left w:val="nil"/>
              <w:bottom w:val="nil"/>
              <w:right w:val="nil"/>
            </w:tcBorders>
            <w:shd w:val="clear" w:color="auto" w:fill="auto"/>
          </w:tcPr>
          <w:p w14:paraId="6955CBBE" w14:textId="77777777" w:rsidR="00D27F07" w:rsidRDefault="00D27F07" w:rsidP="00AD035A">
            <w:pPr>
              <w:pStyle w:val="Marginlie"/>
            </w:pPr>
          </w:p>
        </w:tc>
        <w:tc>
          <w:tcPr>
            <w:tcW w:w="199" w:type="dxa"/>
            <w:tcBorders>
              <w:top w:val="nil"/>
              <w:left w:val="nil"/>
              <w:bottom w:val="nil"/>
              <w:right w:val="nil"/>
            </w:tcBorders>
            <w:shd w:val="clear" w:color="auto" w:fill="auto"/>
          </w:tcPr>
          <w:p w14:paraId="1B762220"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Pr>
          <w:p w14:paraId="1E07E0E5" w14:textId="77777777" w:rsidR="00D27F07" w:rsidRPr="004C1143" w:rsidRDefault="00D27F07" w:rsidP="00AD035A">
            <w:pPr>
              <w:spacing w:after="0"/>
              <w:rPr>
                <w:rFonts w:cs="Arial"/>
                <w:sz w:val="14"/>
                <w:szCs w:val="14"/>
              </w:rPr>
            </w:pPr>
            <w:r>
              <w:rPr>
                <w:noProof/>
              </w:rPr>
              <w:drawing>
                <wp:inline distT="0" distB="0" distL="0" distR="0" wp14:anchorId="232FD54D" wp14:editId="7D16AD95">
                  <wp:extent cx="4794885" cy="3506525"/>
                  <wp:effectExtent l="0" t="0" r="5715"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D27F07" w14:paraId="71F2428A" w14:textId="77777777" w:rsidTr="00AD035A">
        <w:trPr>
          <w:trHeight w:val="170"/>
        </w:trPr>
        <w:tc>
          <w:tcPr>
            <w:tcW w:w="1740" w:type="dxa"/>
            <w:tcBorders>
              <w:top w:val="nil"/>
              <w:left w:val="nil"/>
              <w:bottom w:val="nil"/>
              <w:right w:val="nil"/>
            </w:tcBorders>
            <w:shd w:val="clear" w:color="auto" w:fill="auto"/>
            <w:tcMar>
              <w:left w:w="0" w:type="dxa"/>
            </w:tcMar>
          </w:tcPr>
          <w:p w14:paraId="7E4738EA" w14:textId="77777777" w:rsidR="00D27F07" w:rsidRDefault="00D27F07" w:rsidP="00AD035A">
            <w:pPr>
              <w:pStyle w:val="Marginlie"/>
            </w:pPr>
          </w:p>
        </w:tc>
        <w:tc>
          <w:tcPr>
            <w:tcW w:w="199" w:type="dxa"/>
            <w:tcBorders>
              <w:top w:val="nil"/>
              <w:left w:val="nil"/>
              <w:bottom w:val="nil"/>
              <w:right w:val="nil"/>
            </w:tcBorders>
            <w:shd w:val="clear" w:color="auto" w:fill="auto"/>
            <w:tcMar>
              <w:left w:w="0" w:type="dxa"/>
            </w:tcMar>
          </w:tcPr>
          <w:p w14:paraId="0D5F5E33"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1EAD814D" w14:textId="77777777" w:rsidR="00D27F07" w:rsidRPr="00C32591" w:rsidRDefault="00D27F07" w:rsidP="00AD035A">
            <w:pPr>
              <w:spacing w:after="0" w:line="240" w:lineRule="auto"/>
              <w:rPr>
                <w:rFonts w:cs="Arial"/>
                <w:spacing w:val="-4"/>
                <w:sz w:val="14"/>
                <w:szCs w:val="14"/>
              </w:rPr>
            </w:pPr>
            <w:r w:rsidRPr="00C32591">
              <w:rPr>
                <w:rFonts w:cs="Arial"/>
                <w:spacing w:val="-4"/>
                <w:sz w:val="14"/>
                <w:szCs w:val="14"/>
              </w:rPr>
              <w:t>Poznámka: všechny údaje jsou sezónně očištěny, pouze příspěvky dílčích odvětví k růstu tržeb jsou očištěny jen o kalendářní vlivy.</w:t>
            </w:r>
          </w:p>
          <w:p w14:paraId="01463859" w14:textId="77777777" w:rsidR="00D27F07" w:rsidRPr="00C32591" w:rsidRDefault="00D27F07" w:rsidP="00AD035A">
            <w:pPr>
              <w:spacing w:after="0" w:line="240" w:lineRule="auto"/>
              <w:rPr>
                <w:rFonts w:cs="Arial"/>
                <w:sz w:val="14"/>
                <w:szCs w:val="14"/>
              </w:rPr>
            </w:pPr>
            <w:r w:rsidRPr="00C32591">
              <w:rPr>
                <w:rFonts w:cs="Arial"/>
                <w:sz w:val="14"/>
                <w:szCs w:val="14"/>
              </w:rPr>
              <w:t>*Bez odvětví obchodu, peněžnictví, pojišťovnictví, vědy, výzkumu a veřejných služeb.</w:t>
            </w:r>
          </w:p>
          <w:p w14:paraId="7DEC6BD8" w14:textId="77777777" w:rsidR="00D27F07" w:rsidRPr="004C1143" w:rsidRDefault="00D27F07" w:rsidP="00AD035A">
            <w:pPr>
              <w:spacing w:after="200" w:line="240" w:lineRule="auto"/>
              <w:rPr>
                <w:rFonts w:cs="Arial"/>
                <w:sz w:val="14"/>
                <w:szCs w:val="14"/>
              </w:rPr>
            </w:pPr>
            <w:r w:rsidRPr="00052ADA">
              <w:rPr>
                <w:rFonts w:cs="Arial"/>
                <w:sz w:val="14"/>
                <w:szCs w:val="14"/>
              </w:rPr>
              <w:t>.**</w:t>
            </w:r>
            <w:r w:rsidRPr="00052ADA">
              <w:rPr>
                <w:rFonts w:cs="Arial"/>
                <w:spacing w:val="-2"/>
                <w:sz w:val="14"/>
                <w:szCs w:val="14"/>
              </w:rPr>
              <w:t>Zahrnuje i finanční sektor. Saldo důvěry podnikatelů i barié</w:t>
            </w:r>
            <w:r>
              <w:rPr>
                <w:rFonts w:cs="Arial"/>
                <w:spacing w:val="-2"/>
                <w:sz w:val="14"/>
                <w:szCs w:val="14"/>
              </w:rPr>
              <w:t xml:space="preserve">ry růstu </w:t>
            </w:r>
            <w:r w:rsidRPr="00052ADA">
              <w:rPr>
                <w:rFonts w:cs="Arial"/>
                <w:spacing w:val="-2"/>
                <w:sz w:val="14"/>
                <w:szCs w:val="14"/>
              </w:rPr>
              <w:t xml:space="preserve">vyjadřují stav v prvním (bariéry růstu), resp. ve druhém měsíci daného čtvrtletí (saldo důvěry). </w:t>
            </w:r>
            <w:r w:rsidRPr="00052ADA">
              <w:rPr>
                <w:rFonts w:cs="Arial"/>
                <w:sz w:val="14"/>
                <w:szCs w:val="14"/>
              </w:rPr>
              <w:t>Podniky mohly uvést více hlavních bariér současně.</w:t>
            </w:r>
            <w:r>
              <w:rPr>
                <w:rFonts w:cs="Arial"/>
                <w:sz w:val="14"/>
                <w:szCs w:val="14"/>
              </w:rPr>
              <w:t xml:space="preserve">                     </w:t>
            </w:r>
            <w:r w:rsidRPr="00052ADA">
              <w:rPr>
                <w:rFonts w:cs="Arial"/>
                <w:sz w:val="14"/>
                <w:szCs w:val="14"/>
              </w:rPr>
              <w:t xml:space="preserve">    Zdroj: ČSÚ, Eurostat</w:t>
            </w:r>
          </w:p>
        </w:tc>
      </w:tr>
      <w:tr w:rsidR="00D27F07" w14:paraId="623E2681" w14:textId="77777777" w:rsidTr="00AD035A">
        <w:trPr>
          <w:trHeight w:val="170"/>
        </w:trPr>
        <w:tc>
          <w:tcPr>
            <w:tcW w:w="1740" w:type="dxa"/>
            <w:tcBorders>
              <w:top w:val="nil"/>
              <w:left w:val="nil"/>
              <w:bottom w:val="nil"/>
              <w:right w:val="nil"/>
            </w:tcBorders>
            <w:shd w:val="clear" w:color="auto" w:fill="auto"/>
            <w:tcMar>
              <w:left w:w="0" w:type="dxa"/>
            </w:tcMar>
          </w:tcPr>
          <w:p w14:paraId="75EFA449" w14:textId="77777777" w:rsidR="00D27F07" w:rsidRDefault="00D27F07" w:rsidP="00AD035A">
            <w:pPr>
              <w:pStyle w:val="Marginlie"/>
            </w:pPr>
            <w:r>
              <w:lastRenderedPageBreak/>
              <w:t xml:space="preserve">Většina služeb v rámci administrativních </w:t>
            </w:r>
            <w:r>
              <w:br/>
              <w:t>a podpůrných činností čelila cyklickému útlumu poptávky.</w:t>
            </w:r>
          </w:p>
          <w:p w14:paraId="057E83FA" w14:textId="77777777" w:rsidR="00D27F07" w:rsidRDefault="00D27F07" w:rsidP="00AD035A">
            <w:pPr>
              <w:pStyle w:val="Marginlie"/>
            </w:pPr>
          </w:p>
          <w:p w14:paraId="6199C03F" w14:textId="77777777" w:rsidR="00D27F07" w:rsidRDefault="00D27F07" w:rsidP="00AD035A">
            <w:pPr>
              <w:pStyle w:val="Marginlie"/>
            </w:pPr>
          </w:p>
          <w:p w14:paraId="62711417" w14:textId="77777777" w:rsidR="00D27F07" w:rsidRDefault="00D27F07" w:rsidP="00AD035A">
            <w:pPr>
              <w:pStyle w:val="Marginlie"/>
            </w:pPr>
          </w:p>
          <w:p w14:paraId="271CA314" w14:textId="77777777" w:rsidR="00D27F07" w:rsidRDefault="00D27F07" w:rsidP="00AD035A">
            <w:pPr>
              <w:pStyle w:val="Marginlie"/>
            </w:pPr>
          </w:p>
          <w:p w14:paraId="10A8FF40" w14:textId="77777777" w:rsidR="00D27F07" w:rsidRDefault="00D27F07" w:rsidP="00AD035A">
            <w:pPr>
              <w:pStyle w:val="Marginlie"/>
            </w:pPr>
            <w:r>
              <w:t>Poptávka po sofistikovanějších podnikových službách zůstávala dosud relativně stabilní.</w:t>
            </w:r>
          </w:p>
        </w:tc>
        <w:tc>
          <w:tcPr>
            <w:tcW w:w="199" w:type="dxa"/>
            <w:tcBorders>
              <w:top w:val="nil"/>
              <w:left w:val="nil"/>
              <w:bottom w:val="nil"/>
              <w:right w:val="nil"/>
            </w:tcBorders>
            <w:shd w:val="clear" w:color="auto" w:fill="auto"/>
            <w:tcMar>
              <w:left w:w="0" w:type="dxa"/>
            </w:tcMar>
          </w:tcPr>
          <w:p w14:paraId="3E54EA94" w14:textId="77777777" w:rsidR="00D27F07" w:rsidRPr="001844FE" w:rsidRDefault="00D27F07" w:rsidP="00AD035A">
            <w:pPr>
              <w:pStyle w:val="Textpoznpodarou"/>
              <w:jc w:val="both"/>
              <w:rPr>
                <w:spacing w:val="-6"/>
              </w:rPr>
            </w:pPr>
          </w:p>
        </w:tc>
        <w:tc>
          <w:tcPr>
            <w:tcW w:w="7700" w:type="dxa"/>
            <w:tcBorders>
              <w:top w:val="nil"/>
              <w:left w:val="nil"/>
              <w:bottom w:val="nil"/>
              <w:right w:val="nil"/>
            </w:tcBorders>
            <w:shd w:val="clear" w:color="auto" w:fill="auto"/>
            <w:tcMar>
              <w:left w:w="0" w:type="dxa"/>
            </w:tcMar>
          </w:tcPr>
          <w:p w14:paraId="5AB80FAC" w14:textId="77777777" w:rsidR="00D27F07" w:rsidRPr="00583B84" w:rsidRDefault="00D27F07" w:rsidP="00AD035A">
            <w:pPr>
              <w:spacing w:after="200"/>
              <w:rPr>
                <w:rFonts w:cs="Arial"/>
                <w:color w:val="0D0D0D" w:themeColor="text1" w:themeTint="F2"/>
                <w:spacing w:val="-2"/>
              </w:rPr>
            </w:pPr>
            <w:r w:rsidRPr="00583B84">
              <w:rPr>
                <w:rFonts w:cs="Arial"/>
                <w:color w:val="0D0D0D" w:themeColor="text1" w:themeTint="F2"/>
                <w:spacing w:val="-2"/>
              </w:rPr>
              <w:t>Se slabší poptávkou se potýkalo i odvětví administrativních a podpůrných činností, kde letos tržby oproti 1. pololetí 2022 klesly o 2,4 %. Stály za tím zejména pracovní agentury, kde tržby propadly o 12,1 % (za dva roky dokonce o 21,8 %). Poptávka klesla i v dalších aktivitách citlivě reagujících na hospodářský cyklus (např. u pronájmu a</w:t>
            </w:r>
            <w:r w:rsidRPr="00583B84">
              <w:rPr>
                <w:color w:val="0D0D0D" w:themeColor="text1" w:themeTint="F2"/>
                <w:spacing w:val="-2"/>
              </w:rPr>
              <w:t> </w:t>
            </w:r>
            <w:r w:rsidRPr="00583B84">
              <w:rPr>
                <w:rFonts w:cs="Arial"/>
                <w:color w:val="0D0D0D" w:themeColor="text1" w:themeTint="F2"/>
                <w:spacing w:val="-2"/>
              </w:rPr>
              <w:t>operativního leasingu – zejména strojů a zařízení), méně stržily i firmy v oblasti bezpečnostních a</w:t>
            </w:r>
            <w:r>
              <w:rPr>
                <w:rFonts w:cs="Arial"/>
                <w:color w:val="0D0D0D" w:themeColor="text1" w:themeTint="F2"/>
                <w:spacing w:val="-2"/>
              </w:rPr>
              <w:t> </w:t>
            </w:r>
            <w:r w:rsidRPr="00583B84">
              <w:rPr>
                <w:rFonts w:cs="Arial"/>
                <w:color w:val="0D0D0D" w:themeColor="text1" w:themeTint="F2"/>
                <w:spacing w:val="-2"/>
              </w:rPr>
              <w:t>pátracích činností. Lépe se vedlo cestovním agenturám a kancelářím, kde tržby (díky příznivému vývoji v jarních měsících) za celé pololetí mírně vzrostly (+3,5 %). Část podnikových služeb, zejména těch vyznačujících se vyšší</w:t>
            </w:r>
            <w:r>
              <w:rPr>
                <w:rFonts w:cs="Arial"/>
                <w:color w:val="0D0D0D" w:themeColor="text1" w:themeTint="F2"/>
                <w:spacing w:val="-2"/>
              </w:rPr>
              <w:t>mi</w:t>
            </w:r>
            <w:r w:rsidRPr="00583B84">
              <w:rPr>
                <w:rFonts w:cs="Arial"/>
                <w:color w:val="0D0D0D" w:themeColor="text1" w:themeTint="F2"/>
                <w:spacing w:val="-2"/>
              </w:rPr>
              <w:t xml:space="preserve"> nároky na kvalifikovanou pracovní sílu, se však stále těšila relativně stabilní poptávce. V odvětví profesní, vědecké a technické činnosti tak v 1. pololetí tržby vzrostly meziročně o 3,2 %. Byly taženy hlavně právními a účetnickými činnostmi (+6,4 %), v těsném závěsu pak architektonickými </w:t>
            </w:r>
            <w:r>
              <w:rPr>
                <w:rFonts w:cs="Arial"/>
                <w:color w:val="0D0D0D" w:themeColor="text1" w:themeTint="F2"/>
                <w:spacing w:val="-2"/>
              </w:rPr>
              <w:br/>
            </w:r>
            <w:r w:rsidRPr="00583B84">
              <w:rPr>
                <w:rFonts w:cs="Arial"/>
                <w:color w:val="0D0D0D" w:themeColor="text1" w:themeTint="F2"/>
                <w:spacing w:val="-2"/>
              </w:rPr>
              <w:t xml:space="preserve">a inženýrskými činnostmi (+3,3 %). Poptávka po poradenství v oblasti řízení se zvyšovala třetí rok v řadě. Po loňském snížení letos mírně posílily tržby v oblasti reklamy, u průzkumu trhu a veřejného mínění ovšem pokles poptávky přetrvával. </w:t>
            </w:r>
          </w:p>
        </w:tc>
      </w:tr>
      <w:tr w:rsidR="00D27F07" w14:paraId="43C56705" w14:textId="77777777" w:rsidTr="00AD035A">
        <w:trPr>
          <w:trHeight w:val="170"/>
        </w:trPr>
        <w:tc>
          <w:tcPr>
            <w:tcW w:w="1740" w:type="dxa"/>
            <w:tcBorders>
              <w:top w:val="nil"/>
              <w:left w:val="nil"/>
              <w:bottom w:val="nil"/>
              <w:right w:val="nil"/>
            </w:tcBorders>
            <w:shd w:val="clear" w:color="auto" w:fill="auto"/>
            <w:tcMar>
              <w:left w:w="0" w:type="dxa"/>
            </w:tcMar>
          </w:tcPr>
          <w:p w14:paraId="055807B8" w14:textId="77777777" w:rsidR="00D27F07" w:rsidRDefault="00D27F07" w:rsidP="00AD035A">
            <w:pPr>
              <w:pStyle w:val="Marginlie"/>
            </w:pPr>
            <w:r>
              <w:t>Mezikvartální pokles maloobchodních tržeb pokračoval sedmé čtvrtletí v řadě.</w:t>
            </w:r>
          </w:p>
          <w:p w14:paraId="1D2CE40E" w14:textId="77777777" w:rsidR="00D27F07" w:rsidRDefault="00D27F07" w:rsidP="00AD035A">
            <w:pPr>
              <w:pStyle w:val="Marginlie"/>
            </w:pPr>
          </w:p>
          <w:p w14:paraId="5E35A821" w14:textId="77777777" w:rsidR="00D27F07" w:rsidRDefault="00D27F07" w:rsidP="00AD035A">
            <w:pPr>
              <w:pStyle w:val="Marginlie"/>
            </w:pPr>
          </w:p>
          <w:p w14:paraId="4B7FD8EC" w14:textId="77777777" w:rsidR="00D27F07" w:rsidRDefault="00D27F07" w:rsidP="00AD035A">
            <w:pPr>
              <w:pStyle w:val="Marginlie"/>
            </w:pPr>
          </w:p>
          <w:p w14:paraId="02B1B4E6" w14:textId="77777777" w:rsidR="00D27F07" w:rsidRDefault="00D27F07" w:rsidP="00AD035A">
            <w:pPr>
              <w:pStyle w:val="Marginlie"/>
            </w:pPr>
          </w:p>
          <w:p w14:paraId="767582E4" w14:textId="77777777" w:rsidR="00D27F07" w:rsidRDefault="00D27F07" w:rsidP="00AD035A">
            <w:pPr>
              <w:pStyle w:val="Marginlie"/>
            </w:pPr>
          </w:p>
          <w:p w14:paraId="152B4C89" w14:textId="77777777" w:rsidR="00D27F07" w:rsidRDefault="00D27F07" w:rsidP="00AD035A">
            <w:pPr>
              <w:pStyle w:val="Marginlie"/>
            </w:pPr>
          </w:p>
          <w:p w14:paraId="3923D6F2" w14:textId="77777777" w:rsidR="00D27F07" w:rsidRDefault="00D27F07" w:rsidP="00AD035A">
            <w:pPr>
              <w:pStyle w:val="Marginlie"/>
            </w:pPr>
            <w:r>
              <w:t>Pesimismus tuzemských domácností se od loňského srpna snížil, lidé však zůstali velmi obezřetní v oblasti plánování velkých nákupů.</w:t>
            </w:r>
          </w:p>
        </w:tc>
        <w:tc>
          <w:tcPr>
            <w:tcW w:w="199" w:type="dxa"/>
            <w:tcBorders>
              <w:top w:val="nil"/>
              <w:left w:val="nil"/>
              <w:bottom w:val="nil"/>
              <w:right w:val="nil"/>
            </w:tcBorders>
            <w:shd w:val="clear" w:color="auto" w:fill="auto"/>
            <w:tcMar>
              <w:left w:w="0" w:type="dxa"/>
            </w:tcMar>
          </w:tcPr>
          <w:p w14:paraId="2EF9DE14" w14:textId="77777777" w:rsidR="00D27F07" w:rsidRPr="001844FE" w:rsidRDefault="00D27F07" w:rsidP="00AD035A">
            <w:pPr>
              <w:pStyle w:val="Textpoznpodarou"/>
              <w:jc w:val="both"/>
              <w:rPr>
                <w:spacing w:val="-6"/>
              </w:rPr>
            </w:pPr>
          </w:p>
        </w:tc>
        <w:tc>
          <w:tcPr>
            <w:tcW w:w="7700" w:type="dxa"/>
            <w:tcBorders>
              <w:top w:val="nil"/>
              <w:left w:val="nil"/>
              <w:bottom w:val="nil"/>
              <w:right w:val="nil"/>
            </w:tcBorders>
            <w:shd w:val="clear" w:color="auto" w:fill="auto"/>
            <w:tcMar>
              <w:left w:w="0" w:type="dxa"/>
            </w:tcMar>
          </w:tcPr>
          <w:p w14:paraId="42C968C7" w14:textId="77777777" w:rsidR="00D27F07" w:rsidRPr="00583B84" w:rsidRDefault="00D27F07" w:rsidP="00AD035A">
            <w:pPr>
              <w:spacing w:after="200"/>
              <w:rPr>
                <w:rFonts w:cs="Arial"/>
                <w:color w:val="0D0D0D" w:themeColor="text1" w:themeTint="F2"/>
              </w:rPr>
            </w:pPr>
            <w:r w:rsidRPr="00583B84">
              <w:rPr>
                <w:rFonts w:cs="Arial"/>
                <w:color w:val="0D0D0D" w:themeColor="text1" w:themeTint="F2"/>
                <w:szCs w:val="20"/>
              </w:rPr>
              <w:t>Tržby v odvětví maloobchodu</w:t>
            </w:r>
            <w:r w:rsidRPr="00583B84">
              <w:rPr>
                <w:rStyle w:val="Znakapoznpodarou"/>
                <w:color w:val="0D0D0D" w:themeColor="text1" w:themeTint="F2"/>
              </w:rPr>
              <w:footnoteReference w:id="39"/>
            </w:r>
            <w:r w:rsidRPr="00583B84">
              <w:rPr>
                <w:rFonts w:cs="Arial"/>
                <w:color w:val="0D0D0D" w:themeColor="text1" w:themeTint="F2"/>
                <w:szCs w:val="20"/>
              </w:rPr>
              <w:t xml:space="preserve"> pokračovaly v dlouhodobějším sestupném trendu. Na počátku letošního roku se mezikvartálně snížily o 0,4 %, ve 2. čtvrtletí se následně pokles prohloubil na 1,1 %. Mezičtvrtletní útlum poptávky v maloobchodu tak pokračoval sedmý kvartál v řadě a z velké části kopíroval trend celkových výdajů domácností na konečnou spotřebu. Jediným významným segmentem maloobchodu, ve kterém se v posledních čtvrtletích pokles poptávky neprojevoval, byl prodej pohonných hmot. </w:t>
            </w:r>
            <w:r w:rsidRPr="00583B84">
              <w:rPr>
                <w:rFonts w:cs="Arial"/>
                <w:color w:val="0D0D0D" w:themeColor="text1" w:themeTint="F2"/>
              </w:rPr>
              <w:t>Přispěl k tomu příznivý vývoj cen pro motoristy (podpořený také dočasně zavedenou nižší sazbou spotřební daně u motorové nafty). Vývoj celého maloobchodu úzce souvisel s přetrvávajícím negativním sentimentem tuzemských spotřebitelů.</w:t>
            </w:r>
            <w:r>
              <w:rPr>
                <w:rFonts w:cs="Arial"/>
                <w:color w:val="0D0D0D" w:themeColor="text1" w:themeTint="F2"/>
              </w:rPr>
              <w:t xml:space="preserve"> </w:t>
            </w:r>
            <w:r w:rsidRPr="00583B84">
              <w:rPr>
                <w:rFonts w:cs="Arial"/>
                <w:color w:val="0D0D0D" w:themeColor="text1" w:themeTint="F2"/>
              </w:rPr>
              <w:t>V posledních měsících je však možné pozorovat dílčí snižování pesimismu domácností</w:t>
            </w:r>
            <w:r w:rsidRPr="00583B84">
              <w:rPr>
                <w:rStyle w:val="Znakapoznpodarou"/>
                <w:color w:val="0D0D0D" w:themeColor="text1" w:themeTint="F2"/>
              </w:rPr>
              <w:footnoteReference w:id="40"/>
            </w:r>
            <w:r w:rsidRPr="00583B84">
              <w:rPr>
                <w:rFonts w:cs="Arial"/>
                <w:color w:val="0D0D0D" w:themeColor="text1" w:themeTint="F2"/>
              </w:rPr>
              <w:t>. Obavy lidí z cenového růstu se letos během jara z velké části rozpustily a strach z nezaměstnanosti již současně významně nepřevyšoval dlouhodobý průměr. Většina domácnost</w:t>
            </w:r>
            <w:r>
              <w:rPr>
                <w:rFonts w:cs="Arial"/>
                <w:color w:val="0D0D0D" w:themeColor="text1" w:themeTint="F2"/>
              </w:rPr>
              <w:t>í</w:t>
            </w:r>
            <w:r w:rsidRPr="00583B84">
              <w:rPr>
                <w:rFonts w:cs="Arial"/>
                <w:color w:val="0D0D0D" w:themeColor="text1" w:themeTint="F2"/>
              </w:rPr>
              <w:t xml:space="preserve"> nicméně stále očekávala, že jejich finanční situace, podobně jako celková hospodářská situace v Česku, se v nejbližších dvanácti měsících zhorší. Lidé proto stále </w:t>
            </w:r>
            <w:r w:rsidRPr="00583B84">
              <w:rPr>
                <w:rFonts w:cs="Arial"/>
                <w:color w:val="0D0D0D" w:themeColor="text1" w:themeTint="F2"/>
                <w:szCs w:val="20"/>
              </w:rPr>
              <w:t>zůstávali dosti opatrní v oblasti plánování velkých nákupů (zejména zboží dlouhodobé spotřeby či investic</w:t>
            </w:r>
            <w:r>
              <w:rPr>
                <w:rFonts w:cs="Arial"/>
                <w:color w:val="0D0D0D" w:themeColor="text1" w:themeTint="F2"/>
                <w:szCs w:val="20"/>
              </w:rPr>
              <w:t>)</w:t>
            </w:r>
            <w:r w:rsidRPr="00583B84">
              <w:rPr>
                <w:rFonts w:cs="Arial"/>
                <w:color w:val="0D0D0D" w:themeColor="text1" w:themeTint="F2"/>
                <w:szCs w:val="20"/>
              </w:rPr>
              <w:t>. Větším optimismem již nehýřili ani podnikatelé</w:t>
            </w:r>
            <w:r>
              <w:rPr>
                <w:rFonts w:cs="Arial"/>
                <w:color w:val="0D0D0D" w:themeColor="text1" w:themeTint="F2"/>
                <w:szCs w:val="20"/>
              </w:rPr>
              <w:t xml:space="preserve"> </w:t>
            </w:r>
            <w:r w:rsidRPr="00583B84">
              <w:rPr>
                <w:rFonts w:cs="Arial"/>
                <w:color w:val="0D0D0D" w:themeColor="text1" w:themeTint="F2"/>
                <w:szCs w:val="20"/>
              </w:rPr>
              <w:t xml:space="preserve">v obchodu. Zatímco letos </w:t>
            </w:r>
            <w:r>
              <w:rPr>
                <w:rFonts w:cs="Arial"/>
                <w:color w:val="0D0D0D" w:themeColor="text1" w:themeTint="F2"/>
                <w:szCs w:val="20"/>
              </w:rPr>
              <w:t xml:space="preserve">na </w:t>
            </w:r>
            <w:r w:rsidRPr="00583B84">
              <w:rPr>
                <w:rFonts w:cs="Arial"/>
                <w:color w:val="0D0D0D" w:themeColor="text1" w:themeTint="F2"/>
                <w:szCs w:val="20"/>
              </w:rPr>
              <w:t>jaře se jejich důvěra pohybovala blízko dlouhodobého průměru, v srpnu jejich důvěra výrazně oslabila</w:t>
            </w:r>
            <w:r w:rsidRPr="00583B84">
              <w:rPr>
                <w:rStyle w:val="Znakapoznpodarou"/>
                <w:color w:val="0D0D0D" w:themeColor="text1" w:themeTint="F2"/>
                <w:szCs w:val="20"/>
              </w:rPr>
              <w:footnoteReference w:id="41"/>
            </w:r>
            <w:r w:rsidRPr="00583B84">
              <w:rPr>
                <w:rFonts w:cs="Arial"/>
                <w:color w:val="0D0D0D" w:themeColor="text1" w:themeTint="F2"/>
                <w:szCs w:val="20"/>
              </w:rPr>
              <w:t xml:space="preserve">. Dílčí pozitivní vliv na vývoj maloobchodu má rostoucí počet spotřebitelů (vlivem příchodu uprchlíků z Ukrajiny </w:t>
            </w:r>
            <w:r w:rsidRPr="00882A24">
              <w:t>i</w:t>
            </w:r>
            <w:r>
              <w:t> </w:t>
            </w:r>
            <w:r w:rsidRPr="00882A24">
              <w:t>pokračujícího</w:t>
            </w:r>
            <w:r w:rsidRPr="00583B84">
              <w:rPr>
                <w:rFonts w:cs="Arial"/>
                <w:color w:val="0D0D0D" w:themeColor="text1" w:themeTint="F2"/>
                <w:szCs w:val="20"/>
              </w:rPr>
              <w:t xml:space="preserve"> zotavování turismu), naopak negativně patrně působí stále častější výjezdy tuzemských domácnost</w:t>
            </w:r>
            <w:r>
              <w:rPr>
                <w:rFonts w:cs="Arial"/>
                <w:color w:val="0D0D0D" w:themeColor="text1" w:themeTint="F2"/>
                <w:szCs w:val="20"/>
              </w:rPr>
              <w:t>í</w:t>
            </w:r>
            <w:r w:rsidRPr="00583B84">
              <w:rPr>
                <w:rFonts w:cs="Arial"/>
                <w:color w:val="0D0D0D" w:themeColor="text1" w:themeTint="F2"/>
                <w:szCs w:val="20"/>
              </w:rPr>
              <w:t xml:space="preserve"> za přeshraničními nákupy.  </w:t>
            </w:r>
          </w:p>
        </w:tc>
      </w:tr>
      <w:tr w:rsidR="00D27F07" w14:paraId="2FA5B3DB" w14:textId="77777777" w:rsidTr="00AD035A">
        <w:trPr>
          <w:trHeight w:val="170"/>
        </w:trPr>
        <w:tc>
          <w:tcPr>
            <w:tcW w:w="1740" w:type="dxa"/>
            <w:tcBorders>
              <w:top w:val="nil"/>
              <w:left w:val="nil"/>
              <w:bottom w:val="nil"/>
              <w:right w:val="nil"/>
            </w:tcBorders>
            <w:shd w:val="clear" w:color="auto" w:fill="auto"/>
            <w:tcMar>
              <w:left w:w="0" w:type="dxa"/>
            </w:tcMar>
          </w:tcPr>
          <w:p w14:paraId="070E04A9" w14:textId="77777777" w:rsidR="00D27F07" w:rsidRDefault="00D27F07" w:rsidP="00AD035A">
            <w:pPr>
              <w:pStyle w:val="Marginlie"/>
            </w:pPr>
            <w:r>
              <w:t>Za hlubokým meziročním poklesem celého maloobchodu stály nižší tržby za nepotravinářské zboží. Slabší poptávku pocítily takřka všechny sortimentní skupiny.</w:t>
            </w:r>
          </w:p>
          <w:p w14:paraId="3FD572B4" w14:textId="77777777" w:rsidR="00D27F07" w:rsidRDefault="00D27F07" w:rsidP="00AD035A">
            <w:pPr>
              <w:pStyle w:val="Marginlie"/>
            </w:pPr>
            <w:r>
              <w:t>.</w:t>
            </w:r>
          </w:p>
        </w:tc>
        <w:tc>
          <w:tcPr>
            <w:tcW w:w="199" w:type="dxa"/>
            <w:tcBorders>
              <w:top w:val="nil"/>
              <w:left w:val="nil"/>
              <w:bottom w:val="nil"/>
              <w:right w:val="nil"/>
            </w:tcBorders>
            <w:shd w:val="clear" w:color="auto" w:fill="auto"/>
            <w:tcMar>
              <w:left w:w="0" w:type="dxa"/>
            </w:tcMar>
          </w:tcPr>
          <w:p w14:paraId="7A9E3CC7"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238E92E2" w14:textId="77777777" w:rsidR="00D27F07" w:rsidRPr="00583B84" w:rsidRDefault="00D27F07" w:rsidP="00AD035A">
            <w:pPr>
              <w:spacing w:after="200"/>
              <w:rPr>
                <w:rFonts w:cs="Arial"/>
                <w:color w:val="0D0D0D" w:themeColor="text1" w:themeTint="F2"/>
                <w:szCs w:val="20"/>
              </w:rPr>
            </w:pPr>
            <w:r w:rsidRPr="00583B84">
              <w:rPr>
                <w:rFonts w:cs="Arial"/>
                <w:color w:val="0D0D0D" w:themeColor="text1" w:themeTint="F2"/>
                <w:szCs w:val="20"/>
              </w:rPr>
              <w:t xml:space="preserve"> Za 1. pololetí 2023 maloobchodní tržby meziročně propadly o rovných 7 %. Celé odvětví táhl dolů zejména segment nepotravinářského zboží (</w:t>
            </w:r>
            <w:r>
              <w:rPr>
                <w:rFonts w:cs="Arial"/>
                <w:color w:val="0D0D0D" w:themeColor="text1" w:themeTint="F2"/>
                <w:szCs w:val="20"/>
              </w:rPr>
              <w:t>−</w:t>
            </w:r>
            <w:r w:rsidRPr="00583B84">
              <w:rPr>
                <w:rFonts w:cs="Arial"/>
                <w:color w:val="0D0D0D" w:themeColor="text1" w:themeTint="F2"/>
                <w:szCs w:val="20"/>
              </w:rPr>
              <w:t xml:space="preserve">8,8 %, příspěvek </w:t>
            </w:r>
            <w:r>
              <w:rPr>
                <w:rFonts w:cs="Arial"/>
                <w:color w:val="0D0D0D" w:themeColor="text1" w:themeTint="F2"/>
                <w:szCs w:val="20"/>
              </w:rPr>
              <w:t>−</w:t>
            </w:r>
            <w:r w:rsidRPr="00583B84">
              <w:rPr>
                <w:rFonts w:cs="Arial"/>
                <w:color w:val="0D0D0D" w:themeColor="text1" w:themeTint="F2"/>
                <w:szCs w:val="20"/>
              </w:rPr>
              <w:t>4,6 p. b.). V něm se nejvíce projevil více než 16%</w:t>
            </w:r>
            <w:r w:rsidRPr="00583B84">
              <w:rPr>
                <w:rStyle w:val="normaltextrun"/>
                <w:rFonts w:eastAsia="MS Gothic" w:cs="Arial"/>
                <w:szCs w:val="20"/>
              </w:rPr>
              <w:t xml:space="preserve"> propad tržeb za výrobky převážně pro domácnost (zahrnující hlavně železářské zboží, barvy, sklo, potřeby pro kutily, elektro, nábytek a svítidla). P</w:t>
            </w:r>
            <w:r w:rsidRPr="00583B84">
              <w:rPr>
                <w:rFonts w:cs="Arial"/>
                <w:color w:val="0D0D0D" w:themeColor="text1" w:themeTint="F2"/>
                <w:szCs w:val="20"/>
              </w:rPr>
              <w:t>optávka však klesla takřka ve všech sortimentních skupinách, vyjma velmi malého segmentu ostatního maloobchodu v nespecializovaných prodejnách (zahrnujícího typicky menší provozovny orientované na prodej různorodého drobné</w:t>
            </w:r>
            <w:r>
              <w:rPr>
                <w:rFonts w:cs="Arial"/>
                <w:color w:val="0D0D0D" w:themeColor="text1" w:themeTint="F2"/>
                <w:szCs w:val="20"/>
              </w:rPr>
              <w:t>ho</w:t>
            </w:r>
            <w:r w:rsidRPr="00583B84">
              <w:rPr>
                <w:rFonts w:cs="Arial"/>
                <w:color w:val="0D0D0D" w:themeColor="text1" w:themeTint="F2"/>
                <w:szCs w:val="20"/>
              </w:rPr>
              <w:t xml:space="preserve"> zboží, zpravidla ve slevových akcích). Jen minimální pokles tržeb ve specializovaných prodejnách nastal u </w:t>
            </w:r>
            <w:r w:rsidRPr="00583B84">
              <w:rPr>
                <w:rStyle w:val="normaltextrun"/>
                <w:rFonts w:eastAsia="MS Gothic" w:cs="Arial"/>
                <w:szCs w:val="20"/>
              </w:rPr>
              <w:t>farmaceutického a zdravotnického zboží (</w:t>
            </w:r>
            <w:r>
              <w:rPr>
                <w:rStyle w:val="normaltextrun"/>
                <w:rFonts w:eastAsia="MS Gothic" w:cs="Arial"/>
                <w:szCs w:val="20"/>
              </w:rPr>
              <w:t>−</w:t>
            </w:r>
            <w:r w:rsidRPr="00583B84">
              <w:rPr>
                <w:rStyle w:val="normaltextrun"/>
                <w:rFonts w:eastAsia="MS Gothic" w:cs="Arial"/>
                <w:szCs w:val="20"/>
              </w:rPr>
              <w:t>0,1 %), kosmetických a toaletních výrobků (</w:t>
            </w:r>
            <w:r>
              <w:rPr>
                <w:rStyle w:val="normaltextrun"/>
                <w:rFonts w:eastAsia="MS Gothic" w:cs="Arial"/>
                <w:szCs w:val="20"/>
              </w:rPr>
              <w:t>−</w:t>
            </w:r>
            <w:r w:rsidRPr="00583B84">
              <w:rPr>
                <w:rStyle w:val="normaltextrun"/>
                <w:rFonts w:eastAsia="MS Gothic" w:cs="Arial"/>
                <w:szCs w:val="20"/>
              </w:rPr>
              <w:t>1,8 %) či počítačového a komunikačního zařízení (</w:t>
            </w:r>
            <w:r>
              <w:rPr>
                <w:rStyle w:val="normaltextrun"/>
                <w:rFonts w:eastAsia="MS Gothic" w:cs="Arial"/>
                <w:szCs w:val="20"/>
              </w:rPr>
              <w:t>−</w:t>
            </w:r>
            <w:r w:rsidRPr="00583B84">
              <w:rPr>
                <w:rStyle w:val="normaltextrun"/>
                <w:rFonts w:eastAsia="MS Gothic" w:cs="Arial"/>
                <w:szCs w:val="20"/>
              </w:rPr>
              <w:t>0,8 %). V těchto oblastech jako v jedněch z m</w:t>
            </w:r>
            <w:r>
              <w:rPr>
                <w:rStyle w:val="normaltextrun"/>
                <w:rFonts w:eastAsia="MS Gothic" w:cs="Arial"/>
                <w:szCs w:val="20"/>
              </w:rPr>
              <w:t>ála</w:t>
            </w:r>
            <w:r w:rsidRPr="00583B84">
              <w:rPr>
                <w:rStyle w:val="normaltextrun"/>
                <w:rFonts w:eastAsia="MS Gothic" w:cs="Arial"/>
                <w:szCs w:val="20"/>
              </w:rPr>
              <w:t xml:space="preserve"> segmentů maloobchodu zároveň poptávka v letošním 1. pololetí převyšovala úroveň z roku 2019.</w:t>
            </w:r>
            <w:r w:rsidRPr="00583B84">
              <w:rPr>
                <w:rFonts w:cs="Arial"/>
                <w:color w:val="0D0D0D" w:themeColor="text1" w:themeTint="F2"/>
              </w:rPr>
              <w:t xml:space="preserve"> To stále platilo i pro </w:t>
            </w:r>
            <w:r w:rsidRPr="00583B84">
              <w:rPr>
                <w:rFonts w:cs="Arial"/>
                <w:color w:val="0D0D0D" w:themeColor="text1" w:themeTint="F2"/>
              </w:rPr>
              <w:lastRenderedPageBreak/>
              <w:t>prodeje prostřednictvím internetu nebo zásilkové služby (+34,3 %), přestože zde tržby v posledních devíti čtvrtletích nepřetržitě mezikvartálně klesaly. Přetrvávající pokles poptávky zaznamenává v posledních čtvrtletích také prodej potravinářského zboží. V 1.</w:t>
            </w:r>
            <w:r>
              <w:rPr>
                <w:rFonts w:cs="Arial"/>
                <w:color w:val="0D0D0D" w:themeColor="text1" w:themeTint="F2"/>
              </w:rPr>
              <w:t> </w:t>
            </w:r>
            <w:r w:rsidRPr="00583B84">
              <w:rPr>
                <w:rFonts w:cs="Arial"/>
                <w:color w:val="0D0D0D" w:themeColor="text1" w:themeTint="F2"/>
              </w:rPr>
              <w:t xml:space="preserve">pololetí zde tržby meziročně propadly o 7,9 % (podobným tempem klesaly ve velkých řetězcích i </w:t>
            </w:r>
            <w:r>
              <w:rPr>
                <w:rFonts w:cs="Arial"/>
                <w:color w:val="0D0D0D" w:themeColor="text1" w:themeTint="F2"/>
              </w:rPr>
              <w:t xml:space="preserve">v </w:t>
            </w:r>
            <w:r w:rsidRPr="00583B84">
              <w:rPr>
                <w:rFonts w:cs="Arial"/>
                <w:color w:val="0D0D0D" w:themeColor="text1" w:themeTint="F2"/>
              </w:rPr>
              <w:t>menších specializovaných prodej</w:t>
            </w:r>
            <w:r>
              <w:rPr>
                <w:rFonts w:cs="Arial"/>
                <w:color w:val="0D0D0D" w:themeColor="text1" w:themeTint="F2"/>
              </w:rPr>
              <w:t>nách</w:t>
            </w:r>
            <w:r w:rsidRPr="00583B84">
              <w:rPr>
                <w:rFonts w:cs="Arial"/>
                <w:color w:val="0D0D0D" w:themeColor="text1" w:themeTint="F2"/>
              </w:rPr>
              <w:t>) a oproti předkrizovému roku 2019 byly nižší o desetinu. Naopak tržby za nepotravinářské zboží se letos stále pohybovaly těsně nad předkrizovou úrovní (+1,7</w:t>
            </w:r>
            <w:r w:rsidRPr="00583B84">
              <w:rPr>
                <w:rStyle w:val="normaltextrun"/>
                <w:rFonts w:eastAsia="MS Gothic" w:cs="Arial"/>
                <w:szCs w:val="20"/>
              </w:rPr>
              <w:t> </w:t>
            </w:r>
            <w:r w:rsidRPr="00583B84">
              <w:rPr>
                <w:rFonts w:cs="Arial"/>
                <w:color w:val="0D0D0D" w:themeColor="text1" w:themeTint="F2"/>
              </w:rPr>
              <w:t>%).</w:t>
            </w:r>
          </w:p>
        </w:tc>
      </w:tr>
      <w:tr w:rsidR="00D27F07" w14:paraId="28318913" w14:textId="77777777" w:rsidTr="00AD035A">
        <w:trPr>
          <w:trHeight w:val="170"/>
        </w:trPr>
        <w:tc>
          <w:tcPr>
            <w:tcW w:w="1740" w:type="dxa"/>
            <w:tcBorders>
              <w:top w:val="nil"/>
              <w:left w:val="nil"/>
              <w:bottom w:val="nil"/>
              <w:right w:val="nil"/>
            </w:tcBorders>
            <w:shd w:val="clear" w:color="auto" w:fill="auto"/>
            <w:tcMar>
              <w:left w:w="0" w:type="dxa"/>
            </w:tcMar>
          </w:tcPr>
          <w:p w14:paraId="02F1A48A" w14:textId="77777777" w:rsidR="00D27F07" w:rsidRPr="00BD3BE9" w:rsidRDefault="00D27F07" w:rsidP="00AD035A">
            <w:pPr>
              <w:pStyle w:val="Marginlie"/>
              <w:rPr>
                <w:color w:val="0D0D0D" w:themeColor="text1" w:themeTint="F2"/>
              </w:rPr>
            </w:pPr>
          </w:p>
        </w:tc>
        <w:tc>
          <w:tcPr>
            <w:tcW w:w="199" w:type="dxa"/>
            <w:tcBorders>
              <w:top w:val="nil"/>
              <w:left w:val="nil"/>
              <w:bottom w:val="nil"/>
              <w:right w:val="nil"/>
            </w:tcBorders>
            <w:shd w:val="clear" w:color="auto" w:fill="auto"/>
            <w:tcMar>
              <w:left w:w="0" w:type="dxa"/>
            </w:tcMar>
          </w:tcPr>
          <w:p w14:paraId="0B41FCA8" w14:textId="77777777" w:rsidR="00D27F07" w:rsidRPr="00BD3BE9" w:rsidRDefault="00D27F07" w:rsidP="00AD035A">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7D866730" w14:textId="77777777" w:rsidR="00D27F07" w:rsidRPr="00C73A63" w:rsidRDefault="00D27F07" w:rsidP="00AD035A">
            <w:pPr>
              <w:spacing w:after="40"/>
              <w:rPr>
                <w:rFonts w:cs="Arial"/>
                <w:color w:val="0D0D0D" w:themeColor="text1" w:themeTint="F2"/>
                <w:spacing w:val="-4"/>
                <w:szCs w:val="20"/>
              </w:rPr>
            </w:pPr>
            <w:r>
              <w:rPr>
                <w:b/>
              </w:rPr>
              <w:t>Graf č. 8</w:t>
            </w:r>
            <w:r w:rsidRPr="00F0005D">
              <w:rPr>
                <w:b/>
              </w:rPr>
              <w:t xml:space="preserve"> </w:t>
            </w:r>
            <w:r w:rsidRPr="004405E2">
              <w:rPr>
                <w:rFonts w:cs="Arial"/>
                <w:b/>
                <w:bCs/>
                <w:color w:val="0D0D0D" w:themeColor="text1" w:themeTint="F2"/>
                <w:spacing w:val="-6"/>
              </w:rPr>
              <w:t xml:space="preserve">Příspěvky dílčích odvětví k meziroční změně tržeb v maloobchodu* </w:t>
            </w:r>
            <w:r w:rsidRPr="004405E2">
              <w:rPr>
                <w:rFonts w:cs="Arial"/>
                <w:color w:val="0D0D0D" w:themeColor="text1" w:themeTint="F2"/>
                <w:spacing w:val="-6"/>
              </w:rPr>
              <w:t xml:space="preserve">(reálně, v p. b.), </w:t>
            </w:r>
            <w:r w:rsidRPr="004405E2">
              <w:rPr>
                <w:rFonts w:cs="Arial"/>
                <w:b/>
                <w:bCs/>
                <w:color w:val="0D0D0D" w:themeColor="text1" w:themeTint="F2"/>
                <w:spacing w:val="-6"/>
              </w:rPr>
              <w:t xml:space="preserve">tržby v maloobchodu a v motoristickém segmentu obchodu** </w:t>
            </w:r>
            <w:r w:rsidRPr="004405E2">
              <w:rPr>
                <w:rFonts w:cs="Arial"/>
                <w:color w:val="0D0D0D" w:themeColor="text1" w:themeTint="F2"/>
                <w:spacing w:val="-6"/>
              </w:rPr>
              <w:t xml:space="preserve">(reálně, úroveň roku 2015=100, pravá osa) </w:t>
            </w:r>
            <w:r w:rsidRPr="004405E2">
              <w:rPr>
                <w:rFonts w:cs="Arial"/>
                <w:b/>
                <w:bCs/>
                <w:color w:val="0D0D0D" w:themeColor="text1" w:themeTint="F2"/>
                <w:spacing w:val="-6"/>
              </w:rPr>
              <w:t xml:space="preserve">a saldo celkové důvěry spotřebitelů*** </w:t>
            </w:r>
            <w:r w:rsidRPr="004405E2">
              <w:rPr>
                <w:rFonts w:cs="Arial"/>
                <w:color w:val="0D0D0D" w:themeColor="text1" w:themeTint="F2"/>
                <w:spacing w:val="-6"/>
              </w:rPr>
              <w:t>(v p. b., pravá osa)</w:t>
            </w:r>
          </w:p>
        </w:tc>
      </w:tr>
      <w:tr w:rsidR="00D27F07" w14:paraId="1FE780B1" w14:textId="77777777" w:rsidTr="00AD035A">
        <w:tblPrEx>
          <w:tblCellMar>
            <w:left w:w="70" w:type="dxa"/>
            <w:right w:w="70" w:type="dxa"/>
          </w:tblCellMar>
        </w:tblPrEx>
        <w:trPr>
          <w:trHeight w:val="170"/>
        </w:trPr>
        <w:tc>
          <w:tcPr>
            <w:tcW w:w="1740" w:type="dxa"/>
            <w:tcBorders>
              <w:top w:val="nil"/>
              <w:left w:val="nil"/>
              <w:bottom w:val="nil"/>
              <w:right w:val="nil"/>
            </w:tcBorders>
            <w:shd w:val="clear" w:color="auto" w:fill="auto"/>
          </w:tcPr>
          <w:p w14:paraId="0F647725" w14:textId="77777777" w:rsidR="00D27F07" w:rsidRDefault="00D27F07" w:rsidP="00AD035A">
            <w:pPr>
              <w:pStyle w:val="Marginlie"/>
            </w:pPr>
          </w:p>
        </w:tc>
        <w:tc>
          <w:tcPr>
            <w:tcW w:w="199" w:type="dxa"/>
            <w:tcBorders>
              <w:top w:val="nil"/>
              <w:left w:val="nil"/>
              <w:bottom w:val="nil"/>
              <w:right w:val="nil"/>
            </w:tcBorders>
            <w:shd w:val="clear" w:color="auto" w:fill="auto"/>
          </w:tcPr>
          <w:p w14:paraId="1C3B86BB"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Pr>
          <w:p w14:paraId="32AC87EE" w14:textId="77777777" w:rsidR="00D27F07" w:rsidRPr="004C1143" w:rsidRDefault="00D27F07" w:rsidP="00AD035A">
            <w:pPr>
              <w:spacing w:after="0"/>
              <w:rPr>
                <w:rFonts w:cs="Arial"/>
                <w:sz w:val="14"/>
                <w:szCs w:val="14"/>
              </w:rPr>
            </w:pPr>
            <w:r>
              <w:rPr>
                <w:noProof/>
              </w:rPr>
              <w:drawing>
                <wp:inline distT="0" distB="0" distL="0" distR="0" wp14:anchorId="6A0E1953" wp14:editId="39EE6A15">
                  <wp:extent cx="4756785" cy="3563718"/>
                  <wp:effectExtent l="0" t="0" r="571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27F07" w14:paraId="41693489" w14:textId="77777777" w:rsidTr="00AD035A">
        <w:trPr>
          <w:trHeight w:val="170"/>
        </w:trPr>
        <w:tc>
          <w:tcPr>
            <w:tcW w:w="1740" w:type="dxa"/>
            <w:tcBorders>
              <w:top w:val="nil"/>
              <w:left w:val="nil"/>
              <w:bottom w:val="nil"/>
              <w:right w:val="nil"/>
            </w:tcBorders>
            <w:shd w:val="clear" w:color="auto" w:fill="auto"/>
            <w:tcMar>
              <w:left w:w="0" w:type="dxa"/>
            </w:tcMar>
          </w:tcPr>
          <w:p w14:paraId="0F40C7DE" w14:textId="77777777" w:rsidR="00D27F07" w:rsidRDefault="00D27F07" w:rsidP="00AD035A">
            <w:pPr>
              <w:pStyle w:val="Marginlie"/>
            </w:pPr>
          </w:p>
        </w:tc>
        <w:tc>
          <w:tcPr>
            <w:tcW w:w="199" w:type="dxa"/>
            <w:tcBorders>
              <w:top w:val="nil"/>
              <w:left w:val="nil"/>
              <w:bottom w:val="nil"/>
              <w:right w:val="nil"/>
            </w:tcBorders>
            <w:shd w:val="clear" w:color="auto" w:fill="auto"/>
            <w:tcMar>
              <w:left w:w="0" w:type="dxa"/>
            </w:tcMar>
          </w:tcPr>
          <w:p w14:paraId="434040A7"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12FD1891" w14:textId="77777777" w:rsidR="00D27F07" w:rsidRPr="00052ADA" w:rsidRDefault="00D27F07" w:rsidP="00AD035A">
            <w:pPr>
              <w:spacing w:after="0" w:line="240" w:lineRule="auto"/>
              <w:rPr>
                <w:rFonts w:cs="Arial"/>
                <w:sz w:val="14"/>
                <w:szCs w:val="14"/>
              </w:rPr>
            </w:pPr>
            <w:r>
              <w:rPr>
                <w:rFonts w:cs="Arial"/>
                <w:color w:val="0D0D0D" w:themeColor="text1" w:themeTint="F2"/>
                <w:spacing w:val="-6"/>
              </w:rPr>
              <w:t>*</w:t>
            </w:r>
            <w:r w:rsidRPr="00052ADA">
              <w:rPr>
                <w:rFonts w:cs="Arial"/>
                <w:sz w:val="14"/>
                <w:szCs w:val="14"/>
              </w:rPr>
              <w:t xml:space="preserve"> Tržby jsou očištěny o kalendářní vlivy.       ** Tržby jsou sezónně i kalendářně očištěny.</w:t>
            </w:r>
          </w:p>
          <w:p w14:paraId="12A43A9C" w14:textId="77777777" w:rsidR="00D27F07" w:rsidRPr="004C1143" w:rsidRDefault="00D27F07" w:rsidP="00AD035A">
            <w:pPr>
              <w:spacing w:after="200"/>
              <w:rPr>
                <w:rFonts w:cs="Arial"/>
                <w:sz w:val="14"/>
                <w:szCs w:val="14"/>
              </w:rPr>
            </w:pPr>
            <w:r>
              <w:rPr>
                <w:rFonts w:cs="Arial"/>
                <w:color w:val="0D0D0D" w:themeColor="text1" w:themeTint="F2"/>
                <w:spacing w:val="-4"/>
                <w:sz w:val="14"/>
                <w:szCs w:val="14"/>
              </w:rPr>
              <w:t>*** Salda důvěry jsou sezónně očištěna a vyjadřují</w:t>
            </w:r>
            <w:r w:rsidRPr="00052ADA">
              <w:rPr>
                <w:rFonts w:cs="Arial"/>
                <w:color w:val="0D0D0D" w:themeColor="text1" w:themeTint="F2"/>
                <w:spacing w:val="-4"/>
                <w:sz w:val="14"/>
                <w:szCs w:val="14"/>
              </w:rPr>
              <w:t xml:space="preserve"> stav ve druhém měs</w:t>
            </w:r>
            <w:r>
              <w:rPr>
                <w:rFonts w:cs="Arial"/>
                <w:color w:val="0D0D0D" w:themeColor="text1" w:themeTint="F2"/>
                <w:spacing w:val="-4"/>
                <w:sz w:val="14"/>
                <w:szCs w:val="14"/>
              </w:rPr>
              <w:t>íci daného čtvrtletí.</w:t>
            </w:r>
            <w:r>
              <w:rPr>
                <w:rFonts w:cs="Arial"/>
                <w:color w:val="0D0D0D" w:themeColor="text1" w:themeTint="F2"/>
                <w:spacing w:val="-4"/>
                <w:sz w:val="14"/>
                <w:szCs w:val="14"/>
              </w:rPr>
              <w:tab/>
              <w:t xml:space="preserve">      </w:t>
            </w:r>
            <w:r w:rsidRPr="00052ADA">
              <w:rPr>
                <w:rFonts w:cs="Arial"/>
                <w:color w:val="0D0D0D" w:themeColor="text1" w:themeTint="F2"/>
                <w:spacing w:val="-4"/>
                <w:sz w:val="14"/>
                <w:szCs w:val="14"/>
              </w:rPr>
              <w:t xml:space="preserve">       </w:t>
            </w:r>
            <w:r>
              <w:rPr>
                <w:rFonts w:cs="Arial"/>
                <w:color w:val="0D0D0D" w:themeColor="text1" w:themeTint="F2"/>
                <w:spacing w:val="-4"/>
                <w:sz w:val="14"/>
                <w:szCs w:val="14"/>
              </w:rPr>
              <w:t xml:space="preserve">                   </w:t>
            </w:r>
            <w:r w:rsidRPr="00052ADA">
              <w:rPr>
                <w:rFonts w:cs="Arial"/>
                <w:color w:val="0D0D0D" w:themeColor="text1" w:themeTint="F2"/>
                <w:spacing w:val="-4"/>
                <w:sz w:val="14"/>
                <w:szCs w:val="14"/>
              </w:rPr>
              <w:t xml:space="preserve">  Zdroj: ČSÚ</w:t>
            </w:r>
          </w:p>
        </w:tc>
      </w:tr>
      <w:tr w:rsidR="00D27F07" w14:paraId="35EA2471" w14:textId="77777777" w:rsidTr="00AD035A">
        <w:trPr>
          <w:trHeight w:val="170"/>
        </w:trPr>
        <w:tc>
          <w:tcPr>
            <w:tcW w:w="1740" w:type="dxa"/>
            <w:tcBorders>
              <w:top w:val="nil"/>
              <w:left w:val="nil"/>
              <w:bottom w:val="nil"/>
              <w:right w:val="nil"/>
            </w:tcBorders>
            <w:shd w:val="clear" w:color="auto" w:fill="auto"/>
            <w:tcMar>
              <w:left w:w="0" w:type="dxa"/>
            </w:tcMar>
          </w:tcPr>
          <w:p w14:paraId="7C1138A5" w14:textId="77777777" w:rsidR="00D27F07" w:rsidRDefault="00D27F07" w:rsidP="00AD035A">
            <w:pPr>
              <w:pStyle w:val="Marginlie"/>
            </w:pPr>
            <w:r>
              <w:t>Tržby v motoristickém segmentu obchodu ožily, byly taženy vyšší poptávkou v oblasti nákupu motorových vozů.</w:t>
            </w:r>
          </w:p>
        </w:tc>
        <w:tc>
          <w:tcPr>
            <w:tcW w:w="199" w:type="dxa"/>
            <w:tcBorders>
              <w:top w:val="nil"/>
              <w:left w:val="nil"/>
              <w:bottom w:val="nil"/>
              <w:right w:val="nil"/>
            </w:tcBorders>
            <w:shd w:val="clear" w:color="auto" w:fill="auto"/>
            <w:tcMar>
              <w:left w:w="0" w:type="dxa"/>
            </w:tcMar>
          </w:tcPr>
          <w:p w14:paraId="3BB6F9B8" w14:textId="77777777" w:rsidR="00D27F07" w:rsidRDefault="00D27F07" w:rsidP="00AD035A">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7596D158" w14:textId="77777777" w:rsidR="00D27F07" w:rsidRPr="00460267" w:rsidRDefault="00D27F07" w:rsidP="00AD035A">
            <w:pPr>
              <w:spacing w:after="200"/>
              <w:rPr>
                <w:rFonts w:cs="Arial"/>
                <w:color w:val="0D0D0D" w:themeColor="text1" w:themeTint="F2"/>
                <w:spacing w:val="-6"/>
                <w:szCs w:val="20"/>
              </w:rPr>
            </w:pPr>
            <w:r>
              <w:rPr>
                <w:rFonts w:cs="Arial"/>
                <w:color w:val="0D0D0D" w:themeColor="text1" w:themeTint="F2"/>
                <w:spacing w:val="-6"/>
                <w:szCs w:val="20"/>
              </w:rPr>
              <w:t xml:space="preserve">Po dvou letech vzrostly letos meziročně tržby v motoristickém segmentu obchodu. </w:t>
            </w:r>
            <w:r>
              <w:rPr>
                <w:rFonts w:cs="Arial"/>
                <w:color w:val="0D0D0D" w:themeColor="text1" w:themeTint="F2"/>
                <w:spacing w:val="-6"/>
                <w:szCs w:val="20"/>
              </w:rPr>
              <w:br/>
              <w:t>V 1. pololetí byly meziročně vyšší o 3,3 %. Růst byl tažen obchodem s motorovými vozidly, což souviselo s relativně příznivou situací celého automobilového průmyslu v Česku i EU. Snížily se naopak tržby za o</w:t>
            </w:r>
            <w:r w:rsidRPr="003D6D1B">
              <w:rPr>
                <w:rFonts w:cs="Arial"/>
                <w:color w:val="0D0D0D" w:themeColor="text1" w:themeTint="F2"/>
                <w:spacing w:val="-6"/>
                <w:szCs w:val="20"/>
              </w:rPr>
              <w:t>bchod s díly a příslušenstvím pro motorová vozidl</w:t>
            </w:r>
            <w:r>
              <w:rPr>
                <w:rFonts w:cs="Arial"/>
                <w:color w:val="0D0D0D" w:themeColor="text1" w:themeTint="F2"/>
                <w:spacing w:val="-6"/>
                <w:szCs w:val="20"/>
              </w:rPr>
              <w:t xml:space="preserve">a, poklesla </w:t>
            </w:r>
            <w:r>
              <w:rPr>
                <w:rFonts w:cs="Arial"/>
                <w:color w:val="0D0D0D" w:themeColor="text1" w:themeTint="F2"/>
                <w:spacing w:val="-6"/>
                <w:szCs w:val="20"/>
              </w:rPr>
              <w:br/>
              <w:t>i poptávka za obchod, opravy a údržbu</w:t>
            </w:r>
            <w:r w:rsidRPr="003D6D1B">
              <w:rPr>
                <w:rFonts w:cs="Arial"/>
                <w:color w:val="0D0D0D" w:themeColor="text1" w:themeTint="F2"/>
                <w:spacing w:val="-6"/>
                <w:szCs w:val="20"/>
              </w:rPr>
              <w:t xml:space="preserve"> motocyklů</w:t>
            </w:r>
            <w:r>
              <w:rPr>
                <w:rFonts w:cs="Arial"/>
                <w:color w:val="0D0D0D" w:themeColor="text1" w:themeTint="F2"/>
                <w:spacing w:val="-6"/>
                <w:szCs w:val="20"/>
              </w:rPr>
              <w:t>. Oproti 1. pololetí 2019 byly letos tržby v celém motoristickém segmentu obchodu stále mírně nižší (o 6,1 %), zaostaly přitom zhruba srovnatelně ve všech jeho dílčích odvětvích.</w:t>
            </w:r>
          </w:p>
        </w:tc>
      </w:tr>
    </w:tbl>
    <w:p w14:paraId="7284C61C" w14:textId="77777777" w:rsidR="00D27F07" w:rsidRPr="00004D2D" w:rsidRDefault="00D27F07" w:rsidP="00D27F07">
      <w:pPr>
        <w:spacing w:after="0" w:line="240" w:lineRule="auto"/>
        <w:jc w:val="left"/>
        <w:rPr>
          <w:rFonts w:eastAsia="MS Gothic"/>
          <w:b/>
          <w:bCs/>
          <w:color w:val="71818C"/>
          <w:sz w:val="2"/>
          <w:szCs w:val="2"/>
        </w:rPr>
      </w:pPr>
    </w:p>
    <w:p w14:paraId="10E00B03" w14:textId="77777777" w:rsidR="00D27F07" w:rsidRDefault="00D27F07">
      <w:pPr>
        <w:spacing w:after="0" w:line="240" w:lineRule="auto"/>
        <w:jc w:val="left"/>
        <w:rPr>
          <w:rFonts w:eastAsia="MS Gothic"/>
          <w:b/>
          <w:bCs/>
          <w:color w:val="71818C"/>
          <w:sz w:val="32"/>
          <w:szCs w:val="28"/>
        </w:rPr>
      </w:pPr>
      <w:r>
        <w:br w:type="page"/>
      </w:r>
    </w:p>
    <w:p w14:paraId="44230B59" w14:textId="48BCDFBC" w:rsidR="00674BAC" w:rsidRPr="00134FFF" w:rsidRDefault="00674BAC" w:rsidP="00674BAC">
      <w:pPr>
        <w:pStyle w:val="Nadpis11"/>
        <w:rPr>
          <w:sz w:val="2"/>
          <w:szCs w:val="2"/>
        </w:rPr>
      </w:pPr>
      <w:bookmarkStart w:id="30" w:name="_Toc145581249"/>
      <w:r>
        <w:lastRenderedPageBreak/>
        <w:t>4</w:t>
      </w:r>
      <w:bookmarkStart w:id="31" w:name="_Toc511215218"/>
      <w:bookmarkStart w:id="32" w:name="_Toc19090679"/>
      <w:bookmarkStart w:id="33" w:name="_Toc74643856"/>
      <w:bookmarkStart w:id="34" w:name="_Toc42852411"/>
      <w:bookmarkStart w:id="35" w:name="_Toc74643857"/>
      <w:bookmarkEnd w:id="31"/>
      <w:bookmarkEnd w:id="32"/>
      <w:r w:rsidRPr="009110F7">
        <w:t>.</w:t>
      </w:r>
      <w:r>
        <w:t> </w:t>
      </w:r>
      <w:r w:rsidRPr="009110F7">
        <w:t>Vnější vztahy</w:t>
      </w:r>
      <w:bookmarkEnd w:id="27"/>
      <w:bookmarkEnd w:id="30"/>
    </w:p>
    <w:tbl>
      <w:tblPr>
        <w:tblW w:w="9639" w:type="dxa"/>
        <w:tblInd w:w="-15" w:type="dxa"/>
        <w:tblCellMar>
          <w:left w:w="0" w:type="dxa"/>
          <w:right w:w="0" w:type="dxa"/>
        </w:tblCellMar>
        <w:tblLook w:val="00A0" w:firstRow="1" w:lastRow="0" w:firstColumn="1" w:lastColumn="0" w:noHBand="0" w:noVBand="0"/>
      </w:tblPr>
      <w:tblGrid>
        <w:gridCol w:w="1748"/>
        <w:gridCol w:w="221"/>
        <w:gridCol w:w="7670"/>
      </w:tblGrid>
      <w:tr w:rsidR="00674BAC" w:rsidRPr="009110F7" w14:paraId="25DFF376" w14:textId="77777777" w:rsidTr="785B85D1">
        <w:trPr>
          <w:trHeight w:val="145"/>
        </w:trPr>
        <w:tc>
          <w:tcPr>
            <w:tcW w:w="1748" w:type="dxa"/>
            <w:shd w:val="clear" w:color="auto" w:fill="auto"/>
            <w:tcMar>
              <w:left w:w="0" w:type="dxa"/>
            </w:tcMar>
          </w:tcPr>
          <w:p w14:paraId="0F7722A8" w14:textId="77777777" w:rsidR="00674BAC" w:rsidRDefault="00674BAC" w:rsidP="00DA0121">
            <w:pPr>
              <w:pStyle w:val="Marginlie"/>
            </w:pPr>
            <w:r>
              <w:t xml:space="preserve">Hodnota exportu </w:t>
            </w:r>
            <w:r>
              <w:br/>
              <w:t>v 1. pololetí rostla. V samotném 2. čtvrtletí ale meziroční dynamika vývozu výrazně oslabila.</w:t>
            </w:r>
          </w:p>
        </w:tc>
        <w:tc>
          <w:tcPr>
            <w:tcW w:w="221" w:type="dxa"/>
            <w:shd w:val="clear" w:color="auto" w:fill="auto"/>
            <w:tcMar>
              <w:left w:w="0" w:type="dxa"/>
            </w:tcMar>
          </w:tcPr>
          <w:p w14:paraId="687938C8" w14:textId="77777777" w:rsidR="00674BAC" w:rsidRDefault="00674BAC" w:rsidP="00DA0121">
            <w:pPr>
              <w:pStyle w:val="Textpoznpodarou"/>
              <w:jc w:val="both"/>
              <w:rPr>
                <w:spacing w:val="-4"/>
              </w:rPr>
            </w:pPr>
          </w:p>
        </w:tc>
        <w:tc>
          <w:tcPr>
            <w:tcW w:w="7670" w:type="dxa"/>
            <w:shd w:val="clear" w:color="auto" w:fill="auto"/>
            <w:tcMar>
              <w:left w:w="0" w:type="dxa"/>
            </w:tcMar>
          </w:tcPr>
          <w:p w14:paraId="0D8441E0" w14:textId="77777777" w:rsidR="00674BAC" w:rsidRPr="00AF6F98" w:rsidRDefault="00674BAC" w:rsidP="00DA0121">
            <w:pPr>
              <w:spacing w:after="180"/>
              <w:rPr>
                <w:spacing w:val="-4"/>
              </w:rPr>
            </w:pPr>
            <w:r>
              <w:rPr>
                <w:spacing w:val="-4"/>
              </w:rPr>
              <w:t>Hodnota vývozu zboží</w:t>
            </w:r>
            <w:r>
              <w:rPr>
                <w:rStyle w:val="Znakapoznpodarou"/>
                <w:spacing w:val="-4"/>
              </w:rPr>
              <w:footnoteReference w:id="42"/>
            </w:r>
            <w:r>
              <w:rPr>
                <w:spacing w:val="-4"/>
              </w:rPr>
              <w:t xml:space="preserve"> za 1. pololetí roku 2023 dosáhla 2 282,0 mld. korun a meziročně vzrostla o 114,3 mld. (5,3 %). Vliv cenového růstu, který poskytoval impuls navýšení exportu v loňském roce, letos vymizel a ceny naopak klesají</w:t>
            </w:r>
            <w:r>
              <w:rPr>
                <w:rStyle w:val="Znakapoznpodarou"/>
                <w:spacing w:val="-4"/>
              </w:rPr>
              <w:footnoteReference w:id="43"/>
            </w:r>
            <w:r>
              <w:rPr>
                <w:spacing w:val="-4"/>
              </w:rPr>
              <w:t xml:space="preserve">. Hlavní porce pololetního meziročního navýšení se ale odehrála v 1. kvartálu, protože v samotném 2. čtvrtletí 2023 se export zboží meziročně zvýšil jen o 10,0 mld. korun (0,9 %) na 1 133,0 mld. Přírůstek i pod vlivem silné základny loňského roku výrazně oslabil ve srovnání s dvoucifernými hodnotami předchozích čtyř čtvrtletí. Sezónně očištěné údaje ukazují, že se ve 2. čtvrtletí 2023 vývoz zboží po dvou poklesech opět mírně mezičtvrtletně zvýšil o 0,7 %. </w:t>
            </w:r>
          </w:p>
        </w:tc>
      </w:tr>
      <w:tr w:rsidR="00674BAC" w:rsidRPr="009110F7" w14:paraId="4DE01B63" w14:textId="77777777" w:rsidTr="785B85D1">
        <w:trPr>
          <w:trHeight w:val="145"/>
        </w:trPr>
        <w:tc>
          <w:tcPr>
            <w:tcW w:w="1748" w:type="dxa"/>
            <w:shd w:val="clear" w:color="auto" w:fill="auto"/>
            <w:tcMar>
              <w:left w:w="0" w:type="dxa"/>
            </w:tcMar>
          </w:tcPr>
          <w:p w14:paraId="1B8BBB7A" w14:textId="77777777" w:rsidR="00674BAC" w:rsidRDefault="00674BAC" w:rsidP="00DA0121">
            <w:pPr>
              <w:pStyle w:val="Marginlie"/>
            </w:pPr>
            <w:r>
              <w:t>Ve 2. čtvrtletí meziročně klesla hodnota vývozu do EU.</w:t>
            </w:r>
          </w:p>
        </w:tc>
        <w:tc>
          <w:tcPr>
            <w:tcW w:w="221" w:type="dxa"/>
            <w:shd w:val="clear" w:color="auto" w:fill="auto"/>
            <w:tcMar>
              <w:left w:w="0" w:type="dxa"/>
            </w:tcMar>
          </w:tcPr>
          <w:p w14:paraId="5AA40758" w14:textId="77777777" w:rsidR="00674BAC" w:rsidRDefault="00674BAC" w:rsidP="00DA0121">
            <w:pPr>
              <w:pStyle w:val="Textpoznpodarou"/>
              <w:jc w:val="both"/>
              <w:rPr>
                <w:spacing w:val="-4"/>
              </w:rPr>
            </w:pPr>
          </w:p>
        </w:tc>
        <w:tc>
          <w:tcPr>
            <w:tcW w:w="7670" w:type="dxa"/>
            <w:shd w:val="clear" w:color="auto" w:fill="auto"/>
            <w:tcMar>
              <w:left w:w="0" w:type="dxa"/>
            </w:tcMar>
          </w:tcPr>
          <w:p w14:paraId="61BA9482" w14:textId="681E0482" w:rsidR="00674BAC" w:rsidRDefault="00674BAC" w:rsidP="00DA0121">
            <w:pPr>
              <w:spacing w:after="180"/>
            </w:pPr>
            <w:r>
              <w:rPr>
                <w:spacing w:val="-4"/>
              </w:rPr>
              <w:t>Z teritoriálního pohledu se v 1. pololetí v podobné míře zvyšoval vývoz zboží do Evropské unie (+92,5 mld. korun, 5,3 %) i mimo ni (+2</w:t>
            </w:r>
            <w:r w:rsidR="24FC0D77">
              <w:rPr>
                <w:spacing w:val="-4"/>
              </w:rPr>
              <w:t>1</w:t>
            </w:r>
            <w:r>
              <w:rPr>
                <w:spacing w:val="-4"/>
              </w:rPr>
              <w:t>,6 mld., 5,3 %). Vývoj v jednotlivých čtvrtletích se ale lišil. Po solidním růstu z 1. kvartálu ve 2. čtvrtletí hodnota exportu zboží do EU stagnovala (+2,7 mld. korun, 0,3 %) a přírůstek vývozu mimo unii oslabil na 7,2 mld. (3,4 %). Ve 2. čtvrtletí nejvíce meziročně rostla hodnota vývozu do Německa (+7,9 mld. korun, 2,4 %), ale růst prudce oslabil. Výrazný byl také přírůstek exportu do Turecka (+5,9 mld. korun, 52,5 %), Francie (+5,1 mld., 9,1 %), Itálie (+4,8 mld., 9,9 %), Velké Británie (+2,6 mld., 6,3 %) nebo Belgie (+2,2 mld., 8,3 %). U zbytku zemí export spíše stagnoval nebo klesal. Nejvýrazněji klesal vývoz na Slovensko (−14,8 mld. korun, −12,7 %)</w:t>
            </w:r>
            <w:r>
              <w:rPr>
                <w:rStyle w:val="Znakapoznpodarou"/>
                <w:spacing w:val="-4"/>
              </w:rPr>
              <w:footnoteReference w:id="44"/>
            </w:r>
            <w:r>
              <w:rPr>
                <w:spacing w:val="-4"/>
              </w:rPr>
              <w:t>, do Rakouska (−4,9 mld., −9,5 %), Spojených států (−3,3 mld., −10,6 %) a Ruska (−2,9 mld., −45,5 %).</w:t>
            </w:r>
          </w:p>
        </w:tc>
      </w:tr>
      <w:tr w:rsidR="00674BAC" w:rsidRPr="009110F7" w14:paraId="6E78B103" w14:textId="77777777" w:rsidTr="785B85D1">
        <w:trPr>
          <w:trHeight w:val="170"/>
        </w:trPr>
        <w:tc>
          <w:tcPr>
            <w:tcW w:w="1748" w:type="dxa"/>
            <w:shd w:val="clear" w:color="auto" w:fill="auto"/>
            <w:tcMar>
              <w:left w:w="0" w:type="dxa"/>
            </w:tcMar>
          </w:tcPr>
          <w:p w14:paraId="29878ED7" w14:textId="77777777" w:rsidR="00674BAC" w:rsidRDefault="00674BAC" w:rsidP="00DA0121">
            <w:pPr>
              <w:pStyle w:val="Marginlie"/>
            </w:pPr>
            <w:r>
              <w:t>Růst vývozu podpořil zejména obchod s motorovými vozidly.</w:t>
            </w:r>
          </w:p>
        </w:tc>
        <w:tc>
          <w:tcPr>
            <w:tcW w:w="221" w:type="dxa"/>
            <w:shd w:val="clear" w:color="auto" w:fill="auto"/>
            <w:tcMar>
              <w:left w:w="0" w:type="dxa"/>
            </w:tcMar>
          </w:tcPr>
          <w:p w14:paraId="507F9AD5" w14:textId="77777777" w:rsidR="00674BAC" w:rsidRDefault="00674BAC" w:rsidP="00DA0121">
            <w:pPr>
              <w:pStyle w:val="Textpoznpodarou"/>
              <w:jc w:val="both"/>
              <w:rPr>
                <w:spacing w:val="-4"/>
              </w:rPr>
            </w:pPr>
          </w:p>
        </w:tc>
        <w:tc>
          <w:tcPr>
            <w:tcW w:w="7670" w:type="dxa"/>
            <w:shd w:val="clear" w:color="auto" w:fill="auto"/>
            <w:tcMar>
              <w:left w:w="0" w:type="dxa"/>
            </w:tcMar>
          </w:tcPr>
          <w:p w14:paraId="4A63B738" w14:textId="77777777" w:rsidR="00674BAC" w:rsidRPr="00AF6F98" w:rsidRDefault="00674BAC" w:rsidP="00DA0121">
            <w:pPr>
              <w:spacing w:after="180"/>
              <w:rPr>
                <w:spacing w:val="-4"/>
              </w:rPr>
            </w:pPr>
            <w:r>
              <w:rPr>
                <w:spacing w:val="-4"/>
              </w:rPr>
              <w:t xml:space="preserve">V 1. pololetí k celkovému meziročnímu růstu hodnoty vývozu zboží nejvíce přispíval export motorových vozidel (+126,9 mld. korun, 24,8 %), elektrických zařízení (+40,7 mld., </w:t>
            </w:r>
            <w:r>
              <w:rPr>
                <w:spacing w:val="-4"/>
              </w:rPr>
              <w:br/>
              <w:t xml:space="preserve">20,7 %), strojů a zařízení (+27,0 mld., 11,1 %) a potravinářských výrobků (+12,0 mld., </w:t>
            </w:r>
            <w:r>
              <w:rPr>
                <w:spacing w:val="-4"/>
              </w:rPr>
              <w:br/>
              <w:t xml:space="preserve">17,3 %). Naopak v souvislosti s poklesem cen zaznamenala propad hodnota vývozu elektřiny, plynu, páry a klimatizovaného vzduchu (−20,7 mld. korun, −43,3 %), základních kovů (−20,1 mld., −18,6 %) i chemických látek a přípravků (−17,8 mld., −14,6 %). Pohled na samotné 2. čtvrtletí ukazuje, že vývoj exportu potvrzuje podobný trend v průmyslu – ve směru růstu výrazně působil vývoz motorových vozidel (+55,7 mld. korun, 20,5 %) </w:t>
            </w:r>
            <w:r>
              <w:rPr>
                <w:spacing w:val="-4"/>
              </w:rPr>
              <w:br/>
              <w:t xml:space="preserve">a omezená skupina přidružených oborů, jako jsou elektrická zařízení (+14,2 mld., 14,0 %), či stroje a zařízení (+9,4 mld., 7,5 %). Vlivem rostoucích cen se dál výrazněji zvyšoval jen export potravinářských výrobků (+3,8 mld. korun, 10,5 %). Zbytek vývozu vykazoval stagnaci nebo pokles. Nejsilněji se ve 2. čtvrtletí meziročně snižovala hodnota exportu základních kovů (−14,0 mld. korun, −24,9 %), chemických látek a přípravků (−12,4 mld., −19,7 %) a elektřiny, plynu, páry a klimatizovaného vzduchu (−11,9 mld., −56,1 %). Klesal také vývoz dřeva a dřevěných výrobků (−5,5 mld. korun, −31,9 %), kovodělných výrobků (−5,1 mld., −7,0 %), ropy a zemního plynu (−5,1 mld., −99,2 %), počítačů, elektronických a optických přístrojů a zařízení (−4,0 mld., −4,2 %), činností souvisejících s odpady (−4,1 mld., −27,8 %) nebo produktů lesnictví, těžby dřeva a souvisejících služeb </w:t>
            </w:r>
            <w:r>
              <w:rPr>
                <w:spacing w:val="-4"/>
              </w:rPr>
              <w:br/>
              <w:t>(−3,8 mld., −52,3 %).</w:t>
            </w:r>
          </w:p>
        </w:tc>
      </w:tr>
      <w:tr w:rsidR="00674BAC" w:rsidRPr="009110F7" w14:paraId="24901DBE" w14:textId="77777777" w:rsidTr="785B85D1">
        <w:trPr>
          <w:trHeight w:val="145"/>
        </w:trPr>
        <w:tc>
          <w:tcPr>
            <w:tcW w:w="1748" w:type="dxa"/>
            <w:shd w:val="clear" w:color="auto" w:fill="auto"/>
            <w:tcMar>
              <w:left w:w="0" w:type="dxa"/>
            </w:tcMar>
          </w:tcPr>
          <w:p w14:paraId="272BBFD8" w14:textId="77777777" w:rsidR="00674BAC" w:rsidRDefault="00674BAC" w:rsidP="00DA0121">
            <w:pPr>
              <w:pStyle w:val="Marginlie"/>
            </w:pPr>
            <w:r>
              <w:t>Dovoz se vlivem klesajících cen snižoval.</w:t>
            </w:r>
          </w:p>
        </w:tc>
        <w:tc>
          <w:tcPr>
            <w:tcW w:w="221" w:type="dxa"/>
            <w:shd w:val="clear" w:color="auto" w:fill="auto"/>
            <w:tcMar>
              <w:left w:w="0" w:type="dxa"/>
            </w:tcMar>
          </w:tcPr>
          <w:p w14:paraId="546B8FC5" w14:textId="77777777" w:rsidR="00674BAC" w:rsidRDefault="00674BAC" w:rsidP="00DA0121">
            <w:pPr>
              <w:pStyle w:val="Textpoznpodarou"/>
              <w:jc w:val="both"/>
              <w:rPr>
                <w:spacing w:val="-4"/>
              </w:rPr>
            </w:pPr>
          </w:p>
        </w:tc>
        <w:tc>
          <w:tcPr>
            <w:tcW w:w="7670" w:type="dxa"/>
            <w:shd w:val="clear" w:color="auto" w:fill="auto"/>
            <w:tcMar>
              <w:left w:w="0" w:type="dxa"/>
            </w:tcMar>
          </w:tcPr>
          <w:p w14:paraId="3D774B4A" w14:textId="77777777" w:rsidR="00674BAC" w:rsidRDefault="00674BAC" w:rsidP="00DA0121">
            <w:pPr>
              <w:spacing w:after="180"/>
              <w:rPr>
                <w:spacing w:val="-4"/>
              </w:rPr>
            </w:pPr>
            <w:r>
              <w:rPr>
                <w:spacing w:val="-4"/>
              </w:rPr>
              <w:t>Dovoz zboží v 1. pololetí 2023 dosáhl hodnoty 2 202,6 mld. korun a meziročně tak klesl o 51,0 mld. (2,3 %). Na poklesu se podepsalo zejména snížení cen řady surovin</w:t>
            </w:r>
            <w:r>
              <w:rPr>
                <w:rStyle w:val="Znakapoznpodarou"/>
                <w:spacing w:val="-4"/>
              </w:rPr>
              <w:footnoteReference w:id="45"/>
            </w:r>
            <w:r>
              <w:rPr>
                <w:spacing w:val="-4"/>
              </w:rPr>
              <w:t xml:space="preserve"> i nižší objem dovozu ropy a zemního plynu a šlo zejména o výsledek vývoje ve 2. kvartálu. </w:t>
            </w:r>
            <w:r w:rsidRPr="00FA2C07">
              <w:rPr>
                <w:spacing w:val="-5"/>
              </w:rPr>
              <w:lastRenderedPageBreak/>
              <w:t>Hodnota importu zboží ve 2. čtvrtletí meziročně klesla o 102,7 mld. korun (−8,6 %) na 1 093,5 mld. Mezičtvrtletně se sezónně očištěný dovoz zboží potřetí v řadě snížil, a to o 1,3 %. Pokles dovozu v 1. pololetí se týkal zemí EU (−20,1 mld. korun, −1,4 %) i těch mimo ni (−33,9 mld., −4,0 %). Na začátku roku dovoz ještě meziročně rostl, takže celkový pokles za pololetí je dílem 2. kvartálu, kdy dovoz z EU klesl o 46,2 mld. korun (−6,3 %) a mimo EU se propadl o 57,7 mld. (−12,6 %). Nejvíce se ve 2. čtvrtletí meziročně propadl dovoz z Ruska (−81,3 mld. korun, −84,0 %), což dokládá výraznou úlohu poklesu cen ropy a zemního plynu v celkovém vývoji zahraničního obchodu. Nižší byl také import z Německa (−14,4 mld. korun, −5,5 %), Polska (−11,4 mld., −10,3 %), Rakouska (−7,0 mld., −18,4 %), Itálie (−6,0 mld., −11,0 %), ze Slovenska (−4,7 mld., −7,6 %) nebo z Ázerbájdžánu (−3,4 mld., −36,1 %). Rostl dovoz z menšiny zemí, nejvíce z Norska (+24,4 mld. korun, 953,9 %)</w:t>
            </w:r>
            <w:r w:rsidRPr="00FA2C07">
              <w:rPr>
                <w:rStyle w:val="Znakapoznpodarou"/>
                <w:spacing w:val="-5"/>
              </w:rPr>
              <w:footnoteReference w:id="46"/>
            </w:r>
            <w:r w:rsidRPr="00FA2C07">
              <w:rPr>
                <w:spacing w:val="-5"/>
              </w:rPr>
              <w:t xml:space="preserve">, Číny (+7,8 mld., 6,3 %), Velké Británie (+2,9 mld., 17,4 %) a Koreje (+2,1 mld., 9,0 %). </w:t>
            </w:r>
          </w:p>
        </w:tc>
      </w:tr>
      <w:tr w:rsidR="00674BAC" w:rsidRPr="009110F7" w14:paraId="7214CB2C" w14:textId="77777777" w:rsidTr="785B85D1">
        <w:trPr>
          <w:trHeight w:val="145"/>
        </w:trPr>
        <w:tc>
          <w:tcPr>
            <w:tcW w:w="1748" w:type="dxa"/>
            <w:shd w:val="clear" w:color="auto" w:fill="auto"/>
            <w:tcMar>
              <w:left w:w="0" w:type="dxa"/>
            </w:tcMar>
          </w:tcPr>
          <w:p w14:paraId="47D1BCEB" w14:textId="77777777" w:rsidR="00674BAC" w:rsidRDefault="00674BAC" w:rsidP="00DA0121">
            <w:pPr>
              <w:pStyle w:val="Marginlie"/>
            </w:pPr>
            <w:r>
              <w:lastRenderedPageBreak/>
              <w:t>Propadl se zejména dovoz ropy a zemního plynu.</w:t>
            </w:r>
          </w:p>
        </w:tc>
        <w:tc>
          <w:tcPr>
            <w:tcW w:w="221" w:type="dxa"/>
            <w:shd w:val="clear" w:color="auto" w:fill="auto"/>
            <w:tcMar>
              <w:left w:w="0" w:type="dxa"/>
            </w:tcMar>
          </w:tcPr>
          <w:p w14:paraId="5449545E" w14:textId="77777777" w:rsidR="00674BAC" w:rsidRDefault="00674BAC" w:rsidP="00DA0121">
            <w:pPr>
              <w:pStyle w:val="Textpoznpodarou"/>
              <w:jc w:val="both"/>
              <w:rPr>
                <w:spacing w:val="-4"/>
              </w:rPr>
            </w:pPr>
          </w:p>
        </w:tc>
        <w:tc>
          <w:tcPr>
            <w:tcW w:w="7670" w:type="dxa"/>
            <w:shd w:val="clear" w:color="auto" w:fill="auto"/>
            <w:tcMar>
              <w:left w:w="0" w:type="dxa"/>
            </w:tcMar>
          </w:tcPr>
          <w:p w14:paraId="1C36818D" w14:textId="77777777" w:rsidR="00674BAC" w:rsidRDefault="00674BAC" w:rsidP="00DA0121">
            <w:pPr>
              <w:spacing w:after="180"/>
              <w:rPr>
                <w:spacing w:val="-4"/>
              </w:rPr>
            </w:pPr>
            <w:r>
              <w:rPr>
                <w:spacing w:val="-4"/>
              </w:rPr>
              <w:t>Dovoz v 1. pololetí meziročně klesal zejména pod vlivem nižších cen různých surovin. To je patrné na nejvýraznějších propadech − ropy a zemního plynu (−71,1 mld. korun, −44,6 %), základních kovů (−39,2 mld., −18,8 %) a chemických látek a přípravků (−24,0 mld., −12,0 %). Naopak výrazně vyšší byl dovoz motorových vozidel (+55,7 mld. korun, 19,7 %), elektrických zařízení (+48,3 mld., 25,0 %) a strojů a zařízení (+12,5 mld., 6,4 %). V samotném 2. čtvrtletí se dovoz ropy a zemního plynu meziročně propadl o 60,7 mld. korun (−57,3 %), základních kovů o 28,1 mld. (−25,7 %), chemických látek a přípravků o 16,0 mld. (−15,5 %) a koksu a rafinovaných ropných produktů o 10,9 mld. (−35,4 %). Výrazná snížení se dotkla také hodnoty importu elektřiny, plynu, páry a klimatizovaného vzduchu (−4,6 mld. korun, −45,2 %), papíru a výrobků z něj (−4,1 mld., −20,9 %), počítačů, elektronických a optických přístrojů a zařízení (−3,9 mld., −3,4 %), černého a hnědého uhlí a lignitu (−3,7 mld., −37,4 %) nebo dřeva a dřevěných výrobků (−3,2 mld., −32,6 %). Dovoz se ve 2. čtvrtletí propadal plošně a mezi nemnohými výjimkami nejvíce meziročně rostla hodnota importu motorových vozidel včetně dílů (+26,2 mld. korun, 17,6 %) a elektrických zařízení (+19,7 mld., 19,7 %).</w:t>
            </w:r>
          </w:p>
        </w:tc>
      </w:tr>
      <w:tr w:rsidR="00674BAC" w:rsidRPr="009110F7" w14:paraId="18C34414" w14:textId="77777777" w:rsidTr="785B85D1">
        <w:trPr>
          <w:trHeight w:val="150"/>
        </w:trPr>
        <w:tc>
          <w:tcPr>
            <w:tcW w:w="1748" w:type="dxa"/>
            <w:vMerge w:val="restart"/>
            <w:shd w:val="clear" w:color="auto" w:fill="auto"/>
            <w:tcMar>
              <w:left w:w="0" w:type="dxa"/>
            </w:tcMar>
          </w:tcPr>
          <w:p w14:paraId="22C345BB" w14:textId="77777777" w:rsidR="00674BAC" w:rsidRDefault="00674BAC" w:rsidP="00DA0121">
            <w:pPr>
              <w:pStyle w:val="Marginlie"/>
            </w:pPr>
          </w:p>
        </w:tc>
        <w:tc>
          <w:tcPr>
            <w:tcW w:w="221" w:type="dxa"/>
            <w:vMerge w:val="restart"/>
            <w:shd w:val="clear" w:color="auto" w:fill="auto"/>
            <w:tcMar>
              <w:left w:w="0" w:type="dxa"/>
            </w:tcMar>
          </w:tcPr>
          <w:p w14:paraId="3856DC65" w14:textId="77777777" w:rsidR="00674BAC" w:rsidRDefault="00674BAC" w:rsidP="00DA0121">
            <w:pPr>
              <w:pStyle w:val="Textpoznpodarou"/>
              <w:jc w:val="both"/>
              <w:rPr>
                <w:spacing w:val="-4"/>
              </w:rPr>
            </w:pPr>
          </w:p>
        </w:tc>
        <w:tc>
          <w:tcPr>
            <w:tcW w:w="7670" w:type="dxa"/>
            <w:shd w:val="clear" w:color="auto" w:fill="auto"/>
            <w:tcMar>
              <w:left w:w="0" w:type="dxa"/>
            </w:tcMar>
          </w:tcPr>
          <w:p w14:paraId="7751D0C6" w14:textId="6348A823" w:rsidR="00674BAC" w:rsidRDefault="00674BAC" w:rsidP="00DA0121">
            <w:pPr>
              <w:spacing w:after="0"/>
              <w:rPr>
                <w:spacing w:val="-4"/>
              </w:rPr>
            </w:pPr>
            <w:r w:rsidRPr="00D75AC1">
              <w:rPr>
                <w:rFonts w:cs="Arial"/>
                <w:b/>
                <w:bCs/>
                <w:color w:val="000000"/>
                <w:szCs w:val="20"/>
              </w:rPr>
              <w:t>Graf č.</w:t>
            </w:r>
            <w:r w:rsidR="00FA2C07">
              <w:rPr>
                <w:rFonts w:cs="Arial"/>
                <w:b/>
                <w:bCs/>
                <w:color w:val="000000"/>
                <w:szCs w:val="20"/>
              </w:rPr>
              <w:t> 9</w:t>
            </w:r>
            <w:r>
              <w:rPr>
                <w:rFonts w:cs="Arial"/>
                <w:b/>
                <w:bCs/>
                <w:color w:val="000000"/>
                <w:szCs w:val="20"/>
              </w:rPr>
              <w:t xml:space="preserve"> </w:t>
            </w:r>
            <w:r w:rsidRPr="00D75AC1">
              <w:rPr>
                <w:b/>
                <w:spacing w:val="-4"/>
                <w:szCs w:val="20"/>
              </w:rPr>
              <w:t xml:space="preserve">Bilance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 xml:space="preserve">(kumulace </w:t>
            </w:r>
            <w:r>
              <w:rPr>
                <w:spacing w:val="-4"/>
                <w:szCs w:val="20"/>
              </w:rPr>
              <w:t>1. čtvrtletí</w:t>
            </w:r>
            <w:r w:rsidRPr="00D75AC1">
              <w:rPr>
                <w:spacing w:val="-4"/>
                <w:szCs w:val="20"/>
              </w:rPr>
              <w:t>, v mld.</w:t>
            </w:r>
            <w:r>
              <w:rPr>
                <w:spacing w:val="-4"/>
                <w:szCs w:val="20"/>
              </w:rPr>
              <w:t xml:space="preserve"> </w:t>
            </w:r>
            <w:r w:rsidRPr="00D75AC1">
              <w:rPr>
                <w:spacing w:val="-4"/>
                <w:szCs w:val="20"/>
              </w:rPr>
              <w:t>korun, vybrané oddíly klasifikace CPA)</w:t>
            </w:r>
          </w:p>
        </w:tc>
      </w:tr>
      <w:tr w:rsidR="00674BAC" w:rsidRPr="009110F7" w14:paraId="6C0F91C5" w14:textId="77777777" w:rsidTr="785B85D1">
        <w:tblPrEx>
          <w:tblCellMar>
            <w:left w:w="70" w:type="dxa"/>
            <w:right w:w="70" w:type="dxa"/>
          </w:tblCellMar>
        </w:tblPrEx>
        <w:trPr>
          <w:trHeight w:val="150"/>
        </w:trPr>
        <w:tc>
          <w:tcPr>
            <w:tcW w:w="1748" w:type="dxa"/>
            <w:vMerge/>
          </w:tcPr>
          <w:p w14:paraId="16176865" w14:textId="77777777" w:rsidR="00674BAC" w:rsidRDefault="00674BAC" w:rsidP="00DA0121">
            <w:pPr>
              <w:pStyle w:val="Marginlie"/>
            </w:pPr>
          </w:p>
        </w:tc>
        <w:tc>
          <w:tcPr>
            <w:tcW w:w="221" w:type="dxa"/>
            <w:vMerge/>
          </w:tcPr>
          <w:p w14:paraId="1B0C95DA" w14:textId="77777777" w:rsidR="00674BAC" w:rsidRDefault="00674BAC" w:rsidP="00DA0121">
            <w:pPr>
              <w:pStyle w:val="Textpoznpodarou"/>
              <w:jc w:val="both"/>
              <w:rPr>
                <w:spacing w:val="-4"/>
              </w:rPr>
            </w:pPr>
          </w:p>
        </w:tc>
        <w:tc>
          <w:tcPr>
            <w:tcW w:w="7670" w:type="dxa"/>
            <w:shd w:val="clear" w:color="auto" w:fill="auto"/>
          </w:tcPr>
          <w:p w14:paraId="4CDD97A6" w14:textId="77777777" w:rsidR="00674BAC" w:rsidRDefault="00674BAC" w:rsidP="00DA0121">
            <w:pPr>
              <w:spacing w:after="0"/>
              <w:rPr>
                <w:spacing w:val="-4"/>
              </w:rPr>
            </w:pPr>
            <w:r>
              <w:rPr>
                <w:noProof/>
              </w:rPr>
              <w:drawing>
                <wp:inline distT="0" distB="0" distL="0" distR="0" wp14:anchorId="5263F48C" wp14:editId="5FA98236">
                  <wp:extent cx="4771467" cy="3492000"/>
                  <wp:effectExtent l="0" t="0" r="0" b="0"/>
                  <wp:docPr id="139224536" name="Graf 139224536">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74BAC" w:rsidRPr="009110F7" w14:paraId="112F8332" w14:textId="77777777" w:rsidTr="785B85D1">
        <w:trPr>
          <w:trHeight w:val="150"/>
        </w:trPr>
        <w:tc>
          <w:tcPr>
            <w:tcW w:w="1748" w:type="dxa"/>
            <w:vMerge/>
            <w:tcMar>
              <w:left w:w="0" w:type="dxa"/>
            </w:tcMar>
          </w:tcPr>
          <w:p w14:paraId="2C5823EF" w14:textId="77777777" w:rsidR="00674BAC" w:rsidRDefault="00674BAC" w:rsidP="00DA0121">
            <w:pPr>
              <w:pStyle w:val="Marginlie"/>
            </w:pPr>
          </w:p>
        </w:tc>
        <w:tc>
          <w:tcPr>
            <w:tcW w:w="221" w:type="dxa"/>
            <w:vMerge/>
            <w:tcMar>
              <w:left w:w="0" w:type="dxa"/>
            </w:tcMar>
          </w:tcPr>
          <w:p w14:paraId="4C675AEB" w14:textId="77777777" w:rsidR="00674BAC" w:rsidRDefault="00674BAC" w:rsidP="00DA0121">
            <w:pPr>
              <w:pStyle w:val="Textpoznpodarou"/>
              <w:jc w:val="both"/>
              <w:rPr>
                <w:spacing w:val="-4"/>
              </w:rPr>
            </w:pPr>
          </w:p>
        </w:tc>
        <w:tc>
          <w:tcPr>
            <w:tcW w:w="7670" w:type="dxa"/>
            <w:shd w:val="clear" w:color="auto" w:fill="auto"/>
            <w:tcMar>
              <w:left w:w="0" w:type="dxa"/>
            </w:tcMar>
          </w:tcPr>
          <w:p w14:paraId="3417D412" w14:textId="77777777" w:rsidR="00674BAC" w:rsidRDefault="00674BAC" w:rsidP="00DA0121">
            <w:pPr>
              <w:spacing w:after="0"/>
              <w:rPr>
                <w:spacing w:val="-4"/>
              </w:rPr>
            </w:pPr>
            <w:r>
              <w:rPr>
                <w:sz w:val="14"/>
                <w:szCs w:val="14"/>
              </w:rPr>
              <w:t>Zdroj: ČSÚ</w:t>
            </w:r>
          </w:p>
        </w:tc>
      </w:tr>
      <w:tr w:rsidR="00674BAC" w:rsidRPr="009110F7" w14:paraId="114C23F3" w14:textId="77777777" w:rsidTr="785B85D1">
        <w:trPr>
          <w:trHeight w:val="145"/>
        </w:trPr>
        <w:tc>
          <w:tcPr>
            <w:tcW w:w="1748" w:type="dxa"/>
            <w:shd w:val="clear" w:color="auto" w:fill="auto"/>
            <w:tcMar>
              <w:left w:w="0" w:type="dxa"/>
            </w:tcMar>
          </w:tcPr>
          <w:p w14:paraId="66C8C1AB" w14:textId="77777777" w:rsidR="00674BAC" w:rsidRDefault="00674BAC" w:rsidP="00DA0121">
            <w:pPr>
              <w:pStyle w:val="Marginlie"/>
            </w:pPr>
            <w:r>
              <w:t>Bilance zahraničního obchodu se zbožím  skončila v přebytku.</w:t>
            </w:r>
          </w:p>
        </w:tc>
        <w:tc>
          <w:tcPr>
            <w:tcW w:w="221" w:type="dxa"/>
            <w:shd w:val="clear" w:color="auto" w:fill="auto"/>
            <w:tcMar>
              <w:left w:w="0" w:type="dxa"/>
            </w:tcMar>
          </w:tcPr>
          <w:p w14:paraId="3EBAB947" w14:textId="77777777" w:rsidR="00674BAC" w:rsidRDefault="00674BAC" w:rsidP="00DA0121">
            <w:pPr>
              <w:pStyle w:val="Textpoznpodarou"/>
              <w:jc w:val="both"/>
              <w:rPr>
                <w:spacing w:val="-4"/>
              </w:rPr>
            </w:pPr>
          </w:p>
        </w:tc>
        <w:tc>
          <w:tcPr>
            <w:tcW w:w="7670" w:type="dxa"/>
            <w:shd w:val="clear" w:color="auto" w:fill="auto"/>
            <w:tcMar>
              <w:left w:w="0" w:type="dxa"/>
            </w:tcMar>
          </w:tcPr>
          <w:p w14:paraId="1C62B1CF" w14:textId="7FAB4A11" w:rsidR="00674BAC" w:rsidRPr="00AF6F98" w:rsidRDefault="00674BAC" w:rsidP="00DA0121">
            <w:pPr>
              <w:spacing w:after="180"/>
            </w:pPr>
            <w:r>
              <w:rPr>
                <w:spacing w:val="-4"/>
              </w:rPr>
              <w:t xml:space="preserve">Bilance zahraničního obchodu se zbožím v 1. pololetí dosáhla přebytku 79,4 mld. korun a meziročně se zlepšila o 165,3 mld. Letošní přebytek byl nejlepším výsledkem bilance v daném období za poslední čtyři roky, ale zaostával za úrovní stejného období let </w:t>
            </w:r>
            <w:r>
              <w:rPr>
                <w:spacing w:val="-4"/>
              </w:rPr>
              <w:br/>
              <w:t>2014–2019. V samotném 2. čtvrtletí kladné saldo zahraničního obchodu se zbožím dosáhlo 39,5 mld. korun a meziročně byla bilance lepší o 112,7 mld. Podle sezónně očištěných dat se bilance mezičtvrtletně zlepšila o výrazných 22,6 mld. korun. Meziroční zlepšení bilance v 1. pololetí se týkalo obchodu s EU (+112,6 mld. korun) i s mimounijními zeměmi (+55,6 mld.). V samotném 2. kvartálu se bilance zahraničního obchodu se zbožím s EU zlepšila meziročně o 48,9 mld. korun a mimo EU o 64,8 mld. Nejvíce ve směru meziročního zlepšení bilance působil ve 2. čtvrtletí obchod s Ruskem (+78,5 mld. korun), Německem (+22,3 mld.), Polskem (+11,2 mld.) a Itálií (+10,8 mld.). Zlepšovala se také bilance obchodu s Tureckem (+7,3 mld. korun), Francií (+5,2 mld.), Ázerbájdžánem (+3,6 mld.), Belgií (+3,6 mld.), Ukrajinou (+3,3 mld.), Kazachstánem (+3,1 mld.), Švýcarskem (+2,4 mld.), Rakouskem (+2,1 mld.) nebo Bulharskem (+2,1 mld.). Naopak nejvýraznější zhoršení bilance se týkalo zahraničního obchodu s Norskem (−26,</w:t>
            </w:r>
            <w:r w:rsidR="78058569">
              <w:rPr>
                <w:spacing w:val="-4"/>
              </w:rPr>
              <w:t>0</w:t>
            </w:r>
            <w:r>
              <w:rPr>
                <w:spacing w:val="-4"/>
              </w:rPr>
              <w:t xml:space="preserve"> mld. korun), Slovenskem (−10,1 mld.), Čínou (−8,2 mld.), Spojenými státy (−5,1 mld.) a Jižní Koreou (−2,6 mld.).</w:t>
            </w:r>
          </w:p>
        </w:tc>
      </w:tr>
      <w:tr w:rsidR="00674BAC" w:rsidRPr="009110F7" w14:paraId="0FA16D03" w14:textId="77777777" w:rsidTr="785B85D1">
        <w:trPr>
          <w:trHeight w:val="145"/>
        </w:trPr>
        <w:tc>
          <w:tcPr>
            <w:tcW w:w="1748" w:type="dxa"/>
            <w:shd w:val="clear" w:color="auto" w:fill="auto"/>
            <w:tcMar>
              <w:left w:w="0" w:type="dxa"/>
            </w:tcMar>
          </w:tcPr>
          <w:p w14:paraId="310BDB46" w14:textId="77777777" w:rsidR="00674BAC" w:rsidRDefault="00674BAC" w:rsidP="00DA0121">
            <w:pPr>
              <w:pStyle w:val="Marginlie"/>
            </w:pPr>
            <w:r>
              <w:t xml:space="preserve">Ke zlepšení bilance přispěl zejména obchod s motorovými vozidly </w:t>
            </w:r>
            <w:r>
              <w:br/>
              <w:t>a také s ropou a zemním plynem.</w:t>
            </w:r>
          </w:p>
        </w:tc>
        <w:tc>
          <w:tcPr>
            <w:tcW w:w="221" w:type="dxa"/>
            <w:shd w:val="clear" w:color="auto" w:fill="auto"/>
            <w:tcMar>
              <w:left w:w="0" w:type="dxa"/>
            </w:tcMar>
          </w:tcPr>
          <w:p w14:paraId="2EE7D689" w14:textId="77777777" w:rsidR="00674BAC" w:rsidRDefault="00674BAC" w:rsidP="00DA0121">
            <w:pPr>
              <w:pStyle w:val="Textpoznpodarou"/>
              <w:jc w:val="both"/>
              <w:rPr>
                <w:spacing w:val="-4"/>
              </w:rPr>
            </w:pPr>
          </w:p>
        </w:tc>
        <w:tc>
          <w:tcPr>
            <w:tcW w:w="7670" w:type="dxa"/>
            <w:shd w:val="clear" w:color="auto" w:fill="auto"/>
            <w:tcMar>
              <w:left w:w="0" w:type="dxa"/>
            </w:tcMar>
          </w:tcPr>
          <w:p w14:paraId="0F1E11E6" w14:textId="77777777" w:rsidR="00674BAC" w:rsidRDefault="00674BAC" w:rsidP="00DA0121">
            <w:pPr>
              <w:spacing w:after="180"/>
              <w:rPr>
                <w:spacing w:val="-4"/>
              </w:rPr>
            </w:pPr>
            <w:r>
              <w:rPr>
                <w:spacing w:val="-4"/>
              </w:rPr>
              <w:t xml:space="preserve">V 1. pololetí ve směru zlepšení bilance působilo zlepšení přebytku obchodu s motorovými vozidly (+71,2 mld. korun) a zmírnění deficitu u ropy a zemního plynu (+65,7 mld.). Příznivě se vyvíjelo i saldo obchodu se základními kovy (+19,1 mld. korun) a stroji a zařízeními (+14,5 mld.). Nejvíce se zhoršovala bilance obchodu s elektřinou, plynem, párou a klimatizovaným vzduchem (−13,3 mld. korun), elektrickými zařízeními (−7,6 mld.) a s produkty lesnictví, těžby dřeva a souvisejícími službami (−5,8 mld.). V samotném 2. čtvrtletí se nejvíce meziročně zlepšovalo saldo obchodu s ropou a zemním plynem (+55,6 mld. korun) a dále s motorovými vozidly (+29,4 mld.), základními kovy (+14,1 mld.) a koksem a rafinovanými ropnými produkty (+8,6 mld.). Výraznější zlepšení bilance vykázal také obchod se stroji a zařízeními (+7,6 mld. korun), chemickými látkami a přípravky (+3,7 mld.) nebo černým a hnědým uhlím a lignitem (+3,2 mld.). Největší zhoršení bilance se dotklo obchodu s elektřinou, plynem, párou a klimatizovaným vzduchem (−7,3 mld. korun), elektrickými zařízeními (−5,5 mld.), kovodělnými výrobky (−4,2 mld.) a produkty lesnictví, těžby dřeva a souvisejícími službami (−3,8 mld.). </w:t>
            </w:r>
          </w:p>
        </w:tc>
      </w:tr>
      <w:bookmarkEnd w:id="33"/>
      <w:bookmarkEnd w:id="34"/>
      <w:bookmarkEnd w:id="35"/>
    </w:tbl>
    <w:p w14:paraId="3EDFD85E" w14:textId="77777777" w:rsidR="00674BAC" w:rsidRPr="00E42054" w:rsidRDefault="00674BAC" w:rsidP="00674BAC">
      <w:pPr>
        <w:pStyle w:val="Nadpis11"/>
        <w:rPr>
          <w:b w:val="0"/>
          <w:sz w:val="2"/>
          <w:szCs w:val="2"/>
        </w:rPr>
      </w:pPr>
    </w:p>
    <w:p w14:paraId="2C7C648B" w14:textId="77777777" w:rsidR="00674BAC" w:rsidRPr="001C3855" w:rsidRDefault="00674BAC" w:rsidP="00674BAC">
      <w:pPr>
        <w:pStyle w:val="Nadpis11"/>
        <w:rPr>
          <w:sz w:val="2"/>
          <w:szCs w:val="2"/>
        </w:rPr>
      </w:pPr>
    </w:p>
    <w:p w14:paraId="3B29EC88" w14:textId="77777777" w:rsidR="00674BAC" w:rsidRPr="001C3855" w:rsidRDefault="00674BAC" w:rsidP="00674BAC">
      <w:pPr>
        <w:pStyle w:val="Nadpis11"/>
        <w:rPr>
          <w:sz w:val="2"/>
          <w:szCs w:val="2"/>
        </w:rPr>
      </w:pPr>
    </w:p>
    <w:p w14:paraId="37BF6873" w14:textId="77777777" w:rsidR="00674BAC" w:rsidRDefault="00674BAC">
      <w:pPr>
        <w:spacing w:after="0" w:line="240" w:lineRule="auto"/>
        <w:jc w:val="left"/>
        <w:rPr>
          <w:rFonts w:eastAsia="MS Gothic"/>
          <w:b/>
          <w:bCs/>
          <w:color w:val="71818C"/>
          <w:sz w:val="32"/>
          <w:szCs w:val="28"/>
        </w:rPr>
      </w:pPr>
      <w:r>
        <w:br w:type="page"/>
      </w:r>
    </w:p>
    <w:p w14:paraId="024A13B6" w14:textId="7222AFCE" w:rsidR="00C6020C" w:rsidRPr="009110F7" w:rsidRDefault="00C6020C" w:rsidP="00C6020C">
      <w:pPr>
        <w:pStyle w:val="Nadpis11"/>
      </w:pPr>
      <w:bookmarkStart w:id="36" w:name="_Toc145581250"/>
      <w:r w:rsidRPr="009110F7">
        <w:t>5</w:t>
      </w:r>
      <w:r>
        <w:t>. </w:t>
      </w:r>
      <w:r w:rsidRPr="009110F7">
        <w:t>Ceny</w:t>
      </w:r>
      <w:bookmarkEnd w:id="36"/>
    </w:p>
    <w:tbl>
      <w:tblPr>
        <w:tblW w:w="9639" w:type="dxa"/>
        <w:tblInd w:w="-15" w:type="dxa"/>
        <w:tblCellMar>
          <w:left w:w="0" w:type="dxa"/>
          <w:right w:w="0" w:type="dxa"/>
        </w:tblCellMar>
        <w:tblLook w:val="00A0" w:firstRow="1" w:lastRow="0" w:firstColumn="1" w:lastColumn="0" w:noHBand="0" w:noVBand="0"/>
      </w:tblPr>
      <w:tblGrid>
        <w:gridCol w:w="1804"/>
        <w:gridCol w:w="224"/>
        <w:gridCol w:w="7611"/>
      </w:tblGrid>
      <w:tr w:rsidR="00C6020C" w:rsidRPr="009110F7" w14:paraId="23EC816A" w14:textId="77777777" w:rsidTr="006849F8">
        <w:trPr>
          <w:trHeight w:val="145"/>
        </w:trPr>
        <w:tc>
          <w:tcPr>
            <w:tcW w:w="1804" w:type="dxa"/>
            <w:shd w:val="clear" w:color="auto" w:fill="auto"/>
            <w:tcMar>
              <w:left w:w="0" w:type="dxa"/>
            </w:tcMar>
          </w:tcPr>
          <w:p w14:paraId="0E6214D5" w14:textId="0B5A3F95" w:rsidR="00C6020C" w:rsidRPr="00793D78" w:rsidRDefault="00AA49E1" w:rsidP="00AA49E1">
            <w:pPr>
              <w:pStyle w:val="Marginlie"/>
              <w:rPr>
                <w:spacing w:val="0"/>
              </w:rPr>
            </w:pPr>
            <w:r>
              <w:rPr>
                <w:spacing w:val="0"/>
              </w:rPr>
              <w:t>Celková cenová hladina ve 2. čtvrtletí rostla.</w:t>
            </w:r>
          </w:p>
        </w:tc>
        <w:tc>
          <w:tcPr>
            <w:tcW w:w="224" w:type="dxa"/>
            <w:shd w:val="clear" w:color="auto" w:fill="auto"/>
            <w:tcMar>
              <w:left w:w="0" w:type="dxa"/>
            </w:tcMar>
          </w:tcPr>
          <w:p w14:paraId="63C5DAE9" w14:textId="77777777" w:rsidR="00C6020C" w:rsidRPr="00793D78" w:rsidRDefault="00C6020C" w:rsidP="006849F8">
            <w:pPr>
              <w:pStyle w:val="Textpoznpodarou1"/>
              <w:jc w:val="both"/>
            </w:pPr>
          </w:p>
        </w:tc>
        <w:tc>
          <w:tcPr>
            <w:tcW w:w="7611" w:type="dxa"/>
            <w:shd w:val="clear" w:color="auto" w:fill="auto"/>
            <w:tcMar>
              <w:left w:w="0" w:type="dxa"/>
            </w:tcMar>
          </w:tcPr>
          <w:p w14:paraId="386C0AF1" w14:textId="77777777" w:rsidR="00C6020C" w:rsidRPr="00793D78" w:rsidRDefault="00C6020C" w:rsidP="006849F8">
            <w:pPr>
              <w:rPr>
                <w:szCs w:val="20"/>
              </w:rPr>
            </w:pPr>
            <w:r>
              <w:rPr>
                <w:szCs w:val="20"/>
              </w:rPr>
              <w:t xml:space="preserve">Celková cenová hladina měřená deflátorem HDP se ve 2. čtvrtletí meziročně zvýšila o 10,2 %. Tempo tak mírně zvolnilo oproti předchozímu čtvrtletí. Výrazně zpomalovalo meziroční tempo růstu cen spotřeby (z 12,2 % na 9,0 %), zejména spotřeby domácností (10,0 %). Ceny kapitálových statků se meziročně zvýšily o 3,3 %, což představuje prudké zpomalení (v 1. čtvrtletí ceny rostly o 10,2 %). Meziroční směnné relace dosáhly výrazných 104,6 % a výrazně kladné byly v případě zboží (104,7 %) i služeb (103,1 %). Mezičtvrtletně se celková cenová hladina ve 2. čtvrtletí zvýšila o 1,1 %. Klesly ceny spotřebních statků (-0,2 %) i kapitálových statků (-1,9 %). Mezičtvrtletní směnné relace dosáhly 102,9 %. Přitom směnné relace obchodu se zbožím činily 102,7 % a se službami 103,5 %. </w:t>
            </w:r>
          </w:p>
        </w:tc>
      </w:tr>
      <w:tr w:rsidR="00C6020C" w:rsidRPr="009110F7" w14:paraId="1BA78F43" w14:textId="77777777" w:rsidTr="006849F8">
        <w:trPr>
          <w:trHeight w:val="145"/>
        </w:trPr>
        <w:tc>
          <w:tcPr>
            <w:tcW w:w="1804" w:type="dxa"/>
            <w:shd w:val="clear" w:color="auto" w:fill="auto"/>
            <w:tcMar>
              <w:left w:w="0" w:type="dxa"/>
            </w:tcMar>
          </w:tcPr>
          <w:p w14:paraId="432D8C62" w14:textId="77777777" w:rsidR="00C6020C" w:rsidRPr="00793D78" w:rsidRDefault="00C6020C" w:rsidP="006849F8">
            <w:pPr>
              <w:pStyle w:val="Marginlie"/>
              <w:rPr>
                <w:spacing w:val="0"/>
              </w:rPr>
            </w:pPr>
            <w:r>
              <w:rPr>
                <w:spacing w:val="0"/>
              </w:rPr>
              <w:t>Meziroční růst spotřebitelských cen zpomalil.</w:t>
            </w:r>
          </w:p>
        </w:tc>
        <w:tc>
          <w:tcPr>
            <w:tcW w:w="224" w:type="dxa"/>
            <w:shd w:val="clear" w:color="auto" w:fill="auto"/>
            <w:tcMar>
              <w:left w:w="0" w:type="dxa"/>
            </w:tcMar>
          </w:tcPr>
          <w:p w14:paraId="456F7361" w14:textId="77777777" w:rsidR="00C6020C" w:rsidRPr="00793D78" w:rsidRDefault="00C6020C" w:rsidP="006849F8">
            <w:pPr>
              <w:pStyle w:val="Textpoznpodarou1"/>
              <w:jc w:val="both"/>
              <w:rPr>
                <w:highlight w:val="yellow"/>
              </w:rPr>
            </w:pPr>
          </w:p>
        </w:tc>
        <w:tc>
          <w:tcPr>
            <w:tcW w:w="7611" w:type="dxa"/>
            <w:shd w:val="clear" w:color="auto" w:fill="auto"/>
            <w:tcMar>
              <w:left w:w="0" w:type="dxa"/>
            </w:tcMar>
          </w:tcPr>
          <w:p w14:paraId="5FAA19AB" w14:textId="77777777" w:rsidR="00C6020C" w:rsidRPr="000316FC" w:rsidRDefault="00C6020C" w:rsidP="006849F8">
            <w:r>
              <w:t>Index spotřebitelských cen se ve 2. čtvrtletí 2023 meziročně zvýšil o 11,1 %. To představuje výrazné zpomalení meziročního tempa oproti 1. kvartálu (16,4 %). Velký podíl na zmírnění má zejména vysoká srovnávací základna loňského roku. Pohled na index s bází v roce 2015 totiž zřetelněji ukazuje, že po letošním lednovém prudkém navýšení už úroveň spotřebitelských cen rostla jen mírně</w:t>
            </w:r>
            <w:r>
              <w:rPr>
                <w:rStyle w:val="Znakapoznpodarou"/>
              </w:rPr>
              <w:footnoteReference w:id="47"/>
            </w:r>
            <w:r>
              <w:t xml:space="preserve">. K oslabení meziročního tempa ve 2. čtvrtletí nejvíce přispíval vývoj cen potravin a nealkoholických nápojů, bydlení a energií a dopravy, které v loňském 1. pololetí dominovaly růstu cen. Navzdory výraznému zpomalení tempa ale bydlení a energie stejně jako potraviny a nealkoholické nápoje zůstávaly tahounem a přispívaly z více než poloviny k meziročnímu přírůstku spotřebitelských cen. Mezičtvrtletně se spotřebitelské ceny ve 2. čtvrtletí zvýšily o 0,3 %.   </w:t>
            </w:r>
          </w:p>
        </w:tc>
      </w:tr>
      <w:tr w:rsidR="00C6020C" w:rsidRPr="009110F7" w14:paraId="22E85D03" w14:textId="77777777" w:rsidTr="006849F8">
        <w:trPr>
          <w:trHeight w:val="145"/>
        </w:trPr>
        <w:tc>
          <w:tcPr>
            <w:tcW w:w="1804" w:type="dxa"/>
            <w:shd w:val="clear" w:color="auto" w:fill="auto"/>
            <w:tcMar>
              <w:left w:w="0" w:type="dxa"/>
            </w:tcMar>
          </w:tcPr>
          <w:p w14:paraId="062FC487" w14:textId="77777777" w:rsidR="00C6020C" w:rsidRPr="00793D78" w:rsidRDefault="00C6020C" w:rsidP="006849F8">
            <w:pPr>
              <w:pStyle w:val="Marginlie"/>
              <w:rPr>
                <w:spacing w:val="0"/>
              </w:rPr>
            </w:pPr>
            <w:r>
              <w:rPr>
                <w:spacing w:val="0"/>
              </w:rPr>
              <w:t>Zmírnil se přírůstek cen bydlení a energií.</w:t>
            </w:r>
          </w:p>
        </w:tc>
        <w:tc>
          <w:tcPr>
            <w:tcW w:w="224" w:type="dxa"/>
            <w:shd w:val="clear" w:color="auto" w:fill="auto"/>
            <w:tcMar>
              <w:left w:w="0" w:type="dxa"/>
            </w:tcMar>
          </w:tcPr>
          <w:p w14:paraId="71931195" w14:textId="77777777" w:rsidR="00C6020C" w:rsidRPr="00793D78" w:rsidRDefault="00C6020C" w:rsidP="006849F8">
            <w:pPr>
              <w:pStyle w:val="Textpoznpodarou1"/>
              <w:jc w:val="both"/>
              <w:rPr>
                <w:highlight w:val="yellow"/>
              </w:rPr>
            </w:pPr>
          </w:p>
        </w:tc>
        <w:tc>
          <w:tcPr>
            <w:tcW w:w="7611" w:type="dxa"/>
            <w:shd w:val="clear" w:color="auto" w:fill="auto"/>
            <w:tcMar>
              <w:left w:w="0" w:type="dxa"/>
            </w:tcMar>
          </w:tcPr>
          <w:p w14:paraId="32167738" w14:textId="77777777" w:rsidR="00C6020C" w:rsidRDefault="00C6020C" w:rsidP="006849F8">
            <w:r>
              <w:t>Ceny bydlení a energií se ve 2. čtvrtletí meziročně zvýšily o 16,0 %. Růst tak zpomalil z předchozích 22,2 %, ale zůstal relativně vysoký a vzhledem k velké váze bydlení a energií ve spotřebitelském koši přispíval z více než třetiny k celkovému meziročnímu nárůstu spotřebitelských cen. Mezičtvrtletně ceny bydlení a energií vzrostly o 0,2 %. Zpomalení meziročního tempa se nejvíce dotklo cen elektrické a tepelné energie, plynu a ostatních paliv, které byly meziročně vyšší o 33,8 %. U ostatních služeb souvisejících s bydlením se nárůst držel na výrazných 15,9 % a ceny běžné údržby a drobných oprav bytu vzrostly o 12,2 %. Meziroční přírůstek nájemného z bytu mírně posílil na 6,9 %, ale u imputovaného nájemného</w:t>
            </w:r>
            <w:r>
              <w:rPr>
                <w:rStyle w:val="Znakapoznpodarou"/>
              </w:rPr>
              <w:footnoteReference w:id="48"/>
            </w:r>
            <w:r>
              <w:t xml:space="preserve"> došlo k dalšímu zmírnění tempa na 3,1 %. </w:t>
            </w:r>
          </w:p>
        </w:tc>
      </w:tr>
      <w:tr w:rsidR="00C6020C" w:rsidRPr="009110F7" w14:paraId="1204D454" w14:textId="77777777" w:rsidTr="006849F8">
        <w:trPr>
          <w:trHeight w:val="145"/>
        </w:trPr>
        <w:tc>
          <w:tcPr>
            <w:tcW w:w="1804" w:type="dxa"/>
            <w:shd w:val="clear" w:color="auto" w:fill="auto"/>
            <w:tcMar>
              <w:left w:w="0" w:type="dxa"/>
            </w:tcMar>
          </w:tcPr>
          <w:p w14:paraId="4745025F" w14:textId="77777777" w:rsidR="00C6020C" w:rsidRDefault="00C6020C" w:rsidP="006849F8">
            <w:pPr>
              <w:pStyle w:val="Marginlie"/>
              <w:rPr>
                <w:spacing w:val="0"/>
              </w:rPr>
            </w:pPr>
            <w:r>
              <w:rPr>
                <w:spacing w:val="0"/>
              </w:rPr>
              <w:t xml:space="preserve">Ceny potravin </w:t>
            </w:r>
            <w:r>
              <w:rPr>
                <w:spacing w:val="0"/>
              </w:rPr>
              <w:br/>
              <w:t>a nealkoholických nápojů mezičtvrtletně klesly.</w:t>
            </w:r>
          </w:p>
        </w:tc>
        <w:tc>
          <w:tcPr>
            <w:tcW w:w="224" w:type="dxa"/>
            <w:shd w:val="clear" w:color="auto" w:fill="auto"/>
            <w:tcMar>
              <w:left w:w="0" w:type="dxa"/>
            </w:tcMar>
          </w:tcPr>
          <w:p w14:paraId="3D78DEE3" w14:textId="77777777" w:rsidR="00C6020C" w:rsidRPr="00793D78" w:rsidRDefault="00C6020C" w:rsidP="006849F8">
            <w:pPr>
              <w:pStyle w:val="Textpoznpodarou1"/>
              <w:jc w:val="both"/>
              <w:rPr>
                <w:highlight w:val="yellow"/>
              </w:rPr>
            </w:pPr>
          </w:p>
        </w:tc>
        <w:tc>
          <w:tcPr>
            <w:tcW w:w="7611" w:type="dxa"/>
            <w:shd w:val="clear" w:color="auto" w:fill="auto"/>
            <w:tcMar>
              <w:left w:w="0" w:type="dxa"/>
            </w:tcMar>
          </w:tcPr>
          <w:p w14:paraId="610B8547" w14:textId="77777777" w:rsidR="00C6020C" w:rsidRDefault="00C6020C" w:rsidP="006849F8">
            <w:r>
              <w:t>Výrazné zpomalení meziročního růstu ve 2. čtvrtletí se týkalo také cen potravin a nealkoholických nápojů, u kterých přírůstek dosáhl 14,6 %. Mezičtvrtletně ceny potravin a nealkoholických nápojů klesly o 0,6 %. Oslabení meziroční dynamiky bylo obzvlášť výrazné v případě olejů a tuků (z 23,5 % v 1. čtvrtletí na 2,4 % ve 2. kvartálu), masa (z 24,4 % na 8,6 %), mléka, sýrů a vajec (z 32,7 % na 17,4 %) a pekárenských výrobků a obilovin (z 26,5 % na 16,8 %). Silný růst cen se udržel u zeleniny (22,6 %), cukru, marmelády, medu, čokolády, cukrovinek a cukrářských výrobků (20,0 %) a ostatních potravinářských výrobků (17,4 %). Růst cen ovoce posílil na 14,4 %.</w:t>
            </w:r>
          </w:p>
        </w:tc>
      </w:tr>
      <w:tr w:rsidR="00C6020C" w:rsidRPr="009110F7" w14:paraId="12641F01" w14:textId="77777777" w:rsidTr="006849F8">
        <w:trPr>
          <w:trHeight w:val="145"/>
        </w:trPr>
        <w:tc>
          <w:tcPr>
            <w:tcW w:w="1804" w:type="dxa"/>
            <w:shd w:val="clear" w:color="auto" w:fill="auto"/>
            <w:tcMar>
              <w:left w:w="0" w:type="dxa"/>
            </w:tcMar>
          </w:tcPr>
          <w:p w14:paraId="5E5264B1" w14:textId="77777777" w:rsidR="00C6020C" w:rsidRDefault="00C6020C" w:rsidP="006849F8">
            <w:pPr>
              <w:pStyle w:val="Marginlie"/>
              <w:rPr>
                <w:spacing w:val="0"/>
              </w:rPr>
            </w:pPr>
            <w:r>
              <w:rPr>
                <w:spacing w:val="0"/>
              </w:rPr>
              <w:t>Ceny různých služeb dál silně rostly.</w:t>
            </w:r>
          </w:p>
        </w:tc>
        <w:tc>
          <w:tcPr>
            <w:tcW w:w="224" w:type="dxa"/>
            <w:shd w:val="clear" w:color="auto" w:fill="auto"/>
            <w:tcMar>
              <w:left w:w="0" w:type="dxa"/>
            </w:tcMar>
          </w:tcPr>
          <w:p w14:paraId="19EDD3C3" w14:textId="77777777" w:rsidR="00C6020C" w:rsidRPr="00793D78" w:rsidRDefault="00C6020C" w:rsidP="006849F8">
            <w:pPr>
              <w:pStyle w:val="Textpoznpodarou1"/>
              <w:jc w:val="both"/>
              <w:rPr>
                <w:highlight w:val="yellow"/>
              </w:rPr>
            </w:pPr>
          </w:p>
        </w:tc>
        <w:tc>
          <w:tcPr>
            <w:tcW w:w="7611" w:type="dxa"/>
            <w:shd w:val="clear" w:color="auto" w:fill="auto"/>
            <w:tcMar>
              <w:left w:w="0" w:type="dxa"/>
            </w:tcMar>
          </w:tcPr>
          <w:p w14:paraId="53E1A42C" w14:textId="77777777" w:rsidR="00C6020C" w:rsidRDefault="00C6020C" w:rsidP="006849F8">
            <w:r>
              <w:t>Výrazný zůstával meziroční růst cen mnohých služeb. K celkovému meziročnímu růstu spotřebitelských cen značně přispívaly ceny rekreací a kultury, které se zvýšily o 11,7 %. Významný vliv měly především ceny dovolených s komplexními službami (17,3 %), rekreačních a kulturních služeb (10,8 %) a ostatních předmětů pro rekreaci a volný čas (13,9 %). Mezičtvrtletně se ceny rekreací a kultury snížily o 0,3 %. Přes oslabení meziročního růstu zůstal výrazný také příspěvek cen stravování a ubytování, které byly meziročně vyšší o 15,4 %. Přitom ceny stravovacích služeb meziročně rostly o 15,5 % a ubytovacích služeb o 15,1 %. Ceny stravování a ubytování měly jeden z nejvyšších mezičtvrtletních přírůstků (2,7 %) v celém spotřebním koši. Ceny ostatního zboží a služeb</w:t>
            </w:r>
            <w:r>
              <w:rPr>
                <w:rStyle w:val="Znakapoznpodarou"/>
              </w:rPr>
              <w:footnoteReference w:id="49"/>
            </w:r>
            <w:r>
              <w:t xml:space="preserve"> meziročně vzrostly o 11,2 % a mezičtvrtletně byly vyšší o 1,4 %. </w:t>
            </w:r>
          </w:p>
        </w:tc>
      </w:tr>
      <w:tr w:rsidR="00C6020C" w:rsidRPr="009110F7" w14:paraId="014FA0F2" w14:textId="77777777" w:rsidTr="006849F8">
        <w:trPr>
          <w:trHeight w:val="170"/>
        </w:trPr>
        <w:tc>
          <w:tcPr>
            <w:tcW w:w="1804" w:type="dxa"/>
            <w:vMerge w:val="restart"/>
            <w:shd w:val="clear" w:color="auto" w:fill="auto"/>
            <w:tcMar>
              <w:left w:w="0" w:type="dxa"/>
            </w:tcMar>
          </w:tcPr>
          <w:p w14:paraId="260615DF" w14:textId="77777777" w:rsidR="00C6020C" w:rsidRDefault="00C6020C" w:rsidP="006849F8">
            <w:pPr>
              <w:pStyle w:val="Marginlie"/>
              <w:rPr>
                <w:spacing w:val="0"/>
              </w:rPr>
            </w:pPr>
          </w:p>
        </w:tc>
        <w:tc>
          <w:tcPr>
            <w:tcW w:w="224" w:type="dxa"/>
            <w:vMerge w:val="restart"/>
            <w:shd w:val="clear" w:color="auto" w:fill="auto"/>
            <w:tcMar>
              <w:left w:w="0" w:type="dxa"/>
            </w:tcMar>
          </w:tcPr>
          <w:p w14:paraId="5281E1CE" w14:textId="77777777" w:rsidR="00C6020C" w:rsidRPr="00793D78" w:rsidRDefault="00C6020C" w:rsidP="006849F8">
            <w:pPr>
              <w:pStyle w:val="Textpoznpodarou1"/>
              <w:jc w:val="both"/>
            </w:pPr>
          </w:p>
        </w:tc>
        <w:tc>
          <w:tcPr>
            <w:tcW w:w="7611" w:type="dxa"/>
            <w:shd w:val="clear" w:color="auto" w:fill="auto"/>
            <w:tcMar>
              <w:left w:w="0" w:type="dxa"/>
            </w:tcMar>
          </w:tcPr>
          <w:p w14:paraId="5BC074D9" w14:textId="58856095" w:rsidR="00C6020C" w:rsidRDefault="00C6020C" w:rsidP="006849F8">
            <w:pPr>
              <w:spacing w:after="0"/>
            </w:pPr>
            <w:r w:rsidRPr="00793D78">
              <w:rPr>
                <w:rFonts w:cs="Arial"/>
                <w:b/>
                <w:bCs/>
                <w:color w:val="000000"/>
                <w:sz w:val="18"/>
                <w:szCs w:val="18"/>
              </w:rPr>
              <w:t xml:space="preserve">Graf </w:t>
            </w:r>
            <w:r w:rsidR="00FA2C07">
              <w:rPr>
                <w:rFonts w:cs="Arial"/>
                <w:b/>
                <w:bCs/>
                <w:color w:val="000000"/>
                <w:sz w:val="18"/>
                <w:szCs w:val="18"/>
              </w:rPr>
              <w:t>č. 10</w:t>
            </w:r>
            <w:r>
              <w:rPr>
                <w:rFonts w:cs="Arial"/>
                <w:b/>
                <w:bCs/>
                <w:color w:val="000000"/>
                <w:sz w:val="18"/>
                <w:szCs w:val="18"/>
              </w:rPr>
              <w:t xml:space="preserve"> </w:t>
            </w:r>
            <w:r w:rsidRPr="00793D78">
              <w:rPr>
                <w:rFonts w:cs="Arial"/>
                <w:b/>
                <w:bCs/>
                <w:color w:val="000000"/>
                <w:sz w:val="18"/>
                <w:szCs w:val="18"/>
              </w:rPr>
              <w:t>Ceny ve vybraných oddílech indexu spotřebitelských cen</w:t>
            </w:r>
            <w:r w:rsidRPr="00793D78">
              <w:rPr>
                <w:rFonts w:cs="Arial"/>
                <w:b/>
                <w:color w:val="000000"/>
                <w:sz w:val="18"/>
                <w:szCs w:val="18"/>
              </w:rPr>
              <w:t xml:space="preserve"> </w:t>
            </w:r>
            <w:r w:rsidRPr="009067EA">
              <w:rPr>
                <w:rFonts w:cs="Arial"/>
                <w:color w:val="000000"/>
                <w:sz w:val="18"/>
                <w:szCs w:val="18"/>
              </w:rPr>
              <w:t>(meziročně v %)</w:t>
            </w:r>
          </w:p>
        </w:tc>
      </w:tr>
      <w:tr w:rsidR="00C6020C" w:rsidRPr="009110F7" w14:paraId="72DCDE7B" w14:textId="77777777" w:rsidTr="006849F8">
        <w:tblPrEx>
          <w:tblCellMar>
            <w:left w:w="70" w:type="dxa"/>
            <w:right w:w="70" w:type="dxa"/>
          </w:tblCellMar>
        </w:tblPrEx>
        <w:trPr>
          <w:trHeight w:val="170"/>
        </w:trPr>
        <w:tc>
          <w:tcPr>
            <w:tcW w:w="1804" w:type="dxa"/>
            <w:vMerge/>
          </w:tcPr>
          <w:p w14:paraId="66DE1DE8" w14:textId="77777777" w:rsidR="00C6020C" w:rsidRDefault="00C6020C" w:rsidP="006849F8">
            <w:pPr>
              <w:pStyle w:val="Marginlie"/>
              <w:rPr>
                <w:spacing w:val="0"/>
              </w:rPr>
            </w:pPr>
          </w:p>
        </w:tc>
        <w:tc>
          <w:tcPr>
            <w:tcW w:w="224" w:type="dxa"/>
            <w:vMerge/>
          </w:tcPr>
          <w:p w14:paraId="722E3DBF" w14:textId="77777777" w:rsidR="00C6020C" w:rsidRPr="00793D78" w:rsidRDefault="00C6020C" w:rsidP="006849F8">
            <w:pPr>
              <w:pStyle w:val="Textpoznpodarou1"/>
              <w:jc w:val="both"/>
            </w:pPr>
          </w:p>
        </w:tc>
        <w:tc>
          <w:tcPr>
            <w:tcW w:w="7611" w:type="dxa"/>
            <w:shd w:val="clear" w:color="auto" w:fill="auto"/>
          </w:tcPr>
          <w:p w14:paraId="7303C657" w14:textId="77777777" w:rsidR="00C6020C" w:rsidRDefault="00C6020C" w:rsidP="006849F8">
            <w:pPr>
              <w:spacing w:after="0"/>
            </w:pPr>
            <w:r>
              <w:rPr>
                <w:noProof/>
              </w:rPr>
              <w:drawing>
                <wp:inline distT="0" distB="0" distL="0" distR="0" wp14:anchorId="69E4EE9D" wp14:editId="0EA2F9F2">
                  <wp:extent cx="4737600" cy="3553200"/>
                  <wp:effectExtent l="0" t="0" r="6350" b="0"/>
                  <wp:docPr id="27" name="Graf 2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C6020C" w:rsidRPr="009110F7" w14:paraId="49054711" w14:textId="77777777" w:rsidTr="006849F8">
        <w:trPr>
          <w:trHeight w:val="170"/>
        </w:trPr>
        <w:tc>
          <w:tcPr>
            <w:tcW w:w="1804" w:type="dxa"/>
            <w:vMerge/>
            <w:tcMar>
              <w:left w:w="0" w:type="dxa"/>
            </w:tcMar>
          </w:tcPr>
          <w:p w14:paraId="1E4FFDA9" w14:textId="77777777" w:rsidR="00C6020C" w:rsidRDefault="00C6020C" w:rsidP="006849F8">
            <w:pPr>
              <w:pStyle w:val="Marginlie"/>
              <w:rPr>
                <w:spacing w:val="0"/>
              </w:rPr>
            </w:pPr>
          </w:p>
        </w:tc>
        <w:tc>
          <w:tcPr>
            <w:tcW w:w="224" w:type="dxa"/>
            <w:vMerge/>
            <w:tcMar>
              <w:left w:w="0" w:type="dxa"/>
            </w:tcMar>
          </w:tcPr>
          <w:p w14:paraId="7DC3024D" w14:textId="77777777" w:rsidR="00C6020C" w:rsidRPr="00793D78" w:rsidRDefault="00C6020C" w:rsidP="006849F8">
            <w:pPr>
              <w:pStyle w:val="Textpoznpodarou1"/>
              <w:jc w:val="both"/>
            </w:pPr>
          </w:p>
        </w:tc>
        <w:tc>
          <w:tcPr>
            <w:tcW w:w="7611" w:type="dxa"/>
            <w:shd w:val="clear" w:color="auto" w:fill="auto"/>
            <w:tcMar>
              <w:left w:w="0" w:type="dxa"/>
            </w:tcMar>
          </w:tcPr>
          <w:p w14:paraId="3D3C2FDF" w14:textId="77777777" w:rsidR="00C6020C" w:rsidRDefault="00C6020C" w:rsidP="006849F8">
            <w:r w:rsidRPr="00793D78">
              <w:rPr>
                <w:sz w:val="14"/>
                <w:szCs w:val="14"/>
              </w:rPr>
              <w:t>Zdroj: ČSÚ</w:t>
            </w:r>
          </w:p>
        </w:tc>
      </w:tr>
      <w:tr w:rsidR="00C6020C" w:rsidRPr="009110F7" w14:paraId="6F8D4B04" w14:textId="77777777" w:rsidTr="006849F8">
        <w:trPr>
          <w:trHeight w:val="145"/>
        </w:trPr>
        <w:tc>
          <w:tcPr>
            <w:tcW w:w="1804" w:type="dxa"/>
            <w:shd w:val="clear" w:color="auto" w:fill="auto"/>
            <w:tcMar>
              <w:left w:w="0" w:type="dxa"/>
            </w:tcMar>
          </w:tcPr>
          <w:p w14:paraId="6A8434D5" w14:textId="77777777" w:rsidR="00C6020C" w:rsidRDefault="00C6020C" w:rsidP="006849F8">
            <w:pPr>
              <w:pStyle w:val="Marginlie"/>
              <w:rPr>
                <w:spacing w:val="0"/>
              </w:rPr>
            </w:pPr>
            <w:r>
              <w:rPr>
                <w:spacing w:val="0"/>
              </w:rPr>
              <w:t xml:space="preserve">Meziroční tempo růstu cen odívání a obuvi </w:t>
            </w:r>
            <w:r>
              <w:rPr>
                <w:spacing w:val="0"/>
              </w:rPr>
              <w:br/>
              <w:t>i bytového vybavení zůstalo výrazné.</w:t>
            </w:r>
          </w:p>
        </w:tc>
        <w:tc>
          <w:tcPr>
            <w:tcW w:w="224" w:type="dxa"/>
            <w:shd w:val="clear" w:color="auto" w:fill="auto"/>
            <w:tcMar>
              <w:left w:w="0" w:type="dxa"/>
            </w:tcMar>
          </w:tcPr>
          <w:p w14:paraId="6CEBD187" w14:textId="77777777" w:rsidR="00C6020C" w:rsidRPr="00793D78" w:rsidRDefault="00C6020C" w:rsidP="006849F8">
            <w:pPr>
              <w:pStyle w:val="Textpoznpodarou1"/>
              <w:jc w:val="both"/>
            </w:pPr>
          </w:p>
        </w:tc>
        <w:tc>
          <w:tcPr>
            <w:tcW w:w="7611" w:type="dxa"/>
            <w:shd w:val="clear" w:color="auto" w:fill="auto"/>
            <w:tcMar>
              <w:left w:w="0" w:type="dxa"/>
            </w:tcMar>
          </w:tcPr>
          <w:p w14:paraId="2DD21571" w14:textId="77777777" w:rsidR="00C6020C" w:rsidRDefault="00C6020C" w:rsidP="006849F8">
            <w:r>
              <w:t xml:space="preserve">Ve 2. čtvrtletí přetrvávalo výrazné meziroční tempo růstu cen odívání a obuvi (12,2 %) i bytového vybavení, zařízení domácností a oprav (10,4 %). Ceny v obou oddílech se silně zvyšovaly také mezičtvrtletně – odívání a obuv zdražily o 2,2 % a bytové vybavení, zařízení domácností a opravy o 1,6 %. Meziroční tempo růstu cen alkoholických nápojů a tabáku zůstávalo ve 2. čtvrtletí poměrně stabilní (6,5 %, mezičtvrtletně zde ceny vzrostly o 0,4 %). Nezměnil se meziroční přírůstek cen v oblasti zdraví (9,5 %, 3,1 % mezičtvrtletně) a stabilní bylo tempo u cen vzdělávání (7,2 %, 0,2 % mezičtvrtletně). Posílil meziroční růst cen pošt a telekomunikací (3,9 %, 1,4 % mezičtvrtletně).      </w:t>
            </w:r>
          </w:p>
        </w:tc>
      </w:tr>
      <w:tr w:rsidR="00C6020C" w:rsidRPr="009110F7" w14:paraId="5894B598" w14:textId="77777777" w:rsidTr="006849F8">
        <w:trPr>
          <w:trHeight w:val="145"/>
        </w:trPr>
        <w:tc>
          <w:tcPr>
            <w:tcW w:w="1804" w:type="dxa"/>
            <w:shd w:val="clear" w:color="auto" w:fill="auto"/>
            <w:tcMar>
              <w:left w:w="0" w:type="dxa"/>
            </w:tcMar>
          </w:tcPr>
          <w:p w14:paraId="1A83D6C9" w14:textId="77777777" w:rsidR="00C6020C" w:rsidRDefault="00C6020C" w:rsidP="006849F8">
            <w:pPr>
              <w:pStyle w:val="Marginlie"/>
              <w:rPr>
                <w:spacing w:val="0"/>
              </w:rPr>
            </w:pPr>
            <w:r>
              <w:rPr>
                <w:spacing w:val="0"/>
              </w:rPr>
              <w:t>Ceny dopravy jako jediné meziročně klesaly.</w:t>
            </w:r>
          </w:p>
        </w:tc>
        <w:tc>
          <w:tcPr>
            <w:tcW w:w="224" w:type="dxa"/>
            <w:shd w:val="clear" w:color="auto" w:fill="auto"/>
            <w:tcMar>
              <w:left w:w="0" w:type="dxa"/>
            </w:tcMar>
          </w:tcPr>
          <w:p w14:paraId="4ED39A16" w14:textId="77777777" w:rsidR="00C6020C" w:rsidRPr="00793D78" w:rsidRDefault="00C6020C" w:rsidP="006849F8">
            <w:pPr>
              <w:pStyle w:val="Textpoznpodarou1"/>
              <w:jc w:val="both"/>
            </w:pPr>
          </w:p>
        </w:tc>
        <w:tc>
          <w:tcPr>
            <w:tcW w:w="7611" w:type="dxa"/>
            <w:shd w:val="clear" w:color="auto" w:fill="auto"/>
            <w:tcMar>
              <w:left w:w="0" w:type="dxa"/>
            </w:tcMar>
          </w:tcPr>
          <w:p w14:paraId="26CB1942" w14:textId="77777777" w:rsidR="00C6020C" w:rsidRDefault="00C6020C" w:rsidP="006849F8">
            <w:r>
              <w:t>Jediný oddíl spotřebního koše, kde ceny meziročně klesaly, byla doprava. Ceny se zde snížily o 4,0 % a výhradně za tím stálo snížení nákladů na provoz osobních dopravních prostředků o 10,3 %. Výrazně se zmírnil meziroční růst cen nákupu automobilů, motocyklů a jízdních kol (1,0 %). Na ceny dopravních služeb přestal působit vliv loňského omezení studentských slev na jízdném, takže tempo výrazně zpomalilo oproti předchozímu čtvrtletí. Stále ale dopravní služby meziročně zdražily o výrazných 11,3 %. Ceny dopravy se potřetí v řadě snížily i mezičtvrtletně, a to o 0,8 %.</w:t>
            </w:r>
          </w:p>
        </w:tc>
      </w:tr>
      <w:tr w:rsidR="00C6020C" w:rsidRPr="009110F7" w14:paraId="143E686C" w14:textId="77777777" w:rsidTr="006849F8">
        <w:trPr>
          <w:trHeight w:val="145"/>
        </w:trPr>
        <w:tc>
          <w:tcPr>
            <w:tcW w:w="1804" w:type="dxa"/>
            <w:shd w:val="clear" w:color="auto" w:fill="auto"/>
            <w:tcMar>
              <w:left w:w="0" w:type="dxa"/>
            </w:tcMar>
          </w:tcPr>
          <w:p w14:paraId="5C076009" w14:textId="77777777" w:rsidR="00C6020C" w:rsidRDefault="00C6020C" w:rsidP="006849F8">
            <w:pPr>
              <w:pStyle w:val="Marginlie"/>
              <w:rPr>
                <w:spacing w:val="0"/>
              </w:rPr>
            </w:pPr>
            <w:r>
              <w:rPr>
                <w:spacing w:val="0"/>
              </w:rPr>
              <w:t>Růst spotřebitelských cen v EU zpomalil.</w:t>
            </w:r>
          </w:p>
        </w:tc>
        <w:tc>
          <w:tcPr>
            <w:tcW w:w="224" w:type="dxa"/>
            <w:shd w:val="clear" w:color="auto" w:fill="auto"/>
            <w:tcMar>
              <w:left w:w="0" w:type="dxa"/>
            </w:tcMar>
          </w:tcPr>
          <w:p w14:paraId="21FC0E9D" w14:textId="77777777" w:rsidR="00C6020C" w:rsidRPr="00793D78" w:rsidRDefault="00C6020C" w:rsidP="006849F8">
            <w:pPr>
              <w:pStyle w:val="Textpoznpodarou1"/>
              <w:jc w:val="both"/>
            </w:pPr>
          </w:p>
        </w:tc>
        <w:tc>
          <w:tcPr>
            <w:tcW w:w="7611" w:type="dxa"/>
            <w:shd w:val="clear" w:color="auto" w:fill="auto"/>
            <w:tcMar>
              <w:left w:w="0" w:type="dxa"/>
            </w:tcMar>
          </w:tcPr>
          <w:p w14:paraId="5DC9729A" w14:textId="77777777" w:rsidR="00C6020C" w:rsidRDefault="00C6020C" w:rsidP="006849F8">
            <w:r>
              <w:t>Harmonizovaný index spotřebitelských cen (HICP)</w:t>
            </w:r>
            <w:r>
              <w:rPr>
                <w:rStyle w:val="Znakapoznpodarou"/>
              </w:rPr>
              <w:footnoteReference w:id="50"/>
            </w:r>
            <w:r>
              <w:t xml:space="preserve"> v Evropské unii ve 2. čtvrtletí meziročně vzrostl o 7,2 %. Meziroční dynamika spotřebitelských cen v EU podobně jako v domácí ekonomice od začátku roku zpomaluje, především pod vlivem klesajících cen energií a paliv. Na druhé straně v průběhu 1. pololetí zůstával silný růst cen potravin. Nejvíce se podle HICP meziročně ve 2. čtvrtletí zvyšovaly spotřebitelské ceny v Maďarsku (22,1 %), kde masivně rostly zejména ceny potravin, stravování a ubytování a bydlení a energií. Dvouciferné meziroční přírůstky ale měla většina oddílů v maďarském spotřebním koši. Další země v pořadí – Česko (12,6 %), Slovensko (12,5 %) a Polsko (12,5 %) se za Maďarskem umístily s výrazným odstupem. V celé EU se spotřebitelské ceny meziročně zvyšovaly, ale v některých zemích se inflace již vrátila do mírného pásma – v Lucembursku ceny vzrostly meziročně o 1,9 %, v Belgii o 2,6 % a ve Španělsku o 2,8 %. Mezičtvrtletně se spotřebitelské ceny v EU ve 2. čtvrtletí zvýšily o 1,6 %. Nejvyšší mezičtvrtletní přírůstek měly ceny na Maltě (6,0 %), v Estonsku (2,9 %) a Řecku (2,9 %). Spotřebitelské ceny mezičtvrtletně klesly v Belgii (−0,9 %) a Dánsku (−0,5 %).</w:t>
            </w:r>
          </w:p>
        </w:tc>
      </w:tr>
      <w:tr w:rsidR="00C6020C" w:rsidRPr="009110F7" w14:paraId="31A69CB7" w14:textId="77777777" w:rsidTr="006849F8">
        <w:trPr>
          <w:trHeight w:val="170"/>
        </w:trPr>
        <w:tc>
          <w:tcPr>
            <w:tcW w:w="1804" w:type="dxa"/>
            <w:vMerge w:val="restart"/>
            <w:shd w:val="clear" w:color="auto" w:fill="auto"/>
            <w:tcMar>
              <w:left w:w="0" w:type="dxa"/>
            </w:tcMar>
          </w:tcPr>
          <w:p w14:paraId="3938AEFB" w14:textId="77777777" w:rsidR="00C6020C" w:rsidRDefault="00C6020C" w:rsidP="006849F8">
            <w:pPr>
              <w:pStyle w:val="Marginlie"/>
              <w:rPr>
                <w:spacing w:val="0"/>
              </w:rPr>
            </w:pPr>
          </w:p>
        </w:tc>
        <w:tc>
          <w:tcPr>
            <w:tcW w:w="224" w:type="dxa"/>
            <w:vMerge w:val="restart"/>
            <w:shd w:val="clear" w:color="auto" w:fill="auto"/>
            <w:tcMar>
              <w:left w:w="0" w:type="dxa"/>
            </w:tcMar>
          </w:tcPr>
          <w:p w14:paraId="4E9DB26B" w14:textId="77777777" w:rsidR="00C6020C" w:rsidRPr="00793D78" w:rsidRDefault="00C6020C" w:rsidP="006849F8">
            <w:pPr>
              <w:pStyle w:val="Textpoznpodarou1"/>
              <w:jc w:val="both"/>
            </w:pPr>
          </w:p>
        </w:tc>
        <w:tc>
          <w:tcPr>
            <w:tcW w:w="7611" w:type="dxa"/>
            <w:shd w:val="clear" w:color="auto" w:fill="auto"/>
            <w:tcMar>
              <w:left w:w="0" w:type="dxa"/>
            </w:tcMar>
          </w:tcPr>
          <w:p w14:paraId="12D2878B" w14:textId="3A8B0C58" w:rsidR="00C6020C" w:rsidRDefault="00FA2C07" w:rsidP="006849F8">
            <w:pPr>
              <w:spacing w:after="0"/>
            </w:pPr>
            <w:r>
              <w:rPr>
                <w:b/>
                <w:sz w:val="18"/>
                <w:szCs w:val="18"/>
                <w:lang w:eastAsia="en-US"/>
              </w:rPr>
              <w:t>Graf č. 11</w:t>
            </w:r>
            <w:r w:rsidR="00C6020C" w:rsidRPr="00793D78">
              <w:rPr>
                <w:b/>
                <w:sz w:val="18"/>
                <w:szCs w:val="18"/>
                <w:lang w:eastAsia="en-US"/>
              </w:rPr>
              <w:t xml:space="preserve"> Ceny nemovitostí </w:t>
            </w:r>
            <w:r w:rsidR="00C6020C" w:rsidRPr="009067EA">
              <w:rPr>
                <w:sz w:val="18"/>
                <w:szCs w:val="18"/>
                <w:lang w:eastAsia="en-US"/>
              </w:rPr>
              <w:t>(meziroční změna, v %)</w:t>
            </w:r>
          </w:p>
        </w:tc>
      </w:tr>
      <w:tr w:rsidR="00C6020C" w:rsidRPr="009110F7" w14:paraId="3FC1D8F4" w14:textId="77777777" w:rsidTr="006849F8">
        <w:tblPrEx>
          <w:tblCellMar>
            <w:left w:w="70" w:type="dxa"/>
            <w:right w:w="70" w:type="dxa"/>
          </w:tblCellMar>
        </w:tblPrEx>
        <w:trPr>
          <w:trHeight w:val="170"/>
        </w:trPr>
        <w:tc>
          <w:tcPr>
            <w:tcW w:w="1804" w:type="dxa"/>
            <w:vMerge/>
          </w:tcPr>
          <w:p w14:paraId="5FD6DB51" w14:textId="77777777" w:rsidR="00C6020C" w:rsidRDefault="00C6020C" w:rsidP="006849F8">
            <w:pPr>
              <w:pStyle w:val="Marginlie"/>
              <w:rPr>
                <w:spacing w:val="0"/>
              </w:rPr>
            </w:pPr>
          </w:p>
        </w:tc>
        <w:tc>
          <w:tcPr>
            <w:tcW w:w="224" w:type="dxa"/>
            <w:vMerge/>
          </w:tcPr>
          <w:p w14:paraId="50A88D2A" w14:textId="77777777" w:rsidR="00C6020C" w:rsidRPr="00793D78" w:rsidRDefault="00C6020C" w:rsidP="006849F8">
            <w:pPr>
              <w:pStyle w:val="Textpoznpodarou1"/>
              <w:jc w:val="both"/>
            </w:pPr>
          </w:p>
        </w:tc>
        <w:tc>
          <w:tcPr>
            <w:tcW w:w="7611" w:type="dxa"/>
            <w:shd w:val="clear" w:color="auto" w:fill="auto"/>
          </w:tcPr>
          <w:p w14:paraId="6D3C5CD2" w14:textId="77777777" w:rsidR="00C6020C" w:rsidRDefault="00C6020C" w:rsidP="006849F8">
            <w:pPr>
              <w:spacing w:after="0"/>
            </w:pPr>
            <w:r>
              <w:rPr>
                <w:noProof/>
              </w:rPr>
              <w:drawing>
                <wp:inline distT="0" distB="0" distL="0" distR="0" wp14:anchorId="1D5B6486" wp14:editId="562C3794">
                  <wp:extent cx="4737600" cy="3553200"/>
                  <wp:effectExtent l="0" t="0" r="6350" b="0"/>
                  <wp:docPr id="36" name="Graf 3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C6020C" w:rsidRPr="009110F7" w14:paraId="55D94CF1" w14:textId="77777777" w:rsidTr="006849F8">
        <w:trPr>
          <w:trHeight w:val="170"/>
        </w:trPr>
        <w:tc>
          <w:tcPr>
            <w:tcW w:w="1804" w:type="dxa"/>
            <w:vMerge/>
            <w:tcMar>
              <w:left w:w="0" w:type="dxa"/>
            </w:tcMar>
          </w:tcPr>
          <w:p w14:paraId="0AACDB71" w14:textId="77777777" w:rsidR="00C6020C" w:rsidRDefault="00C6020C" w:rsidP="006849F8">
            <w:pPr>
              <w:pStyle w:val="Marginlie"/>
              <w:rPr>
                <w:spacing w:val="0"/>
              </w:rPr>
            </w:pPr>
          </w:p>
        </w:tc>
        <w:tc>
          <w:tcPr>
            <w:tcW w:w="224" w:type="dxa"/>
            <w:vMerge/>
            <w:tcMar>
              <w:left w:w="0" w:type="dxa"/>
            </w:tcMar>
          </w:tcPr>
          <w:p w14:paraId="246B2684" w14:textId="77777777" w:rsidR="00C6020C" w:rsidRPr="00793D78" w:rsidRDefault="00C6020C" w:rsidP="006849F8">
            <w:pPr>
              <w:pStyle w:val="Textpoznpodarou1"/>
              <w:jc w:val="both"/>
            </w:pPr>
          </w:p>
        </w:tc>
        <w:tc>
          <w:tcPr>
            <w:tcW w:w="7611" w:type="dxa"/>
            <w:shd w:val="clear" w:color="auto" w:fill="auto"/>
            <w:tcMar>
              <w:left w:w="0" w:type="dxa"/>
            </w:tcMar>
          </w:tcPr>
          <w:p w14:paraId="3DB14CBA" w14:textId="77777777" w:rsidR="00C6020C" w:rsidRDefault="00C6020C" w:rsidP="006849F8">
            <w:r w:rsidRPr="00793D78">
              <w:rPr>
                <w:sz w:val="14"/>
                <w:szCs w:val="14"/>
              </w:rPr>
              <w:t>Zdroj: ČSÚ</w:t>
            </w:r>
          </w:p>
        </w:tc>
      </w:tr>
      <w:tr w:rsidR="00C6020C" w:rsidRPr="009110F7" w14:paraId="74C137B9" w14:textId="77777777" w:rsidTr="006849F8">
        <w:trPr>
          <w:trHeight w:val="145"/>
        </w:trPr>
        <w:tc>
          <w:tcPr>
            <w:tcW w:w="1804" w:type="dxa"/>
            <w:shd w:val="clear" w:color="auto" w:fill="auto"/>
            <w:tcMar>
              <w:left w:w="0" w:type="dxa"/>
            </w:tcMar>
          </w:tcPr>
          <w:p w14:paraId="0C699D6F" w14:textId="77777777" w:rsidR="00C6020C" w:rsidRDefault="00C6020C" w:rsidP="006849F8">
            <w:pPr>
              <w:pStyle w:val="Marginlie"/>
              <w:rPr>
                <w:spacing w:val="0"/>
              </w:rPr>
            </w:pPr>
            <w:r>
              <w:rPr>
                <w:spacing w:val="0"/>
              </w:rPr>
              <w:t>Nabídkové ceny bytů se meziročně snížily.</w:t>
            </w:r>
          </w:p>
        </w:tc>
        <w:tc>
          <w:tcPr>
            <w:tcW w:w="224" w:type="dxa"/>
            <w:shd w:val="clear" w:color="auto" w:fill="auto"/>
            <w:tcMar>
              <w:left w:w="0" w:type="dxa"/>
            </w:tcMar>
          </w:tcPr>
          <w:p w14:paraId="4AC963AC" w14:textId="77777777" w:rsidR="00C6020C" w:rsidRPr="00793D78" w:rsidRDefault="00C6020C" w:rsidP="006849F8">
            <w:pPr>
              <w:pStyle w:val="Textpoznpodarou1"/>
              <w:jc w:val="both"/>
            </w:pPr>
          </w:p>
        </w:tc>
        <w:tc>
          <w:tcPr>
            <w:tcW w:w="7611" w:type="dxa"/>
            <w:shd w:val="clear" w:color="auto" w:fill="auto"/>
            <w:tcMar>
              <w:left w:w="0" w:type="dxa"/>
            </w:tcMar>
          </w:tcPr>
          <w:p w14:paraId="2B0187BD" w14:textId="44A9EF6B" w:rsidR="00C6020C" w:rsidRDefault="00C6020C" w:rsidP="006849F8">
            <w:r>
              <w:t>Nabídkové ceny bytů dosáhly vrcholu na konci loňského roku a v 1. i 2. čtvrtletí 2023 došlo ke dvěma mezičtvrtletním poklesům (−1,9 % a −1,7 %). Ve 2. čtvrtletí nabídkové ceny poprvé od 2. kvartálu 2013 meziročně klesly, a to o 0,7 %. Pokles se meziročně týkal zejména bytů v ČR mimo Prahu (−1,8 %), v Praze ještě byly nabídkové ceny vyšší o 0,3 %. Mezičtvrtletně ale nabídkové ceny klesaly v Praze (−1,8 %) i mimo ni (−1,6 %). Dynamika realizovaných cen starších bytů zpomaluje ještě rychleji než nabídkové ceny, což zčásti dokládá ochlazení na trhu s nemovitostmi. Realizované ceny starších bytů v ČR ve 2. čtvrtletí mezičtvrtletně klesly potřetí v řadě (−2,6 %). Oproti stejnému období loňského roku byly nižší o 4,1 %, poprvé od 4. kvartálu 2013. Realizované ceny starších bytů v Praze přitom meziročně klesly o 3,6 % a mimo Prahu o 4,2 %. Podruhé v řadě se</w:t>
            </w:r>
            <w:r w:rsidR="00AA49E1">
              <w:t xml:space="preserve"> meziročně</w:t>
            </w:r>
            <w:r>
              <w:t xml:space="preserve"> hluboce propadly i realizované ceny nových bytů v Praze (−6,9 %). Realizované ceny nových bytů klesly v Praze mezičtvrtletně počtvrté v řadě (−0,5 %). </w:t>
            </w:r>
          </w:p>
        </w:tc>
      </w:tr>
      <w:tr w:rsidR="00C6020C" w:rsidRPr="009110F7" w14:paraId="61900E32" w14:textId="77777777" w:rsidTr="006849F8">
        <w:trPr>
          <w:trHeight w:val="145"/>
        </w:trPr>
        <w:tc>
          <w:tcPr>
            <w:tcW w:w="1804" w:type="dxa"/>
            <w:shd w:val="clear" w:color="auto" w:fill="auto"/>
            <w:tcMar>
              <w:left w:w="0" w:type="dxa"/>
            </w:tcMar>
          </w:tcPr>
          <w:p w14:paraId="33839AC9" w14:textId="77777777" w:rsidR="00C6020C" w:rsidRDefault="00C6020C" w:rsidP="006849F8">
            <w:pPr>
              <w:pStyle w:val="Marginlie"/>
              <w:rPr>
                <w:spacing w:val="0"/>
              </w:rPr>
            </w:pPr>
            <w:r>
              <w:rPr>
                <w:spacing w:val="0"/>
              </w:rPr>
              <w:t>Růst cen průmyslových výrobců značně zpomalil.</w:t>
            </w:r>
          </w:p>
        </w:tc>
        <w:tc>
          <w:tcPr>
            <w:tcW w:w="224" w:type="dxa"/>
            <w:shd w:val="clear" w:color="auto" w:fill="auto"/>
            <w:tcMar>
              <w:left w:w="0" w:type="dxa"/>
            </w:tcMar>
          </w:tcPr>
          <w:p w14:paraId="5AD5DE1F" w14:textId="77777777" w:rsidR="00C6020C" w:rsidRPr="00793D78" w:rsidRDefault="00C6020C" w:rsidP="006849F8">
            <w:pPr>
              <w:pStyle w:val="Textpoznpodarou1"/>
              <w:jc w:val="both"/>
            </w:pPr>
          </w:p>
        </w:tc>
        <w:tc>
          <w:tcPr>
            <w:tcW w:w="7611" w:type="dxa"/>
            <w:shd w:val="clear" w:color="auto" w:fill="auto"/>
            <w:tcMar>
              <w:left w:w="0" w:type="dxa"/>
            </w:tcMar>
          </w:tcPr>
          <w:p w14:paraId="59B72194" w14:textId="77777777" w:rsidR="00C6020C" w:rsidRDefault="00C6020C" w:rsidP="006849F8">
            <w:r>
              <w:t xml:space="preserve">Ceny průmyslových výrobců se ve 2. čtvrtletí 2023 meziročně zvýšily o 3,9 %. Přírůstek tak výrazně zpomalil ve srovnání s 1. kvartálem. Mezičtvrtletně se ceny průmyslových výrobců snížily o 2,6 %. Za zpomalením meziročního růstu stál zejména vývoj u cen výrobků a služeb zpracovatelského průmyslu, které byly meziročně nižší o 0,9 % (první pokles od 4. čtvrtletí 2020). Vliv měla vysoká srovnávací základna loňského roku. Meziročně klesaly hlavně ceny u různých surovin nebo souvisejících výrobků, ale zpomalovala dynamika u většiny druhů výrobků. Výrazný vliv na ceny průmyslových výrobců měl meziroční propad u cen </w:t>
            </w:r>
            <w:r w:rsidRPr="00F20BC0">
              <w:t>koksu a rafinovaných ropných produktů</w:t>
            </w:r>
            <w:r>
              <w:rPr>
                <w:rStyle w:val="Znakapoznpodarou"/>
              </w:rPr>
              <w:footnoteReference w:id="51"/>
            </w:r>
            <w:r>
              <w:t>. Nižší byly ceny chemických látek a přípravků (−13,5 %), které jsou s vývojem cen ropy svázány, dřeva a dřevěných výrobků (−13,3 %), základních kovů (−11,5 %), kovodělných výrobků (−1,7 %) nebo papíru a výrobků z něj (−0,8 %). Výrazně oslabil meziroční růst cen potravinářských výrobků (11,4 %), ale naopak mírně posílila dynamika cen nápojů (14,1 %). Poměrně silný zůstával růst cen strojů a zařízení (8,1 %) stejně jako ceny jejich oprav a instalace (9,4 %). Vyšší byly ceny motorových vozidel (3,3 %) i ostatních dopravních prostředků (7,7 %), základních farmaceutických výrobků a přípravků (4,3 %), počítačů, elektronických a optických zařízení (3,4 %), elektrických zařízení (1,9 %) nebo pryžových a plastových výrobků. Ceny ve zpracovatelském průmyslu klesly mezičtvrtletně potřetí v řadě, a to o 1,6 %.</w:t>
            </w:r>
          </w:p>
        </w:tc>
      </w:tr>
      <w:tr w:rsidR="00C6020C" w:rsidRPr="009110F7" w14:paraId="7210FD57" w14:textId="77777777" w:rsidTr="006849F8">
        <w:trPr>
          <w:trHeight w:val="170"/>
        </w:trPr>
        <w:tc>
          <w:tcPr>
            <w:tcW w:w="1804" w:type="dxa"/>
            <w:vMerge w:val="restart"/>
            <w:shd w:val="clear" w:color="auto" w:fill="auto"/>
            <w:tcMar>
              <w:left w:w="0" w:type="dxa"/>
            </w:tcMar>
          </w:tcPr>
          <w:p w14:paraId="6E7D6F6D" w14:textId="77777777" w:rsidR="00C6020C" w:rsidRDefault="00C6020C" w:rsidP="006849F8">
            <w:pPr>
              <w:pStyle w:val="Marginlie"/>
              <w:rPr>
                <w:spacing w:val="0"/>
              </w:rPr>
            </w:pPr>
          </w:p>
        </w:tc>
        <w:tc>
          <w:tcPr>
            <w:tcW w:w="224" w:type="dxa"/>
            <w:vMerge w:val="restart"/>
            <w:shd w:val="clear" w:color="auto" w:fill="auto"/>
            <w:tcMar>
              <w:left w:w="0" w:type="dxa"/>
            </w:tcMar>
          </w:tcPr>
          <w:p w14:paraId="5D288B94" w14:textId="77777777" w:rsidR="00C6020C" w:rsidRPr="00793D78" w:rsidRDefault="00C6020C" w:rsidP="006849F8">
            <w:pPr>
              <w:pStyle w:val="Textpoznpodarou1"/>
              <w:jc w:val="both"/>
              <w:rPr>
                <w:highlight w:val="yellow"/>
              </w:rPr>
            </w:pPr>
          </w:p>
        </w:tc>
        <w:tc>
          <w:tcPr>
            <w:tcW w:w="7611" w:type="dxa"/>
            <w:shd w:val="clear" w:color="auto" w:fill="auto"/>
            <w:tcMar>
              <w:left w:w="0" w:type="dxa"/>
            </w:tcMar>
          </w:tcPr>
          <w:p w14:paraId="777F84A7" w14:textId="0844F239" w:rsidR="00C6020C" w:rsidRPr="00D75AC1" w:rsidRDefault="00FA2C07" w:rsidP="006849F8">
            <w:pPr>
              <w:spacing w:after="0"/>
              <w:rPr>
                <w:b/>
                <w:szCs w:val="20"/>
              </w:rPr>
            </w:pPr>
            <w:r>
              <w:rPr>
                <w:b/>
                <w:sz w:val="18"/>
                <w:szCs w:val="18"/>
              </w:rPr>
              <w:t>Graf č. 12</w:t>
            </w:r>
            <w:r w:rsidR="00C6020C" w:rsidRPr="00793D78">
              <w:rPr>
                <w:b/>
                <w:sz w:val="18"/>
                <w:szCs w:val="18"/>
              </w:rPr>
              <w:t xml:space="preserve"> </w:t>
            </w:r>
            <w:r w:rsidR="00C6020C" w:rsidRPr="00793D78">
              <w:rPr>
                <w:b/>
                <w:sz w:val="18"/>
                <w:szCs w:val="18"/>
                <w:lang w:eastAsia="en-US"/>
              </w:rPr>
              <w:t xml:space="preserve">Ceny hlavních skupin průmyslových výrobců </w:t>
            </w:r>
            <w:r w:rsidR="00C6020C" w:rsidRPr="009067EA">
              <w:rPr>
                <w:sz w:val="18"/>
                <w:szCs w:val="18"/>
                <w:lang w:eastAsia="en-US"/>
              </w:rPr>
              <w:t>(meziroční změna, v %, podle klasifikace CPA)</w:t>
            </w:r>
          </w:p>
        </w:tc>
      </w:tr>
      <w:tr w:rsidR="00C6020C" w:rsidRPr="009110F7" w14:paraId="118304D4" w14:textId="77777777" w:rsidTr="006849F8">
        <w:tblPrEx>
          <w:tblCellMar>
            <w:left w:w="70" w:type="dxa"/>
            <w:right w:w="70" w:type="dxa"/>
          </w:tblCellMar>
        </w:tblPrEx>
        <w:trPr>
          <w:trHeight w:val="170"/>
        </w:trPr>
        <w:tc>
          <w:tcPr>
            <w:tcW w:w="1804" w:type="dxa"/>
            <w:vMerge/>
          </w:tcPr>
          <w:p w14:paraId="10D3EA6B" w14:textId="77777777" w:rsidR="00C6020C" w:rsidRPr="00793D78" w:rsidRDefault="00C6020C" w:rsidP="006849F8">
            <w:pPr>
              <w:pStyle w:val="Marginlie"/>
              <w:rPr>
                <w:spacing w:val="0"/>
              </w:rPr>
            </w:pPr>
          </w:p>
        </w:tc>
        <w:tc>
          <w:tcPr>
            <w:tcW w:w="224" w:type="dxa"/>
            <w:vMerge/>
          </w:tcPr>
          <w:p w14:paraId="2CD4CF6F" w14:textId="77777777" w:rsidR="00C6020C" w:rsidRPr="00793D78" w:rsidRDefault="00C6020C" w:rsidP="006849F8">
            <w:pPr>
              <w:pStyle w:val="Textpoznpodarou1"/>
              <w:jc w:val="both"/>
            </w:pPr>
          </w:p>
        </w:tc>
        <w:tc>
          <w:tcPr>
            <w:tcW w:w="7611" w:type="dxa"/>
            <w:shd w:val="clear" w:color="auto" w:fill="auto"/>
          </w:tcPr>
          <w:p w14:paraId="7B269084" w14:textId="77777777" w:rsidR="00C6020C" w:rsidRPr="00793D78" w:rsidRDefault="00C6020C" w:rsidP="006849F8">
            <w:pPr>
              <w:spacing w:after="0"/>
            </w:pPr>
            <w:r>
              <w:rPr>
                <w:noProof/>
              </w:rPr>
              <w:drawing>
                <wp:inline distT="0" distB="0" distL="0" distR="0" wp14:anchorId="795D0CDE" wp14:editId="01C39444">
                  <wp:extent cx="4737600" cy="3553200"/>
                  <wp:effectExtent l="0" t="0" r="6350" b="0"/>
                  <wp:docPr id="37" name="Graf 3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C6020C" w:rsidRPr="009110F7" w14:paraId="5946625B" w14:textId="77777777" w:rsidTr="006849F8">
        <w:trPr>
          <w:trHeight w:val="170"/>
        </w:trPr>
        <w:tc>
          <w:tcPr>
            <w:tcW w:w="1804" w:type="dxa"/>
            <w:vMerge/>
            <w:tcMar>
              <w:left w:w="0" w:type="dxa"/>
            </w:tcMar>
          </w:tcPr>
          <w:p w14:paraId="6A5CE9A4" w14:textId="77777777" w:rsidR="00C6020C" w:rsidRPr="00793D78" w:rsidRDefault="00C6020C" w:rsidP="006849F8">
            <w:pPr>
              <w:pStyle w:val="Marginlie"/>
              <w:rPr>
                <w:spacing w:val="0"/>
              </w:rPr>
            </w:pPr>
          </w:p>
        </w:tc>
        <w:tc>
          <w:tcPr>
            <w:tcW w:w="224" w:type="dxa"/>
            <w:vMerge/>
            <w:tcMar>
              <w:left w:w="0" w:type="dxa"/>
            </w:tcMar>
          </w:tcPr>
          <w:p w14:paraId="097C345D" w14:textId="77777777" w:rsidR="00C6020C" w:rsidRPr="00793D78" w:rsidRDefault="00C6020C" w:rsidP="006849F8">
            <w:pPr>
              <w:pStyle w:val="Textpoznpodarou1"/>
              <w:jc w:val="both"/>
            </w:pPr>
          </w:p>
        </w:tc>
        <w:tc>
          <w:tcPr>
            <w:tcW w:w="7611" w:type="dxa"/>
            <w:shd w:val="clear" w:color="auto" w:fill="auto"/>
            <w:tcMar>
              <w:left w:w="0" w:type="dxa"/>
            </w:tcMar>
          </w:tcPr>
          <w:p w14:paraId="7CF189F4" w14:textId="77777777" w:rsidR="00C6020C" w:rsidRPr="00793D78" w:rsidRDefault="00C6020C" w:rsidP="006849F8">
            <w:r w:rsidRPr="00793D78">
              <w:rPr>
                <w:sz w:val="14"/>
                <w:szCs w:val="14"/>
              </w:rPr>
              <w:t>Zdroj: ČSÚ</w:t>
            </w:r>
          </w:p>
        </w:tc>
      </w:tr>
      <w:tr w:rsidR="00C6020C" w:rsidRPr="009110F7" w14:paraId="0FD52AD0" w14:textId="77777777" w:rsidTr="006849F8">
        <w:trPr>
          <w:trHeight w:val="145"/>
        </w:trPr>
        <w:tc>
          <w:tcPr>
            <w:tcW w:w="1804" w:type="dxa"/>
            <w:shd w:val="clear" w:color="auto" w:fill="auto"/>
            <w:tcMar>
              <w:left w:w="0" w:type="dxa"/>
            </w:tcMar>
          </w:tcPr>
          <w:p w14:paraId="7C381BB1" w14:textId="77777777" w:rsidR="00C6020C" w:rsidRDefault="00C6020C" w:rsidP="006849F8">
            <w:pPr>
              <w:pStyle w:val="Marginlie"/>
              <w:rPr>
                <w:spacing w:val="0"/>
              </w:rPr>
            </w:pPr>
            <w:r>
              <w:rPr>
                <w:spacing w:val="0"/>
              </w:rPr>
              <w:t>Ceny těžby a dobývání rostly nejsilněji.</w:t>
            </w:r>
          </w:p>
        </w:tc>
        <w:tc>
          <w:tcPr>
            <w:tcW w:w="224" w:type="dxa"/>
            <w:shd w:val="clear" w:color="auto" w:fill="auto"/>
            <w:tcMar>
              <w:left w:w="0" w:type="dxa"/>
            </w:tcMar>
          </w:tcPr>
          <w:p w14:paraId="0F8B3EF4" w14:textId="77777777" w:rsidR="00C6020C" w:rsidRPr="00793D78" w:rsidRDefault="00C6020C" w:rsidP="006849F8">
            <w:pPr>
              <w:pStyle w:val="Textpoznpodarou1"/>
              <w:jc w:val="both"/>
            </w:pPr>
          </w:p>
        </w:tc>
        <w:tc>
          <w:tcPr>
            <w:tcW w:w="7611" w:type="dxa"/>
            <w:shd w:val="clear" w:color="auto" w:fill="auto"/>
            <w:tcMar>
              <w:left w:w="0" w:type="dxa"/>
            </w:tcMar>
          </w:tcPr>
          <w:p w14:paraId="6BFACE9C" w14:textId="77777777" w:rsidR="00C6020C" w:rsidRDefault="00C6020C" w:rsidP="006849F8">
            <w:r>
              <w:t xml:space="preserve">Meziroční růst cen elektřiny, plynu, páry a klimatizovaného vzduchu výrazně oslabil na 18,4 % a mezičtvrtletně v této sekci došlo k poklesu cen o 6,3 %. Naopak u cen těžby a dobývání se meziroční přírůstek držel na výrazných 47,6 %, k čemuž přispěl vývoj u těžby černého a hnědého uhlí a lignitu (71,4 %) i ostatní těžby (24,7 %, jde hlavně o stavební materiály). Výrazněji oslabil jen růst cen těžby ropy a zemního plynu (38,6 %). Mezičtvrtletně se ceny těžby a dobývání zvýšily o 1,7 %. Ceny zásobování vodou a služeb souvisejících s odpadními vodami byly meziročně vyšší </w:t>
            </w:r>
            <w:r>
              <w:br/>
              <w:t>o 16,3 %.</w:t>
            </w:r>
          </w:p>
        </w:tc>
      </w:tr>
      <w:tr w:rsidR="00C6020C" w:rsidRPr="009110F7" w14:paraId="7DF1294F" w14:textId="77777777" w:rsidTr="006849F8">
        <w:trPr>
          <w:trHeight w:val="145"/>
        </w:trPr>
        <w:tc>
          <w:tcPr>
            <w:tcW w:w="1804" w:type="dxa"/>
            <w:shd w:val="clear" w:color="auto" w:fill="auto"/>
            <w:tcMar>
              <w:left w:w="0" w:type="dxa"/>
            </w:tcMar>
          </w:tcPr>
          <w:p w14:paraId="7FD83604" w14:textId="77777777" w:rsidR="00C6020C" w:rsidRDefault="00C6020C" w:rsidP="006849F8">
            <w:pPr>
              <w:pStyle w:val="Marginlie"/>
              <w:rPr>
                <w:spacing w:val="0"/>
              </w:rPr>
            </w:pPr>
            <w:r>
              <w:rPr>
                <w:spacing w:val="0"/>
              </w:rPr>
              <w:t>Meziroční růst cen průmyslových výrobců v EU dál zpomaloval.</w:t>
            </w:r>
          </w:p>
        </w:tc>
        <w:tc>
          <w:tcPr>
            <w:tcW w:w="224" w:type="dxa"/>
            <w:shd w:val="clear" w:color="auto" w:fill="auto"/>
            <w:tcMar>
              <w:left w:w="0" w:type="dxa"/>
            </w:tcMar>
          </w:tcPr>
          <w:p w14:paraId="249D2A18" w14:textId="77777777" w:rsidR="00C6020C" w:rsidRPr="00793D78" w:rsidRDefault="00C6020C" w:rsidP="006849F8">
            <w:pPr>
              <w:pStyle w:val="Textpoznpodarou1"/>
              <w:jc w:val="both"/>
            </w:pPr>
          </w:p>
        </w:tc>
        <w:tc>
          <w:tcPr>
            <w:tcW w:w="7611" w:type="dxa"/>
            <w:shd w:val="clear" w:color="auto" w:fill="auto"/>
            <w:tcMar>
              <w:left w:w="0" w:type="dxa"/>
            </w:tcMar>
          </w:tcPr>
          <w:p w14:paraId="3C64B143" w14:textId="77777777" w:rsidR="00C6020C" w:rsidRDefault="00C6020C" w:rsidP="006849F8">
            <w:r>
              <w:t>Ceny průmyslových výrobců v EU</w:t>
            </w:r>
            <w:r>
              <w:rPr>
                <w:rStyle w:val="Znakapoznpodarou"/>
              </w:rPr>
              <w:footnoteReference w:id="52"/>
            </w:r>
            <w:r>
              <w:t xml:space="preserve"> ve 2. čtvrtletí meziročně klesly o 0,3 %. Výrazně meziročně nižší byly ceny těžby a dobývání (−11,8 %) i elektřiny, plynu, páry a klimatizovaného vzduchu (−7,8 %). Naopak ceny ve zpracovatelském průmyslu navzdory pokračujícímu zpomalení ještě mírně meziročně vzrostly (0,8 %). Nejvíce ve 2. čtvrtletí meziročně rostly ceny průmyslových výrobců v Maďarsku (35,7 %), na Slovensku (19,1 %) a v Lotyšsku (11,5 %). Naopak k nejsilnějšímu meziročnímu propadu došlo v Irsku (−16,5 %), Řecku (−10,4 %) a Belgii (−9,6 %). Ceny průmyslových výrobců v EU klesly mezičtvrtletně potřetí v řadě (−5,5 %). Prudce se snížily ceny těžby a dobývání (−20,6 %) i elektřiny, plynu, páry a klimatizovaného vzduchu (−17,4 %) a nižší oproti předchozímu čtvrtletí byly také ceny ve zpracovatelském průmyslu (−1,0 %). Mezičtvrtletně klesaly ceny průmyslových výrobců ve všech zemích EU s výjimkou Slovinska (růst o 0,5 %). V pásmu stagnace se pohybovaly ceny na Kypru a Maltě (shodně klesly mezičtvrtletně o 0,1 %), jinde byly poklesy výraznější. Nejsilnější mezičtvrtletní propad měly ve 2. čtvrtletí ceny v Irsku (−12,9 %), Belgii (−12,3 %) a Itálii (−10,2 %). </w:t>
            </w:r>
          </w:p>
        </w:tc>
      </w:tr>
      <w:tr w:rsidR="00C6020C" w:rsidRPr="009110F7" w14:paraId="40150B66" w14:textId="77777777" w:rsidTr="006849F8">
        <w:trPr>
          <w:trHeight w:val="145"/>
        </w:trPr>
        <w:tc>
          <w:tcPr>
            <w:tcW w:w="1804" w:type="dxa"/>
            <w:shd w:val="clear" w:color="auto" w:fill="auto"/>
            <w:tcMar>
              <w:left w:w="0" w:type="dxa"/>
            </w:tcMar>
          </w:tcPr>
          <w:p w14:paraId="27CAB0F7" w14:textId="77777777" w:rsidR="00C6020C" w:rsidRDefault="00C6020C" w:rsidP="006849F8">
            <w:pPr>
              <w:pStyle w:val="Marginlie"/>
              <w:rPr>
                <w:spacing w:val="0"/>
              </w:rPr>
            </w:pPr>
            <w:r>
              <w:rPr>
                <w:spacing w:val="0"/>
              </w:rPr>
              <w:t>Zmírnil růst cen stavebních prací.</w:t>
            </w:r>
          </w:p>
        </w:tc>
        <w:tc>
          <w:tcPr>
            <w:tcW w:w="224" w:type="dxa"/>
            <w:shd w:val="clear" w:color="auto" w:fill="auto"/>
            <w:tcMar>
              <w:left w:w="0" w:type="dxa"/>
            </w:tcMar>
          </w:tcPr>
          <w:p w14:paraId="25F3B18C" w14:textId="77777777" w:rsidR="00C6020C" w:rsidRPr="00793D78" w:rsidRDefault="00C6020C" w:rsidP="006849F8">
            <w:pPr>
              <w:pStyle w:val="Textpoznpodarou1"/>
              <w:jc w:val="both"/>
            </w:pPr>
          </w:p>
        </w:tc>
        <w:tc>
          <w:tcPr>
            <w:tcW w:w="7611" w:type="dxa"/>
            <w:shd w:val="clear" w:color="auto" w:fill="auto"/>
            <w:tcMar>
              <w:left w:w="0" w:type="dxa"/>
            </w:tcMar>
          </w:tcPr>
          <w:p w14:paraId="10EF1C15" w14:textId="77777777" w:rsidR="00C6020C" w:rsidRPr="00793D78" w:rsidRDefault="00C6020C" w:rsidP="006849F8">
            <w:r>
              <w:t xml:space="preserve">Dynamika cen stavebních prací také oslabovala, i když s menší intenzitou než </w:t>
            </w:r>
            <w:r>
              <w:br/>
              <w:t xml:space="preserve">u jiných indexů, protože výraznou položkou v nákladech ve stavebnictví je pracovní síla. Ceny stavebních prací byly dle odhadů ve 2. čtvrtletí 2023 mezičtvrtletně vyšší </w:t>
            </w:r>
            <w:r>
              <w:br/>
              <w:t>o 0,8 % a meziročně rostly o 6,9 %. U materiálů a výrobků spotřebovávaných ve stavebnictví došlo podle odhadů k mírnému mezičtvrtletnímu poklesu o 0,1 % a meziroční růst zde zmírnil na 3,2 %.</w:t>
            </w:r>
          </w:p>
        </w:tc>
      </w:tr>
      <w:tr w:rsidR="00C6020C" w:rsidRPr="009110F7" w14:paraId="4C3218BD" w14:textId="77777777" w:rsidTr="006849F8">
        <w:trPr>
          <w:trHeight w:val="145"/>
        </w:trPr>
        <w:tc>
          <w:tcPr>
            <w:tcW w:w="1804" w:type="dxa"/>
            <w:shd w:val="clear" w:color="auto" w:fill="auto"/>
            <w:tcMar>
              <w:left w:w="0" w:type="dxa"/>
            </w:tcMar>
          </w:tcPr>
          <w:p w14:paraId="0263239F" w14:textId="77777777" w:rsidR="00C6020C" w:rsidRPr="00793D78" w:rsidRDefault="00C6020C" w:rsidP="006849F8">
            <w:pPr>
              <w:pStyle w:val="Marginlie"/>
              <w:rPr>
                <w:spacing w:val="0"/>
              </w:rPr>
            </w:pPr>
            <w:r>
              <w:rPr>
                <w:spacing w:val="0"/>
              </w:rPr>
              <w:t>Meziroční růst cen tržních služeb posílil.</w:t>
            </w:r>
          </w:p>
        </w:tc>
        <w:tc>
          <w:tcPr>
            <w:tcW w:w="224" w:type="dxa"/>
            <w:shd w:val="clear" w:color="auto" w:fill="auto"/>
            <w:tcMar>
              <w:left w:w="0" w:type="dxa"/>
            </w:tcMar>
          </w:tcPr>
          <w:p w14:paraId="305A3CE4" w14:textId="77777777" w:rsidR="00C6020C" w:rsidRPr="00793D78" w:rsidRDefault="00C6020C" w:rsidP="006849F8">
            <w:pPr>
              <w:pStyle w:val="Textpoznpodarou1"/>
              <w:jc w:val="both"/>
            </w:pPr>
          </w:p>
        </w:tc>
        <w:tc>
          <w:tcPr>
            <w:tcW w:w="7611" w:type="dxa"/>
            <w:shd w:val="clear" w:color="auto" w:fill="auto"/>
            <w:tcMar>
              <w:left w:w="0" w:type="dxa"/>
            </w:tcMar>
          </w:tcPr>
          <w:p w14:paraId="10DEBE2A" w14:textId="77777777" w:rsidR="00C6020C" w:rsidRPr="00793D78" w:rsidRDefault="00C6020C" w:rsidP="006849F8">
            <w:r>
              <w:t>Ceny tržních služeb se ve 2. čtvrtletí meziročně zvýšily o 6,3 %. Tempo růstu tak zrychlilo ve srovnání s předchozím kvartálem. Ceny tržních služeb vzrostly mezičtvrtletně o 2,8 %. Vývoj u služeb byl ovlivněn posilujícími mzdami, které jsou zde významnou nákladovou položkou. K meziročnímu růstu nejvíce přispíval vývoj cen služeb v oblasti programování a souvisejícím poradenství, které se zvýšily o 9,5 %. Silné bylo také působení cen pozemní a potrubní dopravy (meziroční přírůstek 5,3 %), služeb v oblasti nemovitostí (7,1 %) a služeb v oblasti zaměstnání (25,2 %). Významný vliv na růst cen tržních služeb mělo i posílení meziročního přírůstku cen reklamních služeb a průzkumu trhu (6,4 %) a projevilo se i navýšení cen služeb souvisejících se stavbami a úpravou krajiny (13,7 %), informačních služeb (12,8 %), poštovních a kurýrních služeb (8,0 %), služeb v oblasti pronájmu a operativního leasingu (5,6 %), architektonických a inženýrských služeb, technických zkoušek a analýz (4,1 %), skladování a podpůrných služeb v dopravě (3,6 %) nebo pojištění, zajištění a penzijního financování (2,9 %).</w:t>
            </w:r>
          </w:p>
        </w:tc>
      </w:tr>
      <w:tr w:rsidR="00C6020C" w:rsidRPr="009110F7" w14:paraId="74526FB3" w14:textId="77777777" w:rsidTr="006849F8">
        <w:trPr>
          <w:trHeight w:val="145"/>
        </w:trPr>
        <w:tc>
          <w:tcPr>
            <w:tcW w:w="1804" w:type="dxa"/>
            <w:shd w:val="clear" w:color="auto" w:fill="auto"/>
            <w:tcMar>
              <w:left w:w="0" w:type="dxa"/>
            </w:tcMar>
          </w:tcPr>
          <w:p w14:paraId="38EBEF71" w14:textId="77777777" w:rsidR="00C6020C" w:rsidRPr="00793D78" w:rsidRDefault="00C6020C" w:rsidP="006849F8">
            <w:pPr>
              <w:pStyle w:val="Marginlie"/>
              <w:rPr>
                <w:spacing w:val="0"/>
              </w:rPr>
            </w:pPr>
            <w:r>
              <w:rPr>
                <w:spacing w:val="0"/>
              </w:rPr>
              <w:t>Ceny zemědělských výrobců klesaly. Snižovaly se především ceny v rostlinné výrobě.</w:t>
            </w:r>
          </w:p>
        </w:tc>
        <w:tc>
          <w:tcPr>
            <w:tcW w:w="224" w:type="dxa"/>
            <w:shd w:val="clear" w:color="auto" w:fill="auto"/>
            <w:tcMar>
              <w:left w:w="0" w:type="dxa"/>
            </w:tcMar>
          </w:tcPr>
          <w:p w14:paraId="4E4D814A" w14:textId="77777777" w:rsidR="00C6020C" w:rsidRPr="00793D78" w:rsidRDefault="00C6020C" w:rsidP="006849F8">
            <w:pPr>
              <w:pStyle w:val="Textpoznpodarou1"/>
              <w:jc w:val="both"/>
            </w:pPr>
          </w:p>
        </w:tc>
        <w:tc>
          <w:tcPr>
            <w:tcW w:w="7611" w:type="dxa"/>
            <w:shd w:val="clear" w:color="auto" w:fill="auto"/>
            <w:tcMar>
              <w:left w:w="0" w:type="dxa"/>
            </w:tcMar>
          </w:tcPr>
          <w:p w14:paraId="0E65D96A" w14:textId="77777777" w:rsidR="00C6020C" w:rsidRDefault="00C6020C" w:rsidP="006849F8">
            <w:r>
              <w:t>Ceny zemědělských výrobců včetně ryb se ve 2. čtvrtletí meziročně propadly o 8,1 %. Šlo o první meziroční pokles od konce roku 2020. Meziročně klesaly jen ceny rostlinné výroby (−20,8 %), ale u živočišné výroby došlo ke zpomalení přírůstku na 12,4 %. Mezičtvrtletně se ceny zemědělských výrobců snížily o výrazných 9,1 % a klesly ceny rostlinné (−11,2 %) i živočišné (−6,6 %) výroby. Meziroční pokles cen rostlinné výroby byl ovlivněn zejména propadem cen obilovin (−22,3 %), z toho ceny pšenice klesly o 28,0 %, ječmene o 13,0 % a kukuřice o 9,1 %, naopak ceny ovsa rostly o 4,1 %. Ceny průmyslových plodin byly meziročně nižší o 34,0 %, a to zejména kvůli olejninám, kde pokles činil −35,1 %. Ceny krmných plodin se meziročně snížily o 1,9 %. U zeleniny a zahradnických produktů naopak posílil meziroční přírůstek cen na 23,9 %. Ceny brambor vzrostly o 29,0 % a u ovoce klesly o 5,9 %. V živočišné výrobě oslabil meziroční přírůstek cen hospodářských zvířat na 14,2 %, nižší byl růst cen prasat a selat (24,1 %), drůbeže (17,0 %) i skotu (0,9 %). Také přírůstek cen mléka se snížil na 7,8 % a vajec na 42,1 %.</w:t>
            </w:r>
          </w:p>
        </w:tc>
      </w:tr>
      <w:tr w:rsidR="00C6020C" w:rsidRPr="009110F7" w14:paraId="4E047492" w14:textId="77777777" w:rsidTr="006849F8">
        <w:trPr>
          <w:trHeight w:val="145"/>
        </w:trPr>
        <w:tc>
          <w:tcPr>
            <w:tcW w:w="1804" w:type="dxa"/>
            <w:shd w:val="clear" w:color="auto" w:fill="auto"/>
            <w:tcMar>
              <w:left w:w="0" w:type="dxa"/>
            </w:tcMar>
          </w:tcPr>
          <w:p w14:paraId="19942F13" w14:textId="77777777" w:rsidR="00C6020C" w:rsidRPr="00793D78" w:rsidRDefault="00C6020C" w:rsidP="006849F8">
            <w:pPr>
              <w:pStyle w:val="Marginlie"/>
              <w:rPr>
                <w:spacing w:val="0"/>
              </w:rPr>
            </w:pPr>
          </w:p>
        </w:tc>
        <w:tc>
          <w:tcPr>
            <w:tcW w:w="224" w:type="dxa"/>
            <w:shd w:val="clear" w:color="auto" w:fill="auto"/>
            <w:tcMar>
              <w:left w:w="0" w:type="dxa"/>
            </w:tcMar>
          </w:tcPr>
          <w:p w14:paraId="64DEA7EB" w14:textId="77777777" w:rsidR="00C6020C" w:rsidRPr="00793D78" w:rsidRDefault="00C6020C" w:rsidP="006849F8">
            <w:pPr>
              <w:pStyle w:val="Textpoznpodarou1"/>
              <w:jc w:val="both"/>
            </w:pPr>
          </w:p>
        </w:tc>
        <w:tc>
          <w:tcPr>
            <w:tcW w:w="7611" w:type="dxa"/>
            <w:shd w:val="clear" w:color="auto" w:fill="auto"/>
            <w:tcMar>
              <w:left w:w="0" w:type="dxa"/>
            </w:tcMar>
          </w:tcPr>
          <w:p w14:paraId="4CDCCF2B" w14:textId="77777777" w:rsidR="00C6020C" w:rsidRPr="00793D78" w:rsidRDefault="00C6020C" w:rsidP="006849F8">
            <w:r>
              <w:t>Meziroční růst cen zahraničního obchodu ve 2. čtvrtletí dál zpomalil. Kurz koruny vůči euru i dolaru meziročně i mezičtvrtletně posiloval</w:t>
            </w:r>
            <w:r>
              <w:rPr>
                <w:rStyle w:val="Znakapoznpodarou"/>
              </w:rPr>
              <w:footnoteReference w:id="53"/>
            </w:r>
            <w:r>
              <w:t xml:space="preserve"> a působil tak protiinflačně, hlavní roli ale hrála vysoká srovnávací základna loňského roku, zejména výrazná úroveň cen surovin. Ceny vývozu zboží ve 2. čtvrtletí meziročně klesly o 1,8 % a mezičtvrtletně byly nižší o 2,2 %. Nejvíce se meziročně propadaly ceny exportu ostatních surovin</w:t>
            </w:r>
            <w:r>
              <w:rPr>
                <w:rStyle w:val="Znakapoznpodarou"/>
              </w:rPr>
              <w:footnoteReference w:id="54"/>
            </w:r>
            <w:r>
              <w:t xml:space="preserve"> (−25,5 %) a chemikálií (−9,4 %) a nižší byly i ceny potravin a živých zvířat (−4,7 %) a polotovarů</w:t>
            </w:r>
            <w:r>
              <w:rPr>
                <w:rStyle w:val="Znakapoznpodarou"/>
              </w:rPr>
              <w:footnoteReference w:id="55"/>
            </w:r>
            <w:r>
              <w:t xml:space="preserve"> (−4,3 %). Naopak výrazně meziročně vzrostly ceny nápojů a tabáku (18,4 %), vyšší byly ceny minerálních paliv a maziv (2,3 %), průmyslového spotřebního zboží (1,1 %) a strojů a dopravních prostředků (1,0 %).</w:t>
            </w:r>
          </w:p>
        </w:tc>
      </w:tr>
      <w:tr w:rsidR="00C6020C" w:rsidRPr="009110F7" w14:paraId="4FB1FA53" w14:textId="77777777" w:rsidTr="006849F8">
        <w:trPr>
          <w:trHeight w:val="145"/>
        </w:trPr>
        <w:tc>
          <w:tcPr>
            <w:tcW w:w="1804" w:type="dxa"/>
            <w:shd w:val="clear" w:color="auto" w:fill="auto"/>
            <w:tcMar>
              <w:left w:w="0" w:type="dxa"/>
            </w:tcMar>
          </w:tcPr>
          <w:p w14:paraId="1BF8D79D" w14:textId="77777777" w:rsidR="00C6020C" w:rsidRPr="00793D78" w:rsidRDefault="00C6020C" w:rsidP="006849F8">
            <w:pPr>
              <w:pStyle w:val="Marginlie"/>
              <w:rPr>
                <w:spacing w:val="0"/>
              </w:rPr>
            </w:pPr>
          </w:p>
        </w:tc>
        <w:tc>
          <w:tcPr>
            <w:tcW w:w="224" w:type="dxa"/>
            <w:shd w:val="clear" w:color="auto" w:fill="auto"/>
            <w:tcMar>
              <w:left w:w="0" w:type="dxa"/>
            </w:tcMar>
          </w:tcPr>
          <w:p w14:paraId="34745BF5" w14:textId="77777777" w:rsidR="00C6020C" w:rsidRPr="00793D78" w:rsidRDefault="00C6020C" w:rsidP="006849F8">
            <w:pPr>
              <w:pStyle w:val="Textpoznpodarou1"/>
              <w:jc w:val="both"/>
            </w:pPr>
          </w:p>
        </w:tc>
        <w:tc>
          <w:tcPr>
            <w:tcW w:w="7611" w:type="dxa"/>
            <w:shd w:val="clear" w:color="auto" w:fill="auto"/>
            <w:tcMar>
              <w:left w:w="0" w:type="dxa"/>
            </w:tcMar>
          </w:tcPr>
          <w:p w14:paraId="6EF88923" w14:textId="77777777" w:rsidR="00C6020C" w:rsidRDefault="00C6020C" w:rsidP="006849F8">
            <w:r>
              <w:t xml:space="preserve">V případě cen vývozu také došlo k meziročnímu (−7,6 %) i mezičtvrtletnímu (−4,5 %) propadu. Meziročně klesaly hlavně ceny dovozu minerálních paliv a maziv (−32,0 %) a ostatních surovin (−15,8 %). Nižší byly ceny chemikálií (−10,9 %), polotovarů (−7,9 %) a strojů a dopravních prostředků (−1,6 %). Naopak meziročně silně rostly ceny importu nápojů a tabáku (22,2 %), potravin a živých zvířat (6,4 %) a průmyslového spotřebního zboží (5,9 %). Meziroční směnné relace vystoupaly ve 2. čtvrtletí na rekordních 106,3 %. Nejvyšší hodnoty dosáhly směnné relace obchodu s minerálními palivy a mazivy (150,4 %) a kladné byly dále relace obchodu s polotovary (103,9 %), stroji a dopravními prostředky (102,6 %) a chemikáliemi (101,7 %). Do záporu se naopak výrazně dostaly směnné relace v případě ostatních surovin (88,5 %), potravin a živých zvířat (89,6 %), průmyslového spotřebního zboží (95,5 %) a nápojů a tabáku (96,9 %).    </w:t>
            </w:r>
          </w:p>
        </w:tc>
      </w:tr>
      <w:bookmarkEnd w:id="28"/>
    </w:tbl>
    <w:p w14:paraId="6F4E324E" w14:textId="77777777" w:rsidR="00C6020C" w:rsidRDefault="00C6020C" w:rsidP="00765928">
      <w:pPr>
        <w:pStyle w:val="Nadpis11"/>
        <w:spacing w:after="120"/>
      </w:pPr>
    </w:p>
    <w:p w14:paraId="0B044C66" w14:textId="77777777" w:rsidR="00C6020C" w:rsidRDefault="00C6020C">
      <w:pPr>
        <w:spacing w:after="0" w:line="240" w:lineRule="auto"/>
        <w:jc w:val="left"/>
        <w:rPr>
          <w:rFonts w:eastAsia="MS Gothic"/>
          <w:b/>
          <w:bCs/>
          <w:color w:val="71818C"/>
          <w:sz w:val="32"/>
          <w:szCs w:val="28"/>
        </w:rPr>
      </w:pPr>
      <w:r>
        <w:br w:type="page"/>
      </w:r>
    </w:p>
    <w:p w14:paraId="1B448BE0" w14:textId="77777777" w:rsidR="006A3CAF" w:rsidRDefault="006A3CAF" w:rsidP="006A3CAF">
      <w:pPr>
        <w:pStyle w:val="Nadpis11"/>
        <w:spacing w:after="120"/>
      </w:pPr>
      <w:bookmarkStart w:id="37" w:name="_Toc145581251"/>
      <w:bookmarkEnd w:id="29"/>
      <w:r w:rsidRPr="00B43216">
        <w:t>6. Trh práce</w:t>
      </w:r>
      <w:bookmarkEnd w:id="37"/>
    </w:p>
    <w:tbl>
      <w:tblPr>
        <w:tblW w:w="9674" w:type="dxa"/>
        <w:tblInd w:w="-35" w:type="dxa"/>
        <w:tblCellMar>
          <w:left w:w="0" w:type="dxa"/>
          <w:right w:w="0" w:type="dxa"/>
        </w:tblCellMar>
        <w:tblLook w:val="00A0" w:firstRow="1" w:lastRow="0" w:firstColumn="1" w:lastColumn="0" w:noHBand="0" w:noVBand="0"/>
      </w:tblPr>
      <w:tblGrid>
        <w:gridCol w:w="1754"/>
        <w:gridCol w:w="220"/>
        <w:gridCol w:w="7700"/>
      </w:tblGrid>
      <w:tr w:rsidR="006A3CAF" w:rsidRPr="009F0D7F" w14:paraId="7C3EB322" w14:textId="77777777" w:rsidTr="00DA0121">
        <w:trPr>
          <w:trHeight w:val="155"/>
        </w:trPr>
        <w:tc>
          <w:tcPr>
            <w:tcW w:w="1754" w:type="dxa"/>
            <w:shd w:val="clear" w:color="auto" w:fill="auto"/>
            <w:tcMar>
              <w:left w:w="0" w:type="dxa"/>
            </w:tcMar>
          </w:tcPr>
          <w:p w14:paraId="2FB6CB58" w14:textId="77777777" w:rsidR="006A3CAF" w:rsidRDefault="006A3CAF" w:rsidP="00DA0121">
            <w:pPr>
              <w:pStyle w:val="Marginlie"/>
              <w:spacing w:after="120"/>
              <w:rPr>
                <w:color w:val="0D0D0D" w:themeColor="text1" w:themeTint="F2"/>
                <w:spacing w:val="-4"/>
              </w:rPr>
            </w:pPr>
            <w:r>
              <w:rPr>
                <w:color w:val="0D0D0D" w:themeColor="text1" w:themeTint="F2"/>
                <w:spacing w:val="-4"/>
              </w:rPr>
              <w:t xml:space="preserve">Na trhu práce docházelo k částečnému ochlazení, nerovnováha mezi nabídkou a poptávkou se zmírnila. Situace v jednotlivých segmentech ekonomiky se ovšem významně odlišovala.  </w:t>
            </w:r>
          </w:p>
        </w:tc>
        <w:tc>
          <w:tcPr>
            <w:tcW w:w="220" w:type="dxa"/>
            <w:shd w:val="clear" w:color="auto" w:fill="auto"/>
            <w:tcMar>
              <w:left w:w="0" w:type="dxa"/>
            </w:tcMar>
          </w:tcPr>
          <w:p w14:paraId="12A3C6F0" w14:textId="77777777" w:rsidR="006A3CAF" w:rsidRPr="009F0D7F" w:rsidRDefault="006A3CAF" w:rsidP="00DA0121">
            <w:pPr>
              <w:pStyle w:val="Textpoznpodarou"/>
              <w:spacing w:after="120"/>
              <w:jc w:val="both"/>
              <w:rPr>
                <w:color w:val="0D0D0D" w:themeColor="text1" w:themeTint="F2"/>
                <w:spacing w:val="-4"/>
              </w:rPr>
            </w:pPr>
          </w:p>
        </w:tc>
        <w:tc>
          <w:tcPr>
            <w:tcW w:w="7700" w:type="dxa"/>
            <w:shd w:val="clear" w:color="auto" w:fill="auto"/>
            <w:tcMar>
              <w:left w:w="0" w:type="dxa"/>
            </w:tcMar>
          </w:tcPr>
          <w:p w14:paraId="3013A21B" w14:textId="7D57C652" w:rsidR="006A3CAF" w:rsidRPr="00FE39EE" w:rsidRDefault="006A3CAF" w:rsidP="00FF556A">
            <w:pPr>
              <w:rPr>
                <w:color w:val="0D0D0D" w:themeColor="text1" w:themeTint="F2"/>
                <w:spacing w:val="-4"/>
              </w:rPr>
            </w:pPr>
            <w:r w:rsidRPr="00D84DC9">
              <w:rPr>
                <w:color w:val="0D0D0D" w:themeColor="text1" w:themeTint="F2"/>
                <w:spacing w:val="-4"/>
              </w:rPr>
              <w:t xml:space="preserve">Navzdory pokračující stagnaci výkonu tuzemské ekonomiky se ochlazení v minulosti silně </w:t>
            </w:r>
            <w:r>
              <w:rPr>
                <w:color w:val="0D0D0D" w:themeColor="text1" w:themeTint="F2"/>
                <w:spacing w:val="-4"/>
              </w:rPr>
              <w:t xml:space="preserve">přehřátého pracovního trhu v Česku zatím letos </w:t>
            </w:r>
            <w:r w:rsidRPr="00D84DC9">
              <w:rPr>
                <w:color w:val="0D0D0D" w:themeColor="text1" w:themeTint="F2"/>
                <w:spacing w:val="-4"/>
              </w:rPr>
              <w:t xml:space="preserve">projevovalo jen částečně. </w:t>
            </w:r>
            <w:r>
              <w:rPr>
                <w:color w:val="0D0D0D" w:themeColor="text1" w:themeTint="F2"/>
                <w:spacing w:val="-4"/>
              </w:rPr>
              <w:t xml:space="preserve">To lze vedle tradičního zpoždění trhu práce ve vztahu k hospodářskému cyklu vysvětlit i výrazně diferencovaným dopadem předchozích šoků (pandemické restrikce, energetická krize) na různé segmenty ekonomiky. Ochlazení pracovního trhu se zřetelněji projevovalo v subjektivních postojích zaměstnavatelů (zjišťovaných v rámci konjunkturálních průzkumů). V průběhu 1. pololetí se tak dále zhoršovala krátkodobá očekávání podniků v oblasti zaměstnanosti a zároveň ubývalo firem uvádějících nedostatek zaměstnanců jako bariéru svého růstu. Zaměstnanost v ekonomice i přesto stále významně rostla, byť zdaleka ne plošně, a často i za specifických okolností (postupné integrace ukrajinských uprchlíků). Počet volných </w:t>
            </w:r>
            <w:r w:rsidRPr="00825316">
              <w:rPr>
                <w:color w:val="0D0D0D" w:themeColor="text1" w:themeTint="F2"/>
                <w:spacing w:val="-4"/>
              </w:rPr>
              <w:t>pracovních míst v ekonomice se mírně snižoval při současném nevýrazném navýšení nezaměstnanosti. Příznivé po</w:t>
            </w:r>
            <w:r>
              <w:rPr>
                <w:color w:val="0D0D0D" w:themeColor="text1" w:themeTint="F2"/>
                <w:spacing w:val="-4"/>
              </w:rPr>
              <w:t>stavení zaměstnanců na</w:t>
            </w:r>
            <w:r w:rsidR="00FF556A">
              <w:rPr>
                <w:color w:val="0D0D0D" w:themeColor="text1" w:themeTint="F2"/>
                <w:spacing w:val="-4"/>
              </w:rPr>
              <w:t xml:space="preserve"> trhu práce doprovázené přetrvávajícím</w:t>
            </w:r>
            <w:r w:rsidRPr="00825316">
              <w:rPr>
                <w:color w:val="0D0D0D" w:themeColor="text1" w:themeTint="F2"/>
                <w:spacing w:val="-4"/>
              </w:rPr>
              <w:t xml:space="preserve"> silným růstem životních nákladů domácností zvyšovalo tlak na </w:t>
            </w:r>
            <w:r>
              <w:rPr>
                <w:color w:val="0D0D0D" w:themeColor="text1" w:themeTint="F2"/>
                <w:spacing w:val="-4"/>
              </w:rPr>
              <w:t xml:space="preserve">mzdový </w:t>
            </w:r>
            <w:r w:rsidRPr="00825316">
              <w:rPr>
                <w:color w:val="0D0D0D" w:themeColor="text1" w:themeTint="F2"/>
                <w:spacing w:val="-4"/>
              </w:rPr>
              <w:t xml:space="preserve">růst. I přes dezinflační tendence </w:t>
            </w:r>
            <w:r>
              <w:rPr>
                <w:color w:val="0D0D0D" w:themeColor="text1" w:themeTint="F2"/>
                <w:spacing w:val="-4"/>
              </w:rPr>
              <w:t>v ekonomice zůstává meziroční pokles</w:t>
            </w:r>
            <w:r w:rsidRPr="00825316">
              <w:rPr>
                <w:color w:val="0D0D0D" w:themeColor="text1" w:themeTint="F2"/>
                <w:spacing w:val="-4"/>
              </w:rPr>
              <w:t xml:space="preserve"> kupní síly mezd</w:t>
            </w:r>
            <w:r w:rsidR="00FF556A">
              <w:rPr>
                <w:color w:val="0D0D0D" w:themeColor="text1" w:themeTint="F2"/>
                <w:spacing w:val="-4"/>
              </w:rPr>
              <w:t xml:space="preserve"> stále významný</w:t>
            </w:r>
            <w:r>
              <w:rPr>
                <w:color w:val="0D0D0D" w:themeColor="text1" w:themeTint="F2"/>
                <w:spacing w:val="-4"/>
              </w:rPr>
              <w:t>.</w:t>
            </w:r>
            <w:r w:rsidRPr="00825316">
              <w:rPr>
                <w:color w:val="0D0D0D" w:themeColor="text1" w:themeTint="F2"/>
                <w:spacing w:val="-4"/>
              </w:rPr>
              <w:t xml:space="preserve"> </w:t>
            </w:r>
          </w:p>
        </w:tc>
      </w:tr>
      <w:tr w:rsidR="006A3CAF" w:rsidRPr="009F0D7F" w14:paraId="41C47A7E" w14:textId="77777777" w:rsidTr="00DA0121">
        <w:trPr>
          <w:trHeight w:val="155"/>
        </w:trPr>
        <w:tc>
          <w:tcPr>
            <w:tcW w:w="1754" w:type="dxa"/>
            <w:shd w:val="clear" w:color="auto" w:fill="auto"/>
            <w:tcMar>
              <w:left w:w="0" w:type="dxa"/>
            </w:tcMar>
          </w:tcPr>
          <w:p w14:paraId="0C6B0A94" w14:textId="77777777" w:rsidR="006A3CAF" w:rsidRDefault="006A3CAF" w:rsidP="00DA0121">
            <w:pPr>
              <w:pStyle w:val="Marginlie"/>
              <w:spacing w:after="120"/>
              <w:rPr>
                <w:color w:val="0D0D0D" w:themeColor="text1" w:themeTint="F2"/>
                <w:spacing w:val="-4"/>
              </w:rPr>
            </w:pPr>
            <w:r>
              <w:rPr>
                <w:color w:val="0D0D0D" w:themeColor="text1" w:themeTint="F2"/>
                <w:spacing w:val="-4"/>
              </w:rPr>
              <w:t>Celková zaměstnanost vystoupala na rekordní úroveň. Pomohlo tomu i</w:t>
            </w:r>
            <w:r>
              <w:rPr>
                <w:spacing w:val="-4"/>
              </w:rPr>
              <w:t> </w:t>
            </w:r>
            <w:r>
              <w:rPr>
                <w:color w:val="0D0D0D" w:themeColor="text1" w:themeTint="F2"/>
                <w:spacing w:val="-4"/>
              </w:rPr>
              <w:t>oživení drobného podnikání, jež nastalo napříč hlavními odvětvími.</w:t>
            </w:r>
          </w:p>
        </w:tc>
        <w:tc>
          <w:tcPr>
            <w:tcW w:w="220" w:type="dxa"/>
            <w:shd w:val="clear" w:color="auto" w:fill="auto"/>
            <w:tcMar>
              <w:left w:w="0" w:type="dxa"/>
            </w:tcMar>
          </w:tcPr>
          <w:p w14:paraId="0181808C" w14:textId="77777777" w:rsidR="006A3CAF" w:rsidRPr="009F0D7F" w:rsidRDefault="006A3CAF" w:rsidP="00DA0121">
            <w:pPr>
              <w:pStyle w:val="Textpoznpodarou"/>
              <w:spacing w:after="120"/>
              <w:jc w:val="both"/>
              <w:rPr>
                <w:color w:val="0D0D0D" w:themeColor="text1" w:themeTint="F2"/>
                <w:spacing w:val="-4"/>
              </w:rPr>
            </w:pPr>
          </w:p>
        </w:tc>
        <w:tc>
          <w:tcPr>
            <w:tcW w:w="7700" w:type="dxa"/>
            <w:shd w:val="clear" w:color="auto" w:fill="auto"/>
            <w:tcMar>
              <w:left w:w="0" w:type="dxa"/>
            </w:tcMar>
          </w:tcPr>
          <w:p w14:paraId="602D37D9" w14:textId="77777777" w:rsidR="006A3CAF" w:rsidRDefault="006A3CAF" w:rsidP="00DA0121">
            <w:pPr>
              <w:rPr>
                <w:color w:val="0D0D0D" w:themeColor="text1" w:themeTint="F2"/>
                <w:spacing w:val="-4"/>
              </w:rPr>
            </w:pPr>
            <w:r>
              <w:t>Celková zaměstnanost</w:t>
            </w:r>
            <w:r w:rsidRPr="00FE39EE">
              <w:rPr>
                <w:color w:val="0D0D0D" w:themeColor="text1" w:themeTint="F2"/>
                <w:spacing w:val="-4"/>
                <w:vertAlign w:val="superscript"/>
              </w:rPr>
              <w:footnoteReference w:id="56"/>
            </w:r>
            <w:r>
              <w:t xml:space="preserve"> letos znatelně rostla. Ve 2. čtvrtletí byla meziročně vyšší o 0,8</w:t>
            </w:r>
            <w:r>
              <w:rPr>
                <w:color w:val="0D0D0D" w:themeColor="text1" w:themeTint="F2"/>
                <w:spacing w:val="-4"/>
              </w:rPr>
              <w:t> </w:t>
            </w:r>
            <w:r>
              <w:t xml:space="preserve">% (resp. 45 tis. osob) a mezikvartálně posílila dokonce o rovné 1 %. Počet pracovníků dosáhl rekordní úrovně (5,51 mil.), proti roku 2019 byl vyšší o 68 tis. K meziročnímu růstu zaměstnanosti významně přispělo oživení podnikatelské činnosti. Stavy </w:t>
            </w:r>
            <w:r>
              <w:rPr>
                <w:color w:val="0D0D0D" w:themeColor="text1" w:themeTint="F2"/>
                <w:spacing w:val="-4"/>
              </w:rPr>
              <w:t>sebezaměstnaných</w:t>
            </w:r>
            <w:r>
              <w:rPr>
                <w:rStyle w:val="Znakapoznpodarou"/>
                <w:spacing w:val="-5"/>
              </w:rPr>
              <w:footnoteReference w:id="57"/>
            </w:r>
            <w:r>
              <w:rPr>
                <w:color w:val="0D0D0D" w:themeColor="text1" w:themeTint="F2"/>
                <w:spacing w:val="-4"/>
              </w:rPr>
              <w:t xml:space="preserve"> se rozšířily o 2,4 %, a to zejména díky stavebnictví (+7 tis.), relativně nejvíce jich pak přibylo v informačních a komunikačních činnostech (+10 %) a finančnictví (+6 %). Alespoň mírný růst počtu drobných podnikatelů nastal ve všech hlavních odvětvích.  I přesto však zůstal v letošním 2. čtvrtletí počet sebezaměstnaných stále významně pod úrovní z roku 2019 (-4 %, 30 tis. osob)</w:t>
            </w:r>
            <w:r>
              <w:rPr>
                <w:rStyle w:val="Znakapoznpodarou"/>
                <w:color w:val="0D0D0D" w:themeColor="text1" w:themeTint="F2"/>
                <w:spacing w:val="-4"/>
              </w:rPr>
              <w:footnoteReference w:id="58"/>
            </w:r>
            <w:r>
              <w:rPr>
                <w:color w:val="0D0D0D" w:themeColor="text1" w:themeTint="F2"/>
                <w:spacing w:val="-4"/>
              </w:rPr>
              <w:t>.</w:t>
            </w:r>
          </w:p>
        </w:tc>
      </w:tr>
      <w:tr w:rsidR="006A3CAF" w:rsidRPr="009F0D7F" w14:paraId="31356CF5" w14:textId="77777777" w:rsidTr="00DA0121">
        <w:trPr>
          <w:trHeight w:val="155"/>
        </w:trPr>
        <w:tc>
          <w:tcPr>
            <w:tcW w:w="1754" w:type="dxa"/>
            <w:shd w:val="clear" w:color="auto" w:fill="auto"/>
            <w:tcMar>
              <w:left w:w="0" w:type="dxa"/>
            </w:tcMar>
          </w:tcPr>
          <w:p w14:paraId="299BFFFA" w14:textId="77777777" w:rsidR="006A3CAF" w:rsidRDefault="006A3CAF" w:rsidP="00DA0121">
            <w:pPr>
              <w:pStyle w:val="Marginlie"/>
              <w:spacing w:after="120"/>
              <w:rPr>
                <w:color w:val="0D0D0D" w:themeColor="text1" w:themeTint="F2"/>
                <w:spacing w:val="-4"/>
              </w:rPr>
            </w:pPr>
            <w:r>
              <w:rPr>
                <w:color w:val="0D0D0D" w:themeColor="text1" w:themeTint="F2"/>
                <w:spacing w:val="-4"/>
              </w:rPr>
              <w:t>Počet zaměstnanců rostl výhradně díky službám, kde jich přibylo napříč všemi hlavními odvětvími.</w:t>
            </w:r>
          </w:p>
          <w:p w14:paraId="60B7E93E" w14:textId="77777777" w:rsidR="006A3CAF" w:rsidRDefault="006A3CAF" w:rsidP="00DA0121">
            <w:pPr>
              <w:pStyle w:val="Marginlie"/>
              <w:spacing w:after="120"/>
              <w:rPr>
                <w:color w:val="0D0D0D" w:themeColor="text1" w:themeTint="F2"/>
                <w:spacing w:val="-4"/>
              </w:rPr>
            </w:pPr>
          </w:p>
          <w:p w14:paraId="0A7BDE0C" w14:textId="77777777" w:rsidR="006A3CAF" w:rsidRDefault="006A3CAF" w:rsidP="00DA0121">
            <w:pPr>
              <w:pStyle w:val="Marginlie"/>
              <w:spacing w:after="120"/>
              <w:rPr>
                <w:color w:val="0D0D0D" w:themeColor="text1" w:themeTint="F2"/>
                <w:spacing w:val="-4"/>
              </w:rPr>
            </w:pPr>
          </w:p>
          <w:p w14:paraId="4D0222C3" w14:textId="77777777" w:rsidR="006A3CAF" w:rsidRDefault="006A3CAF" w:rsidP="00DA0121">
            <w:pPr>
              <w:pStyle w:val="Marginlie"/>
              <w:spacing w:after="120"/>
              <w:rPr>
                <w:color w:val="0D0D0D" w:themeColor="text1" w:themeTint="F2"/>
                <w:spacing w:val="-4"/>
              </w:rPr>
            </w:pPr>
          </w:p>
          <w:p w14:paraId="65FC79B7" w14:textId="77777777" w:rsidR="006A3CAF" w:rsidRDefault="006A3CAF" w:rsidP="00DA0121">
            <w:pPr>
              <w:pStyle w:val="Marginlie"/>
              <w:spacing w:after="120"/>
              <w:rPr>
                <w:color w:val="0D0D0D" w:themeColor="text1" w:themeTint="F2"/>
                <w:spacing w:val="-4"/>
              </w:rPr>
            </w:pPr>
          </w:p>
          <w:p w14:paraId="21D64A62" w14:textId="77777777" w:rsidR="006A3CAF" w:rsidRDefault="006A3CAF" w:rsidP="00DA0121">
            <w:pPr>
              <w:pStyle w:val="Marginlie"/>
              <w:spacing w:after="120"/>
              <w:rPr>
                <w:color w:val="0D0D0D" w:themeColor="text1" w:themeTint="F2"/>
                <w:spacing w:val="-4"/>
              </w:rPr>
            </w:pPr>
            <w:r>
              <w:rPr>
                <w:color w:val="0D0D0D" w:themeColor="text1" w:themeTint="F2"/>
                <w:spacing w:val="-4"/>
              </w:rPr>
              <w:t>Naopak ve zpracovatelském průmyslu ubylo zaměstnanců poprvé po dvou letech.</w:t>
            </w:r>
          </w:p>
        </w:tc>
        <w:tc>
          <w:tcPr>
            <w:tcW w:w="220" w:type="dxa"/>
            <w:shd w:val="clear" w:color="auto" w:fill="auto"/>
            <w:tcMar>
              <w:left w:w="0" w:type="dxa"/>
            </w:tcMar>
          </w:tcPr>
          <w:p w14:paraId="34F05078" w14:textId="77777777" w:rsidR="006A3CAF" w:rsidRPr="009F0D7F" w:rsidRDefault="006A3CAF" w:rsidP="00DA0121">
            <w:pPr>
              <w:pStyle w:val="Textpoznpodarou"/>
              <w:spacing w:after="120"/>
              <w:jc w:val="both"/>
              <w:rPr>
                <w:color w:val="0D0D0D" w:themeColor="text1" w:themeTint="F2"/>
                <w:spacing w:val="-4"/>
              </w:rPr>
            </w:pPr>
          </w:p>
        </w:tc>
        <w:tc>
          <w:tcPr>
            <w:tcW w:w="7700" w:type="dxa"/>
            <w:shd w:val="clear" w:color="auto" w:fill="auto"/>
            <w:tcMar>
              <w:left w:w="0" w:type="dxa"/>
            </w:tcMar>
          </w:tcPr>
          <w:p w14:paraId="024BCE49" w14:textId="77777777" w:rsidR="006A3CAF" w:rsidRPr="00FE39EE" w:rsidRDefault="006A3CAF" w:rsidP="00DA0121">
            <w:pPr>
              <w:rPr>
                <w:color w:val="0D0D0D" w:themeColor="text1" w:themeTint="F2"/>
                <w:spacing w:val="-4"/>
              </w:rPr>
            </w:pPr>
            <w:r>
              <w:rPr>
                <w:color w:val="0D0D0D" w:themeColor="text1" w:themeTint="F2"/>
                <w:spacing w:val="-4"/>
              </w:rPr>
              <w:t>Růst celkové zaměstnanosti ovšem i letos táhli zejména zaměstnanci. Ve 2. čtvrtletí jich ale meziročně přibylo jen 28 tis. (+0,6 %, nejméně od vrcholu pandemie na počátku roku 2021). Na rozdíl od předchozího období došlo totiž letos ve 2. čtvrtletí k navýšení pracovních míst pouze v terciárním sektoru (kde měl ovšem růst z drtivé části plošný charakter). V něm se zřetelně projevilo více než 2% posílení zaměstnanosti ve veřejných službách, kde z důvodu zvýšené celospolečenské poptávky</w:t>
            </w:r>
            <w:r>
              <w:rPr>
                <w:rStyle w:val="Znakapoznpodarou"/>
                <w:color w:val="0D0D0D" w:themeColor="text1" w:themeTint="F2"/>
                <w:spacing w:val="-4"/>
              </w:rPr>
              <w:footnoteReference w:id="59"/>
            </w:r>
            <w:r>
              <w:rPr>
                <w:color w:val="0D0D0D" w:themeColor="text1" w:themeTint="F2"/>
                <w:spacing w:val="-4"/>
              </w:rPr>
              <w:t xml:space="preserve"> vznikaly nové pozice v oblastech typicky spojených s vysokým zastoupením žen (vzdělávání, zdravotní a sociální péče). Nová zaměstnanecká místa vznikala, byť s nižší intenzitou, rovněž v tradičně dynamickém odvětví informačních a komunikačních činností. Stabilnější růst poptávky po pracovnících signalizovalo i </w:t>
            </w:r>
            <w:r>
              <w:rPr>
                <w:color w:val="0D0D0D" w:themeColor="text1" w:themeTint="F2"/>
                <w:spacing w:val="-8"/>
              </w:rPr>
              <w:t xml:space="preserve">odvětví profesní, vědecké, technické a administrativní činnosti, poskytující zejména </w:t>
            </w:r>
            <w:r w:rsidRPr="00533728">
              <w:rPr>
                <w:color w:val="0D0D0D" w:themeColor="text1" w:themeTint="F2"/>
                <w:spacing w:val="-8"/>
              </w:rPr>
              <w:t>služby pro podniky</w:t>
            </w:r>
            <w:r>
              <w:rPr>
                <w:color w:val="0D0D0D" w:themeColor="text1" w:themeTint="F2"/>
                <w:spacing w:val="-8"/>
              </w:rPr>
              <w:t>. Naproti tomu tradiční výrobní odvětví se vlivem silného růstu výrobních nákladů i váznoucí zahraniční poptávky potýkala s narůstajícími problémy. Ve zpracovatelském průmyslu se tak ve 2. čtvrtletí růst počtu zaměstnanců poprvé po dvou letech zastavil (-0,9 %)</w:t>
            </w:r>
            <w:r>
              <w:rPr>
                <w:rStyle w:val="Znakapoznpodarou"/>
                <w:color w:val="0D0D0D" w:themeColor="text1" w:themeTint="F2"/>
                <w:spacing w:val="-8"/>
              </w:rPr>
              <w:footnoteReference w:id="60"/>
            </w:r>
            <w:r>
              <w:rPr>
                <w:color w:val="0D0D0D" w:themeColor="text1" w:themeTint="F2"/>
                <w:spacing w:val="-8"/>
              </w:rPr>
              <w:t>, v primárním sektoru ekonomiky mírný pokles pokračoval, avšak pozvolnějším tempem než vloni.</w:t>
            </w:r>
          </w:p>
        </w:tc>
      </w:tr>
      <w:tr w:rsidR="006A3CAF" w:rsidRPr="009F0D7F" w14:paraId="35911B1D" w14:textId="77777777" w:rsidTr="00DA0121">
        <w:trPr>
          <w:trHeight w:val="155"/>
        </w:trPr>
        <w:tc>
          <w:tcPr>
            <w:tcW w:w="1754" w:type="dxa"/>
            <w:shd w:val="clear" w:color="auto" w:fill="auto"/>
            <w:tcMar>
              <w:left w:w="0" w:type="dxa"/>
            </w:tcMar>
          </w:tcPr>
          <w:p w14:paraId="69A1D3D0" w14:textId="77777777" w:rsidR="006A3CAF" w:rsidRDefault="006A3CAF" w:rsidP="00DA0121">
            <w:pPr>
              <w:pStyle w:val="Marginlie"/>
              <w:spacing w:after="120"/>
              <w:rPr>
                <w:color w:val="0D0D0D" w:themeColor="text1" w:themeTint="F2"/>
                <w:spacing w:val="-4"/>
              </w:rPr>
            </w:pPr>
            <w:r>
              <w:rPr>
                <w:color w:val="0D0D0D" w:themeColor="text1" w:themeTint="F2"/>
                <w:spacing w:val="-4"/>
              </w:rPr>
              <w:t>Proti rychlejšímu růstu odpracovaných hodin ve službách působilo častější využívání zkrácených pracovních úvazků.</w:t>
            </w:r>
          </w:p>
        </w:tc>
        <w:tc>
          <w:tcPr>
            <w:tcW w:w="220" w:type="dxa"/>
            <w:shd w:val="clear" w:color="auto" w:fill="auto"/>
            <w:tcMar>
              <w:left w:w="0" w:type="dxa"/>
            </w:tcMar>
          </w:tcPr>
          <w:p w14:paraId="0047B71F" w14:textId="77777777" w:rsidR="006A3CAF" w:rsidRPr="009F0D7F" w:rsidRDefault="006A3CAF" w:rsidP="00DA0121">
            <w:pPr>
              <w:pStyle w:val="Textpoznpodarou"/>
              <w:spacing w:after="120"/>
              <w:jc w:val="both"/>
              <w:rPr>
                <w:color w:val="0D0D0D" w:themeColor="text1" w:themeTint="F2"/>
                <w:spacing w:val="-4"/>
              </w:rPr>
            </w:pPr>
          </w:p>
        </w:tc>
        <w:tc>
          <w:tcPr>
            <w:tcW w:w="7700" w:type="dxa"/>
            <w:shd w:val="clear" w:color="auto" w:fill="auto"/>
            <w:tcMar>
              <w:left w:w="0" w:type="dxa"/>
            </w:tcMar>
          </w:tcPr>
          <w:p w14:paraId="5A48CA98" w14:textId="37729EBC" w:rsidR="006A3CAF" w:rsidRDefault="006A3CAF" w:rsidP="00FA2C07">
            <w:pPr>
              <w:rPr>
                <w:color w:val="0D0D0D" w:themeColor="text1" w:themeTint="F2"/>
                <w:spacing w:val="-4"/>
              </w:rPr>
            </w:pPr>
            <w:r>
              <w:rPr>
                <w:color w:val="0D0D0D" w:themeColor="text1" w:themeTint="F2"/>
                <w:spacing w:val="-4"/>
              </w:rPr>
              <w:t>Celkový počet odpracovaných hodin v ekonomice se v 2. čtvrtletí meziročně zvýšil o 0,9 % a podobně jako na počátku letošního roku rostl srovnatelně jako celková zaměstnanost (po celý loňský rok přitom odpracovaná doba tempo růstu zaměstnanosti</w:t>
            </w:r>
            <w:r w:rsidR="00FA2C07">
              <w:rPr>
                <w:color w:val="0D0D0D" w:themeColor="text1" w:themeTint="F2"/>
                <w:spacing w:val="-4"/>
              </w:rPr>
              <w:t xml:space="preserve"> výrazně předbíhala</w:t>
            </w:r>
            <w:r>
              <w:rPr>
                <w:color w:val="0D0D0D" w:themeColor="text1" w:themeTint="F2"/>
                <w:spacing w:val="-4"/>
              </w:rPr>
              <w:t>). Proti svižnějšímu růstu odpracované doby letos působilo rozšiřování zkrácených pracovních úvazků (související s rostoucí zaměstnaností žen podpořenou uprchlickou vlnou i nově zavedeným daňovým zvýhodněním zkrácených úvazků). Růst odpracované doby významněji předbíhal dynamiku zaměstnanosti pouze v průmyslu.</w:t>
            </w:r>
          </w:p>
        </w:tc>
      </w:tr>
      <w:tr w:rsidR="006A3CAF" w:rsidRPr="009F0D7F" w14:paraId="4E3D0B52" w14:textId="77777777" w:rsidTr="00DA0121">
        <w:trPr>
          <w:trHeight w:val="155"/>
        </w:trPr>
        <w:tc>
          <w:tcPr>
            <w:tcW w:w="1754" w:type="dxa"/>
            <w:shd w:val="clear" w:color="auto" w:fill="auto"/>
            <w:tcMar>
              <w:left w:w="0" w:type="dxa"/>
            </w:tcMar>
          </w:tcPr>
          <w:p w14:paraId="1AC9ECFF" w14:textId="77777777" w:rsidR="006A3CAF" w:rsidRDefault="006A3CAF" w:rsidP="00DA0121">
            <w:pPr>
              <w:pStyle w:val="Marginlie"/>
              <w:spacing w:after="120"/>
              <w:rPr>
                <w:color w:val="0D0D0D" w:themeColor="text1" w:themeTint="F2"/>
                <w:spacing w:val="-4"/>
              </w:rPr>
            </w:pPr>
            <w:r>
              <w:rPr>
                <w:color w:val="0D0D0D" w:themeColor="text1" w:themeTint="F2"/>
                <w:spacing w:val="-4"/>
              </w:rPr>
              <w:t>Počet cizinců v zaměstnaneckém postavení v ČR překročil 800 tis. Jeho růst byl tradičně tažen občany Ukrajiny.</w:t>
            </w:r>
          </w:p>
        </w:tc>
        <w:tc>
          <w:tcPr>
            <w:tcW w:w="220" w:type="dxa"/>
            <w:shd w:val="clear" w:color="auto" w:fill="auto"/>
            <w:tcMar>
              <w:left w:w="0" w:type="dxa"/>
            </w:tcMar>
          </w:tcPr>
          <w:p w14:paraId="4F95B4B9" w14:textId="77777777" w:rsidR="006A3CAF" w:rsidRPr="009F0D7F" w:rsidRDefault="006A3CAF" w:rsidP="00DA0121">
            <w:pPr>
              <w:pStyle w:val="Textpoznpodarou"/>
              <w:spacing w:after="120"/>
              <w:jc w:val="both"/>
              <w:rPr>
                <w:color w:val="0D0D0D" w:themeColor="text1" w:themeTint="F2"/>
                <w:spacing w:val="-4"/>
              </w:rPr>
            </w:pPr>
          </w:p>
        </w:tc>
        <w:tc>
          <w:tcPr>
            <w:tcW w:w="7700" w:type="dxa"/>
            <w:shd w:val="clear" w:color="auto" w:fill="auto"/>
            <w:tcMar>
              <w:left w:w="0" w:type="dxa"/>
            </w:tcMar>
          </w:tcPr>
          <w:p w14:paraId="3D42FEFD" w14:textId="77777777" w:rsidR="006A3CAF" w:rsidRPr="00FE39EE" w:rsidRDefault="006A3CAF" w:rsidP="00DA0121">
            <w:pPr>
              <w:rPr>
                <w:color w:val="0D0D0D" w:themeColor="text1" w:themeTint="F2"/>
                <w:spacing w:val="-4"/>
              </w:rPr>
            </w:pPr>
            <w:r w:rsidRPr="00031007">
              <w:rPr>
                <w:color w:val="0D0D0D" w:themeColor="text1" w:themeTint="F2"/>
                <w:spacing w:val="-6"/>
              </w:rPr>
              <w:t>Vzhledem k</w:t>
            </w:r>
            <w:r>
              <w:rPr>
                <w:color w:val="0D0D0D" w:themeColor="text1" w:themeTint="F2"/>
                <w:spacing w:val="-6"/>
              </w:rPr>
              <w:t xml:space="preserve"> dlouhodobě </w:t>
            </w:r>
            <w:r w:rsidRPr="00031007">
              <w:rPr>
                <w:color w:val="0D0D0D" w:themeColor="text1" w:themeTint="F2"/>
                <w:spacing w:val="-6"/>
              </w:rPr>
              <w:t>značně omezenému rezervoáru volných pracovních sil v Česku i</w:t>
            </w:r>
            <w:r>
              <w:rPr>
                <w:color w:val="0D0D0D" w:themeColor="text1" w:themeTint="F2"/>
                <w:spacing w:val="-6"/>
              </w:rPr>
              <w:t> </w:t>
            </w:r>
            <w:r w:rsidRPr="00031007">
              <w:rPr>
                <w:color w:val="0D0D0D" w:themeColor="text1" w:themeTint="F2"/>
                <w:spacing w:val="-6"/>
              </w:rPr>
              <w:t xml:space="preserve">silnému tlaku na </w:t>
            </w:r>
            <w:r w:rsidRPr="00EC70E1">
              <w:rPr>
                <w:color w:val="0D0D0D" w:themeColor="text1" w:themeTint="F2"/>
                <w:spacing w:val="-6"/>
              </w:rPr>
              <w:t xml:space="preserve">optimalizaci výrobních nákladů </w:t>
            </w:r>
            <w:r>
              <w:rPr>
                <w:color w:val="0D0D0D" w:themeColor="text1" w:themeTint="F2"/>
                <w:spacing w:val="-6"/>
              </w:rPr>
              <w:t xml:space="preserve">poptávali </w:t>
            </w:r>
            <w:r w:rsidRPr="00EC70E1">
              <w:rPr>
                <w:color w:val="0D0D0D" w:themeColor="text1" w:themeTint="F2"/>
                <w:spacing w:val="-6"/>
              </w:rPr>
              <w:t xml:space="preserve">tuzemští zaměstnavatelé </w:t>
            </w:r>
            <w:r>
              <w:rPr>
                <w:color w:val="0D0D0D" w:themeColor="text1" w:themeTint="F2"/>
                <w:spacing w:val="-6"/>
              </w:rPr>
              <w:t>nadále</w:t>
            </w:r>
            <w:r w:rsidRPr="00EC70E1">
              <w:rPr>
                <w:color w:val="0D0D0D" w:themeColor="text1" w:themeTint="F2"/>
                <w:spacing w:val="-6"/>
              </w:rPr>
              <w:t xml:space="preserve"> </w:t>
            </w:r>
            <w:r>
              <w:rPr>
                <w:color w:val="0D0D0D" w:themeColor="text1" w:themeTint="F2"/>
                <w:spacing w:val="-6"/>
              </w:rPr>
              <w:t xml:space="preserve">intenzivně </w:t>
            </w:r>
            <w:r w:rsidRPr="00EC70E1">
              <w:rPr>
                <w:color w:val="0D0D0D" w:themeColor="text1" w:themeTint="F2"/>
                <w:spacing w:val="-6"/>
              </w:rPr>
              <w:t>nové pracovníky ze zahraničí.</w:t>
            </w:r>
            <w:r>
              <w:rPr>
                <w:color w:val="0D0D0D" w:themeColor="text1" w:themeTint="F2"/>
                <w:spacing w:val="-6"/>
              </w:rPr>
              <w:t xml:space="preserve"> Snadnějšímu zaměstnávání cizinců pomáhají legislativní změny snižující administrativní náročnost v této oblasti. Po dočasném zpomalení přílivu zahraničních pracovníků do ČR na počátku letošního roku došlo ve 2. čtvrtletí opět k výraznějšímu nárůstu registrací. </w:t>
            </w:r>
            <w:r>
              <w:t>Letos na konci července pracovalo (</w:t>
            </w:r>
            <w:r w:rsidRPr="00031007">
              <w:rPr>
                <w:color w:val="0D0D0D" w:themeColor="text1" w:themeTint="F2"/>
                <w:spacing w:val="-6"/>
              </w:rPr>
              <w:t xml:space="preserve">dle evidence úřadů práce) </w:t>
            </w:r>
            <w:r>
              <w:t>v zaměstnaneckém postavení v ČR rekordních 803 tis. cizinců, oproti lednu 2022 o 105 tis. více (u Ukrajinců došlo k nárůstu ze 198 tis. na 273 tis., téměř z 80 % taženého ženami</w:t>
            </w:r>
            <w:r>
              <w:rPr>
                <w:rStyle w:val="Znakapoznpodarou"/>
              </w:rPr>
              <w:footnoteReference w:id="61"/>
            </w:r>
            <w:r>
              <w:t>). Přírůstek ostatních skupin cizinců byl za stejné období řádově menší</w:t>
            </w:r>
            <w:r>
              <w:rPr>
                <w:rStyle w:val="Znakapoznpodarou"/>
              </w:rPr>
              <w:footnoteReference w:id="62"/>
            </w:r>
            <w:r>
              <w:t xml:space="preserve">. </w:t>
            </w:r>
          </w:p>
        </w:tc>
      </w:tr>
      <w:tr w:rsidR="006A3CAF" w:rsidRPr="009F2A8A" w14:paraId="32472F33" w14:textId="77777777" w:rsidTr="00DA0121">
        <w:trPr>
          <w:trHeight w:val="155"/>
        </w:trPr>
        <w:tc>
          <w:tcPr>
            <w:tcW w:w="1754" w:type="dxa"/>
            <w:vMerge w:val="restart"/>
            <w:shd w:val="clear" w:color="auto" w:fill="auto"/>
            <w:tcMar>
              <w:left w:w="0" w:type="dxa"/>
            </w:tcMar>
          </w:tcPr>
          <w:p w14:paraId="16E839B5" w14:textId="77777777" w:rsidR="006A3CAF" w:rsidRPr="00B43216" w:rsidRDefault="006A3CAF" w:rsidP="00DA0121">
            <w:pPr>
              <w:pStyle w:val="Marginlie"/>
              <w:spacing w:after="120"/>
              <w:rPr>
                <w:spacing w:val="-4"/>
              </w:rPr>
            </w:pPr>
          </w:p>
        </w:tc>
        <w:tc>
          <w:tcPr>
            <w:tcW w:w="220" w:type="dxa"/>
            <w:vMerge w:val="restart"/>
            <w:shd w:val="clear" w:color="auto" w:fill="auto"/>
            <w:tcMar>
              <w:left w:w="0" w:type="dxa"/>
            </w:tcMar>
          </w:tcPr>
          <w:p w14:paraId="65FAA453" w14:textId="77777777" w:rsidR="006A3CAF" w:rsidRPr="00B43216" w:rsidRDefault="006A3CAF" w:rsidP="00DA0121">
            <w:pPr>
              <w:pStyle w:val="Textpoznpodarou"/>
              <w:spacing w:after="120"/>
              <w:jc w:val="both"/>
              <w:rPr>
                <w:spacing w:val="-4"/>
              </w:rPr>
            </w:pPr>
          </w:p>
        </w:tc>
        <w:tc>
          <w:tcPr>
            <w:tcW w:w="7700" w:type="dxa"/>
            <w:shd w:val="clear" w:color="auto" w:fill="auto"/>
            <w:tcMar>
              <w:left w:w="0" w:type="dxa"/>
            </w:tcMar>
          </w:tcPr>
          <w:p w14:paraId="5B7F009B" w14:textId="77777777" w:rsidR="006A3CAF" w:rsidRPr="00CA5850" w:rsidRDefault="006A3CAF" w:rsidP="00DA0121">
            <w:pPr>
              <w:spacing w:after="0"/>
              <w:rPr>
                <w:spacing w:val="-2"/>
              </w:rPr>
            </w:pPr>
            <w:r>
              <w:rPr>
                <w:rFonts w:cs="Arial"/>
                <w:b/>
                <w:bCs/>
                <w:color w:val="000000"/>
                <w:szCs w:val="20"/>
              </w:rPr>
              <w:t>Graf č. 13</w:t>
            </w:r>
            <w:r w:rsidRPr="0068569E">
              <w:rPr>
                <w:rFonts w:cs="Arial"/>
                <w:b/>
                <w:bCs/>
                <w:color w:val="000000"/>
                <w:sz w:val="18"/>
                <w:szCs w:val="18"/>
              </w:rPr>
              <w:t xml:space="preserve"> </w:t>
            </w:r>
            <w:r w:rsidRPr="0068569E">
              <w:rPr>
                <w:b/>
                <w:bCs/>
                <w:lang w:eastAsia="en-US"/>
              </w:rPr>
              <w:t xml:space="preserve">Celková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tc>
      </w:tr>
      <w:tr w:rsidR="006A3CAF" w:rsidRPr="00B43216" w14:paraId="460C7FAC" w14:textId="77777777" w:rsidTr="00DA0121">
        <w:tblPrEx>
          <w:tblCellMar>
            <w:left w:w="70" w:type="dxa"/>
            <w:right w:w="70" w:type="dxa"/>
          </w:tblCellMar>
        </w:tblPrEx>
        <w:trPr>
          <w:trHeight w:val="155"/>
        </w:trPr>
        <w:tc>
          <w:tcPr>
            <w:tcW w:w="1754" w:type="dxa"/>
            <w:vMerge/>
            <w:shd w:val="clear" w:color="auto" w:fill="auto"/>
          </w:tcPr>
          <w:p w14:paraId="6FEA78CA" w14:textId="77777777" w:rsidR="006A3CAF" w:rsidRPr="00B43216" w:rsidRDefault="006A3CAF" w:rsidP="00DA0121">
            <w:pPr>
              <w:pStyle w:val="Marginlie"/>
              <w:spacing w:after="120"/>
              <w:rPr>
                <w:spacing w:val="-4"/>
              </w:rPr>
            </w:pPr>
          </w:p>
        </w:tc>
        <w:tc>
          <w:tcPr>
            <w:tcW w:w="220" w:type="dxa"/>
            <w:vMerge/>
            <w:shd w:val="clear" w:color="auto" w:fill="auto"/>
          </w:tcPr>
          <w:p w14:paraId="1128BF3E" w14:textId="77777777" w:rsidR="006A3CAF" w:rsidRPr="00B43216" w:rsidRDefault="006A3CAF" w:rsidP="00DA0121">
            <w:pPr>
              <w:pStyle w:val="Textpoznpodarou"/>
              <w:spacing w:after="120"/>
              <w:jc w:val="both"/>
              <w:rPr>
                <w:spacing w:val="-4"/>
              </w:rPr>
            </w:pPr>
          </w:p>
        </w:tc>
        <w:tc>
          <w:tcPr>
            <w:tcW w:w="7700" w:type="dxa"/>
            <w:shd w:val="clear" w:color="auto" w:fill="auto"/>
          </w:tcPr>
          <w:p w14:paraId="633D69B0" w14:textId="77777777" w:rsidR="006A3CAF" w:rsidRPr="00B43216" w:rsidRDefault="006A3CAF" w:rsidP="00DA0121">
            <w:pPr>
              <w:spacing w:after="0"/>
              <w:rPr>
                <w:spacing w:val="-4"/>
              </w:rPr>
            </w:pPr>
            <w:r>
              <w:rPr>
                <w:noProof/>
              </w:rPr>
              <w:drawing>
                <wp:inline distT="0" distB="0" distL="0" distR="0" wp14:anchorId="225AF890" wp14:editId="16FE737F">
                  <wp:extent cx="4705348" cy="3812048"/>
                  <wp:effectExtent l="0" t="0" r="63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A3CAF" w:rsidRPr="00485ED5" w14:paraId="72083D39" w14:textId="77777777" w:rsidTr="00DA0121">
        <w:trPr>
          <w:trHeight w:val="671"/>
        </w:trPr>
        <w:tc>
          <w:tcPr>
            <w:tcW w:w="1754" w:type="dxa"/>
            <w:vMerge/>
            <w:shd w:val="clear" w:color="auto" w:fill="auto"/>
            <w:tcMar>
              <w:left w:w="0" w:type="dxa"/>
            </w:tcMar>
          </w:tcPr>
          <w:p w14:paraId="688AB130" w14:textId="77777777" w:rsidR="006A3CAF" w:rsidRPr="00B43216" w:rsidRDefault="006A3CAF" w:rsidP="00DA0121">
            <w:pPr>
              <w:pStyle w:val="Marginlie"/>
              <w:spacing w:after="120"/>
              <w:rPr>
                <w:spacing w:val="-4"/>
              </w:rPr>
            </w:pPr>
          </w:p>
        </w:tc>
        <w:tc>
          <w:tcPr>
            <w:tcW w:w="220" w:type="dxa"/>
            <w:vMerge/>
            <w:shd w:val="clear" w:color="auto" w:fill="auto"/>
            <w:tcMar>
              <w:left w:w="0" w:type="dxa"/>
            </w:tcMar>
          </w:tcPr>
          <w:p w14:paraId="2BBC781F" w14:textId="77777777" w:rsidR="006A3CAF" w:rsidRPr="00B43216" w:rsidRDefault="006A3CAF" w:rsidP="00DA0121">
            <w:pPr>
              <w:pStyle w:val="Textpoznpodarou"/>
              <w:spacing w:after="120"/>
              <w:jc w:val="both"/>
              <w:rPr>
                <w:spacing w:val="-4"/>
              </w:rPr>
            </w:pPr>
          </w:p>
        </w:tc>
        <w:tc>
          <w:tcPr>
            <w:tcW w:w="7700" w:type="dxa"/>
            <w:shd w:val="clear" w:color="auto" w:fill="auto"/>
            <w:tcMar>
              <w:left w:w="0" w:type="dxa"/>
            </w:tcMar>
          </w:tcPr>
          <w:p w14:paraId="78591680" w14:textId="77777777" w:rsidR="006A3CAF" w:rsidRDefault="006A3CAF" w:rsidP="00DA0121">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0CC11328" w14:textId="77777777" w:rsidR="006A3CAF" w:rsidRDefault="006A3CAF" w:rsidP="00DA0121">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versus pokles zaměstnanosti v nejbližších třech měsících. Údaje jsou sezónně očištěny a vztahují se k druhému měsíci daného čtvrtletí.</w:t>
            </w:r>
          </w:p>
          <w:p w14:paraId="6608934F" w14:textId="77777777" w:rsidR="006A3CAF" w:rsidRPr="00485ED5" w:rsidRDefault="006A3CAF" w:rsidP="00DA0121">
            <w:pPr>
              <w:spacing w:after="200" w:line="240" w:lineRule="auto"/>
              <w:rPr>
                <w:rFonts w:cs="Arial"/>
                <w:color w:val="0D0D0D" w:themeColor="text1" w:themeTint="F2"/>
                <w:spacing w:val="-2"/>
                <w:sz w:val="14"/>
                <w:szCs w:val="14"/>
              </w:rPr>
            </w:pPr>
            <w:r>
              <w:rPr>
                <w:rFonts w:cs="Arial"/>
                <w:sz w:val="14"/>
                <w:szCs w:val="14"/>
              </w:rPr>
              <w:t>Zdroj: ČSÚ (národní účty), Eurostat (konjunkturální průzkumy).</w:t>
            </w:r>
          </w:p>
        </w:tc>
      </w:tr>
      <w:tr w:rsidR="006A3CAF" w:rsidRPr="00D82DBD" w14:paraId="2E28DDE8" w14:textId="77777777" w:rsidTr="00DA0121">
        <w:trPr>
          <w:trHeight w:val="145"/>
        </w:trPr>
        <w:tc>
          <w:tcPr>
            <w:tcW w:w="1754" w:type="dxa"/>
            <w:shd w:val="clear" w:color="auto" w:fill="auto"/>
            <w:tcMar>
              <w:left w:w="0" w:type="dxa"/>
            </w:tcMar>
          </w:tcPr>
          <w:p w14:paraId="4121B9C1" w14:textId="77777777" w:rsidR="006A3CAF" w:rsidRDefault="006A3CAF" w:rsidP="00DA0121">
            <w:pPr>
              <w:pStyle w:val="Marginlie"/>
              <w:rPr>
                <w:color w:val="0D0D0D" w:themeColor="text1" w:themeTint="F2"/>
                <w:spacing w:val="-4"/>
              </w:rPr>
            </w:pPr>
            <w:r>
              <w:rPr>
                <w:color w:val="0D0D0D" w:themeColor="text1" w:themeTint="F2"/>
                <w:spacing w:val="-4"/>
              </w:rPr>
              <w:t xml:space="preserve">Očekávání podniků v oblasti zaměstnanosti se v 1. pololetí zhoršovalo. Mírný optimismus si stále udržovali obchodníci. </w:t>
            </w:r>
          </w:p>
          <w:p w14:paraId="45DFF94E" w14:textId="77777777" w:rsidR="006A3CAF" w:rsidRDefault="006A3CAF" w:rsidP="00DA0121">
            <w:pPr>
              <w:pStyle w:val="Marginlie"/>
              <w:rPr>
                <w:color w:val="0D0D0D" w:themeColor="text1" w:themeTint="F2"/>
                <w:spacing w:val="-5"/>
              </w:rPr>
            </w:pPr>
          </w:p>
        </w:tc>
        <w:tc>
          <w:tcPr>
            <w:tcW w:w="220" w:type="dxa"/>
            <w:shd w:val="clear" w:color="auto" w:fill="auto"/>
            <w:tcMar>
              <w:left w:w="0" w:type="dxa"/>
            </w:tcMar>
          </w:tcPr>
          <w:p w14:paraId="3C6BF728" w14:textId="77777777" w:rsidR="006A3CAF" w:rsidRPr="00EC1398" w:rsidRDefault="006A3CAF" w:rsidP="00DA0121">
            <w:pPr>
              <w:pStyle w:val="Textpoznpodarou"/>
              <w:spacing w:after="120"/>
              <w:jc w:val="both"/>
              <w:rPr>
                <w:color w:val="0D0D0D" w:themeColor="text1" w:themeTint="F2"/>
                <w:spacing w:val="-4"/>
              </w:rPr>
            </w:pPr>
          </w:p>
        </w:tc>
        <w:tc>
          <w:tcPr>
            <w:tcW w:w="7700" w:type="dxa"/>
            <w:shd w:val="clear" w:color="auto" w:fill="auto"/>
            <w:tcMar>
              <w:left w:w="0" w:type="dxa"/>
            </w:tcMar>
          </w:tcPr>
          <w:p w14:paraId="14F5A0DC" w14:textId="77777777" w:rsidR="006A3CAF" w:rsidRPr="00514822" w:rsidRDefault="006A3CAF" w:rsidP="00DA0121">
            <w:pPr>
              <w:spacing w:after="200"/>
              <w:rPr>
                <w:color w:val="0D0D0D" w:themeColor="text1" w:themeTint="F2"/>
                <w:spacing w:val="-4"/>
              </w:rPr>
            </w:pPr>
            <w:r w:rsidRPr="00637595">
              <w:rPr>
                <w:color w:val="0D0D0D" w:themeColor="text1" w:themeTint="F2"/>
                <w:spacing w:val="-4"/>
              </w:rPr>
              <w:t>Krátkodobá očekávání podniků v </w:t>
            </w:r>
            <w:r w:rsidRPr="00A60C4D">
              <w:rPr>
                <w:color w:val="0D0D0D" w:themeColor="text1" w:themeTint="F2"/>
                <w:spacing w:val="-4"/>
              </w:rPr>
              <w:t>celé ekonomice v oblasti zaměstnanosti</w:t>
            </w:r>
            <w:r>
              <w:rPr>
                <w:color w:val="0D0D0D" w:themeColor="text1" w:themeTint="F2"/>
                <w:spacing w:val="-4"/>
              </w:rPr>
              <w:t xml:space="preserve"> se v 1. pololetí 2023 dále oslabovala a v květnu dosáhla nejnižší úrovně od vrcholu pandemie (března 2021). Během letošních letních měsíců se však objevují náznaky stabilizace, neboť pesimismus podnikatelů v této oblasti se v žádném z hlavních odvětví již neprohluboval. Dle údajů ze srpna 2023 plánovalo v nejbližších třech měsících snižovat počty zaměstnanců 12 % podniků v průmyslu, 18 % ve stavebnictví a 25 % ve službách, ale pouze 6 % v obchodu (kde si podniky udržují pozitivní výhled i přes klesající spotřebu domácností). Situace na úrovni dílčích odvětví v rámci průmyslu i služeb se </w:t>
            </w:r>
            <w:r w:rsidRPr="007B5F31">
              <w:rPr>
                <w:color w:val="0D0D0D" w:themeColor="text1" w:themeTint="F2"/>
                <w:spacing w:val="-4"/>
              </w:rPr>
              <w:t>odlišovala</w:t>
            </w:r>
            <w:r w:rsidRPr="007B5F31">
              <w:rPr>
                <w:rStyle w:val="Znakapoznpodarou"/>
                <w:color w:val="0D0D0D" w:themeColor="text1" w:themeTint="F2"/>
                <w:spacing w:val="-4"/>
              </w:rPr>
              <w:footnoteReference w:id="63"/>
            </w:r>
            <w:r w:rsidRPr="007B5F31">
              <w:rPr>
                <w:color w:val="0D0D0D" w:themeColor="text1" w:themeTint="F2"/>
                <w:spacing w:val="-4"/>
              </w:rPr>
              <w:t xml:space="preserve">. Vlivem </w:t>
            </w:r>
            <w:r>
              <w:rPr>
                <w:color w:val="0D0D0D" w:themeColor="text1" w:themeTint="F2"/>
                <w:spacing w:val="-4"/>
              </w:rPr>
              <w:t>zhoršení</w:t>
            </w:r>
            <w:r w:rsidRPr="00A60C4D">
              <w:rPr>
                <w:color w:val="0D0D0D" w:themeColor="text1" w:themeTint="F2"/>
                <w:spacing w:val="-4"/>
              </w:rPr>
              <w:t xml:space="preserve"> celkových ekonomických výhledů</w:t>
            </w:r>
            <w:r>
              <w:rPr>
                <w:color w:val="0D0D0D" w:themeColor="text1" w:themeTint="F2"/>
                <w:spacing w:val="-4"/>
              </w:rPr>
              <w:t xml:space="preserve"> i silného přílivu osob z Ukrajiny na tuzemský pracovní trh klesal ve většině</w:t>
            </w:r>
            <w:r w:rsidRPr="00A60C4D">
              <w:rPr>
                <w:color w:val="0D0D0D" w:themeColor="text1" w:themeTint="F2"/>
                <w:spacing w:val="-4"/>
              </w:rPr>
              <w:t xml:space="preserve"> </w:t>
            </w:r>
            <w:r>
              <w:rPr>
                <w:color w:val="0D0D0D" w:themeColor="text1" w:themeTint="F2"/>
                <w:spacing w:val="-4"/>
              </w:rPr>
              <w:t>hlavních odvětví</w:t>
            </w:r>
            <w:r w:rsidRPr="00A60C4D">
              <w:rPr>
                <w:color w:val="0D0D0D" w:themeColor="text1" w:themeTint="F2"/>
                <w:spacing w:val="-4"/>
              </w:rPr>
              <w:t xml:space="preserve"> </w:t>
            </w:r>
            <w:r>
              <w:rPr>
                <w:color w:val="0D0D0D" w:themeColor="text1" w:themeTint="F2"/>
                <w:spacing w:val="-4"/>
              </w:rPr>
              <w:t>podíl</w:t>
            </w:r>
            <w:r w:rsidRPr="00A60C4D">
              <w:rPr>
                <w:color w:val="0D0D0D" w:themeColor="text1" w:themeTint="F2"/>
                <w:spacing w:val="-4"/>
              </w:rPr>
              <w:t xml:space="preserve"> podniků, pro něž představuje nedostatek pracovní síly jednu z </w:t>
            </w:r>
            <w:r>
              <w:rPr>
                <w:color w:val="0D0D0D" w:themeColor="text1" w:themeTint="F2"/>
                <w:spacing w:val="-4"/>
              </w:rPr>
              <w:t>významných růstových bariér – nejvíce patrné to bylo ve stavebnictví (kde letos v sr</w:t>
            </w:r>
            <w:r w:rsidRPr="00C61DFC">
              <w:rPr>
                <w:color w:val="0D0D0D" w:themeColor="text1" w:themeTint="F2"/>
                <w:spacing w:val="-4"/>
              </w:rPr>
              <w:t>pnu po více než dvou letech již problém s lidskými zdroji nepředstavoval hlavní bariéru).</w:t>
            </w:r>
          </w:p>
        </w:tc>
      </w:tr>
      <w:tr w:rsidR="006A3CAF" w:rsidRPr="00D82DBD" w14:paraId="574E8143" w14:textId="77777777" w:rsidTr="00DA0121">
        <w:trPr>
          <w:trHeight w:val="145"/>
        </w:trPr>
        <w:tc>
          <w:tcPr>
            <w:tcW w:w="1754" w:type="dxa"/>
            <w:shd w:val="clear" w:color="auto" w:fill="auto"/>
            <w:tcMar>
              <w:left w:w="0" w:type="dxa"/>
            </w:tcMar>
          </w:tcPr>
          <w:p w14:paraId="70D5D9C8" w14:textId="77777777" w:rsidR="006A3CAF" w:rsidRDefault="006A3CAF" w:rsidP="00DA0121">
            <w:pPr>
              <w:pStyle w:val="Marginlie"/>
              <w:rPr>
                <w:color w:val="0D0D0D" w:themeColor="text1" w:themeTint="F2"/>
                <w:spacing w:val="-4"/>
              </w:rPr>
            </w:pPr>
            <w:r>
              <w:rPr>
                <w:color w:val="0D0D0D" w:themeColor="text1" w:themeTint="F2"/>
                <w:spacing w:val="-4"/>
              </w:rPr>
              <w:t>Obecná míra nezaměstnanosti i počet dlouhodobě nezaměstnaných se zvýšily jen mírně. Výraznější pohyb nastal u</w:t>
            </w:r>
            <w:r>
              <w:rPr>
                <w:spacing w:val="-4"/>
              </w:rPr>
              <w:t> </w:t>
            </w:r>
            <w:r>
              <w:rPr>
                <w:color w:val="0D0D0D" w:themeColor="text1" w:themeTint="F2"/>
                <w:spacing w:val="-4"/>
              </w:rPr>
              <w:t>pracovní rezervy, její velikost je ovšem stále nízká.</w:t>
            </w:r>
          </w:p>
          <w:p w14:paraId="5710B8F4" w14:textId="77777777" w:rsidR="006A3CAF" w:rsidRDefault="006A3CAF" w:rsidP="00DA0121">
            <w:pPr>
              <w:pStyle w:val="Marginlie"/>
              <w:rPr>
                <w:color w:val="0D0D0D" w:themeColor="text1" w:themeTint="F2"/>
                <w:spacing w:val="-4"/>
              </w:rPr>
            </w:pPr>
          </w:p>
          <w:p w14:paraId="379446AD" w14:textId="77777777" w:rsidR="006A3CAF" w:rsidRDefault="006A3CAF" w:rsidP="00DA0121">
            <w:pPr>
              <w:pStyle w:val="Marginlie"/>
              <w:rPr>
                <w:color w:val="0D0D0D" w:themeColor="text1" w:themeTint="F2"/>
                <w:spacing w:val="-4"/>
              </w:rPr>
            </w:pPr>
          </w:p>
          <w:p w14:paraId="4E68331D" w14:textId="77777777" w:rsidR="006A3CAF" w:rsidRDefault="006A3CAF" w:rsidP="00DA0121">
            <w:pPr>
              <w:pStyle w:val="Marginlie"/>
              <w:rPr>
                <w:color w:val="0D0D0D" w:themeColor="text1" w:themeTint="F2"/>
                <w:spacing w:val="-4"/>
              </w:rPr>
            </w:pPr>
          </w:p>
          <w:p w14:paraId="0E7DB854" w14:textId="77777777" w:rsidR="006A3CAF" w:rsidRDefault="006A3CAF" w:rsidP="00DA0121">
            <w:pPr>
              <w:pStyle w:val="Marginlie"/>
              <w:rPr>
                <w:color w:val="0D0D0D" w:themeColor="text1" w:themeTint="F2"/>
                <w:spacing w:val="-4"/>
              </w:rPr>
            </w:pPr>
          </w:p>
          <w:p w14:paraId="08152B5C" w14:textId="77777777" w:rsidR="006A3CAF" w:rsidRDefault="006A3CAF" w:rsidP="00DA0121">
            <w:pPr>
              <w:pStyle w:val="Marginlie"/>
              <w:rPr>
                <w:color w:val="0D0D0D" w:themeColor="text1" w:themeTint="F2"/>
                <w:spacing w:val="-4"/>
              </w:rPr>
            </w:pPr>
          </w:p>
          <w:p w14:paraId="2F2D2EC8" w14:textId="77777777" w:rsidR="006A3CAF" w:rsidRDefault="006A3CAF" w:rsidP="00DA0121">
            <w:pPr>
              <w:pStyle w:val="Marginlie"/>
              <w:rPr>
                <w:color w:val="0D0D0D" w:themeColor="text1" w:themeTint="F2"/>
                <w:spacing w:val="-4"/>
              </w:rPr>
            </w:pPr>
          </w:p>
          <w:p w14:paraId="736877A2" w14:textId="77777777" w:rsidR="006A3CAF" w:rsidRDefault="006A3CAF" w:rsidP="00DA0121">
            <w:pPr>
              <w:pStyle w:val="Marginlie"/>
              <w:rPr>
                <w:color w:val="0D0D0D" w:themeColor="text1" w:themeTint="F2"/>
                <w:spacing w:val="-4"/>
              </w:rPr>
            </w:pPr>
          </w:p>
          <w:p w14:paraId="09C27EE9" w14:textId="77777777" w:rsidR="006A3CAF" w:rsidRDefault="006A3CAF" w:rsidP="00DA0121">
            <w:pPr>
              <w:pStyle w:val="Marginlie"/>
              <w:rPr>
                <w:color w:val="0D0D0D" w:themeColor="text1" w:themeTint="F2"/>
                <w:spacing w:val="-4"/>
              </w:rPr>
            </w:pPr>
          </w:p>
          <w:p w14:paraId="058B6A45" w14:textId="77777777" w:rsidR="006A3CAF" w:rsidRDefault="006A3CAF" w:rsidP="00DA0121">
            <w:pPr>
              <w:pStyle w:val="Marginlie"/>
              <w:rPr>
                <w:color w:val="0D0D0D" w:themeColor="text1" w:themeTint="F2"/>
                <w:spacing w:val="-4"/>
              </w:rPr>
            </w:pPr>
            <w:r>
              <w:rPr>
                <w:color w:val="0D0D0D" w:themeColor="text1" w:themeTint="F2"/>
                <w:spacing w:val="-5"/>
              </w:rPr>
              <w:t>Obavy lidí z růstu nezaměstnanosti slábly, přesto zůstaly nad dlouhodobým průměrem.</w:t>
            </w:r>
          </w:p>
          <w:p w14:paraId="50788054" w14:textId="77777777" w:rsidR="006A3CAF" w:rsidRDefault="006A3CAF" w:rsidP="00DA0121">
            <w:pPr>
              <w:pStyle w:val="Marginlie"/>
              <w:rPr>
                <w:color w:val="0D0D0D" w:themeColor="text1" w:themeTint="F2"/>
                <w:spacing w:val="-5"/>
              </w:rPr>
            </w:pPr>
          </w:p>
        </w:tc>
        <w:tc>
          <w:tcPr>
            <w:tcW w:w="220" w:type="dxa"/>
            <w:shd w:val="clear" w:color="auto" w:fill="auto"/>
            <w:tcMar>
              <w:left w:w="0" w:type="dxa"/>
            </w:tcMar>
          </w:tcPr>
          <w:p w14:paraId="39DFF740" w14:textId="77777777" w:rsidR="006A3CAF" w:rsidRPr="00EC1398" w:rsidRDefault="006A3CAF" w:rsidP="00DA0121">
            <w:pPr>
              <w:pStyle w:val="Textpoznpodarou"/>
              <w:spacing w:after="120"/>
              <w:jc w:val="both"/>
              <w:rPr>
                <w:color w:val="0D0D0D" w:themeColor="text1" w:themeTint="F2"/>
                <w:spacing w:val="-4"/>
              </w:rPr>
            </w:pPr>
          </w:p>
        </w:tc>
        <w:tc>
          <w:tcPr>
            <w:tcW w:w="7700" w:type="dxa"/>
            <w:shd w:val="clear" w:color="auto" w:fill="auto"/>
            <w:tcMar>
              <w:left w:w="0" w:type="dxa"/>
            </w:tcMar>
          </w:tcPr>
          <w:p w14:paraId="601D18D5" w14:textId="57822624" w:rsidR="006A3CAF" w:rsidRPr="00C61DFC" w:rsidRDefault="006A3CAF" w:rsidP="00DA0121">
            <w:pPr>
              <w:spacing w:after="200"/>
              <w:rPr>
                <w:color w:val="0D0D0D" w:themeColor="text1" w:themeTint="F2"/>
                <w:spacing w:val="-4"/>
              </w:rPr>
            </w:pPr>
            <w:r w:rsidRPr="00572D70">
              <w:rPr>
                <w:color w:val="0D0D0D" w:themeColor="text1" w:themeTint="F2"/>
                <w:spacing w:val="-4"/>
              </w:rPr>
              <w:t>Obecná míra nezaměstnanosti</w:t>
            </w:r>
            <w:r w:rsidRPr="00572D70">
              <w:rPr>
                <w:rStyle w:val="Znakapoznpodarou"/>
                <w:color w:val="0D0D0D" w:themeColor="text1" w:themeTint="F2"/>
                <w:spacing w:val="-4"/>
              </w:rPr>
              <w:footnoteReference w:id="64"/>
            </w:r>
            <w:r w:rsidRPr="00572D70">
              <w:rPr>
                <w:color w:val="0D0D0D" w:themeColor="text1" w:themeTint="F2"/>
                <w:spacing w:val="-4"/>
              </w:rPr>
              <w:t xml:space="preserve">, jež po většinu </w:t>
            </w:r>
            <w:r>
              <w:rPr>
                <w:color w:val="0D0D0D" w:themeColor="text1" w:themeTint="F2"/>
                <w:spacing w:val="-4"/>
              </w:rPr>
              <w:t>loňského roku stagnovala blízko historického minima, se od počátku letošního roku začala lehce zvyšovat. V červenci tak bylo bez práce 2,3 % ekonomicky aktivních mužů (</w:t>
            </w:r>
            <w:r w:rsidRPr="00A812A7">
              <w:rPr>
                <w:color w:val="0D0D0D" w:themeColor="text1" w:themeTint="F2"/>
                <w:spacing w:val="-4"/>
              </w:rPr>
              <w:t>ve věku 15 až 64 let</w:t>
            </w:r>
            <w:r>
              <w:rPr>
                <w:color w:val="0D0D0D" w:themeColor="text1" w:themeTint="F2"/>
                <w:spacing w:val="-4"/>
              </w:rPr>
              <w:t>), resp. 3,4 % žen</w:t>
            </w:r>
            <w:r>
              <w:rPr>
                <w:rStyle w:val="Znakapoznpodarou"/>
                <w:color w:val="0D0D0D" w:themeColor="text1" w:themeTint="F2"/>
                <w:spacing w:val="-4"/>
              </w:rPr>
              <w:footnoteReference w:id="65"/>
            </w:r>
            <w:r>
              <w:rPr>
                <w:color w:val="0D0D0D" w:themeColor="text1" w:themeTint="F2"/>
                <w:spacing w:val="-4"/>
              </w:rPr>
              <w:t>. V obou případech bylo meziroční navýšení jen mírné (0,3 až 0,4 p</w:t>
            </w:r>
            <w:r w:rsidR="00DE6209">
              <w:rPr>
                <w:color w:val="0D0D0D" w:themeColor="text1" w:themeTint="F2"/>
                <w:spacing w:val="-4"/>
              </w:rPr>
              <w:t>.</w:t>
            </w:r>
            <w:r>
              <w:rPr>
                <w:color w:val="0D0D0D" w:themeColor="text1" w:themeTint="F2"/>
                <w:spacing w:val="-4"/>
              </w:rPr>
              <w:t xml:space="preserve"> b.) S tím korespondují také údaje o uchazečích o zaměstnání registrovaných na úřadech práce (ÚP), jejichž průběh odpovídal běžným sezónním vlivům</w:t>
            </w:r>
            <w:r>
              <w:rPr>
                <w:rStyle w:val="Znakapoznpodarou"/>
                <w:color w:val="0D0D0D" w:themeColor="text1" w:themeTint="F2"/>
                <w:spacing w:val="-4"/>
              </w:rPr>
              <w:footnoteReference w:id="66"/>
            </w:r>
            <w:r>
              <w:rPr>
                <w:color w:val="0D0D0D" w:themeColor="text1" w:themeTint="F2"/>
                <w:spacing w:val="-4"/>
              </w:rPr>
              <w:t xml:space="preserve">. </w:t>
            </w:r>
            <w:r w:rsidRPr="004B20D0">
              <w:rPr>
                <w:color w:val="0D0D0D" w:themeColor="text1" w:themeTint="F2"/>
                <w:spacing w:val="-4"/>
              </w:rPr>
              <w:t>Vý</w:t>
            </w:r>
            <w:r>
              <w:rPr>
                <w:color w:val="0D0D0D" w:themeColor="text1" w:themeTint="F2"/>
                <w:spacing w:val="-4"/>
              </w:rPr>
              <w:t xml:space="preserve">znamně nevzrostla ani dlouhodobá nezaměstnanost a lidé, kteří byli bez práce déle než jeden rok, stále tvořili jen mírně přes čtvrtinu všech nezaměstnaných. </w:t>
            </w:r>
            <w:r w:rsidRPr="004B20D0">
              <w:rPr>
                <w:color w:val="0D0D0D" w:themeColor="text1" w:themeTint="F2"/>
                <w:spacing w:val="-4"/>
              </w:rPr>
              <w:t>Druhý kvartál v řadě se však významněji navýšila</w:t>
            </w:r>
            <w:r>
              <w:rPr>
                <w:color w:val="0D0D0D" w:themeColor="text1" w:themeTint="F2"/>
                <w:spacing w:val="-4"/>
              </w:rPr>
              <w:t xml:space="preserve"> velikost potenciální pracovní</w:t>
            </w:r>
            <w:r w:rsidRPr="004B20D0">
              <w:rPr>
                <w:color w:val="0D0D0D" w:themeColor="text1" w:themeTint="F2"/>
                <w:spacing w:val="-4"/>
              </w:rPr>
              <w:t xml:space="preserve"> rezerv</w:t>
            </w:r>
            <w:r>
              <w:rPr>
                <w:color w:val="0D0D0D" w:themeColor="text1" w:themeTint="F2"/>
                <w:spacing w:val="-4"/>
              </w:rPr>
              <w:t>y</w:t>
            </w:r>
            <w:r w:rsidRPr="004B20D0">
              <w:rPr>
                <w:color w:val="0D0D0D" w:themeColor="text1" w:themeTint="F2"/>
                <w:spacing w:val="-4"/>
              </w:rPr>
              <w:t xml:space="preserve"> – počet ekonomicky neaktivních práci nehledajících, ale chtějících pracovat bylo totiž nejvíc za poslední dva roky (87 tis.)</w:t>
            </w:r>
            <w:r>
              <w:rPr>
                <w:rStyle w:val="Znakapoznpodarou"/>
                <w:color w:val="0D0D0D" w:themeColor="text1" w:themeTint="F2"/>
                <w:spacing w:val="-4"/>
              </w:rPr>
              <w:footnoteReference w:id="67"/>
            </w:r>
            <w:r w:rsidRPr="004B20D0">
              <w:rPr>
                <w:color w:val="0D0D0D" w:themeColor="text1" w:themeTint="F2"/>
                <w:spacing w:val="-4"/>
              </w:rPr>
              <w:t xml:space="preserve">. Počet volných pracovních míst v nabídce ÚP byl sice letos ve všech měsících meziročně mírně nižší, v červenci ale již jen o 28 tis. (necelou desetinu). </w:t>
            </w:r>
            <w:r>
              <w:rPr>
                <w:color w:val="0D0D0D" w:themeColor="text1" w:themeTint="F2"/>
                <w:spacing w:val="-4"/>
              </w:rPr>
              <w:t>Za poklesem stály hlavně nízkokvalifikované pozice – ty i přesto stále tvoří jádro nabídky míst. Evidovaných</w:t>
            </w:r>
            <w:r w:rsidRPr="004B20D0">
              <w:rPr>
                <w:color w:val="0D0D0D" w:themeColor="text1" w:themeTint="F2"/>
                <w:spacing w:val="-4"/>
              </w:rPr>
              <w:t xml:space="preserve"> míst je v ČR stále více než registrovaných uchazečů (zř</w:t>
            </w:r>
            <w:r>
              <w:rPr>
                <w:color w:val="0D0D0D" w:themeColor="text1" w:themeTint="F2"/>
                <w:spacing w:val="-4"/>
              </w:rPr>
              <w:t>etelnější převis uchazečů nad místy</w:t>
            </w:r>
            <w:r w:rsidRPr="004B20D0">
              <w:rPr>
                <w:color w:val="0D0D0D" w:themeColor="text1" w:themeTint="F2"/>
                <w:spacing w:val="-4"/>
              </w:rPr>
              <w:t xml:space="preserve"> přetrvává jen ve struk</w:t>
            </w:r>
            <w:r>
              <w:rPr>
                <w:color w:val="0D0D0D" w:themeColor="text1" w:themeTint="F2"/>
                <w:spacing w:val="-4"/>
              </w:rPr>
              <w:t>turálně postižených regionech –</w:t>
            </w:r>
            <w:r w:rsidRPr="004B20D0">
              <w:rPr>
                <w:color w:val="0D0D0D" w:themeColor="text1" w:themeTint="F2"/>
                <w:spacing w:val="-4"/>
              </w:rPr>
              <w:t xml:space="preserve"> Ústeckém a Moravskoslezském kraji).</w:t>
            </w:r>
            <w:r>
              <w:rPr>
                <w:color w:val="0D0D0D" w:themeColor="text1" w:themeTint="F2"/>
                <w:spacing w:val="-4"/>
              </w:rPr>
              <w:t xml:space="preserve"> </w:t>
            </w:r>
            <w:r w:rsidRPr="00C0432E">
              <w:rPr>
                <w:color w:val="1D1B11" w:themeColor="background2" w:themeShade="1A"/>
                <w:spacing w:val="-4"/>
              </w:rPr>
              <w:t>Obavy lidí z růstu nezaměstnanosti</w:t>
            </w:r>
            <w:r>
              <w:rPr>
                <w:color w:val="1D1B11" w:themeColor="background2" w:themeShade="1A"/>
                <w:spacing w:val="-4"/>
              </w:rPr>
              <w:t xml:space="preserve"> se od počátku letošního roku postupně snižovaly. U domácností současně oslabovaly negativní výhledy celkové hospodářské situace v ČR a pesimismus se mírnil i u předpokládané vlastní finanční kondice. I přesto byl počet lidí očekávajících v nejbližších dvanácti měsících růst nezaměstnanosti znatelně vyšší než v celém konjunkturním období na konci minulé dekády</w:t>
            </w:r>
          </w:p>
        </w:tc>
      </w:tr>
      <w:tr w:rsidR="006A3CAF" w:rsidRPr="00D82DBD" w14:paraId="1DD54210" w14:textId="77777777" w:rsidTr="00DA0121">
        <w:trPr>
          <w:trHeight w:val="145"/>
        </w:trPr>
        <w:tc>
          <w:tcPr>
            <w:tcW w:w="1754" w:type="dxa"/>
            <w:shd w:val="clear" w:color="auto" w:fill="auto"/>
            <w:tcMar>
              <w:left w:w="0" w:type="dxa"/>
            </w:tcMar>
          </w:tcPr>
          <w:p w14:paraId="79C1D807" w14:textId="77777777" w:rsidR="006A3CAF" w:rsidRDefault="006A3CAF" w:rsidP="00DA0121">
            <w:pPr>
              <w:pStyle w:val="Marginlie"/>
              <w:rPr>
                <w:color w:val="0D0D0D" w:themeColor="text1" w:themeTint="F2"/>
                <w:spacing w:val="-4"/>
              </w:rPr>
            </w:pPr>
            <w:r>
              <w:rPr>
                <w:color w:val="0D0D0D" w:themeColor="text1" w:themeTint="F2"/>
                <w:spacing w:val="-4"/>
              </w:rPr>
              <w:t xml:space="preserve">Meziroční i mezikvartální růst mezd ve 2. čtvrtletí zvolnil. </w:t>
            </w:r>
          </w:p>
          <w:p w14:paraId="1C898BF1" w14:textId="77777777" w:rsidR="006A3CAF" w:rsidRDefault="006A3CAF" w:rsidP="00DA0121">
            <w:pPr>
              <w:pStyle w:val="Marginlie"/>
              <w:rPr>
                <w:color w:val="0D0D0D" w:themeColor="text1" w:themeTint="F2"/>
                <w:spacing w:val="-4"/>
              </w:rPr>
            </w:pPr>
          </w:p>
          <w:p w14:paraId="63CA58B7" w14:textId="77777777" w:rsidR="006A3CAF" w:rsidRDefault="006A3CAF" w:rsidP="00DA0121">
            <w:pPr>
              <w:pStyle w:val="Marginlie"/>
              <w:rPr>
                <w:color w:val="0D0D0D" w:themeColor="text1" w:themeTint="F2"/>
                <w:spacing w:val="-4"/>
              </w:rPr>
            </w:pPr>
          </w:p>
          <w:p w14:paraId="64BA5F36" w14:textId="77777777" w:rsidR="006A3CAF" w:rsidRDefault="006A3CAF" w:rsidP="00DA0121">
            <w:pPr>
              <w:pStyle w:val="Marginlie"/>
              <w:rPr>
                <w:color w:val="0D0D0D" w:themeColor="text1" w:themeTint="F2"/>
                <w:spacing w:val="-4"/>
              </w:rPr>
            </w:pPr>
          </w:p>
          <w:p w14:paraId="5CE388AF" w14:textId="77777777" w:rsidR="006A3CAF" w:rsidRDefault="006A3CAF" w:rsidP="00DA0121">
            <w:pPr>
              <w:pStyle w:val="Marginlie"/>
              <w:rPr>
                <w:color w:val="0D0D0D" w:themeColor="text1" w:themeTint="F2"/>
                <w:spacing w:val="-4"/>
              </w:rPr>
            </w:pPr>
          </w:p>
          <w:p w14:paraId="1FFF9B43" w14:textId="77777777" w:rsidR="006A3CAF" w:rsidRDefault="006A3CAF" w:rsidP="00DA0121">
            <w:pPr>
              <w:pStyle w:val="Marginlie"/>
              <w:rPr>
                <w:color w:val="0D0D0D" w:themeColor="text1" w:themeTint="F2"/>
                <w:spacing w:val="-4"/>
              </w:rPr>
            </w:pPr>
          </w:p>
          <w:p w14:paraId="2BF40C38" w14:textId="77777777" w:rsidR="006A3CAF" w:rsidRDefault="006A3CAF" w:rsidP="00DA0121">
            <w:pPr>
              <w:pStyle w:val="Marginlie"/>
              <w:rPr>
                <w:color w:val="0D0D0D" w:themeColor="text1" w:themeTint="F2"/>
                <w:spacing w:val="-5"/>
              </w:rPr>
            </w:pPr>
            <w:r>
              <w:rPr>
                <w:color w:val="0D0D0D" w:themeColor="text1" w:themeTint="F2"/>
                <w:spacing w:val="-4"/>
              </w:rPr>
              <w:t>Pokles reálné mzdy byl svou hloubkou i délkou unikátní. Výše reálné mzdy odpovídala úrovni z 3. čtvrtletí 2017.</w:t>
            </w:r>
          </w:p>
        </w:tc>
        <w:tc>
          <w:tcPr>
            <w:tcW w:w="220" w:type="dxa"/>
            <w:shd w:val="clear" w:color="auto" w:fill="auto"/>
            <w:tcMar>
              <w:left w:w="0" w:type="dxa"/>
            </w:tcMar>
          </w:tcPr>
          <w:p w14:paraId="4C8580A2" w14:textId="77777777" w:rsidR="006A3CAF" w:rsidRPr="00EC1398" w:rsidRDefault="006A3CAF" w:rsidP="00DA0121">
            <w:pPr>
              <w:pStyle w:val="Textpoznpodarou"/>
              <w:spacing w:after="120"/>
              <w:jc w:val="both"/>
              <w:rPr>
                <w:color w:val="0D0D0D" w:themeColor="text1" w:themeTint="F2"/>
                <w:spacing w:val="-4"/>
              </w:rPr>
            </w:pPr>
          </w:p>
        </w:tc>
        <w:tc>
          <w:tcPr>
            <w:tcW w:w="7700" w:type="dxa"/>
            <w:shd w:val="clear" w:color="auto" w:fill="auto"/>
            <w:tcMar>
              <w:left w:w="0" w:type="dxa"/>
            </w:tcMar>
          </w:tcPr>
          <w:p w14:paraId="38A49AD9" w14:textId="77777777" w:rsidR="006A3CAF" w:rsidRPr="00E03871" w:rsidRDefault="006A3CAF" w:rsidP="00DA0121">
            <w:pPr>
              <w:spacing w:after="200"/>
              <w:rPr>
                <w:spacing w:val="-4"/>
              </w:rPr>
            </w:pPr>
            <w:r w:rsidRPr="00653C1D">
              <w:rPr>
                <w:color w:val="0D0D0D" w:themeColor="text1" w:themeTint="F2"/>
                <w:spacing w:val="-4"/>
              </w:rPr>
              <w:t xml:space="preserve">Průměrná hrubá mzda (na zaměstnance, při zohlednění délky úvazku) </w:t>
            </w:r>
            <w:r>
              <w:rPr>
                <w:color w:val="0D0D0D" w:themeColor="text1" w:themeTint="F2"/>
                <w:spacing w:val="-4"/>
              </w:rPr>
              <w:t>posílila</w:t>
            </w:r>
            <w:r w:rsidRPr="00653C1D">
              <w:rPr>
                <w:color w:val="0D0D0D" w:themeColor="text1" w:themeTint="F2"/>
                <w:spacing w:val="-4"/>
              </w:rPr>
              <w:t xml:space="preserve"> letos ve </w:t>
            </w:r>
            <w:r>
              <w:rPr>
                <w:color w:val="0D0D0D" w:themeColor="text1" w:themeTint="F2"/>
                <w:spacing w:val="-4"/>
              </w:rPr>
              <w:br/>
            </w:r>
            <w:r w:rsidRPr="00653C1D">
              <w:rPr>
                <w:color w:val="0D0D0D" w:themeColor="text1" w:themeTint="F2"/>
                <w:spacing w:val="-4"/>
              </w:rPr>
              <w:t>2. čtvrtletí meziročně o nominálních 7,7 %. Oproti tempu z počátku roku (</w:t>
            </w:r>
            <w:r>
              <w:rPr>
                <w:color w:val="0D0D0D" w:themeColor="text1" w:themeTint="F2"/>
                <w:spacing w:val="-4"/>
              </w:rPr>
              <w:t>+</w:t>
            </w:r>
            <w:r w:rsidRPr="00653C1D">
              <w:rPr>
                <w:color w:val="0D0D0D" w:themeColor="text1" w:themeTint="F2"/>
                <w:spacing w:val="-4"/>
              </w:rPr>
              <w:t xml:space="preserve">8,7 %) růst mírně zvolnil. To bylo letos patrné i na mezikvartální </w:t>
            </w:r>
            <w:r>
              <w:rPr>
                <w:color w:val="0D0D0D" w:themeColor="text1" w:themeTint="F2"/>
                <w:spacing w:val="-4"/>
              </w:rPr>
              <w:t>dynamice sezónně očištěné mzdy (v 1. čtvrtletí +2,2 %, ve 2. čtvrtletí</w:t>
            </w:r>
            <w:r w:rsidRPr="00653C1D">
              <w:rPr>
                <w:color w:val="0D0D0D" w:themeColor="text1" w:themeTint="F2"/>
                <w:spacing w:val="-4"/>
              </w:rPr>
              <w:t xml:space="preserve"> +1,5 %). </w:t>
            </w:r>
            <w:r w:rsidRPr="00825316">
              <w:rPr>
                <w:color w:val="0D0D0D" w:themeColor="text1" w:themeTint="F2"/>
                <w:spacing w:val="-4"/>
              </w:rPr>
              <w:t xml:space="preserve">I přes dezinflační tendence </w:t>
            </w:r>
            <w:r>
              <w:rPr>
                <w:color w:val="0D0D0D" w:themeColor="text1" w:themeTint="F2"/>
                <w:spacing w:val="-4"/>
              </w:rPr>
              <w:t>v ekonomice zůstává meziroční pokles</w:t>
            </w:r>
            <w:r w:rsidRPr="00825316">
              <w:rPr>
                <w:color w:val="0D0D0D" w:themeColor="text1" w:themeTint="F2"/>
                <w:spacing w:val="-4"/>
              </w:rPr>
              <w:t xml:space="preserve"> kupní síly </w:t>
            </w:r>
            <w:r>
              <w:rPr>
                <w:color w:val="0D0D0D" w:themeColor="text1" w:themeTint="F2"/>
                <w:spacing w:val="-4"/>
              </w:rPr>
              <w:t>průměrné mzdy stále významný, když ve 2. čtvrtletí činil 3,1 %</w:t>
            </w:r>
            <w:r>
              <w:rPr>
                <w:rStyle w:val="Znakapoznpodarou"/>
                <w:color w:val="0D0D0D" w:themeColor="text1" w:themeTint="F2"/>
                <w:spacing w:val="-4"/>
              </w:rPr>
              <w:footnoteReference w:id="68"/>
            </w:r>
            <w:r>
              <w:rPr>
                <w:color w:val="0D0D0D" w:themeColor="text1" w:themeTint="F2"/>
                <w:spacing w:val="-4"/>
              </w:rPr>
              <w:t>. S</w:t>
            </w:r>
            <w:r w:rsidRPr="00653C1D">
              <w:rPr>
                <w:color w:val="0D0D0D" w:themeColor="text1" w:themeTint="F2"/>
                <w:spacing w:val="-4"/>
              </w:rPr>
              <w:t>nižování kupní síly zaměstnaneckých výdělků tak pokra</w:t>
            </w:r>
            <w:r>
              <w:rPr>
                <w:color w:val="0D0D0D" w:themeColor="text1" w:themeTint="F2"/>
                <w:spacing w:val="-4"/>
              </w:rPr>
              <w:t xml:space="preserve">čovalo sedmý kvartál v řadě, což bylo nejdéle v historii samostatné ČR, a rovněž souhrnná hloubka poklesu za celé období byla bezprecedentní. Výše reálné mzdy (po sezónním očištění) v letošním 2. čtvrtletí tak odpovídala úrovni z 3. čtvrtletí 2017, podobné lze ovšem říct také u analogického srovnání reálné produktivity práce (při vyjádření na zaměstnanou osobu). </w:t>
            </w:r>
            <w:r>
              <w:rPr>
                <w:spacing w:val="-4"/>
              </w:rPr>
              <w:t xml:space="preserve">Meziroční pokles reálné mzdy </w:t>
            </w:r>
            <w:r>
              <w:rPr>
                <w:spacing w:val="-6"/>
              </w:rPr>
              <w:t xml:space="preserve">postihl letos ve 2. čtvrtletí téměř </w:t>
            </w:r>
            <w:r w:rsidRPr="00972373">
              <w:rPr>
                <w:spacing w:val="-6"/>
              </w:rPr>
              <w:t>všech</w:t>
            </w:r>
            <w:r>
              <w:rPr>
                <w:spacing w:val="-6"/>
              </w:rPr>
              <w:t>ny odvětvové sekce</w:t>
            </w:r>
            <w:r w:rsidRPr="00972373">
              <w:rPr>
                <w:spacing w:val="-6"/>
              </w:rPr>
              <w:t xml:space="preserve"> </w:t>
            </w:r>
            <w:r>
              <w:rPr>
                <w:spacing w:val="-6"/>
              </w:rPr>
              <w:t>(vyjma energetiky) i</w:t>
            </w:r>
            <w:r>
              <w:rPr>
                <w:spacing w:val="-4"/>
              </w:rPr>
              <w:t xml:space="preserve"> hlavní průmyslové obory (vyjma elektrotechniky a výroby motorových vozidel) a nastal i</w:t>
            </w:r>
            <w:r w:rsidRPr="00FA68D2">
              <w:rPr>
                <w:spacing w:val="-4"/>
              </w:rPr>
              <w:t xml:space="preserve"> napříč </w:t>
            </w:r>
            <w:r>
              <w:rPr>
                <w:spacing w:val="-4"/>
              </w:rPr>
              <w:t xml:space="preserve">všemi </w:t>
            </w:r>
            <w:r w:rsidRPr="00FA68D2">
              <w:rPr>
                <w:spacing w:val="-4"/>
              </w:rPr>
              <w:t>kraji ČR</w:t>
            </w:r>
            <w:r>
              <w:rPr>
                <w:spacing w:val="-4"/>
              </w:rPr>
              <w:t xml:space="preserve">. </w:t>
            </w:r>
            <w:r w:rsidRPr="00FA68D2">
              <w:rPr>
                <w:spacing w:val="-4"/>
              </w:rPr>
              <w:t xml:space="preserve">Mzdový vývoj </w:t>
            </w:r>
            <w:r>
              <w:rPr>
                <w:spacing w:val="-4"/>
              </w:rPr>
              <w:t>v 2</w:t>
            </w:r>
            <w:r w:rsidRPr="00FA68D2">
              <w:rPr>
                <w:spacing w:val="-4"/>
              </w:rPr>
              <w:t xml:space="preserve">. čtvrtletí </w:t>
            </w:r>
            <w:r>
              <w:rPr>
                <w:spacing w:val="-4"/>
              </w:rPr>
              <w:t>2023 tak pravděpodobně nadále představoval rozhodující faktor</w:t>
            </w:r>
            <w:r w:rsidRPr="00FA68D2">
              <w:rPr>
                <w:spacing w:val="-4"/>
              </w:rPr>
              <w:t xml:space="preserve"> snížení celkové kupní síly tuzemských domácností</w:t>
            </w:r>
            <w:r w:rsidRPr="00FA68D2">
              <w:rPr>
                <w:rStyle w:val="Znakapoznpodarou"/>
                <w:spacing w:val="-4"/>
              </w:rPr>
              <w:footnoteReference w:id="69"/>
            </w:r>
            <w:r w:rsidRPr="00FA68D2">
              <w:rPr>
                <w:spacing w:val="-4"/>
              </w:rPr>
              <w:t>.</w:t>
            </w:r>
          </w:p>
        </w:tc>
      </w:tr>
      <w:tr w:rsidR="006A3CAF" w:rsidRPr="00B43216" w14:paraId="4DEC522A" w14:textId="77777777" w:rsidTr="00DA0121">
        <w:trPr>
          <w:trHeight w:val="155"/>
        </w:trPr>
        <w:tc>
          <w:tcPr>
            <w:tcW w:w="1754" w:type="dxa"/>
            <w:vMerge w:val="restart"/>
            <w:shd w:val="clear" w:color="auto" w:fill="auto"/>
            <w:tcMar>
              <w:left w:w="0" w:type="dxa"/>
            </w:tcMar>
          </w:tcPr>
          <w:p w14:paraId="19542161" w14:textId="77777777" w:rsidR="006A3CAF" w:rsidRPr="00B43216" w:rsidRDefault="006A3CAF" w:rsidP="00DA0121">
            <w:pPr>
              <w:pStyle w:val="Marginlie"/>
              <w:spacing w:after="120"/>
              <w:rPr>
                <w:spacing w:val="-4"/>
              </w:rPr>
            </w:pPr>
          </w:p>
        </w:tc>
        <w:tc>
          <w:tcPr>
            <w:tcW w:w="220" w:type="dxa"/>
            <w:vMerge w:val="restart"/>
            <w:shd w:val="clear" w:color="auto" w:fill="auto"/>
            <w:tcMar>
              <w:left w:w="0" w:type="dxa"/>
            </w:tcMar>
          </w:tcPr>
          <w:p w14:paraId="4B91373E" w14:textId="77777777" w:rsidR="006A3CAF" w:rsidRPr="00B43216" w:rsidRDefault="006A3CAF" w:rsidP="00DA0121">
            <w:pPr>
              <w:pStyle w:val="Textpoznpodarou"/>
              <w:spacing w:after="120"/>
              <w:jc w:val="both"/>
              <w:rPr>
                <w:spacing w:val="-4"/>
              </w:rPr>
            </w:pPr>
          </w:p>
        </w:tc>
        <w:tc>
          <w:tcPr>
            <w:tcW w:w="7700" w:type="dxa"/>
            <w:shd w:val="clear" w:color="auto" w:fill="auto"/>
            <w:tcMar>
              <w:left w:w="0" w:type="dxa"/>
            </w:tcMar>
          </w:tcPr>
          <w:p w14:paraId="1D01176C" w14:textId="77777777" w:rsidR="006A3CAF" w:rsidRPr="00926D74" w:rsidRDefault="006A3CAF" w:rsidP="00DA0121">
            <w:pPr>
              <w:spacing w:after="0"/>
              <w:rPr>
                <w:b/>
                <w:spacing w:val="-2"/>
              </w:rPr>
            </w:pPr>
            <w:r w:rsidRPr="00926D74">
              <w:rPr>
                <w:b/>
                <w:spacing w:val="-2"/>
              </w:rPr>
              <w:t xml:space="preserve">Graf č. 14 </w:t>
            </w:r>
            <w:r w:rsidRPr="00926D74">
              <w:rPr>
                <w:rFonts w:cs="Arial"/>
                <w:b/>
                <w:spacing w:val="-2"/>
              </w:rPr>
              <w:t xml:space="preserve">Obecná míra nezaměstnanosti </w:t>
            </w:r>
            <w:r w:rsidRPr="00926D74">
              <w:rPr>
                <w:rFonts w:cs="Arial"/>
                <w:bCs/>
                <w:spacing w:val="-2"/>
              </w:rPr>
              <w:t>(v %, věk 15 až 64 let)</w:t>
            </w:r>
            <w:r w:rsidRPr="00926D74">
              <w:rPr>
                <w:rFonts w:cs="Arial"/>
                <w:b/>
                <w:spacing w:val="-2"/>
              </w:rPr>
              <w:t xml:space="preserve">, ekonomicky neaktivní </w:t>
            </w:r>
            <w:r>
              <w:rPr>
                <w:rFonts w:cs="Arial"/>
                <w:b/>
                <w:spacing w:val="-2"/>
              </w:rPr>
              <w:t xml:space="preserve">osoby </w:t>
            </w:r>
            <w:r w:rsidRPr="00926D74">
              <w:rPr>
                <w:rFonts w:cs="Arial"/>
                <w:b/>
                <w:spacing w:val="-2"/>
              </w:rPr>
              <w:t>chtějící pracovat</w:t>
            </w:r>
            <w:r>
              <w:rPr>
                <w:rFonts w:cs="Arial"/>
                <w:b/>
                <w:spacing w:val="-2"/>
              </w:rPr>
              <w:t>*</w:t>
            </w:r>
            <w:r w:rsidRPr="00926D74">
              <w:rPr>
                <w:rFonts w:cs="Arial"/>
                <w:b/>
                <w:spacing w:val="-2"/>
              </w:rPr>
              <w:t xml:space="preserve"> </w:t>
            </w:r>
            <w:r>
              <w:rPr>
                <w:rFonts w:cs="Arial"/>
                <w:bCs/>
                <w:spacing w:val="-2"/>
              </w:rPr>
              <w:t>(v tis.)</w:t>
            </w:r>
            <w:r w:rsidRPr="00926D74">
              <w:rPr>
                <w:rFonts w:cs="Arial"/>
                <w:b/>
                <w:bCs/>
                <w:spacing w:val="-2"/>
              </w:rPr>
              <w:t xml:space="preserve">, volná pracovní místa </w:t>
            </w:r>
            <w:r>
              <w:rPr>
                <w:rFonts w:cs="Arial"/>
                <w:bCs/>
                <w:spacing w:val="-2"/>
              </w:rPr>
              <w:t>(v</w:t>
            </w:r>
            <w:r w:rsidRPr="00926D74">
              <w:rPr>
                <w:rFonts w:cs="Arial"/>
                <w:bCs/>
                <w:spacing w:val="-2"/>
              </w:rPr>
              <w:t xml:space="preserve"> tis.) </w:t>
            </w:r>
            <w:r w:rsidRPr="00926D74">
              <w:rPr>
                <w:rFonts w:cs="Arial"/>
                <w:b/>
                <w:bCs/>
                <w:spacing w:val="-2"/>
              </w:rPr>
              <w:t>a</w:t>
            </w:r>
            <w:r w:rsidRPr="00926D74">
              <w:rPr>
                <w:rFonts w:cs="Arial"/>
                <w:bCs/>
                <w:spacing w:val="-2"/>
              </w:rPr>
              <w:t xml:space="preserve"> </w:t>
            </w:r>
            <w:r w:rsidRPr="00926D74">
              <w:rPr>
                <w:rFonts w:cs="Arial"/>
                <w:b/>
                <w:bCs/>
                <w:spacing w:val="-2"/>
              </w:rPr>
              <w:t xml:space="preserve">očekávání </w:t>
            </w:r>
            <w:r>
              <w:rPr>
                <w:rFonts w:cs="Arial"/>
                <w:b/>
                <w:bCs/>
                <w:spacing w:val="-2"/>
              </w:rPr>
              <w:t xml:space="preserve">vývoje </w:t>
            </w:r>
            <w:r w:rsidRPr="00926D74">
              <w:rPr>
                <w:rFonts w:cs="Arial"/>
                <w:b/>
                <w:bCs/>
                <w:spacing w:val="-2"/>
              </w:rPr>
              <w:t>nezaměstnanosti od domácností</w:t>
            </w:r>
            <w:r w:rsidRPr="00926D74">
              <w:rPr>
                <w:rFonts w:cs="Arial"/>
                <w:bCs/>
                <w:spacing w:val="-2"/>
              </w:rPr>
              <w:t xml:space="preserve"> (v p. b.)**</w:t>
            </w:r>
          </w:p>
        </w:tc>
      </w:tr>
      <w:tr w:rsidR="006A3CAF" w:rsidRPr="00B43216" w14:paraId="7E5255C2" w14:textId="77777777" w:rsidTr="00DA0121">
        <w:tblPrEx>
          <w:tblCellMar>
            <w:left w:w="70" w:type="dxa"/>
            <w:right w:w="70" w:type="dxa"/>
          </w:tblCellMar>
        </w:tblPrEx>
        <w:trPr>
          <w:trHeight w:val="155"/>
        </w:trPr>
        <w:tc>
          <w:tcPr>
            <w:tcW w:w="1754" w:type="dxa"/>
            <w:vMerge/>
            <w:shd w:val="clear" w:color="auto" w:fill="auto"/>
          </w:tcPr>
          <w:p w14:paraId="7E18FD7B" w14:textId="77777777" w:rsidR="006A3CAF" w:rsidRPr="00B43216" w:rsidRDefault="006A3CAF" w:rsidP="00DA0121">
            <w:pPr>
              <w:pStyle w:val="Marginlie"/>
              <w:spacing w:after="120"/>
              <w:rPr>
                <w:spacing w:val="-4"/>
              </w:rPr>
            </w:pPr>
          </w:p>
        </w:tc>
        <w:tc>
          <w:tcPr>
            <w:tcW w:w="220" w:type="dxa"/>
            <w:vMerge/>
            <w:shd w:val="clear" w:color="auto" w:fill="auto"/>
          </w:tcPr>
          <w:p w14:paraId="1FC14AED" w14:textId="77777777" w:rsidR="006A3CAF" w:rsidRPr="00B43216" w:rsidRDefault="006A3CAF" w:rsidP="00DA0121">
            <w:pPr>
              <w:pStyle w:val="Textpoznpodarou"/>
              <w:spacing w:after="120"/>
              <w:jc w:val="both"/>
              <w:rPr>
                <w:spacing w:val="-4"/>
              </w:rPr>
            </w:pPr>
          </w:p>
        </w:tc>
        <w:tc>
          <w:tcPr>
            <w:tcW w:w="7700" w:type="dxa"/>
            <w:shd w:val="clear" w:color="auto" w:fill="auto"/>
          </w:tcPr>
          <w:p w14:paraId="556427A9" w14:textId="77777777" w:rsidR="006A3CAF" w:rsidRPr="00B43216" w:rsidRDefault="006A3CAF" w:rsidP="00DA0121">
            <w:pPr>
              <w:spacing w:after="0"/>
              <w:rPr>
                <w:spacing w:val="-4"/>
              </w:rPr>
            </w:pPr>
            <w:r>
              <w:rPr>
                <w:noProof/>
              </w:rPr>
              <w:drawing>
                <wp:inline distT="0" distB="0" distL="0" distR="0" wp14:anchorId="3AA1980B" wp14:editId="6452ADB8">
                  <wp:extent cx="4691380" cy="3446060"/>
                  <wp:effectExtent l="0" t="0" r="0" b="2540"/>
                  <wp:docPr id="1031874487" name="Graf 10318744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6A3CAF" w:rsidRPr="00B43216" w14:paraId="754CE6C5" w14:textId="77777777" w:rsidTr="00DA0121">
        <w:trPr>
          <w:trHeight w:val="132"/>
        </w:trPr>
        <w:tc>
          <w:tcPr>
            <w:tcW w:w="1754" w:type="dxa"/>
            <w:vMerge/>
            <w:shd w:val="clear" w:color="auto" w:fill="auto"/>
            <w:tcMar>
              <w:left w:w="0" w:type="dxa"/>
            </w:tcMar>
          </w:tcPr>
          <w:p w14:paraId="37B0EBBD" w14:textId="77777777" w:rsidR="006A3CAF" w:rsidRPr="00B43216" w:rsidRDefault="006A3CAF" w:rsidP="00DA0121">
            <w:pPr>
              <w:pStyle w:val="Marginlie"/>
              <w:rPr>
                <w:spacing w:val="-4"/>
              </w:rPr>
            </w:pPr>
          </w:p>
        </w:tc>
        <w:tc>
          <w:tcPr>
            <w:tcW w:w="220" w:type="dxa"/>
            <w:vMerge/>
            <w:shd w:val="clear" w:color="auto" w:fill="auto"/>
            <w:tcMar>
              <w:left w:w="0" w:type="dxa"/>
            </w:tcMar>
          </w:tcPr>
          <w:p w14:paraId="195079AB" w14:textId="77777777" w:rsidR="006A3CAF" w:rsidRPr="00B43216" w:rsidRDefault="006A3CAF" w:rsidP="00DA0121">
            <w:pPr>
              <w:pStyle w:val="Textpoznpodarou"/>
              <w:jc w:val="both"/>
              <w:rPr>
                <w:spacing w:val="-4"/>
              </w:rPr>
            </w:pPr>
          </w:p>
        </w:tc>
        <w:tc>
          <w:tcPr>
            <w:tcW w:w="7700" w:type="dxa"/>
            <w:shd w:val="clear" w:color="auto" w:fill="auto"/>
            <w:tcMar>
              <w:left w:w="0" w:type="dxa"/>
            </w:tcMar>
          </w:tcPr>
          <w:p w14:paraId="3F585DF4" w14:textId="77777777" w:rsidR="006A3CAF" w:rsidRPr="00D94F3D" w:rsidRDefault="006A3CAF" w:rsidP="00DA0121">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Pozn.: Míry nezaměstnanosti jsou sezónně očištěny</w:t>
            </w:r>
            <w:r w:rsidRPr="00D94F3D">
              <w:rPr>
                <w:rFonts w:cs="Arial"/>
                <w:color w:val="0D0D0D" w:themeColor="text1" w:themeTint="F2"/>
                <w:spacing w:val="-4"/>
                <w:sz w:val="14"/>
                <w:szCs w:val="14"/>
              </w:rPr>
              <w:t>. VPM = volná pracovní místa (stav na konci čtvrtletí)</w:t>
            </w:r>
          </w:p>
          <w:p w14:paraId="3C192266" w14:textId="77777777" w:rsidR="006A3CAF" w:rsidRDefault="006A3CAF" w:rsidP="00DA0121">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2B4964D8" w14:textId="77777777" w:rsidR="006A3CAF" w:rsidRDefault="006A3CAF" w:rsidP="00DA0121">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Vztahuje se k prostřednímu měsíci daného čtvrtletí.</w:t>
            </w:r>
          </w:p>
          <w:p w14:paraId="39AE7861" w14:textId="77777777" w:rsidR="006A3CAF" w:rsidRPr="00485ED5" w:rsidRDefault="006A3CAF" w:rsidP="00DA0121">
            <w:pPr>
              <w:spacing w:after="200"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 MPSV (volná pracovní místa registrovaná na úřadech práce v ČR)</w:t>
            </w:r>
          </w:p>
        </w:tc>
      </w:tr>
      <w:tr w:rsidR="006A3CAF" w:rsidRPr="001E4B77" w14:paraId="13B4C2EC" w14:textId="77777777" w:rsidTr="00DA0121">
        <w:trPr>
          <w:trHeight w:val="132"/>
        </w:trPr>
        <w:tc>
          <w:tcPr>
            <w:tcW w:w="1754" w:type="dxa"/>
            <w:shd w:val="clear" w:color="auto" w:fill="auto"/>
            <w:tcMar>
              <w:left w:w="0" w:type="dxa"/>
            </w:tcMar>
          </w:tcPr>
          <w:p w14:paraId="223E02FD" w14:textId="77777777" w:rsidR="006A3CAF" w:rsidRPr="001E4B77" w:rsidRDefault="006A3CAF" w:rsidP="00DA0121">
            <w:pPr>
              <w:pStyle w:val="Marginlie"/>
              <w:rPr>
                <w:color w:val="0D0D0D" w:themeColor="text1" w:themeTint="F2"/>
                <w:spacing w:val="-4"/>
              </w:rPr>
            </w:pPr>
            <w:r>
              <w:rPr>
                <w:color w:val="0D0D0D" w:themeColor="text1" w:themeTint="F2"/>
                <w:spacing w:val="-4"/>
              </w:rPr>
              <w:t>Tlaky na mzdový růst v tržní sféře zůstávaly relativně silné.</w:t>
            </w:r>
          </w:p>
        </w:tc>
        <w:tc>
          <w:tcPr>
            <w:tcW w:w="220" w:type="dxa"/>
            <w:shd w:val="clear" w:color="auto" w:fill="auto"/>
            <w:tcMar>
              <w:left w:w="0" w:type="dxa"/>
            </w:tcMar>
          </w:tcPr>
          <w:p w14:paraId="40055B48" w14:textId="77777777" w:rsidR="006A3CAF" w:rsidRPr="001E4B77" w:rsidRDefault="006A3CAF" w:rsidP="00DA0121">
            <w:pPr>
              <w:pStyle w:val="Textpoznpodarou"/>
              <w:jc w:val="both"/>
              <w:rPr>
                <w:color w:val="0D0D0D" w:themeColor="text1" w:themeTint="F2"/>
                <w:spacing w:val="-4"/>
              </w:rPr>
            </w:pPr>
          </w:p>
        </w:tc>
        <w:tc>
          <w:tcPr>
            <w:tcW w:w="7700" w:type="dxa"/>
            <w:shd w:val="clear" w:color="auto" w:fill="auto"/>
            <w:tcMar>
              <w:left w:w="0" w:type="dxa"/>
            </w:tcMar>
          </w:tcPr>
          <w:p w14:paraId="288BBBEA" w14:textId="64957AF1" w:rsidR="006A3CAF" w:rsidRPr="0060296E" w:rsidRDefault="006A3CAF" w:rsidP="00DE6209">
            <w:pPr>
              <w:spacing w:after="200"/>
            </w:pPr>
            <w:r>
              <w:t>Ve směru růstu nominální mzdy působí stále relativně vysoká poptávka podniků po pracovní síle i zvýšený tlak zaměstnanců (pramenící často z napjatých rodinných rozpočtů vlivem prudkého růstu cen základních položek spotřebního koše). Prostor pro další svižné zvyšování mezd v tržní sféře existuje i díky vysoké a v posledních kvartálech dále rostoucí míře zisku nefinančních podniků. Mzdový růst v celé ekonomice naopak tlumila sílící potřeba úspor v rozpočtové sféře</w:t>
            </w:r>
            <w:r>
              <w:rPr>
                <w:rStyle w:val="Znakapoznpodarou"/>
                <w:spacing w:val="-5"/>
              </w:rPr>
              <w:footnoteReference w:id="70"/>
            </w:r>
            <w:r>
              <w:t>, střídmější navyšování minimálních mezd</w:t>
            </w:r>
            <w:r>
              <w:rPr>
                <w:rStyle w:val="Znakapoznpodarou"/>
                <w:spacing w:val="-5"/>
              </w:rPr>
              <w:footnoteReference w:id="71"/>
            </w:r>
            <w:r>
              <w:t xml:space="preserve"> i rostoucí počet zahraničn</w:t>
            </w:r>
            <w:r w:rsidR="00DE6209">
              <w:t>ích pracovníků z „třetích zemí</w:t>
            </w:r>
            <w:r w:rsidR="00DE6209">
              <w:rPr>
                <w:rStyle w:val="Znakapoznpodarou"/>
              </w:rPr>
              <w:footnoteReference w:id="72"/>
            </w:r>
            <w:r w:rsidR="00DE6209">
              <w:t>“.</w:t>
            </w:r>
          </w:p>
        </w:tc>
      </w:tr>
      <w:tr w:rsidR="006A3CAF" w:rsidRPr="00B43216" w14:paraId="046BEF2D" w14:textId="77777777" w:rsidTr="00DA0121">
        <w:trPr>
          <w:trHeight w:val="132"/>
        </w:trPr>
        <w:tc>
          <w:tcPr>
            <w:tcW w:w="1754" w:type="dxa"/>
            <w:shd w:val="clear" w:color="auto" w:fill="auto"/>
            <w:tcMar>
              <w:left w:w="0" w:type="dxa"/>
            </w:tcMar>
          </w:tcPr>
          <w:p w14:paraId="18A69315" w14:textId="77777777" w:rsidR="006A3CAF" w:rsidRPr="00B02B6A" w:rsidRDefault="006A3CAF" w:rsidP="00DA0121">
            <w:pPr>
              <w:pStyle w:val="Marginlie"/>
              <w:rPr>
                <w:color w:val="0D0D0D" w:themeColor="text1" w:themeTint="F2"/>
                <w:spacing w:val="-4"/>
              </w:rPr>
            </w:pPr>
            <w:r>
              <w:rPr>
                <w:color w:val="0D0D0D" w:themeColor="text1" w:themeTint="F2"/>
                <w:spacing w:val="-4"/>
              </w:rPr>
              <w:t>V sekundárním sektoru ekonomiky se mzdy zvyšovaly nadprůměrně. V rámci zpracovatelského průmyslů se projevily rozdílné hospodářské výsledky dílčích oborů.</w:t>
            </w:r>
          </w:p>
          <w:p w14:paraId="49653AB6" w14:textId="77777777" w:rsidR="006A3CAF" w:rsidRPr="00B02B6A" w:rsidRDefault="006A3CAF" w:rsidP="00DA0121">
            <w:pPr>
              <w:pStyle w:val="Marginlie"/>
              <w:rPr>
                <w:color w:val="0D0D0D" w:themeColor="text1" w:themeTint="F2"/>
                <w:spacing w:val="-4"/>
              </w:rPr>
            </w:pPr>
          </w:p>
        </w:tc>
        <w:tc>
          <w:tcPr>
            <w:tcW w:w="220" w:type="dxa"/>
            <w:shd w:val="clear" w:color="auto" w:fill="auto"/>
            <w:tcMar>
              <w:left w:w="0" w:type="dxa"/>
            </w:tcMar>
          </w:tcPr>
          <w:p w14:paraId="4B8A26CB" w14:textId="77777777" w:rsidR="006A3CAF" w:rsidRPr="00B43216" w:rsidRDefault="006A3CAF" w:rsidP="00DA0121">
            <w:pPr>
              <w:pStyle w:val="Textpoznpodarou"/>
              <w:jc w:val="both"/>
              <w:rPr>
                <w:spacing w:val="-4"/>
              </w:rPr>
            </w:pPr>
          </w:p>
        </w:tc>
        <w:tc>
          <w:tcPr>
            <w:tcW w:w="7700" w:type="dxa"/>
            <w:shd w:val="clear" w:color="auto" w:fill="auto"/>
            <w:tcMar>
              <w:left w:w="0" w:type="dxa"/>
            </w:tcMar>
          </w:tcPr>
          <w:p w14:paraId="0DFF08F3" w14:textId="77777777" w:rsidR="006A3CAF" w:rsidRDefault="006A3CAF" w:rsidP="00DA0121">
            <w:pPr>
              <w:spacing w:after="0"/>
              <w:rPr>
                <w:spacing w:val="-5"/>
              </w:rPr>
            </w:pPr>
            <w:r>
              <w:rPr>
                <w:spacing w:val="-5"/>
              </w:rPr>
              <w:t>Za 1. pololetí 2023 vzrostla průměrně mzda mezi hlavními odvětvími nejvíce v</w:t>
            </w:r>
            <w:r>
              <w:rPr>
                <w:rFonts w:cs="Arial"/>
                <w:color w:val="0D0D0D" w:themeColor="text1" w:themeTint="F2"/>
                <w:spacing w:val="-4"/>
                <w:szCs w:val="20"/>
              </w:rPr>
              <w:t xml:space="preserve"> malém a na kvalifikační požadavky náročném odvětví energetiky</w:t>
            </w:r>
            <w:r>
              <w:rPr>
                <w:rStyle w:val="Znakapoznpodarou"/>
                <w:color w:val="0D0D0D" w:themeColor="text1" w:themeTint="F2"/>
                <w:spacing w:val="-4"/>
                <w:szCs w:val="20"/>
              </w:rPr>
              <w:footnoteReference w:id="73"/>
            </w:r>
            <w:r>
              <w:rPr>
                <w:rFonts w:cs="Arial"/>
                <w:color w:val="0D0D0D" w:themeColor="text1" w:themeTint="F2"/>
                <w:spacing w:val="-4"/>
                <w:szCs w:val="20"/>
              </w:rPr>
              <w:t xml:space="preserve"> (+18,7</w:t>
            </w:r>
            <w:r>
              <w:rPr>
                <w:spacing w:val="-5"/>
              </w:rPr>
              <w:t> </w:t>
            </w:r>
            <w:r>
              <w:rPr>
                <w:rFonts w:cs="Arial"/>
                <w:color w:val="0D0D0D" w:themeColor="text1" w:themeTint="F2"/>
                <w:spacing w:val="-4"/>
                <w:szCs w:val="20"/>
              </w:rPr>
              <w:t>%). V rekordním mzdovém tempu se promítly zejména mimořádné odměny vyplacené na počátku roku. Průměrná měsíční výše výdělků zde přesáhla 71 tis. korun a přiblížila se hladině v nejlépe placených odvětvích ekonomiky (finančnictví a oblasti ICT). Příznivé hospodářské výsledky v roce 2022 se stále odrážejí se svižném mzdovém tempu v těžbě a dobývání (+11 %). Mírně nadprůměrným tempem se letos, podobně jako po většinu loňského roku, zvyšovaly výdělky ve zpracovatelském průmyslu. Situace však zde byla</w:t>
            </w:r>
            <w:r>
              <w:rPr>
                <w:rStyle w:val="normaltextrun"/>
                <w:rFonts w:eastAsia="MS Gothic" w:cs="Arial"/>
                <w:szCs w:val="20"/>
              </w:rPr>
              <w:t xml:space="preserve"> v dílčích oborech v závislosti na hospodářské kondici firem dosti diferencovaná (mzdové tempo v elektrotechnice či výrobě aut bylo oproti výrobě stavebních materiálů skoro dvojnásobné). </w:t>
            </w:r>
          </w:p>
          <w:p w14:paraId="0C070588" w14:textId="77777777" w:rsidR="006A3CAF" w:rsidRPr="00D94F3D" w:rsidRDefault="006A3CAF" w:rsidP="00DA0121">
            <w:pPr>
              <w:spacing w:after="0"/>
              <w:rPr>
                <w:rFonts w:cs="Arial"/>
                <w:color w:val="0D0D0D" w:themeColor="text1" w:themeTint="F2"/>
                <w:spacing w:val="-4"/>
                <w:sz w:val="14"/>
                <w:szCs w:val="14"/>
              </w:rPr>
            </w:pPr>
          </w:p>
        </w:tc>
      </w:tr>
      <w:tr w:rsidR="006A3CAF" w:rsidRPr="00B43216" w14:paraId="39113BF6" w14:textId="77777777" w:rsidTr="00DA0121">
        <w:trPr>
          <w:trHeight w:val="132"/>
        </w:trPr>
        <w:tc>
          <w:tcPr>
            <w:tcW w:w="1754" w:type="dxa"/>
            <w:shd w:val="clear" w:color="auto" w:fill="auto"/>
            <w:tcMar>
              <w:left w:w="0" w:type="dxa"/>
            </w:tcMar>
          </w:tcPr>
          <w:p w14:paraId="3BC350BD" w14:textId="77777777" w:rsidR="006A3CAF" w:rsidRDefault="006A3CAF" w:rsidP="00DA0121">
            <w:pPr>
              <w:pStyle w:val="Marginlie"/>
              <w:rPr>
                <w:spacing w:val="-4"/>
              </w:rPr>
            </w:pPr>
            <w:r>
              <w:rPr>
                <w:spacing w:val="-4"/>
              </w:rPr>
              <w:t xml:space="preserve">Z tržních odvětví služeb narostly mzdy relativně nejvíce v oblasti nemovitostí a v odvětví ubytování, stravování a pohostinství. </w:t>
            </w:r>
          </w:p>
        </w:tc>
        <w:tc>
          <w:tcPr>
            <w:tcW w:w="220" w:type="dxa"/>
            <w:shd w:val="clear" w:color="auto" w:fill="auto"/>
            <w:tcMar>
              <w:left w:w="0" w:type="dxa"/>
            </w:tcMar>
          </w:tcPr>
          <w:p w14:paraId="4EFD2FC3" w14:textId="77777777" w:rsidR="006A3CAF" w:rsidRPr="00B43216" w:rsidRDefault="006A3CAF" w:rsidP="00DA0121">
            <w:pPr>
              <w:pStyle w:val="Textpoznpodarou"/>
              <w:jc w:val="both"/>
              <w:rPr>
                <w:spacing w:val="-4"/>
              </w:rPr>
            </w:pPr>
          </w:p>
        </w:tc>
        <w:tc>
          <w:tcPr>
            <w:tcW w:w="7700" w:type="dxa"/>
            <w:shd w:val="clear" w:color="auto" w:fill="auto"/>
            <w:tcMar>
              <w:left w:w="0" w:type="dxa"/>
            </w:tcMar>
          </w:tcPr>
          <w:p w14:paraId="621E2228" w14:textId="77777777" w:rsidR="006A3CAF" w:rsidRDefault="006A3CAF" w:rsidP="00DA0121">
            <w:pPr>
              <w:spacing w:after="200"/>
              <w:rPr>
                <w:rFonts w:cs="Arial"/>
                <w:color w:val="0D0D0D" w:themeColor="text1" w:themeTint="F2"/>
                <w:spacing w:val="-4"/>
                <w:szCs w:val="20"/>
              </w:rPr>
            </w:pPr>
            <w:r>
              <w:rPr>
                <w:rFonts w:cs="Arial"/>
                <w:color w:val="0D0D0D" w:themeColor="text1" w:themeTint="F2"/>
                <w:spacing w:val="-4"/>
                <w:szCs w:val="20"/>
              </w:rPr>
              <w:t>V rámci tržních odvětví služeb se letos pololetní průměrné mzdy zvýšily nejvíce ve váhově malém odvětví činnosti v oblasti nemovitostí (+10,7 % meziročně</w:t>
            </w:r>
            <w:r>
              <w:rPr>
                <w:rStyle w:val="Znakapoznpodarou"/>
                <w:color w:val="0D0D0D" w:themeColor="text1" w:themeTint="F2"/>
                <w:spacing w:val="-4"/>
                <w:szCs w:val="20"/>
              </w:rPr>
              <w:footnoteReference w:id="74"/>
            </w:r>
            <w:r>
              <w:rPr>
                <w:rFonts w:cs="Arial"/>
                <w:color w:val="0D0D0D" w:themeColor="text1" w:themeTint="F2"/>
                <w:spacing w:val="-4"/>
                <w:szCs w:val="20"/>
              </w:rPr>
              <w:t xml:space="preserve">) a jejich výše se přiblížila hranici 40 tis. korun. Naopak v ubytování, stravování a pohostinství nedosahovala ani 25 tis. korun, a to i přes vyšší mzdové tempo (+9,8 %) odrážející také pokračující zotavování příjezdového cestovního ruchu. Ve významných odvětvích obchodu či dopravy a skladování mzdová dynamika kopírovala situaci v celé ekonomice, zároveň šlo o jednu z mála oblastí </w:t>
            </w:r>
            <w:r w:rsidRPr="001A4C2E">
              <w:rPr>
                <w:rFonts w:cs="Arial"/>
                <w:color w:val="0D0D0D" w:themeColor="text1" w:themeTint="F2"/>
                <w:spacing w:val="-6"/>
                <w:szCs w:val="20"/>
              </w:rPr>
              <w:t>služeb, kde počet zaměstnanců nerostl (projevila se provázanost na slábnoucí zpracovatelský průmysl</w:t>
            </w:r>
            <w:r>
              <w:rPr>
                <w:rFonts w:cs="Arial"/>
                <w:color w:val="0D0D0D" w:themeColor="text1" w:themeTint="F2"/>
                <w:spacing w:val="-4"/>
                <w:szCs w:val="20"/>
              </w:rPr>
              <w:t>). Naopak nové zaměstnance (převážně agenturní pracovníky na pozice s nižší kvalifikací) nabíralo odvětví administrativní a podpůrné činnosti, což zde vyústilo ve slabší růst průměrných výdělků (7,1 %), jejichž měsíční výše nepřesáhla 30 tis. korun. Nejnižšího mzdového tempa docílilo odvětví ostatní činnosti</w:t>
            </w:r>
            <w:r>
              <w:rPr>
                <w:rStyle w:val="Znakapoznpodarou"/>
                <w:color w:val="0D0D0D" w:themeColor="text1" w:themeTint="F2"/>
                <w:spacing w:val="-4"/>
                <w:szCs w:val="20"/>
              </w:rPr>
              <w:footnoteReference w:id="75"/>
            </w:r>
            <w:r>
              <w:rPr>
                <w:rFonts w:cs="Arial"/>
                <w:color w:val="0D0D0D" w:themeColor="text1" w:themeTint="F2"/>
                <w:spacing w:val="-4"/>
                <w:szCs w:val="20"/>
              </w:rPr>
              <w:t xml:space="preserve"> (+3,8 %), absolutně jen 1 158 korun (tj. pouhá desetina přírůstku dosaženého v energetice). Nízké tempo lze vysvětlit výrazným oživením zaměstnanosti (+5,4 %), k němuž zde došlo poprvé od vzplanutí pandemie. </w:t>
            </w:r>
          </w:p>
        </w:tc>
      </w:tr>
      <w:tr w:rsidR="006A3CAF" w:rsidRPr="00716203" w14:paraId="61F8CEFA" w14:textId="77777777" w:rsidTr="00DA0121">
        <w:trPr>
          <w:trHeight w:val="132"/>
        </w:trPr>
        <w:tc>
          <w:tcPr>
            <w:tcW w:w="1754" w:type="dxa"/>
            <w:shd w:val="clear" w:color="auto" w:fill="auto"/>
            <w:tcMar>
              <w:left w:w="0" w:type="dxa"/>
            </w:tcMar>
          </w:tcPr>
          <w:p w14:paraId="653627A1" w14:textId="77777777" w:rsidR="006A3CAF" w:rsidRPr="00A90A79" w:rsidRDefault="006A3CAF" w:rsidP="00DA0121">
            <w:pPr>
              <w:pStyle w:val="Marginlie"/>
              <w:rPr>
                <w:spacing w:val="-4"/>
              </w:rPr>
            </w:pPr>
          </w:p>
        </w:tc>
        <w:tc>
          <w:tcPr>
            <w:tcW w:w="220" w:type="dxa"/>
            <w:shd w:val="clear" w:color="auto" w:fill="auto"/>
            <w:tcMar>
              <w:left w:w="0" w:type="dxa"/>
            </w:tcMar>
          </w:tcPr>
          <w:p w14:paraId="699B2E77" w14:textId="77777777" w:rsidR="006A3CAF" w:rsidRPr="00B43216" w:rsidRDefault="006A3CAF" w:rsidP="00DA0121">
            <w:pPr>
              <w:pStyle w:val="Textpoznpodarou"/>
              <w:jc w:val="both"/>
              <w:rPr>
                <w:spacing w:val="-4"/>
              </w:rPr>
            </w:pPr>
          </w:p>
        </w:tc>
        <w:tc>
          <w:tcPr>
            <w:tcW w:w="7700" w:type="dxa"/>
            <w:shd w:val="clear" w:color="auto" w:fill="auto"/>
            <w:tcMar>
              <w:left w:w="0" w:type="dxa"/>
            </w:tcMar>
          </w:tcPr>
          <w:p w14:paraId="0152896A" w14:textId="77777777" w:rsidR="006A3CAF" w:rsidRDefault="006A3CAF" w:rsidP="00DA0121">
            <w:pPr>
              <w:spacing w:after="0"/>
              <w:rPr>
                <w:b/>
                <w:spacing w:val="-4"/>
              </w:rPr>
            </w:pPr>
            <w:r w:rsidRPr="00A90A79">
              <w:rPr>
                <w:rFonts w:cs="Arial"/>
                <w:b/>
                <w:color w:val="0D0D0D" w:themeColor="text1" w:themeTint="F2"/>
                <w:spacing w:val="-4"/>
                <w:szCs w:val="20"/>
              </w:rPr>
              <w:t xml:space="preserve">Graf č. 15 </w:t>
            </w:r>
            <w:r w:rsidRPr="003E01D3">
              <w:rPr>
                <w:b/>
                <w:spacing w:val="-4"/>
              </w:rPr>
              <w:t>Průměrná nominální</w:t>
            </w:r>
            <w:r>
              <w:rPr>
                <w:b/>
                <w:spacing w:val="-4"/>
              </w:rPr>
              <w:t xml:space="preserve"> a </w:t>
            </w:r>
            <w:r w:rsidRPr="003E01D3">
              <w:rPr>
                <w:b/>
                <w:spacing w:val="-4"/>
              </w:rPr>
              <w:t>reálná mzda a</w:t>
            </w:r>
            <w:r>
              <w:rPr>
                <w:b/>
                <w:spacing w:val="-4"/>
              </w:rPr>
              <w:t> reálná produktivita práce</w:t>
            </w:r>
          </w:p>
          <w:p w14:paraId="566E567D" w14:textId="77777777" w:rsidR="006A3CAF" w:rsidRPr="00940D61" w:rsidRDefault="006A3CAF" w:rsidP="00DA0121">
            <w:pPr>
              <w:spacing w:after="0"/>
              <w:rPr>
                <w:rFonts w:cs="Arial"/>
                <w:b/>
                <w:color w:val="0D0D0D" w:themeColor="text1" w:themeTint="F2"/>
                <w:spacing w:val="-4"/>
                <w:szCs w:val="20"/>
              </w:rPr>
            </w:pPr>
            <w:r>
              <w:rPr>
                <w:spacing w:val="-4"/>
              </w:rPr>
              <w:t>(meziročně, v %, jednotlivá pololetí)</w:t>
            </w:r>
          </w:p>
        </w:tc>
      </w:tr>
      <w:tr w:rsidR="006A3CAF" w:rsidRPr="003E01D3" w14:paraId="404380F0" w14:textId="77777777" w:rsidTr="00DA0121">
        <w:tblPrEx>
          <w:tblCellMar>
            <w:left w:w="70" w:type="dxa"/>
            <w:right w:w="70" w:type="dxa"/>
          </w:tblCellMar>
        </w:tblPrEx>
        <w:trPr>
          <w:trHeight w:val="132"/>
        </w:trPr>
        <w:tc>
          <w:tcPr>
            <w:tcW w:w="1754" w:type="dxa"/>
            <w:shd w:val="clear" w:color="auto" w:fill="auto"/>
          </w:tcPr>
          <w:p w14:paraId="212942C2" w14:textId="77777777" w:rsidR="006A3CAF" w:rsidRPr="00A90A79" w:rsidRDefault="006A3CAF" w:rsidP="00DA0121">
            <w:pPr>
              <w:pStyle w:val="Marginlie"/>
              <w:rPr>
                <w:spacing w:val="-4"/>
              </w:rPr>
            </w:pPr>
          </w:p>
        </w:tc>
        <w:tc>
          <w:tcPr>
            <w:tcW w:w="220" w:type="dxa"/>
            <w:shd w:val="clear" w:color="auto" w:fill="auto"/>
          </w:tcPr>
          <w:p w14:paraId="46F2E292" w14:textId="77777777" w:rsidR="006A3CAF" w:rsidRPr="00B43216" w:rsidRDefault="006A3CAF" w:rsidP="00DA0121">
            <w:pPr>
              <w:pStyle w:val="Textpoznpodarou"/>
              <w:jc w:val="both"/>
              <w:rPr>
                <w:spacing w:val="-4"/>
              </w:rPr>
            </w:pPr>
          </w:p>
        </w:tc>
        <w:tc>
          <w:tcPr>
            <w:tcW w:w="7700" w:type="dxa"/>
            <w:shd w:val="clear" w:color="auto" w:fill="auto"/>
          </w:tcPr>
          <w:p w14:paraId="6EEAC990" w14:textId="77777777" w:rsidR="006A3CAF" w:rsidRPr="00A90A79" w:rsidRDefault="006A3CAF" w:rsidP="00DA0121">
            <w:pPr>
              <w:spacing w:after="0" w:line="240" w:lineRule="auto"/>
              <w:rPr>
                <w:rFonts w:cs="Arial"/>
                <w:color w:val="0D0D0D" w:themeColor="text1" w:themeTint="F2"/>
                <w:spacing w:val="-4"/>
                <w:sz w:val="14"/>
                <w:szCs w:val="14"/>
              </w:rPr>
            </w:pPr>
            <w:r>
              <w:rPr>
                <w:noProof/>
              </w:rPr>
              <w:drawing>
                <wp:inline distT="0" distB="0" distL="0" distR="0" wp14:anchorId="52DF4FDF" wp14:editId="5C080AA8">
                  <wp:extent cx="4794250" cy="3541595"/>
                  <wp:effectExtent l="0" t="0" r="6350" b="190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A3CAF" w:rsidRPr="00F6560A" w14:paraId="7C8DF60B" w14:textId="77777777" w:rsidTr="00DA0121">
        <w:trPr>
          <w:trHeight w:val="132"/>
        </w:trPr>
        <w:tc>
          <w:tcPr>
            <w:tcW w:w="1754" w:type="dxa"/>
            <w:shd w:val="clear" w:color="auto" w:fill="auto"/>
            <w:tcMar>
              <w:left w:w="0" w:type="dxa"/>
            </w:tcMar>
          </w:tcPr>
          <w:p w14:paraId="78B6591E" w14:textId="77777777" w:rsidR="006A3CAF" w:rsidRPr="00A90A79" w:rsidRDefault="006A3CAF" w:rsidP="00DA0121">
            <w:pPr>
              <w:pStyle w:val="Marginlie"/>
              <w:rPr>
                <w:spacing w:val="-4"/>
              </w:rPr>
            </w:pPr>
          </w:p>
        </w:tc>
        <w:tc>
          <w:tcPr>
            <w:tcW w:w="220" w:type="dxa"/>
            <w:shd w:val="clear" w:color="auto" w:fill="auto"/>
            <w:tcMar>
              <w:left w:w="0" w:type="dxa"/>
            </w:tcMar>
          </w:tcPr>
          <w:p w14:paraId="0685BD40" w14:textId="77777777" w:rsidR="006A3CAF" w:rsidRPr="00B43216" w:rsidRDefault="006A3CAF" w:rsidP="00DA0121">
            <w:pPr>
              <w:pStyle w:val="Textpoznpodarou"/>
              <w:jc w:val="both"/>
              <w:rPr>
                <w:spacing w:val="-4"/>
              </w:rPr>
            </w:pPr>
          </w:p>
        </w:tc>
        <w:tc>
          <w:tcPr>
            <w:tcW w:w="7700" w:type="dxa"/>
            <w:shd w:val="clear" w:color="auto" w:fill="auto"/>
            <w:tcMar>
              <w:left w:w="0" w:type="dxa"/>
            </w:tcMar>
          </w:tcPr>
          <w:p w14:paraId="53BA02B6" w14:textId="77777777" w:rsidR="006A3CAF" w:rsidRDefault="006A3CAF" w:rsidP="00DA0121">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w:t>
            </w:r>
            <w:r w:rsidRPr="00A90A79">
              <w:rPr>
                <w:rFonts w:cs="Arial"/>
                <w:color w:val="0D0D0D" w:themeColor="text1" w:themeTint="F2"/>
                <w:spacing w:val="-4"/>
                <w:sz w:val="14"/>
                <w:szCs w:val="14"/>
              </w:rPr>
              <w:t>Zahrnuj</w:t>
            </w:r>
            <w:r>
              <w:rPr>
                <w:rFonts w:cs="Arial"/>
                <w:color w:val="0D0D0D" w:themeColor="text1" w:themeTint="F2"/>
                <w:spacing w:val="-4"/>
                <w:sz w:val="14"/>
                <w:szCs w:val="14"/>
              </w:rPr>
              <w:t>e odvětví s významnou rolí vládního sektoru</w:t>
            </w:r>
            <w:r w:rsidRPr="00A90A79">
              <w:rPr>
                <w:rFonts w:cs="Arial"/>
                <w:color w:val="0D0D0D" w:themeColor="text1" w:themeTint="F2"/>
                <w:spacing w:val="-4"/>
                <w:sz w:val="14"/>
                <w:szCs w:val="14"/>
              </w:rPr>
              <w:t>: Veřejná správa a obrana, povinné sociální zabezpečení; Vzdělávání; Zdravotní a sociální péče; Kulturn</w:t>
            </w:r>
            <w:r>
              <w:rPr>
                <w:rFonts w:cs="Arial"/>
                <w:color w:val="0D0D0D" w:themeColor="text1" w:themeTint="F2"/>
                <w:spacing w:val="-4"/>
                <w:sz w:val="14"/>
                <w:szCs w:val="14"/>
              </w:rPr>
              <w:t>í, zábavní a rekreační činnosti.</w:t>
            </w:r>
          </w:p>
          <w:p w14:paraId="2206DE61" w14:textId="77777777" w:rsidR="006A3CAF" w:rsidRPr="00A90A79" w:rsidRDefault="006A3CAF" w:rsidP="00DA0121">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 xml:space="preserve">**Vyjadřuje reálný HDP vztažený na 1 pracovníka (ve fyzických osobách)                                                                                </w:t>
            </w:r>
            <w:r w:rsidRPr="00A90A79">
              <w:rPr>
                <w:rFonts w:cs="Arial"/>
                <w:color w:val="0D0D0D" w:themeColor="text1" w:themeTint="F2"/>
                <w:spacing w:val="-4"/>
                <w:sz w:val="14"/>
                <w:szCs w:val="14"/>
              </w:rPr>
              <w:t>Zdroj: ČSÚ</w:t>
            </w:r>
          </w:p>
        </w:tc>
      </w:tr>
      <w:tr w:rsidR="006A3CAF" w:rsidRPr="007A01D2" w14:paraId="492BD43E" w14:textId="77777777" w:rsidTr="00DA0121">
        <w:trPr>
          <w:trHeight w:val="132"/>
        </w:trPr>
        <w:tc>
          <w:tcPr>
            <w:tcW w:w="1754" w:type="dxa"/>
            <w:shd w:val="clear" w:color="auto" w:fill="auto"/>
            <w:tcMar>
              <w:left w:w="0" w:type="dxa"/>
            </w:tcMar>
          </w:tcPr>
          <w:p w14:paraId="6D24F6C9" w14:textId="7E8376D7" w:rsidR="006A3CAF" w:rsidRPr="00B6005F" w:rsidRDefault="006A3CAF" w:rsidP="00DA0121">
            <w:pPr>
              <w:pStyle w:val="Marginlie"/>
            </w:pPr>
            <w:r>
              <w:t>Souhrnný</w:t>
            </w:r>
            <w:r w:rsidRPr="00B6005F">
              <w:t xml:space="preserve"> </w:t>
            </w:r>
            <w:r>
              <w:t>mzdový růst</w:t>
            </w:r>
            <w:r w:rsidRPr="00B6005F">
              <w:t xml:space="preserve"> v o</w:t>
            </w:r>
            <w:r>
              <w:t>dvětvích s význam</w:t>
            </w:r>
            <w:r w:rsidR="00FA2C07">
              <w:t xml:space="preserve">nou rolí státu </w:t>
            </w:r>
            <w:r w:rsidRPr="00B6005F">
              <w:t>za úrovní celé ekonomiky</w:t>
            </w:r>
            <w:r w:rsidR="00FA2C07">
              <w:t xml:space="preserve"> nadále zaostával</w:t>
            </w:r>
            <w:r>
              <w:t>.</w:t>
            </w:r>
          </w:p>
          <w:p w14:paraId="3E1C6159" w14:textId="77777777" w:rsidR="006A3CAF" w:rsidRPr="007A01D2" w:rsidRDefault="006A3CAF" w:rsidP="00DA0121">
            <w:pPr>
              <w:pStyle w:val="Marginlie"/>
              <w:rPr>
                <w:color w:val="0D0D0D" w:themeColor="text1" w:themeTint="F2"/>
              </w:rPr>
            </w:pPr>
          </w:p>
        </w:tc>
        <w:tc>
          <w:tcPr>
            <w:tcW w:w="220" w:type="dxa"/>
            <w:shd w:val="clear" w:color="auto" w:fill="auto"/>
            <w:tcMar>
              <w:left w:w="0" w:type="dxa"/>
            </w:tcMar>
          </w:tcPr>
          <w:p w14:paraId="61CF7590" w14:textId="77777777" w:rsidR="006A3CAF" w:rsidRPr="007A01D2" w:rsidRDefault="006A3CAF" w:rsidP="00DA0121">
            <w:pPr>
              <w:pStyle w:val="Textpoznpodarou"/>
              <w:jc w:val="both"/>
              <w:rPr>
                <w:rFonts w:eastAsia="Times New Roman"/>
                <w:i/>
                <w:color w:val="0D0D0D" w:themeColor="text1" w:themeTint="F2"/>
                <w:spacing w:val="-4"/>
                <w:sz w:val="16"/>
                <w:szCs w:val="16"/>
              </w:rPr>
            </w:pPr>
          </w:p>
        </w:tc>
        <w:tc>
          <w:tcPr>
            <w:tcW w:w="7700" w:type="dxa"/>
            <w:shd w:val="clear" w:color="auto" w:fill="auto"/>
            <w:tcMar>
              <w:left w:w="0" w:type="dxa"/>
            </w:tcMar>
          </w:tcPr>
          <w:p w14:paraId="6EDDF42B" w14:textId="77777777" w:rsidR="006A3CAF" w:rsidRDefault="006A3CAF" w:rsidP="00DA0121">
            <w:pPr>
              <w:spacing w:after="0"/>
              <w:rPr>
                <w:rFonts w:cs="Arial"/>
                <w:color w:val="0D0D0D" w:themeColor="text1" w:themeTint="F2"/>
                <w:spacing w:val="-4"/>
                <w:szCs w:val="20"/>
              </w:rPr>
            </w:pPr>
            <w:r>
              <w:rPr>
                <w:rFonts w:cs="Arial"/>
                <w:color w:val="0D0D0D" w:themeColor="text1" w:themeTint="F2"/>
                <w:spacing w:val="-4"/>
                <w:szCs w:val="20"/>
              </w:rPr>
              <w:t xml:space="preserve">Mzdy </w:t>
            </w:r>
            <w:r w:rsidRPr="006A0EFB">
              <w:rPr>
                <w:rFonts w:cs="Arial"/>
                <w:color w:val="0D0D0D" w:themeColor="text1" w:themeTint="F2"/>
                <w:spacing w:val="-4"/>
                <w:szCs w:val="20"/>
              </w:rPr>
              <w:t>v odvětvích s významnou rolí státu</w:t>
            </w:r>
            <w:r w:rsidRPr="006A0EFB">
              <w:rPr>
                <w:rStyle w:val="Znakapoznpodarou"/>
                <w:color w:val="0D0D0D" w:themeColor="text1" w:themeTint="F2"/>
                <w:spacing w:val="-4"/>
                <w:szCs w:val="20"/>
              </w:rPr>
              <w:footnoteReference w:id="76"/>
            </w:r>
            <w:r w:rsidRPr="006A0EFB">
              <w:rPr>
                <w:rFonts w:cs="Arial"/>
                <w:color w:val="0D0D0D" w:themeColor="text1" w:themeTint="F2"/>
                <w:spacing w:val="-4"/>
                <w:szCs w:val="20"/>
              </w:rPr>
              <w:t xml:space="preserve"> rostly </w:t>
            </w:r>
            <w:r>
              <w:rPr>
                <w:rFonts w:cs="Arial"/>
                <w:color w:val="0D0D0D" w:themeColor="text1" w:themeTint="F2"/>
                <w:spacing w:val="-4"/>
                <w:szCs w:val="20"/>
              </w:rPr>
              <w:t xml:space="preserve">letos meziročně v 1. pololetí, stejně jako po celý loňský rok, podprůměrně (+6,7 %) a k růstu mzdy v celé ekonomice tak přispívaly negativně (-0,5 p. b.). Nejvyšší úroveň i dynamiku výdělků (+9,7 %) zaznamenala veřejná správa (vč. obrany a </w:t>
            </w:r>
            <w:r w:rsidRPr="00D16130">
              <w:rPr>
                <w:rFonts w:cs="Arial"/>
                <w:color w:val="0D0D0D" w:themeColor="text1" w:themeTint="F2"/>
                <w:spacing w:val="-4"/>
                <w:szCs w:val="20"/>
              </w:rPr>
              <w:t>povinné</w:t>
            </w:r>
            <w:r>
              <w:rPr>
                <w:rFonts w:cs="Arial"/>
                <w:color w:val="0D0D0D" w:themeColor="text1" w:themeTint="F2"/>
                <w:spacing w:val="-4"/>
                <w:szCs w:val="20"/>
              </w:rPr>
              <w:t>ho</w:t>
            </w:r>
            <w:r w:rsidRPr="00D16130">
              <w:rPr>
                <w:rFonts w:cs="Arial"/>
                <w:color w:val="0D0D0D" w:themeColor="text1" w:themeTint="F2"/>
                <w:spacing w:val="-4"/>
                <w:szCs w:val="20"/>
              </w:rPr>
              <w:t xml:space="preserve"> sociální</w:t>
            </w:r>
            <w:r>
              <w:rPr>
                <w:rFonts w:cs="Arial"/>
                <w:color w:val="0D0D0D" w:themeColor="text1" w:themeTint="F2"/>
                <w:spacing w:val="-4"/>
                <w:szCs w:val="20"/>
              </w:rPr>
              <w:t>ho</w:t>
            </w:r>
            <w:r w:rsidRPr="00D16130">
              <w:rPr>
                <w:rFonts w:cs="Arial"/>
                <w:color w:val="0D0D0D" w:themeColor="text1" w:themeTint="F2"/>
                <w:spacing w:val="-4"/>
                <w:szCs w:val="20"/>
              </w:rPr>
              <w:t xml:space="preserve"> zabezpečení</w:t>
            </w:r>
            <w:r>
              <w:rPr>
                <w:rFonts w:cs="Arial"/>
                <w:color w:val="0D0D0D" w:themeColor="text1" w:themeTint="F2"/>
                <w:spacing w:val="-4"/>
                <w:szCs w:val="20"/>
              </w:rPr>
              <w:t>), kde však došlo v předchozích dvou letech k faktickému zmrazení platové úrovně. Opačně na tom bylo vzdělávání, kde se po silném mzdovém růstu v předchozím období (2018 až 2021) projevilo citelné zpomalení tempa (letos +4,3 %</w:t>
            </w:r>
            <w:r>
              <w:rPr>
                <w:rStyle w:val="Znakapoznpodarou"/>
                <w:color w:val="0D0D0D" w:themeColor="text1" w:themeTint="F2"/>
                <w:spacing w:val="-4"/>
                <w:szCs w:val="20"/>
              </w:rPr>
              <w:footnoteReference w:id="77"/>
            </w:r>
            <w:r>
              <w:rPr>
                <w:rFonts w:cs="Arial"/>
                <w:color w:val="0D0D0D" w:themeColor="text1" w:themeTint="F2"/>
                <w:spacing w:val="-4"/>
                <w:szCs w:val="20"/>
              </w:rPr>
              <w:t>) a pololetní mzdová úroveň nedosahovala ani 40 tis. korun měsíčně. Vyšší, ale stále podprůměrná tempa vykázaly letos výdělky v oblasti zdravotní a sociální péče a také v kulturních, zábavních a rekreačních činnostech.</w:t>
            </w:r>
          </w:p>
          <w:p w14:paraId="53ED142D" w14:textId="77777777" w:rsidR="006A3CAF" w:rsidRPr="007A01D2" w:rsidRDefault="006A3CAF" w:rsidP="00DA0121">
            <w:pPr>
              <w:spacing w:after="0"/>
              <w:rPr>
                <w:rFonts w:cs="Arial"/>
                <w:color w:val="0D0D0D" w:themeColor="text1" w:themeTint="F2"/>
                <w:spacing w:val="-4"/>
                <w:szCs w:val="20"/>
              </w:rPr>
            </w:pPr>
          </w:p>
        </w:tc>
      </w:tr>
      <w:tr w:rsidR="006A3CAF" w:rsidRPr="00D94F3D" w14:paraId="622134C5" w14:textId="77777777" w:rsidTr="00DA0121">
        <w:trPr>
          <w:trHeight w:val="132"/>
        </w:trPr>
        <w:tc>
          <w:tcPr>
            <w:tcW w:w="1754" w:type="dxa"/>
            <w:shd w:val="clear" w:color="auto" w:fill="auto"/>
            <w:tcMar>
              <w:left w:w="0" w:type="dxa"/>
            </w:tcMar>
          </w:tcPr>
          <w:p w14:paraId="317A3CD2" w14:textId="77777777" w:rsidR="006A3CAF" w:rsidRPr="00B6005F" w:rsidRDefault="006A3CAF" w:rsidP="00DA0121">
            <w:pPr>
              <w:pStyle w:val="Marginlie"/>
            </w:pPr>
            <w:r>
              <w:t>Celková mzdová diferenciace se letos nepatrně prohloubila.</w:t>
            </w:r>
          </w:p>
        </w:tc>
        <w:tc>
          <w:tcPr>
            <w:tcW w:w="220" w:type="dxa"/>
            <w:shd w:val="clear" w:color="auto" w:fill="auto"/>
            <w:tcMar>
              <w:left w:w="0" w:type="dxa"/>
            </w:tcMar>
          </w:tcPr>
          <w:p w14:paraId="397C0627" w14:textId="77777777" w:rsidR="006A3CAF" w:rsidRPr="00E47D75" w:rsidRDefault="006A3CAF" w:rsidP="00DA0121">
            <w:pPr>
              <w:pStyle w:val="Textpoznpodarou"/>
              <w:jc w:val="both"/>
              <w:rPr>
                <w:rFonts w:eastAsia="Times New Roman"/>
                <w:i/>
                <w:spacing w:val="-4"/>
                <w:sz w:val="16"/>
                <w:szCs w:val="16"/>
              </w:rPr>
            </w:pPr>
          </w:p>
        </w:tc>
        <w:tc>
          <w:tcPr>
            <w:tcW w:w="7700" w:type="dxa"/>
            <w:shd w:val="clear" w:color="auto" w:fill="auto"/>
            <w:tcMar>
              <w:left w:w="0" w:type="dxa"/>
            </w:tcMar>
          </w:tcPr>
          <w:p w14:paraId="6604D30B" w14:textId="394D69DB" w:rsidR="006A3CAF" w:rsidRPr="00984CCD" w:rsidRDefault="006A3CAF" w:rsidP="00DE6209">
            <w:pPr>
              <w:spacing w:after="0"/>
              <w:rPr>
                <w:rFonts w:cs="Arial"/>
                <w:color w:val="0D0D0D" w:themeColor="text1" w:themeTint="F2"/>
                <w:spacing w:val="-4"/>
                <w:szCs w:val="20"/>
              </w:rPr>
            </w:pPr>
            <w:r>
              <w:rPr>
                <w:rFonts w:cs="Arial"/>
                <w:color w:val="0D0D0D" w:themeColor="text1" w:themeTint="F2"/>
                <w:spacing w:val="-4"/>
                <w:szCs w:val="20"/>
              </w:rPr>
              <w:t>Medián m</w:t>
            </w:r>
            <w:r w:rsidRPr="00984CCD">
              <w:rPr>
                <w:rFonts w:cs="Arial"/>
                <w:color w:val="0D0D0D" w:themeColor="text1" w:themeTint="F2"/>
                <w:spacing w:val="-4"/>
                <w:szCs w:val="20"/>
              </w:rPr>
              <w:t>zd</w:t>
            </w:r>
            <w:r>
              <w:rPr>
                <w:rFonts w:cs="Arial"/>
                <w:color w:val="0D0D0D" w:themeColor="text1" w:themeTint="F2"/>
                <w:spacing w:val="-4"/>
                <w:szCs w:val="20"/>
              </w:rPr>
              <w:t>y</w:t>
            </w:r>
            <w:r w:rsidRPr="00984CCD">
              <w:rPr>
                <w:rFonts w:cs="Arial"/>
                <w:color w:val="0D0D0D" w:themeColor="text1" w:themeTint="F2"/>
                <w:spacing w:val="-4"/>
                <w:szCs w:val="20"/>
              </w:rPr>
              <w:t xml:space="preserve"> v celé ekonomice se v 2. čtvrtletí 2023 meziročně zvýšil o 7,8 %</w:t>
            </w:r>
            <w:r w:rsidR="00DE6209">
              <w:rPr>
                <w:rFonts w:cs="Arial"/>
                <w:color w:val="0D0D0D" w:themeColor="text1" w:themeTint="F2"/>
                <w:spacing w:val="-4"/>
                <w:szCs w:val="20"/>
              </w:rPr>
              <w:t xml:space="preserve">. </w:t>
            </w:r>
            <w:r w:rsidRPr="00984CCD">
              <w:rPr>
                <w:rFonts w:cs="Arial"/>
                <w:color w:val="0D0D0D" w:themeColor="text1" w:themeTint="F2"/>
                <w:spacing w:val="-4"/>
                <w:szCs w:val="20"/>
              </w:rPr>
              <w:t xml:space="preserve">Medián </w:t>
            </w:r>
            <w:r>
              <w:rPr>
                <w:rFonts w:cs="Arial"/>
                <w:color w:val="0D0D0D" w:themeColor="text1" w:themeTint="F2"/>
                <w:spacing w:val="-4"/>
                <w:szCs w:val="20"/>
              </w:rPr>
              <w:t xml:space="preserve">mzdy mužů </w:t>
            </w:r>
            <w:r w:rsidR="00DE6209">
              <w:rPr>
                <w:rFonts w:cs="Arial"/>
                <w:color w:val="0D0D0D" w:themeColor="text1" w:themeTint="F2"/>
                <w:spacing w:val="-4"/>
                <w:szCs w:val="20"/>
              </w:rPr>
              <w:t xml:space="preserve">tak </w:t>
            </w:r>
            <w:r>
              <w:rPr>
                <w:rFonts w:cs="Arial"/>
                <w:color w:val="0D0D0D" w:themeColor="text1" w:themeTint="F2"/>
                <w:spacing w:val="-4"/>
                <w:szCs w:val="20"/>
              </w:rPr>
              <w:t>činil</w:t>
            </w:r>
            <w:r w:rsidRPr="00984CCD">
              <w:rPr>
                <w:rFonts w:cs="Arial"/>
                <w:color w:val="0D0D0D" w:themeColor="text1" w:themeTint="F2"/>
                <w:spacing w:val="-4"/>
                <w:szCs w:val="20"/>
              </w:rPr>
              <w:t xml:space="preserve"> měsíčně 39,8 tis. korun, u žen</w:t>
            </w:r>
            <w:r w:rsidR="00DE6209">
              <w:rPr>
                <w:rFonts w:cs="Arial"/>
                <w:color w:val="0D0D0D" w:themeColor="text1" w:themeTint="F2"/>
                <w:spacing w:val="-4"/>
                <w:szCs w:val="20"/>
              </w:rPr>
              <w:t xml:space="preserve"> dosahoval</w:t>
            </w:r>
            <w:r w:rsidRPr="00984CCD">
              <w:rPr>
                <w:rFonts w:cs="Arial"/>
                <w:color w:val="0D0D0D" w:themeColor="text1" w:themeTint="F2"/>
                <w:spacing w:val="-4"/>
                <w:szCs w:val="20"/>
              </w:rPr>
              <w:t xml:space="preserve"> 33,9 tis. korun. </w:t>
            </w:r>
            <w:r w:rsidR="00FA2C07">
              <w:rPr>
                <w:rFonts w:cs="Arial"/>
                <w:color w:val="0D0D0D" w:themeColor="text1" w:themeTint="F2"/>
                <w:spacing w:val="-4"/>
                <w:szCs w:val="20"/>
              </w:rPr>
              <w:t>Jestliže</w:t>
            </w:r>
            <w:r>
              <w:rPr>
                <w:rFonts w:cs="Arial"/>
                <w:color w:val="0D0D0D" w:themeColor="text1" w:themeTint="F2"/>
                <w:spacing w:val="-4"/>
                <w:szCs w:val="20"/>
              </w:rPr>
              <w:t xml:space="preserve"> </w:t>
            </w:r>
            <w:r>
              <w:rPr>
                <w:rFonts w:cs="Arial"/>
                <w:color w:val="0D0D0D" w:themeColor="text1" w:themeTint="F2"/>
                <w:spacing w:val="-4"/>
                <w:szCs w:val="20"/>
              </w:rPr>
              <w:br/>
              <w:t>v 1. čtvrtletí 2023 (shodně jako po celý loňský rok) rostly procentuálně rychleji výdělky mužů, v následujícím kvartálu se situace obrátila.</w:t>
            </w:r>
            <w:r>
              <w:rPr>
                <w:rFonts w:cs="Arial"/>
                <w:color w:val="0D0D0D" w:themeColor="text1" w:themeTint="F2"/>
                <w:spacing w:val="-2"/>
                <w:szCs w:val="20"/>
              </w:rPr>
              <w:t xml:space="preserve"> Mezera mediánových mezd</w:t>
            </w:r>
            <w:r w:rsidRPr="00984CCD">
              <w:rPr>
                <w:rFonts w:cs="Arial"/>
                <w:color w:val="0D0D0D" w:themeColor="text1" w:themeTint="F2"/>
                <w:spacing w:val="-2"/>
                <w:szCs w:val="20"/>
              </w:rPr>
              <w:t xml:space="preserve"> mezi </w:t>
            </w:r>
            <w:r>
              <w:rPr>
                <w:rFonts w:cs="Arial"/>
                <w:color w:val="0D0D0D" w:themeColor="text1" w:themeTint="F2"/>
                <w:spacing w:val="-2"/>
                <w:szCs w:val="20"/>
              </w:rPr>
              <w:t xml:space="preserve">oběma </w:t>
            </w:r>
            <w:r w:rsidRPr="00984CCD">
              <w:rPr>
                <w:rFonts w:cs="Arial"/>
                <w:color w:val="0D0D0D" w:themeColor="text1" w:themeTint="F2"/>
                <w:spacing w:val="-2"/>
                <w:szCs w:val="20"/>
              </w:rPr>
              <w:t>pohlav</w:t>
            </w:r>
            <w:r>
              <w:rPr>
                <w:rFonts w:cs="Arial"/>
                <w:color w:val="0D0D0D" w:themeColor="text1" w:themeTint="F2"/>
                <w:spacing w:val="-2"/>
                <w:szCs w:val="20"/>
              </w:rPr>
              <w:t>ími dosahovala</w:t>
            </w:r>
            <w:r w:rsidRPr="00984CCD">
              <w:rPr>
                <w:rFonts w:cs="Arial"/>
                <w:color w:val="0D0D0D" w:themeColor="text1" w:themeTint="F2"/>
                <w:spacing w:val="-2"/>
                <w:szCs w:val="20"/>
              </w:rPr>
              <w:t xml:space="preserve"> </w:t>
            </w:r>
            <w:r>
              <w:rPr>
                <w:rFonts w:cs="Arial"/>
                <w:color w:val="0D0D0D" w:themeColor="text1" w:themeTint="F2"/>
                <w:spacing w:val="-2"/>
                <w:szCs w:val="20"/>
              </w:rPr>
              <w:t>ve 2. čtvrtletí rovných 15 %</w:t>
            </w:r>
            <w:r w:rsidRPr="00984CCD">
              <w:rPr>
                <w:rFonts w:cs="Arial"/>
                <w:color w:val="0D0D0D" w:themeColor="text1" w:themeTint="F2"/>
                <w:spacing w:val="-2"/>
                <w:szCs w:val="20"/>
              </w:rPr>
              <w:t xml:space="preserve">. </w:t>
            </w:r>
            <w:r>
              <w:rPr>
                <w:rFonts w:cs="Arial"/>
                <w:color w:val="0D0D0D" w:themeColor="text1" w:themeTint="F2"/>
                <w:spacing w:val="-2"/>
                <w:szCs w:val="20"/>
              </w:rPr>
              <w:t xml:space="preserve">Celkové mzdové diference se meziročně nepatrně zvýšily. V obou letošních kvartálech totiž rostla hodnota nejvyššího mzdového decilu rychleji než dolního decilu. Medián mzdy vysoce kvalifikovaných pracovníků posiloval díky svižnému růstu výdělků vedoucích a řídících pracovníků (za </w:t>
            </w:r>
            <w:r>
              <w:rPr>
                <w:rFonts w:cs="Arial"/>
                <w:color w:val="0D0D0D" w:themeColor="text1" w:themeTint="F2"/>
                <w:spacing w:val="-2"/>
                <w:szCs w:val="20"/>
              </w:rPr>
              <w:br/>
              <w:t>1. pololetí meziročně +8,3 %), současně byl však tlumen slabší dynamikou mezd specialistů (+5,3</w:t>
            </w:r>
            <w:r w:rsidRPr="00984CCD">
              <w:rPr>
                <w:rFonts w:cs="Arial"/>
                <w:color w:val="0D0D0D" w:themeColor="text1" w:themeTint="F2"/>
                <w:spacing w:val="-4"/>
                <w:szCs w:val="20"/>
              </w:rPr>
              <w:t> </w:t>
            </w:r>
            <w:r>
              <w:rPr>
                <w:rFonts w:cs="Arial"/>
                <w:color w:val="0D0D0D" w:themeColor="text1" w:themeTint="F2"/>
                <w:spacing w:val="-2"/>
                <w:szCs w:val="20"/>
              </w:rPr>
              <w:t xml:space="preserve">%), do níž výrazněji promlouval střídmější růst výdělků v rozpočtové sféře. </w:t>
            </w:r>
          </w:p>
        </w:tc>
      </w:tr>
    </w:tbl>
    <w:p w14:paraId="2EF2595C" w14:textId="77777777" w:rsidR="006A3CAF" w:rsidRPr="00DF0187" w:rsidRDefault="006A3CAF" w:rsidP="006A3CAF">
      <w:pPr>
        <w:pStyle w:val="Nadpis11"/>
        <w:spacing w:after="120"/>
        <w:rPr>
          <w:b w:val="0"/>
          <w:sz w:val="2"/>
          <w:szCs w:val="2"/>
        </w:rPr>
      </w:pPr>
    </w:p>
    <w:p w14:paraId="559BE47B" w14:textId="77777777" w:rsidR="006A3CAF" w:rsidRDefault="006A3CAF">
      <w:pPr>
        <w:spacing w:after="0" w:line="240" w:lineRule="auto"/>
        <w:jc w:val="left"/>
        <w:rPr>
          <w:rFonts w:eastAsia="MS Gothic"/>
          <w:b/>
          <w:bCs/>
          <w:color w:val="71818C"/>
          <w:sz w:val="32"/>
          <w:szCs w:val="28"/>
        </w:rPr>
      </w:pPr>
      <w:r>
        <w:br w:type="page"/>
      </w:r>
    </w:p>
    <w:p w14:paraId="54884D28" w14:textId="795539EB" w:rsidR="00C6020C" w:rsidRDefault="00C6020C" w:rsidP="00C6020C">
      <w:pPr>
        <w:pStyle w:val="Nadpis11"/>
        <w:spacing w:after="120"/>
      </w:pPr>
      <w:bookmarkStart w:id="38" w:name="_Toc145581252"/>
      <w:r>
        <w:t>7. Měnové podmínky</w:t>
      </w:r>
      <w:bookmarkEnd w:id="38"/>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C6020C" w:rsidRPr="0037004A" w14:paraId="741B6399" w14:textId="77777777" w:rsidTr="006849F8">
        <w:trPr>
          <w:trHeight w:val="145"/>
        </w:trPr>
        <w:tc>
          <w:tcPr>
            <w:tcW w:w="1802" w:type="dxa"/>
          </w:tcPr>
          <w:p w14:paraId="0C04DAAA" w14:textId="77777777" w:rsidR="00C6020C" w:rsidRDefault="00C6020C" w:rsidP="006849F8">
            <w:pPr>
              <w:pStyle w:val="Marginlie"/>
              <w:rPr>
                <w:lang w:eastAsia="en-US"/>
              </w:rPr>
            </w:pPr>
            <w:r>
              <w:rPr>
                <w:lang w:eastAsia="en-US"/>
              </w:rPr>
              <w:t xml:space="preserve">Kurz koruny vůči dolaru </w:t>
            </w:r>
            <w:r>
              <w:rPr>
                <w:lang w:eastAsia="en-US"/>
              </w:rPr>
              <w:br/>
              <w:t>i euru ve 2. čtvrtletí posiloval.</w:t>
            </w:r>
          </w:p>
        </w:tc>
        <w:tc>
          <w:tcPr>
            <w:tcW w:w="229" w:type="dxa"/>
          </w:tcPr>
          <w:p w14:paraId="31456B26" w14:textId="77777777" w:rsidR="00C6020C" w:rsidRDefault="00C6020C" w:rsidP="006849F8">
            <w:pPr>
              <w:pStyle w:val="Textpoznpodarou"/>
              <w:jc w:val="both"/>
              <w:rPr>
                <w:spacing w:val="-4"/>
                <w:lang w:eastAsia="en-US"/>
              </w:rPr>
            </w:pPr>
          </w:p>
        </w:tc>
        <w:tc>
          <w:tcPr>
            <w:tcW w:w="7610" w:type="dxa"/>
          </w:tcPr>
          <w:p w14:paraId="4F2C5DE8" w14:textId="77777777" w:rsidR="00C6020C" w:rsidRPr="0037004A" w:rsidRDefault="00C6020C" w:rsidP="006849F8">
            <w:pPr>
              <w:rPr>
                <w:spacing w:val="-2"/>
                <w:lang w:eastAsia="en-US"/>
              </w:rPr>
            </w:pPr>
            <w:r>
              <w:rPr>
                <w:spacing w:val="-2"/>
                <w:lang w:eastAsia="en-US"/>
              </w:rPr>
              <w:t>Nastavení měnověpolitických sazeb zůstalo ve 2. čtvrtletí na konstantní úrovni. Dvoutýdenní repo sazba tak dosahovala již rok 7,00 %</w:t>
            </w:r>
            <w:r w:rsidRPr="0037004A">
              <w:rPr>
                <w:rStyle w:val="Znakapoznpodarou"/>
                <w:spacing w:val="-2"/>
                <w:lang w:eastAsia="en-US"/>
              </w:rPr>
              <w:footnoteReference w:id="78"/>
            </w:r>
            <w:r>
              <w:rPr>
                <w:spacing w:val="-2"/>
                <w:lang w:eastAsia="en-US"/>
              </w:rPr>
              <w:t xml:space="preserve">, diskontní sazba byla dále nastavena na 6,00 % a lombardní sazba na 8,00 %. Kurz koruny vůči euru během 2. čtvrtletí kolísal. Začátkem března začala koruna na úrovni 23,43 CZK/EUR, ale do poloviny měsíce oslabila až ke 24,02 CZK/EUR. Do poloviny dubna pak koruna opět posilovala (až k 23,28 CZK/EUR), ale pak až do konce června měl kurz mírně oslabující trend (ke 30. 6. kurz činil 23,73 CZK/EUR). Celkový průměr za kvartál dosáhl hodnoty 23,59 CZK/EUR, což znamenalo poměrně výrazné meziroční posílení (o více než korunu, 4,3 %) a kurz byl i mezičtvrtletně o 0,8 % silnější. Kurz koruny vůči dolaru se v průběhu kvartálu pohyboval v širším pásmu od 22,66 CZK/USD až k nejsilnějším úrovním těsně nad 21 korunami. V průměru kurz dosáhl 21,67 CZK/USD, takže meziročně posílil o 6,4 % a mezičtvrtletně o 2,2 %. Vývoj kurzu koruny vůči euru </w:t>
            </w:r>
            <w:r>
              <w:rPr>
                <w:spacing w:val="-2"/>
                <w:lang w:eastAsia="en-US"/>
              </w:rPr>
              <w:br/>
              <w:t>i dolaru tak měl v cenách zahraničního obchodu protiinflační efekt.</w:t>
            </w:r>
          </w:p>
        </w:tc>
      </w:tr>
      <w:tr w:rsidR="00C6020C" w14:paraId="034FD78F" w14:textId="77777777" w:rsidTr="006849F8">
        <w:trPr>
          <w:trHeight w:val="145"/>
        </w:trPr>
        <w:tc>
          <w:tcPr>
            <w:tcW w:w="1802" w:type="dxa"/>
          </w:tcPr>
          <w:p w14:paraId="59C8C803" w14:textId="77777777" w:rsidR="00C6020C" w:rsidRDefault="00C6020C" w:rsidP="006849F8">
            <w:pPr>
              <w:pStyle w:val="Marginlie"/>
              <w:rPr>
                <w:lang w:eastAsia="en-US"/>
              </w:rPr>
            </w:pPr>
            <w:r>
              <w:rPr>
                <w:lang w:eastAsia="en-US"/>
              </w:rPr>
              <w:t xml:space="preserve">Snižovaly se výnosy vládních dluhopisů se střednědobou </w:t>
            </w:r>
            <w:r>
              <w:rPr>
                <w:lang w:eastAsia="en-US"/>
              </w:rPr>
              <w:br/>
              <w:t xml:space="preserve">a dlouhodobou </w:t>
            </w:r>
            <w:r>
              <w:rPr>
                <w:lang w:eastAsia="en-US"/>
              </w:rPr>
              <w:br/>
              <w:t>splatností.</w:t>
            </w:r>
          </w:p>
        </w:tc>
        <w:tc>
          <w:tcPr>
            <w:tcW w:w="229" w:type="dxa"/>
          </w:tcPr>
          <w:p w14:paraId="06ADF66E" w14:textId="77777777" w:rsidR="00C6020C" w:rsidRDefault="00C6020C" w:rsidP="006849F8">
            <w:pPr>
              <w:pStyle w:val="Textpoznpodarou"/>
              <w:jc w:val="both"/>
              <w:rPr>
                <w:spacing w:val="-4"/>
                <w:lang w:eastAsia="en-US"/>
              </w:rPr>
            </w:pPr>
          </w:p>
        </w:tc>
        <w:tc>
          <w:tcPr>
            <w:tcW w:w="7610" w:type="dxa"/>
          </w:tcPr>
          <w:p w14:paraId="5AD39D8C" w14:textId="77777777" w:rsidR="00C6020C" w:rsidRDefault="00C6020C" w:rsidP="006849F8">
            <w:pPr>
              <w:rPr>
                <w:spacing w:val="-1"/>
                <w:lang w:eastAsia="en-US"/>
              </w:rPr>
            </w:pPr>
            <w:r>
              <w:rPr>
                <w:spacing w:val="-1"/>
                <w:lang w:eastAsia="en-US"/>
              </w:rPr>
              <w:t>Neměnná úroveň měnověpolitických sazeb znamenala také stabilitu úrokových sazeb mezibankovního trhu. Tříměsíční sazba PRIBOR tak podobně jako ostatní splatnosti v průběhu 2. čtvrtletí jen drobně klesla</w:t>
            </w:r>
            <w:r>
              <w:rPr>
                <w:rStyle w:val="Znakapoznpodarou"/>
                <w:spacing w:val="-1"/>
                <w:lang w:eastAsia="en-US"/>
              </w:rPr>
              <w:footnoteReference w:id="79"/>
            </w:r>
            <w:r>
              <w:rPr>
                <w:spacing w:val="-1"/>
                <w:lang w:eastAsia="en-US"/>
              </w:rPr>
              <w:t xml:space="preserve"> (o 0,05 p. b. na 7,15 % ke konci června). Průměrné výnosy vládních dluhopisů v případě střednědobých a dlouhodobých splatností v průběhu 2. kvartálu také mírně klesaly. U střednědobých dluhopisů se výnos snížil o 0,25 p. b. na 4,64 % a u dlouhodobých o 0,32 p. b. na 4,35 %. České vládní dluhopisy s krátkodobou splatností ke konci června dosahovaly průměrné úrokové sazby ve výši 5,37 %, což představovalo drobný nárůst o 0,08 p. b.      </w:t>
            </w:r>
          </w:p>
        </w:tc>
      </w:tr>
      <w:tr w:rsidR="00C6020C" w14:paraId="3288CEF3" w14:textId="77777777" w:rsidTr="006849F8">
        <w:trPr>
          <w:trHeight w:val="145"/>
        </w:trPr>
        <w:tc>
          <w:tcPr>
            <w:tcW w:w="1802" w:type="dxa"/>
          </w:tcPr>
          <w:p w14:paraId="290D384E" w14:textId="77777777" w:rsidR="00C6020C" w:rsidRDefault="00C6020C" w:rsidP="006849F8">
            <w:pPr>
              <w:pStyle w:val="Marginlie"/>
              <w:rPr>
                <w:lang w:eastAsia="en-US"/>
              </w:rPr>
            </w:pPr>
            <w:r>
              <w:rPr>
                <w:lang w:eastAsia="en-US"/>
              </w:rPr>
              <w:t>Úročení vkladů již výrazněji nerostlo.</w:t>
            </w:r>
          </w:p>
        </w:tc>
        <w:tc>
          <w:tcPr>
            <w:tcW w:w="229" w:type="dxa"/>
          </w:tcPr>
          <w:p w14:paraId="7B35DA62" w14:textId="77777777" w:rsidR="00C6020C" w:rsidRDefault="00C6020C" w:rsidP="006849F8">
            <w:pPr>
              <w:pStyle w:val="Textpoznpodarou"/>
              <w:jc w:val="both"/>
              <w:rPr>
                <w:spacing w:val="-4"/>
                <w:lang w:eastAsia="en-US"/>
              </w:rPr>
            </w:pPr>
          </w:p>
        </w:tc>
        <w:tc>
          <w:tcPr>
            <w:tcW w:w="7610" w:type="dxa"/>
          </w:tcPr>
          <w:p w14:paraId="5C07CE79" w14:textId="77777777" w:rsidR="00C6020C" w:rsidRDefault="00C6020C" w:rsidP="006849F8">
            <w:pPr>
              <w:rPr>
                <w:spacing w:val="-3"/>
                <w:lang w:eastAsia="en-US"/>
              </w:rPr>
            </w:pPr>
            <w:r>
              <w:rPr>
                <w:spacing w:val="-3"/>
                <w:lang w:eastAsia="en-US"/>
              </w:rPr>
              <w:t>Klientské úrokové sazby na vkladech po roce postupného nárůstu už v 1. čtvrtletí dosáhly vrcholu a ve 2. čtvrtletí setrvávaly téměř neměnné. Průměrná úroková sazba jednodenních vkladů domácností ke konci června činila 1,52 % (−0,02 p. b.) a na běžných účtech to bylo 0,28 % (+0,04 p. b.). Také průměrné úročení vkladů s dohodnutou splatností se ve 2. kvartálu zvyšovalo spíše kosmeticky (+0,07 p. b.) na 6,11 %. Nefinančním podnikům rostlo průměrné úročení běžných účtů také jen mírně (+0,09 p. b. na 1,10 % ke konci června). Vklady s dohodnutou splatností u nich byly průměrně úročeny 6,53 % (+0,04 p. b.). Celkový objem klientských vkladů byl ke konci 2. čtvrtletí meziročně vyšší o 7,7 % a tempo tak mírně posílilo. Výrazně zrychlil růst vkladů nefinančních podniků (13,7 %) i finančních institucí (40,8 %). Také v případě domácností</w:t>
            </w:r>
            <w:r>
              <w:rPr>
                <w:rStyle w:val="Znakapoznpodarou"/>
                <w:spacing w:val="-3"/>
                <w:lang w:eastAsia="en-US"/>
              </w:rPr>
              <w:footnoteReference w:id="80"/>
            </w:r>
            <w:r>
              <w:rPr>
                <w:spacing w:val="-3"/>
                <w:lang w:eastAsia="en-US"/>
              </w:rPr>
              <w:t xml:space="preserve"> meziroční růst vkladů posílil (5,7 %). </w:t>
            </w:r>
          </w:p>
        </w:tc>
      </w:tr>
      <w:tr w:rsidR="00C6020C" w14:paraId="3210B239" w14:textId="77777777" w:rsidTr="006849F8">
        <w:trPr>
          <w:trHeight w:val="145"/>
        </w:trPr>
        <w:tc>
          <w:tcPr>
            <w:tcW w:w="1802" w:type="dxa"/>
          </w:tcPr>
          <w:p w14:paraId="457815B2" w14:textId="77777777" w:rsidR="00C6020C" w:rsidRDefault="00C6020C" w:rsidP="006849F8">
            <w:pPr>
              <w:pStyle w:val="Marginlie"/>
              <w:rPr>
                <w:lang w:eastAsia="en-US"/>
              </w:rPr>
            </w:pPr>
            <w:r>
              <w:rPr>
                <w:lang w:eastAsia="en-US"/>
              </w:rPr>
              <w:t>Domácnosti dál čelily rostoucím úrokovým sazbám úvěrů na bydlení.</w:t>
            </w:r>
          </w:p>
        </w:tc>
        <w:tc>
          <w:tcPr>
            <w:tcW w:w="229" w:type="dxa"/>
          </w:tcPr>
          <w:p w14:paraId="2AE52A34" w14:textId="77777777" w:rsidR="00C6020C" w:rsidRDefault="00C6020C" w:rsidP="006849F8">
            <w:pPr>
              <w:pStyle w:val="Textpoznpodarou"/>
              <w:jc w:val="both"/>
              <w:rPr>
                <w:spacing w:val="-4"/>
                <w:lang w:eastAsia="en-US"/>
              </w:rPr>
            </w:pPr>
          </w:p>
        </w:tc>
        <w:tc>
          <w:tcPr>
            <w:tcW w:w="7610" w:type="dxa"/>
          </w:tcPr>
          <w:p w14:paraId="3490CCE1" w14:textId="77777777" w:rsidR="00C6020C" w:rsidRDefault="00C6020C" w:rsidP="006849F8">
            <w:pPr>
              <w:rPr>
                <w:lang w:eastAsia="en-US"/>
              </w:rPr>
            </w:pPr>
            <w:r>
              <w:rPr>
                <w:lang w:eastAsia="en-US"/>
              </w:rPr>
              <w:t>Spotřební úvěry domácností byly ke konci června úročeny v průměru 9,51 %, což je téměř nezměněná úroveň ve srovnání s koncem března (+0,02 p. b.). Objem úvěrů na spotřebu, které byly domácnostem poskytnuty, ve 2. čtvrtletí meziročně vzrostl o 10,2 %, což představuje výrazné zrychlení tempa. Průměrné úročení úvěrů na bydlení ve 2. čtvrtletí vzrostlo o 0,21 p. b. na 5,4 %. Objem poskytnutých úvěrů na bydlení byl ke konci června meziročně vyšší o 4,8 % a tempo tak mírně zrychlilo ve srovnání s rekordně nízkou úrovní předchozího kvartálu. Drtivou většinu z poskytnutých úvěrů na bydlení tvoří hypoteční úvěry (ty se navýšily o 4,8 %), ale v posledním roce je patrné prudké posílení objemu standardních úvěrů ze stavebního spoření. Ty byly ke konci června meziročně vyšší o 24,3 %. Objem nových hypotečních úvěrů</w:t>
            </w:r>
            <w:r>
              <w:rPr>
                <w:rStyle w:val="Znakapoznpodarou"/>
                <w:lang w:eastAsia="en-US"/>
              </w:rPr>
              <w:footnoteReference w:id="81"/>
            </w:r>
            <w:r>
              <w:rPr>
                <w:lang w:eastAsia="en-US"/>
              </w:rPr>
              <w:t xml:space="preserve"> za 2. čtvrtletí (21,8 mld. korun) byl podobný jako v 1. kvartálu. Z toho čisté nové úvěry včetně navýšení tvořily 10,5 mld. korun a ostatní nová ujednání 9,7 mld. Pokračuje tak proces projednávání končících fixací úvěrů vzniklých v průběhu posledních let hypotečního boomu. Jen zlomek nových smluv tvořily refinancované úvěry (1,6 mld. korun).</w:t>
            </w:r>
          </w:p>
        </w:tc>
      </w:tr>
      <w:tr w:rsidR="00C6020C" w14:paraId="2D3CB968" w14:textId="77777777" w:rsidTr="006849F8">
        <w:trPr>
          <w:trHeight w:val="145"/>
        </w:trPr>
        <w:tc>
          <w:tcPr>
            <w:tcW w:w="1802" w:type="dxa"/>
          </w:tcPr>
          <w:p w14:paraId="4592106B" w14:textId="77777777" w:rsidR="00C6020C" w:rsidRDefault="00C6020C" w:rsidP="006849F8">
            <w:pPr>
              <w:pStyle w:val="Marginlie"/>
              <w:rPr>
                <w:lang w:eastAsia="en-US"/>
              </w:rPr>
            </w:pPr>
            <w:r>
              <w:rPr>
                <w:lang w:eastAsia="en-US"/>
              </w:rPr>
              <w:t>Nefinančním podnikům naopak úrokové sazby úvěrů mírně klesaly.</w:t>
            </w:r>
          </w:p>
        </w:tc>
        <w:tc>
          <w:tcPr>
            <w:tcW w:w="229" w:type="dxa"/>
          </w:tcPr>
          <w:p w14:paraId="0F8CBF4D" w14:textId="77777777" w:rsidR="00C6020C" w:rsidRDefault="00C6020C" w:rsidP="006849F8">
            <w:pPr>
              <w:pStyle w:val="Textpoznpodarou"/>
              <w:jc w:val="both"/>
              <w:rPr>
                <w:spacing w:val="-4"/>
                <w:lang w:eastAsia="en-US"/>
              </w:rPr>
            </w:pPr>
          </w:p>
        </w:tc>
        <w:tc>
          <w:tcPr>
            <w:tcW w:w="7610" w:type="dxa"/>
          </w:tcPr>
          <w:p w14:paraId="2593AC10" w14:textId="77777777" w:rsidR="00C6020C" w:rsidRDefault="00C6020C" w:rsidP="006849F8">
            <w:pPr>
              <w:rPr>
                <w:lang w:eastAsia="en-US"/>
              </w:rPr>
            </w:pPr>
            <w:r>
              <w:rPr>
                <w:lang w:eastAsia="en-US"/>
              </w:rPr>
              <w:t>Nefinančním podnikům se úvěrové financování ve 2. čtvrtletí mírně zlevnilo. Průměrná úroková sazba úvěrů v objemu do 7,5 milionu korun včetně klesla o 0,63 p. b. na 8,03 %, u objemu mezi 7,5 a 30 miliony se snížila o 0,20 p. b. na 8,94 % a v nejvyšší kategorii úvěrů nad 30 milionů se úročení snížilo drobně o 0,09 p. b. na 9,11 %. Úvěry a pohledávky nefinančních podniků celkem meziročně vzrostly o 5,9 %. Tempo růstu tak posílilo. Pokračoval propad objemu úvěrů denominovaných v korunách (−7,4 %), který se ale zmírnil ve srovnání s předchozími třemi kvartály. Úvěry v cizí měně byly naopak meziročně vyšší o 25,3 %</w:t>
            </w:r>
            <w:r>
              <w:rPr>
                <w:rStyle w:val="Znakapoznpodarou"/>
                <w:lang w:eastAsia="en-US"/>
              </w:rPr>
              <w:footnoteReference w:id="82"/>
            </w:r>
            <w:r>
              <w:rPr>
                <w:lang w:eastAsia="en-US"/>
              </w:rPr>
              <w:t xml:space="preserve">. Páté čtvrtletí v řadě nárůst dosáhl dvouciferného tempa a podíl úvěrů v cizí měně na celkovém objemu vyšplhal ke konci června na 47,9 %. Výrazně meziročně rostly úvěry poskytnuté v peněžnictví a pojišťovnictví (20,7 %), výrobě a rozvodu elektřiny, plynu, tepla, vzduchu, vody a odpadních vod (13,3 %) a ve stavebnictví (12,6 %). Naopak se propadly úvěry v informačních a komunikačních činnostech (−20,7 %) a také v dopravě a skladování (−11,4 %). </w:t>
            </w:r>
          </w:p>
        </w:tc>
      </w:tr>
      <w:tr w:rsidR="00C6020C" w14:paraId="27F075F8" w14:textId="77777777" w:rsidTr="006849F8">
        <w:trPr>
          <w:trHeight w:val="304"/>
        </w:trPr>
        <w:tc>
          <w:tcPr>
            <w:tcW w:w="1802" w:type="dxa"/>
            <w:vMerge w:val="restart"/>
          </w:tcPr>
          <w:p w14:paraId="0DA18B39" w14:textId="77777777" w:rsidR="00C6020C" w:rsidRDefault="00C6020C" w:rsidP="006849F8">
            <w:pPr>
              <w:pStyle w:val="Marginlie"/>
              <w:rPr>
                <w:lang w:eastAsia="en-US"/>
              </w:rPr>
            </w:pPr>
          </w:p>
        </w:tc>
        <w:tc>
          <w:tcPr>
            <w:tcW w:w="229" w:type="dxa"/>
            <w:vMerge w:val="restart"/>
          </w:tcPr>
          <w:p w14:paraId="0966C547" w14:textId="77777777" w:rsidR="00C6020C" w:rsidRDefault="00C6020C" w:rsidP="006849F8">
            <w:pPr>
              <w:pStyle w:val="Textpoznpodarou"/>
              <w:jc w:val="both"/>
              <w:rPr>
                <w:spacing w:val="-4"/>
                <w:lang w:eastAsia="en-US"/>
              </w:rPr>
            </w:pPr>
          </w:p>
        </w:tc>
        <w:tc>
          <w:tcPr>
            <w:tcW w:w="7610" w:type="dxa"/>
            <w:hideMark/>
          </w:tcPr>
          <w:p w14:paraId="46AAF7C7" w14:textId="6523C4BA" w:rsidR="00C6020C" w:rsidRPr="00D721B4" w:rsidRDefault="00FA2C07" w:rsidP="006849F8">
            <w:pPr>
              <w:spacing w:after="0"/>
              <w:rPr>
                <w:szCs w:val="20"/>
                <w:lang w:eastAsia="en-US"/>
              </w:rPr>
            </w:pPr>
            <w:r>
              <w:rPr>
                <w:rFonts w:cs="Arial"/>
                <w:b/>
                <w:bCs/>
                <w:color w:val="000000"/>
                <w:szCs w:val="20"/>
                <w:lang w:eastAsia="en-US"/>
              </w:rPr>
              <w:t>Graf č. 16</w:t>
            </w:r>
            <w:r w:rsidR="00C6020C" w:rsidRPr="00D721B4">
              <w:rPr>
                <w:rFonts w:cs="Arial"/>
                <w:b/>
                <w:bCs/>
                <w:color w:val="000000"/>
                <w:szCs w:val="20"/>
                <w:lang w:eastAsia="en-US"/>
              </w:rPr>
              <w:t xml:space="preserve"> </w:t>
            </w:r>
            <w:r w:rsidR="00C6020C" w:rsidRPr="00D721B4">
              <w:rPr>
                <w:b/>
                <w:spacing w:val="-4"/>
                <w:szCs w:val="20"/>
                <w:lang w:eastAsia="en-US"/>
              </w:rPr>
              <w:t xml:space="preserve">Tržní úrokové sazby </w:t>
            </w:r>
            <w:r w:rsidR="00C6020C" w:rsidRPr="00D721B4">
              <w:rPr>
                <w:bCs/>
                <w:spacing w:val="-4"/>
                <w:szCs w:val="20"/>
                <w:lang w:eastAsia="en-US"/>
              </w:rPr>
              <w:t>(v</w:t>
            </w:r>
            <w:r w:rsidR="00C6020C">
              <w:rPr>
                <w:bCs/>
                <w:spacing w:val="-4"/>
                <w:szCs w:val="20"/>
                <w:lang w:eastAsia="en-US"/>
              </w:rPr>
              <w:t> %</w:t>
            </w:r>
            <w:r w:rsidR="00C6020C" w:rsidRPr="00D721B4">
              <w:rPr>
                <w:bCs/>
                <w:spacing w:val="-4"/>
                <w:szCs w:val="20"/>
                <w:lang w:eastAsia="en-US"/>
              </w:rPr>
              <w:t>)</w:t>
            </w:r>
          </w:p>
        </w:tc>
      </w:tr>
      <w:tr w:rsidR="00C6020C" w14:paraId="3ABDC284" w14:textId="77777777" w:rsidTr="006849F8">
        <w:tblPrEx>
          <w:tblCellMar>
            <w:left w:w="70" w:type="dxa"/>
            <w:right w:w="70" w:type="dxa"/>
          </w:tblCellMar>
        </w:tblPrEx>
        <w:trPr>
          <w:trHeight w:val="170"/>
        </w:trPr>
        <w:tc>
          <w:tcPr>
            <w:tcW w:w="1802" w:type="dxa"/>
            <w:vMerge/>
            <w:vAlign w:val="center"/>
            <w:hideMark/>
          </w:tcPr>
          <w:p w14:paraId="4EEA7B6B" w14:textId="77777777" w:rsidR="00C6020C" w:rsidRDefault="00C6020C" w:rsidP="006849F8">
            <w:pPr>
              <w:spacing w:after="0" w:line="240" w:lineRule="auto"/>
              <w:jc w:val="left"/>
              <w:rPr>
                <w:spacing w:val="-2"/>
                <w:sz w:val="16"/>
                <w:szCs w:val="16"/>
                <w:lang w:eastAsia="en-US"/>
              </w:rPr>
            </w:pPr>
          </w:p>
        </w:tc>
        <w:tc>
          <w:tcPr>
            <w:tcW w:w="229" w:type="dxa"/>
            <w:vMerge/>
            <w:vAlign w:val="center"/>
            <w:hideMark/>
          </w:tcPr>
          <w:p w14:paraId="148D86EC" w14:textId="77777777" w:rsidR="00C6020C" w:rsidRDefault="00C6020C" w:rsidP="006849F8">
            <w:pPr>
              <w:spacing w:after="0" w:line="240" w:lineRule="auto"/>
              <w:jc w:val="left"/>
              <w:rPr>
                <w:rFonts w:eastAsia="Calibri"/>
                <w:spacing w:val="-4"/>
                <w:szCs w:val="20"/>
                <w:lang w:eastAsia="en-US"/>
              </w:rPr>
            </w:pPr>
          </w:p>
        </w:tc>
        <w:tc>
          <w:tcPr>
            <w:tcW w:w="7610" w:type="dxa"/>
            <w:hideMark/>
          </w:tcPr>
          <w:p w14:paraId="147DD76A" w14:textId="77777777" w:rsidR="00C6020C" w:rsidRDefault="00C6020C" w:rsidP="006849F8">
            <w:pPr>
              <w:spacing w:after="0"/>
              <w:rPr>
                <w:sz w:val="14"/>
                <w:szCs w:val="14"/>
                <w:lang w:eastAsia="en-US"/>
              </w:rPr>
            </w:pPr>
            <w:r>
              <w:rPr>
                <w:noProof/>
              </w:rPr>
              <w:drawing>
                <wp:inline distT="0" distB="0" distL="0" distR="0" wp14:anchorId="3C02BF44" wp14:editId="50706E11">
                  <wp:extent cx="4737600" cy="3553200"/>
                  <wp:effectExtent l="0" t="0" r="6350" b="0"/>
                  <wp:docPr id="42" name="Graf 42">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C6020C" w14:paraId="33EC0CC7" w14:textId="77777777" w:rsidTr="006849F8">
        <w:trPr>
          <w:trHeight w:val="170"/>
        </w:trPr>
        <w:tc>
          <w:tcPr>
            <w:tcW w:w="0" w:type="auto"/>
            <w:vMerge/>
            <w:vAlign w:val="center"/>
            <w:hideMark/>
          </w:tcPr>
          <w:p w14:paraId="1CDC26F5" w14:textId="77777777" w:rsidR="00C6020C" w:rsidRDefault="00C6020C" w:rsidP="006849F8">
            <w:pPr>
              <w:spacing w:after="0" w:line="240" w:lineRule="auto"/>
              <w:jc w:val="left"/>
              <w:rPr>
                <w:spacing w:val="-2"/>
                <w:sz w:val="16"/>
                <w:szCs w:val="16"/>
                <w:lang w:eastAsia="en-US"/>
              </w:rPr>
            </w:pPr>
          </w:p>
        </w:tc>
        <w:tc>
          <w:tcPr>
            <w:tcW w:w="0" w:type="auto"/>
            <w:vMerge/>
            <w:vAlign w:val="center"/>
            <w:hideMark/>
          </w:tcPr>
          <w:p w14:paraId="44CF5926" w14:textId="77777777" w:rsidR="00C6020C" w:rsidRDefault="00C6020C" w:rsidP="006849F8">
            <w:pPr>
              <w:spacing w:after="0" w:line="240" w:lineRule="auto"/>
              <w:jc w:val="left"/>
              <w:rPr>
                <w:rFonts w:eastAsia="Calibri"/>
                <w:spacing w:val="-4"/>
                <w:szCs w:val="20"/>
                <w:lang w:eastAsia="en-US"/>
              </w:rPr>
            </w:pPr>
          </w:p>
        </w:tc>
        <w:tc>
          <w:tcPr>
            <w:tcW w:w="7610" w:type="dxa"/>
            <w:hideMark/>
          </w:tcPr>
          <w:p w14:paraId="619BDFF8" w14:textId="77777777" w:rsidR="00C6020C" w:rsidRDefault="00C6020C" w:rsidP="006849F8">
            <w:pPr>
              <w:spacing w:after="0"/>
              <w:rPr>
                <w:sz w:val="14"/>
                <w:szCs w:val="14"/>
                <w:lang w:eastAsia="en-US"/>
              </w:rPr>
            </w:pPr>
            <w:r>
              <w:rPr>
                <w:sz w:val="14"/>
                <w:szCs w:val="14"/>
                <w:lang w:eastAsia="en-US"/>
              </w:rPr>
              <w:t>Zdroj: ARAD, ČNB</w:t>
            </w:r>
          </w:p>
        </w:tc>
      </w:tr>
    </w:tbl>
    <w:p w14:paraId="01B3066A" w14:textId="77777777" w:rsidR="00C6020C" w:rsidRPr="00E42054" w:rsidRDefault="00C6020C" w:rsidP="00C6020C">
      <w:pPr>
        <w:pStyle w:val="Nadpis11"/>
        <w:rPr>
          <w:b w:val="0"/>
          <w:sz w:val="2"/>
          <w:szCs w:val="2"/>
        </w:rPr>
      </w:pPr>
    </w:p>
    <w:p w14:paraId="4C09B4FF" w14:textId="77777777" w:rsidR="00C6020C" w:rsidRDefault="00C6020C" w:rsidP="00C6020C">
      <w:pPr>
        <w:pStyle w:val="Nadpis11"/>
        <w:rPr>
          <w:szCs w:val="32"/>
        </w:rPr>
      </w:pPr>
    </w:p>
    <w:p w14:paraId="2B718616" w14:textId="77777777" w:rsidR="00C6020C" w:rsidRPr="001C3855" w:rsidRDefault="00C6020C" w:rsidP="00C6020C">
      <w:pPr>
        <w:pStyle w:val="Nadpis11"/>
        <w:rPr>
          <w:sz w:val="2"/>
          <w:szCs w:val="2"/>
        </w:rPr>
      </w:pPr>
    </w:p>
    <w:p w14:paraId="3D31D69B" w14:textId="77777777" w:rsidR="00C6020C" w:rsidRPr="001C3855" w:rsidRDefault="00C6020C" w:rsidP="00C6020C">
      <w:pPr>
        <w:pStyle w:val="Nadpis11"/>
        <w:rPr>
          <w:sz w:val="2"/>
          <w:szCs w:val="2"/>
        </w:rPr>
      </w:pPr>
    </w:p>
    <w:p w14:paraId="39B9870D" w14:textId="77777777" w:rsidR="004A3BE4" w:rsidRDefault="004A3BE4">
      <w:pPr>
        <w:spacing w:after="0" w:line="240" w:lineRule="auto"/>
        <w:jc w:val="left"/>
        <w:rPr>
          <w:rFonts w:eastAsia="MS Gothic"/>
          <w:b/>
          <w:bCs/>
          <w:color w:val="71818C"/>
          <w:sz w:val="32"/>
          <w:szCs w:val="32"/>
        </w:rPr>
      </w:pPr>
      <w:r>
        <w:rPr>
          <w:szCs w:val="32"/>
        </w:rPr>
        <w:br w:type="page"/>
      </w:r>
    </w:p>
    <w:p w14:paraId="5856EC55" w14:textId="77777777" w:rsidR="00106BCC" w:rsidRDefault="00106BCC" w:rsidP="00106BCC">
      <w:pPr>
        <w:pStyle w:val="Nadpis11"/>
      </w:pPr>
      <w:bookmarkStart w:id="39" w:name="_Toc137233031"/>
      <w:bookmarkStart w:id="40" w:name="_Toc145581253"/>
      <w:r w:rsidRPr="00787441">
        <w:rPr>
          <w:szCs w:val="32"/>
        </w:rPr>
        <w:t>8</w:t>
      </w:r>
      <w:r>
        <w:t>. </w:t>
      </w:r>
      <w:r w:rsidRPr="009110F7">
        <w:t>Státní rozpočet</w:t>
      </w:r>
      <w:bookmarkEnd w:id="39"/>
      <w:bookmarkEnd w:id="40"/>
    </w:p>
    <w:tbl>
      <w:tblPr>
        <w:tblW w:w="9669" w:type="dxa"/>
        <w:tblInd w:w="-20" w:type="dxa"/>
        <w:tblLayout w:type="fixed"/>
        <w:tblCellMar>
          <w:left w:w="0" w:type="dxa"/>
          <w:right w:w="0" w:type="dxa"/>
        </w:tblCellMar>
        <w:tblLook w:val="00A0" w:firstRow="1" w:lastRow="0" w:firstColumn="1" w:lastColumn="0" w:noHBand="0" w:noVBand="0"/>
      </w:tblPr>
      <w:tblGrid>
        <w:gridCol w:w="1792"/>
        <w:gridCol w:w="203"/>
        <w:gridCol w:w="7674"/>
      </w:tblGrid>
      <w:tr w:rsidR="00106BCC" w:rsidRPr="003C07E6" w14:paraId="16CEED79" w14:textId="77777777" w:rsidTr="006849F8">
        <w:trPr>
          <w:trHeight w:val="60"/>
        </w:trPr>
        <w:tc>
          <w:tcPr>
            <w:tcW w:w="1792" w:type="dxa"/>
            <w:shd w:val="clear" w:color="auto" w:fill="auto"/>
            <w:tcMar>
              <w:left w:w="0" w:type="dxa"/>
            </w:tcMar>
          </w:tcPr>
          <w:p w14:paraId="19B55A37" w14:textId="77777777" w:rsidR="00106BCC" w:rsidRDefault="00106BCC" w:rsidP="006849F8">
            <w:pPr>
              <w:pStyle w:val="Marginlie"/>
            </w:pPr>
            <w:r>
              <w:t>Schodek hospodaření SR se meziročně znatelně prohloubil, čemuž nezabránil ani svižný růst příjmů z rozpočtu EU.</w:t>
            </w:r>
          </w:p>
        </w:tc>
        <w:tc>
          <w:tcPr>
            <w:tcW w:w="203" w:type="dxa"/>
            <w:shd w:val="clear" w:color="auto" w:fill="auto"/>
            <w:tcMar>
              <w:left w:w="0" w:type="dxa"/>
            </w:tcMar>
          </w:tcPr>
          <w:p w14:paraId="5D52A195" w14:textId="77777777" w:rsidR="00106BCC" w:rsidRDefault="00106BCC" w:rsidP="006849F8">
            <w:pPr>
              <w:pStyle w:val="Textpoznpodarou"/>
              <w:jc w:val="both"/>
              <w:rPr>
                <w:spacing w:val="-4"/>
              </w:rPr>
            </w:pPr>
          </w:p>
        </w:tc>
        <w:tc>
          <w:tcPr>
            <w:tcW w:w="7674" w:type="dxa"/>
            <w:shd w:val="clear" w:color="auto" w:fill="auto"/>
            <w:tcMar>
              <w:left w:w="0" w:type="dxa"/>
            </w:tcMar>
          </w:tcPr>
          <w:p w14:paraId="460DB469" w14:textId="4E41214D" w:rsidR="00106BCC" w:rsidRPr="00F603D7" w:rsidRDefault="00106BCC" w:rsidP="006849F8">
            <w:pPr>
              <w:spacing w:after="200"/>
              <w:rPr>
                <w:spacing w:val="-4"/>
              </w:rPr>
            </w:pPr>
            <w:r w:rsidRPr="00F603D7">
              <w:rPr>
                <w:spacing w:val="-4"/>
              </w:rPr>
              <w:t>Hospodaření státního rozpočtu (SR)</w:t>
            </w:r>
            <w:r w:rsidRPr="00F603D7">
              <w:rPr>
                <w:rStyle w:val="Znakapoznpodarou"/>
                <w:spacing w:val="-4"/>
              </w:rPr>
              <w:footnoteReference w:id="83"/>
            </w:r>
            <w:r w:rsidRPr="00F603D7">
              <w:rPr>
                <w:spacing w:val="-4"/>
              </w:rPr>
              <w:t xml:space="preserve"> vykázalo v 1. pololetí 2023 schodek 215,4 mld. korun, jenž představoval již bezmála tři čtvrtiny celoročního plánovaného deficitu</w:t>
            </w:r>
            <w:r w:rsidRPr="00F603D7">
              <w:rPr>
                <w:rStyle w:val="Znakapoznpodarou"/>
                <w:spacing w:val="-4"/>
              </w:rPr>
              <w:footnoteReference w:id="84"/>
            </w:r>
            <w:r w:rsidRPr="00F603D7">
              <w:rPr>
                <w:spacing w:val="-4"/>
              </w:rPr>
              <w:t>. Hluboké schodky dosahuje S</w:t>
            </w:r>
            <w:r w:rsidR="004C3CE4">
              <w:rPr>
                <w:spacing w:val="-4"/>
              </w:rPr>
              <w:t>R již čtvrtým rokem v řadě, výraznější než dosavadní letošní deficit</w:t>
            </w:r>
            <w:r w:rsidRPr="00F603D7">
              <w:rPr>
                <w:spacing w:val="-4"/>
              </w:rPr>
              <w:t xml:space="preserve"> přineslo jen 1. pololetí 2021 (kdy vrcholila pandemie covidu-19 i její citelné dopady na příjmovou i výdajovou stranu SR). Letošní schodek byl navíc zmírněn příjmy z Národního plánu obnovy. Pololetní saldo SR po očištění všech příjmů a výdajů souvisejících se společnými projekty ČR a EU mírně přesáhlo 250 mld. korun a meziročně se prohloubilo o 68,6 mld. korun (saldo bez tohoto očištění pak analogicky o 32,4 mld.).    </w:t>
            </w:r>
          </w:p>
        </w:tc>
      </w:tr>
      <w:tr w:rsidR="00106BCC" w:rsidRPr="003C07E6" w14:paraId="10764AD0" w14:textId="77777777" w:rsidTr="006849F8">
        <w:trPr>
          <w:trHeight w:val="145"/>
        </w:trPr>
        <w:tc>
          <w:tcPr>
            <w:tcW w:w="1792" w:type="dxa"/>
            <w:shd w:val="clear" w:color="auto" w:fill="auto"/>
            <w:tcMar>
              <w:left w:w="0" w:type="dxa"/>
            </w:tcMar>
          </w:tcPr>
          <w:p w14:paraId="1B78FFD2" w14:textId="77777777" w:rsidR="00106BCC" w:rsidRPr="00CB5638" w:rsidRDefault="00106BCC" w:rsidP="006849F8">
            <w:pPr>
              <w:pStyle w:val="Marginlie"/>
            </w:pPr>
            <w:r>
              <w:t>Růst příjmů SR byl nejvíce tažen celkovým daňovým inkasem. Jeho dynamika ale slábla. Bilanci SR podpořily stabilně rostoucí příjmy z pojistného na sociální zabezpečení, příznivý vliv měly také sílící příjmy z rozpočtu EU.</w:t>
            </w:r>
          </w:p>
        </w:tc>
        <w:tc>
          <w:tcPr>
            <w:tcW w:w="203" w:type="dxa"/>
            <w:shd w:val="clear" w:color="auto" w:fill="auto"/>
            <w:tcMar>
              <w:left w:w="0" w:type="dxa"/>
            </w:tcMar>
          </w:tcPr>
          <w:p w14:paraId="0BFACBFF" w14:textId="77777777" w:rsidR="00106BCC" w:rsidRDefault="00106BCC" w:rsidP="006849F8">
            <w:pPr>
              <w:pStyle w:val="Textpoznpodarou"/>
              <w:jc w:val="both"/>
              <w:rPr>
                <w:spacing w:val="-4"/>
              </w:rPr>
            </w:pPr>
          </w:p>
        </w:tc>
        <w:tc>
          <w:tcPr>
            <w:tcW w:w="7674" w:type="dxa"/>
            <w:shd w:val="clear" w:color="auto" w:fill="auto"/>
            <w:tcMar>
              <w:left w:w="0" w:type="dxa"/>
            </w:tcMar>
          </w:tcPr>
          <w:p w14:paraId="2F70ABA9" w14:textId="7B2C2CE8" w:rsidR="00106BCC" w:rsidRPr="00491320" w:rsidRDefault="00106BCC" w:rsidP="006849F8">
            <w:pPr>
              <w:spacing w:after="200"/>
              <w:rPr>
                <w:spacing w:val="-5"/>
              </w:rPr>
            </w:pPr>
            <w:r>
              <w:rPr>
                <w:spacing w:val="-3"/>
              </w:rPr>
              <w:t>Celkové příjmy SR v 1. pololetí i vlivem vysokého cenového růstu v ekonomice meziročně svižně rostly (16,5 %), rozpočtové očekávání však zcela nenaplnily</w:t>
            </w:r>
            <w:r>
              <w:rPr>
                <w:rStyle w:val="Znakapoznpodarou"/>
                <w:spacing w:val="-3"/>
              </w:rPr>
              <w:footnoteReference w:id="85"/>
            </w:r>
            <w:r>
              <w:rPr>
                <w:spacing w:val="-3"/>
              </w:rPr>
              <w:t>. Za posílením příjmů stálo zejména vyšší inkaso daní bez pojistného (+51,4 mld. korun). Tempo růstu celostátního daňového inkasa ovšem letos během 1.</w:t>
            </w:r>
            <w:r>
              <w:rPr>
                <w:spacing w:val="-2"/>
              </w:rPr>
              <w:t> </w:t>
            </w:r>
            <w:r>
              <w:rPr>
                <w:spacing w:val="-3"/>
              </w:rPr>
              <w:t>pololetí sláblo (1.</w:t>
            </w:r>
            <w:r>
              <w:rPr>
                <w:spacing w:val="-2"/>
              </w:rPr>
              <w:t> </w:t>
            </w:r>
            <w:r>
              <w:rPr>
                <w:spacing w:val="-3"/>
              </w:rPr>
              <w:t>čtvrtletí +15,4 %, 2.</w:t>
            </w:r>
            <w:r>
              <w:rPr>
                <w:spacing w:val="-2"/>
              </w:rPr>
              <w:t> </w:t>
            </w:r>
            <w:r>
              <w:rPr>
                <w:spacing w:val="-3"/>
              </w:rPr>
              <w:t>čtvrtletí +12,5 %) a zůstalo ve stínu rekordního tempa z 1.</w:t>
            </w:r>
            <w:r>
              <w:rPr>
                <w:spacing w:val="-2"/>
              </w:rPr>
              <w:t> </w:t>
            </w:r>
            <w:r>
              <w:rPr>
                <w:spacing w:val="-3"/>
              </w:rPr>
              <w:t>pololetí 2022 (+18,7 %). Tento vývoj byl ovlivn</w:t>
            </w:r>
            <w:r w:rsidR="00F23927">
              <w:rPr>
                <w:spacing w:val="-3"/>
              </w:rPr>
              <w:t xml:space="preserve">ěn pokračujícím poklesem </w:t>
            </w:r>
            <w:r>
              <w:rPr>
                <w:spacing w:val="-3"/>
              </w:rPr>
              <w:t>spotřeby domácností, jenž nepříznivě ovlivnil inkaso nepřímých daní. Za rozpočtovým očekáváním naopak zatím nezaostávaly příjmy z pojistného na sociální zabezpečení (zahrnující i</w:t>
            </w:r>
            <w:r>
              <w:rPr>
                <w:spacing w:val="-2"/>
              </w:rPr>
              <w:t> </w:t>
            </w:r>
            <w:r>
              <w:rPr>
                <w:spacing w:val="-3"/>
              </w:rPr>
              <w:t>příspěvky na státní politiku zaměstnanosti), které meziročně vzrostly o 29 mld. korun. O</w:t>
            </w:r>
            <w:r>
              <w:rPr>
                <w:spacing w:val="-2"/>
              </w:rPr>
              <w:t> </w:t>
            </w:r>
            <w:r>
              <w:rPr>
                <w:spacing w:val="-3"/>
              </w:rPr>
              <w:t xml:space="preserve">bezmála 50 mld. pak posílily </w:t>
            </w:r>
            <w:r w:rsidRPr="00F0531D">
              <w:rPr>
                <w:spacing w:val="-5"/>
              </w:rPr>
              <w:t>nedaňové příjmy (vč. kapitálových</w:t>
            </w:r>
            <w:r>
              <w:rPr>
                <w:spacing w:val="-5"/>
              </w:rPr>
              <w:t xml:space="preserve"> příjmů a přijatých transferů). Primárně se o to zasloužila jejich v</w:t>
            </w:r>
            <w:r w:rsidRPr="00F0531D">
              <w:rPr>
                <w:spacing w:val="-5"/>
              </w:rPr>
              <w:t>áhově dominant</w:t>
            </w:r>
            <w:r>
              <w:rPr>
                <w:spacing w:val="-5"/>
              </w:rPr>
              <w:t>ní položka, tj. příjmy z EU a</w:t>
            </w:r>
            <w:r>
              <w:rPr>
                <w:spacing w:val="-2"/>
              </w:rPr>
              <w:t> </w:t>
            </w:r>
            <w:r w:rsidRPr="00F0531D">
              <w:rPr>
                <w:spacing w:val="-5"/>
              </w:rPr>
              <w:t>Finančních mechanismů</w:t>
            </w:r>
            <w:r w:rsidRPr="00F0531D">
              <w:rPr>
                <w:rStyle w:val="Znakapoznpodarou"/>
                <w:spacing w:val="-5"/>
              </w:rPr>
              <w:footnoteReference w:id="86"/>
            </w:r>
            <w:r>
              <w:rPr>
                <w:spacing w:val="-5"/>
              </w:rPr>
              <w:t xml:space="preserve"> (+44,6 mld. korun), u nichž se projevilo zásadní červnové navýšení příjmů vlivem prostředků z </w:t>
            </w:r>
            <w:r w:rsidRPr="0073312B">
              <w:rPr>
                <w:spacing w:val="-5"/>
              </w:rPr>
              <w:t>Nástroje EU na podporu oživení</w:t>
            </w:r>
            <w:r>
              <w:rPr>
                <w:spacing w:val="-5"/>
              </w:rPr>
              <w:t xml:space="preserve"> (</w:t>
            </w:r>
            <w:r w:rsidRPr="0073312B">
              <w:rPr>
                <w:spacing w:val="-5"/>
              </w:rPr>
              <w:t>realizovaných v </w:t>
            </w:r>
            <w:r>
              <w:rPr>
                <w:spacing w:val="-5"/>
              </w:rPr>
              <w:t>tuzemsku</w:t>
            </w:r>
            <w:r w:rsidRPr="0073312B">
              <w:rPr>
                <w:spacing w:val="-5"/>
              </w:rPr>
              <w:t xml:space="preserve"> prostřednictvím Národního plánu obnovy</w:t>
            </w:r>
            <w:r>
              <w:rPr>
                <w:spacing w:val="-5"/>
              </w:rPr>
              <w:t>)</w:t>
            </w:r>
            <w:r w:rsidRPr="0073312B">
              <w:rPr>
                <w:spacing w:val="-5"/>
              </w:rPr>
              <w:t>.</w:t>
            </w:r>
          </w:p>
        </w:tc>
      </w:tr>
      <w:tr w:rsidR="00106BCC" w:rsidRPr="003C07E6" w14:paraId="7124B3BE" w14:textId="77777777" w:rsidTr="006849F8">
        <w:trPr>
          <w:trHeight w:val="145"/>
        </w:trPr>
        <w:tc>
          <w:tcPr>
            <w:tcW w:w="1792" w:type="dxa"/>
            <w:shd w:val="clear" w:color="auto" w:fill="auto"/>
            <w:tcMar>
              <w:left w:w="0" w:type="dxa"/>
            </w:tcMar>
          </w:tcPr>
          <w:p w14:paraId="2520CDEE" w14:textId="77777777" w:rsidR="00106BCC" w:rsidRPr="00CB5638" w:rsidRDefault="00106BCC" w:rsidP="006849F8">
            <w:pPr>
              <w:pStyle w:val="Marginlie"/>
            </w:pPr>
            <w:r>
              <w:rPr>
                <w:color w:val="0D0D0D" w:themeColor="text1" w:themeTint="F2"/>
              </w:rPr>
              <w:t xml:space="preserve">Výběr daně </w:t>
            </w:r>
            <w:r>
              <w:t>z příjmů právnických osob pokračoval ve svižném tempu a nad úrovní očekávání rozpočtu.</w:t>
            </w:r>
          </w:p>
        </w:tc>
        <w:tc>
          <w:tcPr>
            <w:tcW w:w="203" w:type="dxa"/>
            <w:shd w:val="clear" w:color="auto" w:fill="auto"/>
            <w:tcMar>
              <w:left w:w="0" w:type="dxa"/>
            </w:tcMar>
          </w:tcPr>
          <w:p w14:paraId="7688D80F" w14:textId="77777777" w:rsidR="00106BCC" w:rsidRDefault="00106BCC" w:rsidP="006849F8">
            <w:pPr>
              <w:pStyle w:val="Textpoznpodarou"/>
              <w:jc w:val="both"/>
              <w:rPr>
                <w:spacing w:val="-4"/>
              </w:rPr>
            </w:pPr>
          </w:p>
        </w:tc>
        <w:tc>
          <w:tcPr>
            <w:tcW w:w="7674" w:type="dxa"/>
            <w:shd w:val="clear" w:color="auto" w:fill="auto"/>
            <w:tcMar>
              <w:left w:w="0" w:type="dxa"/>
            </w:tcMar>
          </w:tcPr>
          <w:p w14:paraId="7AD5A4EB" w14:textId="1FFDB3AB" w:rsidR="00106BCC" w:rsidRDefault="00106BCC" w:rsidP="006849F8">
            <w:pPr>
              <w:spacing w:after="200"/>
              <w:rPr>
                <w:spacing w:val="-4"/>
              </w:rPr>
            </w:pPr>
            <w:r>
              <w:rPr>
                <w:spacing w:val="-4"/>
              </w:rPr>
              <w:t xml:space="preserve">K růstu celkových daňových příjmů SR přispěla v 1. pololetí 2023 nejvíce korporátní daň, jejíž inkaso meziročně posílilo skoro o čtvrtinu (+20,9 mld. korun). Ve svižně rostoucím výběru </w:t>
            </w:r>
            <w:r w:rsidR="002A30ED">
              <w:rPr>
                <w:spacing w:val="-4"/>
              </w:rPr>
              <w:t xml:space="preserve">této </w:t>
            </w:r>
            <w:r>
              <w:rPr>
                <w:spacing w:val="-4"/>
              </w:rPr>
              <w:t>daně, jenž převyšuje rozpočtové očekávání, se odráží i dlouhodobě vysoká míra zisku nefinančních podniků v ČR (ta se od počátku loňského roku nepřetržitě zv</w:t>
            </w:r>
            <w:r w:rsidR="002A30ED">
              <w:rPr>
                <w:spacing w:val="-4"/>
              </w:rPr>
              <w:t>yšovala). Na vysokém inkasu</w:t>
            </w:r>
            <w:r>
              <w:rPr>
                <w:spacing w:val="-4"/>
              </w:rPr>
              <w:t xml:space="preserve"> se podílely i firmy v oblasti finančního sektoru. Nad rámec standardní daně z příjmů právnických osob získal SR v 1. pololetí i</w:t>
            </w:r>
            <w:r>
              <w:rPr>
                <w:spacing w:val="-2"/>
              </w:rPr>
              <w:t> </w:t>
            </w:r>
            <w:r>
              <w:rPr>
                <w:spacing w:val="-4"/>
              </w:rPr>
              <w:t>odvody z nadměrných příjmů od energetických firem</w:t>
            </w:r>
            <w:r>
              <w:rPr>
                <w:rStyle w:val="Znakapoznpodarou"/>
                <w:spacing w:val="-4"/>
              </w:rPr>
              <w:footnoteReference w:id="87"/>
            </w:r>
            <w:r>
              <w:rPr>
                <w:spacing w:val="-4"/>
              </w:rPr>
              <w:t xml:space="preserve"> (12,8 mld. korun). Naopak u jiného mimořádného příjmu – daně z</w:t>
            </w:r>
            <w:r>
              <w:rPr>
                <w:spacing w:val="-2"/>
              </w:rPr>
              <w:t> </w:t>
            </w:r>
            <w:r>
              <w:rPr>
                <w:spacing w:val="-4"/>
              </w:rPr>
              <w:t>neočekávaných zisků</w:t>
            </w:r>
            <w:r>
              <w:rPr>
                <w:rStyle w:val="Znakapoznpodarou"/>
                <w:spacing w:val="-4"/>
              </w:rPr>
              <w:footnoteReference w:id="88"/>
            </w:r>
            <w:r>
              <w:rPr>
                <w:spacing w:val="-4"/>
              </w:rPr>
              <w:t xml:space="preserve"> – se předpokládají první splátky podniků až letos v září</w:t>
            </w:r>
            <w:r>
              <w:rPr>
                <w:rStyle w:val="Znakapoznpodarou"/>
                <w:spacing w:val="-4"/>
              </w:rPr>
              <w:footnoteReference w:id="89"/>
            </w:r>
            <w:r>
              <w:rPr>
                <w:spacing w:val="-4"/>
              </w:rPr>
              <w:t xml:space="preserve">. </w:t>
            </w:r>
          </w:p>
        </w:tc>
      </w:tr>
      <w:tr w:rsidR="00106BCC" w:rsidRPr="003C07E6" w14:paraId="06EDD977" w14:textId="77777777" w:rsidTr="006849F8">
        <w:trPr>
          <w:trHeight w:val="145"/>
        </w:trPr>
        <w:tc>
          <w:tcPr>
            <w:tcW w:w="1792" w:type="dxa"/>
            <w:shd w:val="clear" w:color="auto" w:fill="auto"/>
            <w:tcMar>
              <w:left w:w="0" w:type="dxa"/>
            </w:tcMar>
          </w:tcPr>
          <w:p w14:paraId="28108147" w14:textId="77777777" w:rsidR="00106BCC" w:rsidRDefault="00106BCC" w:rsidP="006849F8">
            <w:pPr>
              <w:pStyle w:val="Marginlie"/>
              <w:rPr>
                <w:spacing w:val="-5"/>
              </w:rPr>
            </w:pPr>
            <w:r>
              <w:t>Svižný růst inkasa daně z příjmu fyzických osob pramenil z příznivé pozice zaměstnanců na pracovním trhu i z růstu úrokových sazeb na vkladech.</w:t>
            </w:r>
          </w:p>
        </w:tc>
        <w:tc>
          <w:tcPr>
            <w:tcW w:w="203" w:type="dxa"/>
            <w:shd w:val="clear" w:color="auto" w:fill="auto"/>
            <w:tcMar>
              <w:left w:w="0" w:type="dxa"/>
            </w:tcMar>
          </w:tcPr>
          <w:p w14:paraId="1C3C4102" w14:textId="77777777" w:rsidR="00106BCC" w:rsidRDefault="00106BCC" w:rsidP="006849F8">
            <w:pPr>
              <w:pStyle w:val="Textpoznpodarou"/>
              <w:jc w:val="both"/>
              <w:rPr>
                <w:spacing w:val="-4"/>
              </w:rPr>
            </w:pPr>
          </w:p>
        </w:tc>
        <w:tc>
          <w:tcPr>
            <w:tcW w:w="7674" w:type="dxa"/>
            <w:shd w:val="clear" w:color="auto" w:fill="auto"/>
            <w:tcMar>
              <w:left w:w="0" w:type="dxa"/>
            </w:tcMar>
          </w:tcPr>
          <w:p w14:paraId="4E96B6C1" w14:textId="77777777" w:rsidR="00106BCC" w:rsidRDefault="00106BCC" w:rsidP="006849F8">
            <w:pPr>
              <w:spacing w:after="0"/>
              <w:rPr>
                <w:spacing w:val="-4"/>
              </w:rPr>
            </w:pPr>
            <w:r w:rsidRPr="00D0291A">
              <w:rPr>
                <w:color w:val="0D0D0D" w:themeColor="text1" w:themeTint="F2"/>
                <w:spacing w:val="-4"/>
              </w:rPr>
              <w:t xml:space="preserve">Svižně vzrostl i příjem SR z daně z příjmů od fyzických osob (DPFO), když byl meziročně vyšší o 25,2 %, resp. </w:t>
            </w:r>
            <w:r>
              <w:rPr>
                <w:color w:val="0D0D0D" w:themeColor="text1" w:themeTint="F2"/>
                <w:spacing w:val="-4"/>
              </w:rPr>
              <w:t xml:space="preserve">o </w:t>
            </w:r>
            <w:r w:rsidRPr="00D0291A">
              <w:rPr>
                <w:color w:val="0D0D0D" w:themeColor="text1" w:themeTint="F2"/>
                <w:spacing w:val="-4"/>
              </w:rPr>
              <w:t>13,3 mld. korun). Hlavní zásluhu na tom měla klíčová příjmová daň placená plátci (ze závislé činnosti)</w:t>
            </w:r>
            <w:r w:rsidRPr="00D0291A">
              <w:rPr>
                <w:rStyle w:val="Znakapoznpodarou"/>
                <w:color w:val="0D0D0D" w:themeColor="text1" w:themeTint="F2"/>
                <w:spacing w:val="-4"/>
              </w:rPr>
              <w:footnoteReference w:id="90"/>
            </w:r>
            <w:r>
              <w:rPr>
                <w:color w:val="0D0D0D" w:themeColor="text1" w:themeTint="F2"/>
                <w:spacing w:val="-4"/>
              </w:rPr>
              <w:t>, do níž se promítal přetrváva</w:t>
            </w:r>
            <w:r w:rsidRPr="00D0291A">
              <w:rPr>
                <w:color w:val="0D0D0D" w:themeColor="text1" w:themeTint="F2"/>
                <w:spacing w:val="-4"/>
              </w:rPr>
              <w:t>jící růst zaměstnanosti i mírně zrychlující růst průměrné mzdy. V menší míře se zde projevil i vliv daňových změn (pokračující navyšování daňové slevy na poplatníka, zrušení kompenzačního bonusu na pomoc d</w:t>
            </w:r>
            <w:r>
              <w:rPr>
                <w:color w:val="0D0D0D" w:themeColor="text1" w:themeTint="F2"/>
                <w:spacing w:val="-4"/>
              </w:rPr>
              <w:t>robným podnikatelům za</w:t>
            </w:r>
            <w:r w:rsidRPr="00D0291A">
              <w:rPr>
                <w:color w:val="0D0D0D" w:themeColor="text1" w:themeTint="F2"/>
                <w:spacing w:val="-4"/>
              </w:rPr>
              <w:t xml:space="preserve"> pandemie).</w:t>
            </w:r>
            <w:r>
              <w:rPr>
                <w:color w:val="0D0D0D" w:themeColor="text1" w:themeTint="F2"/>
                <w:spacing w:val="-4"/>
              </w:rPr>
              <w:t xml:space="preserve"> </w:t>
            </w:r>
            <w:r>
              <w:rPr>
                <w:spacing w:val="-4"/>
              </w:rPr>
              <w:t>Dařilo se i inkasu DPFO vybírané srážkou, na níž stát vybral meziročně o 45 % více (i díky růstu úrokových sazeb či vyššímu počtu osob pracujících na dohody). Naopak výběr váhově méně významné daně DPFO placené poplatníky, jež cílí hlavně na drobné podnikatele, se meziročně skoro o pětinu snížil</w:t>
            </w:r>
            <w:r>
              <w:rPr>
                <w:rStyle w:val="Znakapoznpodarou"/>
                <w:spacing w:val="-4"/>
              </w:rPr>
              <w:footnoteReference w:id="91"/>
            </w:r>
            <w:r>
              <w:rPr>
                <w:spacing w:val="-4"/>
              </w:rPr>
              <w:t xml:space="preserve">. </w:t>
            </w:r>
          </w:p>
        </w:tc>
      </w:tr>
      <w:tr w:rsidR="00106BCC" w:rsidRPr="003C07E6" w14:paraId="37CFAD30" w14:textId="77777777" w:rsidTr="006849F8">
        <w:trPr>
          <w:trHeight w:val="145"/>
        </w:trPr>
        <w:tc>
          <w:tcPr>
            <w:tcW w:w="1792" w:type="dxa"/>
            <w:shd w:val="clear" w:color="auto" w:fill="auto"/>
            <w:tcMar>
              <w:left w:w="0" w:type="dxa"/>
            </w:tcMar>
          </w:tcPr>
          <w:p w14:paraId="6DBC6B6A" w14:textId="77777777" w:rsidR="00106BCC" w:rsidRDefault="00106BCC" w:rsidP="006849F8">
            <w:pPr>
              <w:pStyle w:val="Marginlie"/>
              <w:rPr>
                <w:spacing w:val="-5"/>
              </w:rPr>
            </w:pPr>
            <w:r>
              <w:rPr>
                <w:spacing w:val="-5"/>
              </w:rPr>
              <w:t>Tempo růstu výběru DPH během 1. pololetí dále sláblo.</w:t>
            </w:r>
          </w:p>
        </w:tc>
        <w:tc>
          <w:tcPr>
            <w:tcW w:w="203" w:type="dxa"/>
            <w:shd w:val="clear" w:color="auto" w:fill="auto"/>
            <w:tcMar>
              <w:left w:w="0" w:type="dxa"/>
            </w:tcMar>
          </w:tcPr>
          <w:p w14:paraId="7071C2C2" w14:textId="77777777" w:rsidR="00106BCC" w:rsidRDefault="00106BCC" w:rsidP="006849F8">
            <w:pPr>
              <w:pStyle w:val="Textpoznpodarou"/>
              <w:jc w:val="both"/>
              <w:rPr>
                <w:spacing w:val="-4"/>
              </w:rPr>
            </w:pPr>
          </w:p>
        </w:tc>
        <w:tc>
          <w:tcPr>
            <w:tcW w:w="7674" w:type="dxa"/>
            <w:shd w:val="clear" w:color="auto" w:fill="auto"/>
            <w:tcMar>
              <w:left w:w="0" w:type="dxa"/>
            </w:tcMar>
          </w:tcPr>
          <w:p w14:paraId="5749730D" w14:textId="198D8648" w:rsidR="00106BCC" w:rsidRDefault="00106BCC" w:rsidP="006849F8">
            <w:pPr>
              <w:spacing w:after="220"/>
              <w:rPr>
                <w:spacing w:val="-4"/>
              </w:rPr>
            </w:pPr>
            <w:r>
              <w:rPr>
                <w:spacing w:val="-4"/>
              </w:rPr>
              <w:t xml:space="preserve">Nejvýznamnějším daňovým příjmem pro SR zůstává </w:t>
            </w:r>
            <w:r w:rsidRPr="0083523B">
              <w:rPr>
                <w:color w:val="0D0D0D" w:themeColor="text1" w:themeTint="F2"/>
                <w:spacing w:val="-4"/>
              </w:rPr>
              <w:t>tradičně DPH. V </w:t>
            </w:r>
            <w:r>
              <w:rPr>
                <w:spacing w:val="-4"/>
              </w:rPr>
              <w:t>1. pololetí 2023 jeho inkaso meziročně posílilo o 6,1 % (během pololetí tempo výběru dále sláblo, v samotném 2. čtvrtletí činilo jen 3,2 %). Z pohledu výběru daně byl pozitivní efekt vysokého růstu spotřebitelských cen korigován neg</w:t>
            </w:r>
            <w:r w:rsidR="00F23927">
              <w:rPr>
                <w:spacing w:val="-4"/>
              </w:rPr>
              <w:t>ativním vlivem</w:t>
            </w:r>
            <w:r w:rsidR="00E159C6">
              <w:rPr>
                <w:spacing w:val="-4"/>
              </w:rPr>
              <w:t xml:space="preserve"> poklesu spotřeby domácností (ten</w:t>
            </w:r>
            <w:r>
              <w:rPr>
                <w:spacing w:val="-4"/>
              </w:rPr>
              <w:t xml:space="preserve"> v meziročním pohledu trval šest kvartálů v řadě</w:t>
            </w:r>
            <w:r>
              <w:rPr>
                <w:rStyle w:val="Znakapoznpodarou"/>
                <w:spacing w:val="-4"/>
              </w:rPr>
              <w:footnoteReference w:id="92"/>
            </w:r>
            <w:r>
              <w:rPr>
                <w:spacing w:val="-4"/>
              </w:rPr>
              <w:t>). Růst inkasa byl v řádově menší míře tlumen i zvýšením limitu tržeb pro registraci DPH</w:t>
            </w:r>
            <w:r>
              <w:rPr>
                <w:rStyle w:val="Znakapoznpodarou"/>
                <w:spacing w:val="-4"/>
              </w:rPr>
              <w:footnoteReference w:id="93"/>
            </w:r>
            <w:r>
              <w:rPr>
                <w:spacing w:val="-4"/>
              </w:rPr>
              <w:t xml:space="preserve">. </w:t>
            </w:r>
          </w:p>
        </w:tc>
      </w:tr>
      <w:tr w:rsidR="00106BCC" w:rsidRPr="003C07E6" w14:paraId="4A0A6F75" w14:textId="77777777" w:rsidTr="006849F8">
        <w:trPr>
          <w:trHeight w:val="145"/>
        </w:trPr>
        <w:tc>
          <w:tcPr>
            <w:tcW w:w="1792" w:type="dxa"/>
            <w:shd w:val="clear" w:color="auto" w:fill="auto"/>
            <w:tcMar>
              <w:left w:w="0" w:type="dxa"/>
            </w:tcMar>
          </w:tcPr>
          <w:p w14:paraId="3533E0C2" w14:textId="77777777" w:rsidR="00106BCC" w:rsidRDefault="00106BCC" w:rsidP="006849F8">
            <w:pPr>
              <w:pStyle w:val="Marginlie"/>
              <w:rPr>
                <w:spacing w:val="-5"/>
              </w:rPr>
            </w:pPr>
            <w:r>
              <w:rPr>
                <w:spacing w:val="-5"/>
              </w:rPr>
              <w:t>Meziroční pokles výběru spotřebních daní nastal u</w:t>
            </w:r>
            <w:r>
              <w:t> </w:t>
            </w:r>
            <w:r>
              <w:rPr>
                <w:spacing w:val="-5"/>
              </w:rPr>
              <w:t>všech významných komodit. Celkové inkaso znatelně zaostávalo za předkrizovým rokem 2019.</w:t>
            </w:r>
          </w:p>
        </w:tc>
        <w:tc>
          <w:tcPr>
            <w:tcW w:w="203" w:type="dxa"/>
            <w:shd w:val="clear" w:color="auto" w:fill="auto"/>
            <w:tcMar>
              <w:left w:w="0" w:type="dxa"/>
            </w:tcMar>
          </w:tcPr>
          <w:p w14:paraId="22422F8C" w14:textId="77777777" w:rsidR="00106BCC" w:rsidRDefault="00106BCC" w:rsidP="006849F8">
            <w:pPr>
              <w:pStyle w:val="Textpoznpodarou"/>
              <w:jc w:val="both"/>
              <w:rPr>
                <w:spacing w:val="-4"/>
              </w:rPr>
            </w:pPr>
          </w:p>
        </w:tc>
        <w:tc>
          <w:tcPr>
            <w:tcW w:w="7674" w:type="dxa"/>
            <w:shd w:val="clear" w:color="auto" w:fill="auto"/>
            <w:tcMar>
              <w:left w:w="0" w:type="dxa"/>
            </w:tcMar>
          </w:tcPr>
          <w:p w14:paraId="6026C2C2" w14:textId="77777777" w:rsidR="00106BCC" w:rsidRDefault="00106BCC" w:rsidP="006849F8">
            <w:pPr>
              <w:spacing w:after="220"/>
              <w:rPr>
                <w:spacing w:val="-4"/>
              </w:rPr>
            </w:pPr>
            <w:r w:rsidRPr="002623CB">
              <w:rPr>
                <w:color w:val="0D0D0D" w:themeColor="text1" w:themeTint="F2"/>
                <w:spacing w:val="-4"/>
              </w:rPr>
              <w:t xml:space="preserve">Na spotřební dani (včetně energetických daní a daně z digitálních služeb) plynulo </w:t>
            </w:r>
            <w:r>
              <w:rPr>
                <w:color w:val="0D0D0D" w:themeColor="text1" w:themeTint="F2"/>
                <w:spacing w:val="-4"/>
              </w:rPr>
              <w:t>v</w:t>
            </w:r>
            <w:r>
              <w:rPr>
                <w:spacing w:val="-4"/>
              </w:rPr>
              <w:t xml:space="preserve"> 1. pololetí </w:t>
            </w:r>
            <w:r w:rsidRPr="002623CB">
              <w:rPr>
                <w:color w:val="0D0D0D" w:themeColor="text1" w:themeTint="F2"/>
                <w:spacing w:val="-4"/>
              </w:rPr>
              <w:t xml:space="preserve">do SR meziročně o 7,6 % </w:t>
            </w:r>
            <w:r>
              <w:rPr>
                <w:color w:val="0D0D0D" w:themeColor="text1" w:themeTint="F2"/>
                <w:spacing w:val="-4"/>
              </w:rPr>
              <w:t xml:space="preserve">(resp. o 5,6 mld. korun) </w:t>
            </w:r>
            <w:r w:rsidRPr="002623CB">
              <w:rPr>
                <w:color w:val="0D0D0D" w:themeColor="text1" w:themeTint="F2"/>
                <w:spacing w:val="-4"/>
              </w:rPr>
              <w:t>mén</w:t>
            </w:r>
            <w:r>
              <w:rPr>
                <w:color w:val="0D0D0D" w:themeColor="text1" w:themeTint="F2"/>
                <w:spacing w:val="-4"/>
              </w:rPr>
              <w:t>ě. V</w:t>
            </w:r>
            <w:r>
              <w:rPr>
                <w:spacing w:val="-4"/>
              </w:rPr>
              <w:t>ýše inkasa tak zatím zřetelně nenaplňovala rozpočtové očekávání (obdobně jako u DPH). Výběr daně klesá již od poloviny loňského roku a jeho dosavadní letošní výše byla o desetinu pod úrovní z 1. pololetí 2019. Meziročně se letos snížil výběr všech váhově významnějších položek spotřební daně. Klíčový byl pokles inkasa daně z minerálních olejů (-7,2 %), výrazně ovlivněný dočasným snížením daňové sazby u motorové nafty</w:t>
            </w:r>
            <w:r>
              <w:rPr>
                <w:rStyle w:val="Znakapoznpodarou"/>
                <w:spacing w:val="-4"/>
              </w:rPr>
              <w:footnoteReference w:id="94"/>
            </w:r>
            <w:r>
              <w:rPr>
                <w:spacing w:val="-4"/>
              </w:rPr>
              <w:t>. Projevil se patrně i dopad poklesu objemu nákladní dopravy vlivem nižšího obratu zbožového zahraničního obchodu. Klesl rovněž výběr daně z tabákových výrobků (-8,3 %), a to i přes pokračující navyšování daňové sazby. Silnější vliv na inkaso totiž měla změna nákupních preferencí domácností (přesun spotřeby k alternativním produktům, v tuzemsku méně zdaněným, posílení přeshraničních nákupů). SR získal meziročně méně i na dani ze specifických komodit (líh, víno, pivo), patrně v důsledku omezení zbytných výdajů tuzemských domácností. Úsporné chování domácností i firem vyústilo v razantní pokles výběru energetických daní.</w:t>
            </w:r>
          </w:p>
        </w:tc>
      </w:tr>
      <w:tr w:rsidR="00106BCC" w:rsidRPr="00F704D2" w14:paraId="754310D7" w14:textId="77777777" w:rsidTr="006849F8">
        <w:trPr>
          <w:trHeight w:val="170"/>
        </w:trPr>
        <w:tc>
          <w:tcPr>
            <w:tcW w:w="1792" w:type="dxa"/>
            <w:vMerge w:val="restart"/>
            <w:shd w:val="clear" w:color="auto" w:fill="auto"/>
            <w:tcMar>
              <w:left w:w="0" w:type="dxa"/>
            </w:tcMar>
          </w:tcPr>
          <w:p w14:paraId="0D62B353" w14:textId="77777777" w:rsidR="00106BCC" w:rsidRDefault="00106BCC" w:rsidP="006849F8">
            <w:pPr>
              <w:pStyle w:val="Marginlie"/>
            </w:pPr>
          </w:p>
        </w:tc>
        <w:tc>
          <w:tcPr>
            <w:tcW w:w="203" w:type="dxa"/>
            <w:vMerge w:val="restart"/>
            <w:shd w:val="clear" w:color="auto" w:fill="auto"/>
            <w:tcMar>
              <w:left w:w="0" w:type="dxa"/>
            </w:tcMar>
          </w:tcPr>
          <w:p w14:paraId="1E862622" w14:textId="77777777" w:rsidR="00106BCC" w:rsidRDefault="00106BCC" w:rsidP="006849F8">
            <w:pPr>
              <w:pStyle w:val="Textpoznpodarou"/>
              <w:jc w:val="both"/>
              <w:rPr>
                <w:spacing w:val="-4"/>
              </w:rPr>
            </w:pPr>
          </w:p>
        </w:tc>
        <w:tc>
          <w:tcPr>
            <w:tcW w:w="7674" w:type="dxa"/>
            <w:shd w:val="clear" w:color="auto" w:fill="auto"/>
            <w:tcMar>
              <w:left w:w="0" w:type="dxa"/>
            </w:tcMar>
          </w:tcPr>
          <w:p w14:paraId="1B71BBEC" w14:textId="480E8A86" w:rsidR="00106BCC" w:rsidRPr="00CC3017" w:rsidRDefault="00FA2C07" w:rsidP="006849F8">
            <w:pPr>
              <w:spacing w:after="20"/>
              <w:rPr>
                <w:rFonts w:cs="Arial"/>
                <w:b/>
                <w:bCs/>
                <w:color w:val="000000"/>
                <w:spacing w:val="-4"/>
                <w:szCs w:val="20"/>
              </w:rPr>
            </w:pPr>
            <w:r>
              <w:rPr>
                <w:rFonts w:cs="Arial"/>
                <w:b/>
                <w:bCs/>
                <w:color w:val="000000"/>
                <w:spacing w:val="-4"/>
                <w:szCs w:val="20"/>
              </w:rPr>
              <w:t>Graf č. 17</w:t>
            </w:r>
            <w:r w:rsidR="00106BCC" w:rsidRPr="00A66749">
              <w:rPr>
                <w:rFonts w:cs="Arial"/>
                <w:b/>
                <w:bCs/>
                <w:color w:val="000000"/>
                <w:spacing w:val="-4"/>
                <w:szCs w:val="20"/>
              </w:rPr>
              <w:t xml:space="preserve"> </w:t>
            </w:r>
            <w:r w:rsidR="00106BCC">
              <w:rPr>
                <w:rFonts w:cs="Arial"/>
                <w:b/>
                <w:bCs/>
                <w:color w:val="000000"/>
                <w:spacing w:val="-4"/>
                <w:szCs w:val="20"/>
              </w:rPr>
              <w:t>Příspěvek dílčích příjmů k meziročnímu růstu c</w:t>
            </w:r>
            <w:r w:rsidR="00106BCC" w:rsidRPr="00C37D7A">
              <w:rPr>
                <w:rFonts w:cs="Arial"/>
                <w:b/>
                <w:bCs/>
                <w:color w:val="000000"/>
                <w:spacing w:val="-4"/>
                <w:szCs w:val="20"/>
              </w:rPr>
              <w:t>elostátní</w:t>
            </w:r>
            <w:r w:rsidR="00106BCC">
              <w:rPr>
                <w:rFonts w:cs="Arial"/>
                <w:b/>
                <w:bCs/>
                <w:color w:val="000000"/>
                <w:spacing w:val="-4"/>
                <w:szCs w:val="20"/>
              </w:rPr>
              <w:t>ho inkas</w:t>
            </w:r>
            <w:r w:rsidR="00106BCC" w:rsidRPr="00C37D7A">
              <w:rPr>
                <w:rFonts w:cs="Arial"/>
                <w:b/>
                <w:bCs/>
                <w:color w:val="000000"/>
                <w:spacing w:val="-4"/>
                <w:szCs w:val="20"/>
              </w:rPr>
              <w:t xml:space="preserve">a daňových příjmů </w:t>
            </w:r>
            <w:r w:rsidR="00106BCC" w:rsidRPr="00CC7FBA">
              <w:rPr>
                <w:rFonts w:cs="Arial"/>
                <w:bCs/>
                <w:color w:val="000000"/>
                <w:spacing w:val="-4"/>
                <w:szCs w:val="20"/>
              </w:rPr>
              <w:t>(v p. b.)</w:t>
            </w:r>
            <w:r w:rsidR="00106BCC" w:rsidRPr="00C37D7A">
              <w:rPr>
                <w:rFonts w:cs="Arial"/>
                <w:b/>
                <w:bCs/>
                <w:color w:val="000000"/>
                <w:spacing w:val="-4"/>
                <w:szCs w:val="20"/>
              </w:rPr>
              <w:t xml:space="preserve"> a saldo státního rozpočtu </w:t>
            </w:r>
            <w:r w:rsidR="00106BCC" w:rsidRPr="00CC7FBA">
              <w:rPr>
                <w:rFonts w:cs="Arial"/>
                <w:bCs/>
                <w:color w:val="000000"/>
                <w:spacing w:val="-4"/>
                <w:szCs w:val="20"/>
              </w:rPr>
              <w:t>(v mld. korun)</w:t>
            </w:r>
            <w:r w:rsidR="00106BCC">
              <w:rPr>
                <w:rFonts w:cs="Arial"/>
                <w:b/>
                <w:bCs/>
                <w:color w:val="000000"/>
                <w:spacing w:val="-4"/>
                <w:szCs w:val="20"/>
              </w:rPr>
              <w:t xml:space="preserve"> v rámci 1. pololetí</w:t>
            </w:r>
          </w:p>
        </w:tc>
      </w:tr>
      <w:tr w:rsidR="00106BCC" w14:paraId="4257F8B3" w14:textId="77777777" w:rsidTr="006849F8">
        <w:tblPrEx>
          <w:tblCellMar>
            <w:left w:w="70" w:type="dxa"/>
            <w:right w:w="70" w:type="dxa"/>
          </w:tblCellMar>
        </w:tblPrEx>
        <w:trPr>
          <w:trHeight w:val="170"/>
        </w:trPr>
        <w:tc>
          <w:tcPr>
            <w:tcW w:w="1792" w:type="dxa"/>
            <w:vMerge/>
            <w:shd w:val="clear" w:color="auto" w:fill="auto"/>
          </w:tcPr>
          <w:p w14:paraId="28EA0C95" w14:textId="77777777" w:rsidR="00106BCC" w:rsidRDefault="00106BCC" w:rsidP="006849F8">
            <w:pPr>
              <w:pStyle w:val="Marginlie"/>
            </w:pPr>
          </w:p>
        </w:tc>
        <w:tc>
          <w:tcPr>
            <w:tcW w:w="203" w:type="dxa"/>
            <w:vMerge/>
            <w:shd w:val="clear" w:color="auto" w:fill="auto"/>
          </w:tcPr>
          <w:p w14:paraId="35F16900" w14:textId="77777777" w:rsidR="00106BCC" w:rsidRDefault="00106BCC" w:rsidP="006849F8">
            <w:pPr>
              <w:pStyle w:val="Textpoznpodarou"/>
              <w:jc w:val="both"/>
              <w:rPr>
                <w:spacing w:val="-4"/>
              </w:rPr>
            </w:pPr>
          </w:p>
        </w:tc>
        <w:tc>
          <w:tcPr>
            <w:tcW w:w="7674" w:type="dxa"/>
            <w:shd w:val="clear" w:color="auto" w:fill="auto"/>
          </w:tcPr>
          <w:p w14:paraId="0955F9AC" w14:textId="77777777" w:rsidR="00106BCC" w:rsidRPr="0067514E" w:rsidRDefault="00106BCC" w:rsidP="006849F8">
            <w:pPr>
              <w:spacing w:after="0"/>
              <w:rPr>
                <w:spacing w:val="-6"/>
              </w:rPr>
            </w:pPr>
            <w:r>
              <w:rPr>
                <w:noProof/>
              </w:rPr>
              <w:drawing>
                <wp:inline distT="0" distB="0" distL="0" distR="0" wp14:anchorId="776E599A" wp14:editId="5F707356">
                  <wp:extent cx="4741545" cy="3302000"/>
                  <wp:effectExtent l="0" t="0" r="1905"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106BCC" w:rsidRPr="007B3A78" w14:paraId="01689068" w14:textId="77777777" w:rsidTr="006849F8">
        <w:trPr>
          <w:trHeight w:val="170"/>
        </w:trPr>
        <w:tc>
          <w:tcPr>
            <w:tcW w:w="1792" w:type="dxa"/>
            <w:vMerge/>
            <w:shd w:val="clear" w:color="auto" w:fill="auto"/>
            <w:tcMar>
              <w:left w:w="0" w:type="dxa"/>
            </w:tcMar>
          </w:tcPr>
          <w:p w14:paraId="43ECD43A" w14:textId="77777777" w:rsidR="00106BCC" w:rsidRDefault="00106BCC" w:rsidP="006849F8">
            <w:pPr>
              <w:pStyle w:val="Marginlie"/>
            </w:pPr>
          </w:p>
        </w:tc>
        <w:tc>
          <w:tcPr>
            <w:tcW w:w="203" w:type="dxa"/>
            <w:vMerge/>
            <w:shd w:val="clear" w:color="auto" w:fill="auto"/>
            <w:tcMar>
              <w:left w:w="0" w:type="dxa"/>
            </w:tcMar>
          </w:tcPr>
          <w:p w14:paraId="6F968FCE" w14:textId="77777777" w:rsidR="00106BCC" w:rsidRDefault="00106BCC" w:rsidP="006849F8">
            <w:pPr>
              <w:pStyle w:val="Textpoznpodarou"/>
              <w:jc w:val="both"/>
              <w:rPr>
                <w:spacing w:val="-4"/>
              </w:rPr>
            </w:pPr>
          </w:p>
        </w:tc>
        <w:tc>
          <w:tcPr>
            <w:tcW w:w="7674" w:type="dxa"/>
            <w:shd w:val="clear" w:color="auto" w:fill="auto"/>
            <w:tcMar>
              <w:left w:w="0" w:type="dxa"/>
            </w:tcMar>
          </w:tcPr>
          <w:p w14:paraId="7E17D0C3" w14:textId="77777777" w:rsidR="00106BCC" w:rsidRDefault="00106BCC" w:rsidP="006849F8">
            <w:pPr>
              <w:tabs>
                <w:tab w:val="right" w:pos="7683"/>
              </w:tabs>
              <w:spacing w:after="0" w:line="240" w:lineRule="auto"/>
              <w:jc w:val="left"/>
              <w:rPr>
                <w:sz w:val="16"/>
                <w:szCs w:val="16"/>
              </w:rPr>
            </w:pPr>
            <w:r>
              <w:rPr>
                <w:spacing w:val="-2"/>
                <w:sz w:val="14"/>
                <w:szCs w:val="14"/>
              </w:rPr>
              <w:t>Poznámka: Údaje očištěné o vliv prostředků z EU a Finančních mechanismů jsou k dispozici od roku 2013.</w:t>
            </w:r>
          </w:p>
          <w:p w14:paraId="72B0BDA6" w14:textId="0020260B" w:rsidR="00106BCC" w:rsidRPr="00764654" w:rsidRDefault="00106BCC" w:rsidP="00E159C6">
            <w:pPr>
              <w:tabs>
                <w:tab w:val="right" w:pos="7683"/>
              </w:tabs>
              <w:spacing w:after="200" w:line="240" w:lineRule="auto"/>
              <w:jc w:val="left"/>
              <w:rPr>
                <w:sz w:val="14"/>
                <w:szCs w:val="14"/>
              </w:rPr>
            </w:pPr>
            <w:r w:rsidRPr="002777A9">
              <w:rPr>
                <w:sz w:val="14"/>
                <w:szCs w:val="14"/>
              </w:rPr>
              <w:t>*</w:t>
            </w:r>
            <w:r w:rsidR="00E159C6">
              <w:rPr>
                <w:sz w:val="14"/>
                <w:szCs w:val="14"/>
              </w:rPr>
              <w:t xml:space="preserve">Ostatní daně a poplatky zahrnují </w:t>
            </w:r>
            <w:r>
              <w:rPr>
                <w:sz w:val="14"/>
                <w:szCs w:val="14"/>
              </w:rPr>
              <w:t>zejména daň z nemovitých věcí, d</w:t>
            </w:r>
            <w:r w:rsidRPr="001F4360">
              <w:rPr>
                <w:sz w:val="14"/>
                <w:szCs w:val="14"/>
              </w:rPr>
              <w:t>aň z hazardních her</w:t>
            </w:r>
            <w:r>
              <w:rPr>
                <w:sz w:val="14"/>
                <w:szCs w:val="14"/>
              </w:rPr>
              <w:t>, d</w:t>
            </w:r>
            <w:r w:rsidRPr="001F4360">
              <w:rPr>
                <w:sz w:val="14"/>
                <w:szCs w:val="14"/>
              </w:rPr>
              <w:t>álniční poplatek</w:t>
            </w:r>
            <w:r>
              <w:rPr>
                <w:sz w:val="14"/>
                <w:szCs w:val="14"/>
              </w:rPr>
              <w:t>, mýtné a v roce 2023 nově rovněž o</w:t>
            </w:r>
            <w:r w:rsidRPr="003C78E5">
              <w:rPr>
                <w:sz w:val="14"/>
                <w:szCs w:val="14"/>
              </w:rPr>
              <w:t>dvod z nadměrných příjmů</w:t>
            </w:r>
            <w:r>
              <w:rPr>
                <w:sz w:val="14"/>
                <w:szCs w:val="14"/>
              </w:rPr>
              <w:t xml:space="preserve">.              </w:t>
            </w:r>
            <w:r w:rsidR="00E159C6">
              <w:rPr>
                <w:sz w:val="14"/>
                <w:szCs w:val="14"/>
              </w:rPr>
              <w:t xml:space="preserve">                 </w:t>
            </w:r>
            <w:r>
              <w:rPr>
                <w:sz w:val="14"/>
                <w:szCs w:val="14"/>
              </w:rPr>
              <w:t xml:space="preserve">                                                                    </w:t>
            </w:r>
            <w:r w:rsidRPr="002777A9">
              <w:rPr>
                <w:sz w:val="14"/>
                <w:szCs w:val="14"/>
              </w:rPr>
              <w:t>Zdroj: MF ČR</w:t>
            </w:r>
          </w:p>
        </w:tc>
      </w:tr>
      <w:tr w:rsidR="00106BCC" w:rsidRPr="007B3A78" w14:paraId="5E12D22A" w14:textId="77777777" w:rsidTr="006849F8">
        <w:trPr>
          <w:trHeight w:val="170"/>
        </w:trPr>
        <w:tc>
          <w:tcPr>
            <w:tcW w:w="1792" w:type="dxa"/>
            <w:shd w:val="clear" w:color="auto" w:fill="auto"/>
            <w:tcMar>
              <w:left w:w="0" w:type="dxa"/>
            </w:tcMar>
          </w:tcPr>
          <w:p w14:paraId="23788614" w14:textId="77777777" w:rsidR="00106BCC" w:rsidRDefault="00106BCC" w:rsidP="006849F8">
            <w:pPr>
              <w:pStyle w:val="Marginlie"/>
            </w:pPr>
            <w:r>
              <w:t>Potřeba mimořádných transferů se promítala do svižného růstu celkových výdajů SR, jejichž tempo převyšovalo rozpočtové očekávání.</w:t>
            </w:r>
          </w:p>
        </w:tc>
        <w:tc>
          <w:tcPr>
            <w:tcW w:w="203" w:type="dxa"/>
            <w:shd w:val="clear" w:color="auto" w:fill="auto"/>
            <w:tcMar>
              <w:left w:w="0" w:type="dxa"/>
            </w:tcMar>
          </w:tcPr>
          <w:p w14:paraId="61BC6BC1" w14:textId="77777777" w:rsidR="00106BCC" w:rsidRDefault="00106BCC" w:rsidP="006849F8">
            <w:pPr>
              <w:pStyle w:val="Textpoznpodarou"/>
              <w:jc w:val="both"/>
              <w:rPr>
                <w:spacing w:val="-4"/>
              </w:rPr>
            </w:pPr>
          </w:p>
        </w:tc>
        <w:tc>
          <w:tcPr>
            <w:tcW w:w="7674" w:type="dxa"/>
            <w:shd w:val="clear" w:color="auto" w:fill="auto"/>
            <w:tcMar>
              <w:left w:w="0" w:type="dxa"/>
            </w:tcMar>
          </w:tcPr>
          <w:p w14:paraId="147EC330" w14:textId="77777777" w:rsidR="00106BCC" w:rsidRPr="001843D5" w:rsidRDefault="00106BCC" w:rsidP="006849F8">
            <w:pPr>
              <w:spacing w:after="220"/>
              <w:rPr>
                <w:color w:val="0D0D0D" w:themeColor="text1" w:themeTint="F2"/>
                <w:spacing w:val="-4"/>
              </w:rPr>
            </w:pPr>
            <w:r w:rsidRPr="008F130B">
              <w:rPr>
                <w:color w:val="0D0D0D" w:themeColor="text1" w:themeTint="F2"/>
                <w:spacing w:val="-5"/>
              </w:rPr>
              <w:t>Celkové výdaje SR v 1.</w:t>
            </w:r>
            <w:r>
              <w:rPr>
                <w:color w:val="0D0D0D" w:themeColor="text1" w:themeTint="F2"/>
                <w:spacing w:val="-5"/>
              </w:rPr>
              <w:t xml:space="preserve"> polol</w:t>
            </w:r>
            <w:r w:rsidRPr="008F130B">
              <w:rPr>
                <w:color w:val="0D0D0D" w:themeColor="text1" w:themeTint="F2"/>
                <w:spacing w:val="-5"/>
              </w:rPr>
              <w:t>etí 2023 me</w:t>
            </w:r>
            <w:r>
              <w:rPr>
                <w:color w:val="0D0D0D" w:themeColor="text1" w:themeTint="F2"/>
                <w:spacing w:val="-5"/>
              </w:rPr>
              <w:t>ziročně vzrostly o 16,8</w:t>
            </w:r>
            <w:r w:rsidRPr="008F130B">
              <w:rPr>
                <w:color w:val="0D0D0D" w:themeColor="text1" w:themeTint="F2"/>
                <w:spacing w:val="-5"/>
              </w:rPr>
              <w:t xml:space="preserve"> %</w:t>
            </w:r>
            <w:r>
              <w:rPr>
                <w:color w:val="0D0D0D" w:themeColor="text1" w:themeTint="F2"/>
                <w:spacing w:val="-5"/>
              </w:rPr>
              <w:t xml:space="preserve"> (+162,6</w:t>
            </w:r>
            <w:r w:rsidRPr="008F130B">
              <w:rPr>
                <w:color w:val="0D0D0D" w:themeColor="text1" w:themeTint="F2"/>
                <w:spacing w:val="-5"/>
              </w:rPr>
              <w:t xml:space="preserve"> </w:t>
            </w:r>
            <w:r>
              <w:rPr>
                <w:color w:val="0D0D0D" w:themeColor="text1" w:themeTint="F2"/>
                <w:spacing w:val="-5"/>
              </w:rPr>
              <w:t>mld. korun), jejich tempo zatím převyšovalo celoroční rozpočtové očekávání (o 4 p. b.).</w:t>
            </w:r>
            <w:r w:rsidRPr="008F130B">
              <w:rPr>
                <w:color w:val="0D0D0D" w:themeColor="text1" w:themeTint="F2"/>
                <w:spacing w:val="-4"/>
              </w:rPr>
              <w:t xml:space="preserve"> </w:t>
            </w:r>
            <w:r>
              <w:rPr>
                <w:spacing w:val="-2"/>
              </w:rPr>
              <w:t xml:space="preserve">Do </w:t>
            </w:r>
            <w:r>
              <w:rPr>
                <w:color w:val="0D0D0D" w:themeColor="text1" w:themeTint="F2"/>
                <w:spacing w:val="-2"/>
              </w:rPr>
              <w:t>silného</w:t>
            </w:r>
            <w:r w:rsidRPr="003A4FAE">
              <w:rPr>
                <w:color w:val="0D0D0D" w:themeColor="text1" w:themeTint="F2"/>
                <w:spacing w:val="-2"/>
              </w:rPr>
              <w:t xml:space="preserve"> růstu výdajů SR </w:t>
            </w:r>
            <w:r>
              <w:rPr>
                <w:spacing w:val="-2"/>
              </w:rPr>
              <w:t xml:space="preserve">se promítala jak pomoc státu související s vysokými cenami energií (dosud nedostatečně kompenzovaná mimořádnými příjmy ze zdanění vybraných sektorů ekonomiky), tak dopady přetrvávající pádivé inflace (valorizace důchodů, vyšší objem vyplacených sociálních dávek, rostoucí splátky státního dluhu). Na rozdíl od 1. pololetí 2022 přispěly letos k meziročnímu růstu výdajů SR nejen investice, ale i běžné výdaje. </w:t>
            </w:r>
          </w:p>
        </w:tc>
      </w:tr>
      <w:tr w:rsidR="00106BCC" w:rsidRPr="007B3A78" w14:paraId="7C7A2886" w14:textId="77777777" w:rsidTr="006849F8">
        <w:trPr>
          <w:trHeight w:val="170"/>
        </w:trPr>
        <w:tc>
          <w:tcPr>
            <w:tcW w:w="1792" w:type="dxa"/>
            <w:shd w:val="clear" w:color="auto" w:fill="auto"/>
            <w:tcMar>
              <w:left w:w="0" w:type="dxa"/>
            </w:tcMar>
          </w:tcPr>
          <w:p w14:paraId="13158B46" w14:textId="77777777" w:rsidR="00106BCC" w:rsidRDefault="00106BCC" w:rsidP="006849F8">
            <w:pPr>
              <w:pStyle w:val="Marginlie"/>
            </w:pPr>
            <w:r>
              <w:t>Fiskální expanze v</w:t>
            </w:r>
            <w:r>
              <w:rPr>
                <w:spacing w:val="-4"/>
              </w:rPr>
              <w:t> </w:t>
            </w:r>
            <w:r>
              <w:t>1.</w:t>
            </w:r>
            <w:r>
              <w:rPr>
                <w:spacing w:val="-4"/>
              </w:rPr>
              <w:t> </w:t>
            </w:r>
            <w:r>
              <w:t xml:space="preserve">pololetí souvisela primárně se zákonnými valorizacemi důchodů. </w:t>
            </w:r>
          </w:p>
          <w:p w14:paraId="3C8CB321" w14:textId="77777777" w:rsidR="00106BCC" w:rsidRDefault="00106BCC" w:rsidP="006849F8">
            <w:pPr>
              <w:pStyle w:val="Marginlie"/>
            </w:pPr>
          </w:p>
          <w:p w14:paraId="7CC0C364" w14:textId="77777777" w:rsidR="00106BCC" w:rsidRDefault="00106BCC" w:rsidP="006849F8">
            <w:pPr>
              <w:pStyle w:val="Marginlie"/>
            </w:pPr>
          </w:p>
          <w:p w14:paraId="0A14BB55" w14:textId="77777777" w:rsidR="00106BCC" w:rsidRDefault="00106BCC" w:rsidP="006849F8">
            <w:pPr>
              <w:pStyle w:val="Marginlie"/>
            </w:pPr>
          </w:p>
          <w:p w14:paraId="586363D9" w14:textId="77777777" w:rsidR="00106BCC" w:rsidRDefault="00106BCC" w:rsidP="006849F8">
            <w:pPr>
              <w:pStyle w:val="Marginlie"/>
            </w:pPr>
          </w:p>
          <w:p w14:paraId="77FA6FF8" w14:textId="77777777" w:rsidR="00106BCC" w:rsidRDefault="00106BCC" w:rsidP="006849F8">
            <w:pPr>
              <w:pStyle w:val="Marginlie"/>
            </w:pPr>
          </w:p>
          <w:p w14:paraId="5DA66BC3" w14:textId="77777777" w:rsidR="00106BCC" w:rsidRDefault="00106BCC" w:rsidP="006849F8">
            <w:pPr>
              <w:pStyle w:val="Marginlie"/>
            </w:pPr>
            <w:r>
              <w:t>Pokles počtu příjemců starobních důchodů navzdory vyššímu zájmu o předčasné penze pokračoval.</w:t>
            </w:r>
          </w:p>
        </w:tc>
        <w:tc>
          <w:tcPr>
            <w:tcW w:w="203" w:type="dxa"/>
            <w:shd w:val="clear" w:color="auto" w:fill="auto"/>
            <w:tcMar>
              <w:left w:w="0" w:type="dxa"/>
            </w:tcMar>
          </w:tcPr>
          <w:p w14:paraId="5480FC9E" w14:textId="77777777" w:rsidR="00106BCC" w:rsidRDefault="00106BCC" w:rsidP="006849F8">
            <w:pPr>
              <w:pStyle w:val="Textpoznpodarou"/>
              <w:jc w:val="both"/>
              <w:rPr>
                <w:spacing w:val="-4"/>
              </w:rPr>
            </w:pPr>
          </w:p>
        </w:tc>
        <w:tc>
          <w:tcPr>
            <w:tcW w:w="7674" w:type="dxa"/>
            <w:shd w:val="clear" w:color="auto" w:fill="auto"/>
            <w:tcMar>
              <w:left w:w="0" w:type="dxa"/>
            </w:tcMar>
          </w:tcPr>
          <w:p w14:paraId="73681F00" w14:textId="77777777" w:rsidR="00106BCC" w:rsidRPr="008F130B" w:rsidRDefault="00106BCC" w:rsidP="006849F8">
            <w:pPr>
              <w:spacing w:after="200"/>
              <w:rPr>
                <w:color w:val="0D0D0D" w:themeColor="text1" w:themeTint="F2"/>
                <w:spacing w:val="-4"/>
              </w:rPr>
            </w:pPr>
            <w:r>
              <w:rPr>
                <w:color w:val="0D0D0D" w:themeColor="text1" w:themeTint="F2"/>
                <w:spacing w:val="-5"/>
              </w:rPr>
              <w:t>Běžné výdaje SR v 1. pololetí meziročně posílily o 16,8 % (+151,7 mld. korun), což představovalo nejvyšší tempo v současném miléniu</w:t>
            </w:r>
            <w:r>
              <w:rPr>
                <w:rStyle w:val="Znakapoznpodarou"/>
                <w:color w:val="0D0D0D" w:themeColor="text1" w:themeTint="F2"/>
                <w:spacing w:val="-5"/>
              </w:rPr>
              <w:footnoteReference w:id="95"/>
            </w:r>
            <w:r>
              <w:rPr>
                <w:color w:val="0D0D0D" w:themeColor="text1" w:themeTint="F2"/>
                <w:spacing w:val="-5"/>
              </w:rPr>
              <w:t xml:space="preserve">. Hlavní zdroj fiskální expanze představovaly výdaje na sociální dávky, jejichž objem narostl o šestinu (resp. 62,5 mld. korun). Klíčovou roli u nich tradičně sehrály </w:t>
            </w:r>
            <w:r w:rsidRPr="00583942">
              <w:rPr>
                <w:color w:val="0D0D0D" w:themeColor="text1" w:themeTint="F2"/>
                <w:spacing w:val="-4"/>
              </w:rPr>
              <w:t>výdaje na důchody, jež vystoupaly na 342</w:t>
            </w:r>
            <w:r>
              <w:rPr>
                <w:color w:val="0D0D0D" w:themeColor="text1" w:themeTint="F2"/>
                <w:spacing w:val="-4"/>
              </w:rPr>
              <w:t>,2</w:t>
            </w:r>
            <w:r w:rsidRPr="00583942">
              <w:rPr>
                <w:color w:val="0D0D0D" w:themeColor="text1" w:themeTint="F2"/>
                <w:spacing w:val="-4"/>
              </w:rPr>
              <w:t xml:space="preserve"> mld. korun a úroveň z 1. pololetí loňského roku překonaly o rekordních 19,8 %</w:t>
            </w:r>
            <w:r w:rsidRPr="00862F80">
              <w:rPr>
                <w:rStyle w:val="Znakapoznpodarou"/>
                <w:spacing w:val="-4"/>
                <w:szCs w:val="20"/>
              </w:rPr>
              <w:footnoteReference w:id="96"/>
            </w:r>
            <w:r w:rsidRPr="00583942">
              <w:rPr>
                <w:color w:val="0D0D0D" w:themeColor="text1" w:themeTint="F2"/>
                <w:spacing w:val="-4"/>
              </w:rPr>
              <w:t xml:space="preserve">. </w:t>
            </w:r>
            <w:r>
              <w:rPr>
                <w:color w:val="0D0D0D" w:themeColor="text1" w:themeTint="F2"/>
                <w:spacing w:val="-4"/>
              </w:rPr>
              <w:t>V jejich dynamice se kromě loňských navýšení promítá i řádná zákonná valorizace od ledna 2023 (+4,7 %) a mimořádné zvýšení od června (za již upravených legislativních podmínek, o</w:t>
            </w:r>
            <w:r>
              <w:rPr>
                <w:color w:val="0D0D0D" w:themeColor="text1" w:themeTint="F2"/>
                <w:spacing w:val="-5"/>
              </w:rPr>
              <w:t> </w:t>
            </w:r>
            <w:r>
              <w:rPr>
                <w:color w:val="0D0D0D" w:themeColor="text1" w:themeTint="F2"/>
                <w:spacing w:val="-4"/>
              </w:rPr>
              <w:t>3,9</w:t>
            </w:r>
            <w:r>
              <w:rPr>
                <w:color w:val="0D0D0D" w:themeColor="text1" w:themeTint="F2"/>
                <w:spacing w:val="-5"/>
              </w:rPr>
              <w:t> </w:t>
            </w:r>
            <w:r>
              <w:rPr>
                <w:color w:val="0D0D0D" w:themeColor="text1" w:themeTint="F2"/>
                <w:spacing w:val="-4"/>
              </w:rPr>
              <w:t>%) a dále také nově zavedený pravidelný příspěvek za každé vychované dítě (500 korun). Počet příjemců důchodů navzdory vyššímu zájmu o předčasné penze</w:t>
            </w:r>
            <w:r>
              <w:rPr>
                <w:rStyle w:val="Znakapoznpodarou"/>
                <w:color w:val="0D0D0D" w:themeColor="text1" w:themeTint="F2"/>
                <w:spacing w:val="-4"/>
              </w:rPr>
              <w:footnoteReference w:id="97"/>
            </w:r>
            <w:r>
              <w:rPr>
                <w:color w:val="0D0D0D" w:themeColor="text1" w:themeTint="F2"/>
                <w:spacing w:val="-4"/>
              </w:rPr>
              <w:t xml:space="preserve"> klesal, byť mírnějším tempem (-0,3 % meziročně) než v předchozích dvou letech. </w:t>
            </w:r>
            <w:r>
              <w:rPr>
                <w:spacing w:val="-6"/>
              </w:rPr>
              <w:t>Ačkoliv stále d</w:t>
            </w:r>
            <w:r w:rsidRPr="00791977">
              <w:rPr>
                <w:spacing w:val="-6"/>
              </w:rPr>
              <w:t>obr</w:t>
            </w:r>
            <w:r>
              <w:rPr>
                <w:spacing w:val="-6"/>
              </w:rPr>
              <w:t>á kondice tuzemského trhu práce podporovala</w:t>
            </w:r>
            <w:r>
              <w:rPr>
                <w:spacing w:val="-4"/>
              </w:rPr>
              <w:t xml:space="preserve"> pokračující solidní růst</w:t>
            </w:r>
            <w:r w:rsidRPr="00862F80">
              <w:rPr>
                <w:spacing w:val="-4"/>
              </w:rPr>
              <w:t xml:space="preserve"> příjmů </w:t>
            </w:r>
            <w:r>
              <w:rPr>
                <w:rFonts w:cs="Arial"/>
                <w:color w:val="0D0D0D" w:themeColor="text1" w:themeTint="F2"/>
                <w:spacing w:val="-4"/>
              </w:rPr>
              <w:t>důchodového pojištění, jeho meziroční tempo nebylo letos oproti výdajům na důchody ani poloviční (+8,9</w:t>
            </w:r>
            <w:r>
              <w:rPr>
                <w:color w:val="0D0D0D" w:themeColor="text1" w:themeTint="F2"/>
                <w:spacing w:val="-5"/>
              </w:rPr>
              <w:t> </w:t>
            </w:r>
            <w:r>
              <w:rPr>
                <w:rFonts w:cs="Arial"/>
                <w:color w:val="0D0D0D" w:themeColor="text1" w:themeTint="F2"/>
                <w:spacing w:val="-4"/>
              </w:rPr>
              <w:t>%)</w:t>
            </w:r>
            <w:r>
              <w:rPr>
                <w:rStyle w:val="Znakapoznpodarou"/>
                <w:color w:val="0D0D0D" w:themeColor="text1" w:themeTint="F2"/>
                <w:spacing w:val="-4"/>
              </w:rPr>
              <w:footnoteReference w:id="98"/>
            </w:r>
            <w:r>
              <w:rPr>
                <w:rFonts w:cs="Arial"/>
                <w:color w:val="0D0D0D" w:themeColor="text1" w:themeTint="F2"/>
                <w:spacing w:val="-4"/>
              </w:rPr>
              <w:t>. Saldo</w:t>
            </w:r>
            <w:r w:rsidRPr="00862F80">
              <w:rPr>
                <w:rFonts w:cs="Arial"/>
                <w:color w:val="0D0D0D" w:themeColor="text1" w:themeTint="F2"/>
                <w:spacing w:val="-4"/>
              </w:rPr>
              <w:t xml:space="preserve"> </w:t>
            </w:r>
            <w:r>
              <w:rPr>
                <w:rFonts w:cs="Arial"/>
                <w:color w:val="0D0D0D" w:themeColor="text1" w:themeTint="F2"/>
                <w:spacing w:val="-4"/>
              </w:rPr>
              <w:t xml:space="preserve">systému </w:t>
            </w:r>
            <w:r>
              <w:rPr>
                <w:rFonts w:cs="Arial"/>
                <w:color w:val="0D0D0D" w:themeColor="text1" w:themeTint="F2"/>
                <w:spacing w:val="-2"/>
              </w:rPr>
              <w:t>důchodového pojištění</w:t>
            </w:r>
            <w:r w:rsidRPr="001C3185">
              <w:rPr>
                <w:rStyle w:val="Znakapoznpodarou"/>
                <w:color w:val="0D0D0D" w:themeColor="text1" w:themeTint="F2"/>
                <w:spacing w:val="-2"/>
              </w:rPr>
              <w:footnoteReference w:id="99"/>
            </w:r>
            <w:r>
              <w:rPr>
                <w:rFonts w:cs="Arial"/>
                <w:color w:val="0D0D0D" w:themeColor="text1" w:themeTint="F2"/>
                <w:spacing w:val="-2"/>
              </w:rPr>
              <w:t xml:space="preserve"> se proto v 1. pololetí propadlo do rekordního</w:t>
            </w:r>
            <w:r w:rsidRPr="001C3185">
              <w:rPr>
                <w:rFonts w:cs="Arial"/>
                <w:color w:val="0D0D0D" w:themeColor="text1" w:themeTint="F2"/>
                <w:spacing w:val="-2"/>
              </w:rPr>
              <w:t xml:space="preserve"> deficitu (</w:t>
            </w:r>
            <w:r>
              <w:rPr>
                <w:rFonts w:cs="Arial"/>
                <w:color w:val="0D0D0D" w:themeColor="text1" w:themeTint="F2"/>
                <w:spacing w:val="-2"/>
              </w:rPr>
              <w:t>−40,3 mld. korun), meziročně čtyřnásobně vyššího.</w:t>
            </w:r>
            <w:r w:rsidRPr="009431D5">
              <w:rPr>
                <w:color w:val="0D0D0D" w:themeColor="text1" w:themeTint="F2"/>
                <w:spacing w:val="-4"/>
              </w:rPr>
              <w:t xml:space="preserve"> </w:t>
            </w:r>
          </w:p>
        </w:tc>
      </w:tr>
      <w:tr w:rsidR="00106BCC" w:rsidRPr="007B3A78" w14:paraId="2DF26F03" w14:textId="77777777" w:rsidTr="006849F8">
        <w:trPr>
          <w:trHeight w:val="170"/>
        </w:trPr>
        <w:tc>
          <w:tcPr>
            <w:tcW w:w="1792" w:type="dxa"/>
            <w:shd w:val="clear" w:color="auto" w:fill="auto"/>
            <w:tcMar>
              <w:left w:w="0" w:type="dxa"/>
            </w:tcMar>
          </w:tcPr>
          <w:p w14:paraId="7571A1AD" w14:textId="77777777" w:rsidR="00106BCC" w:rsidRDefault="00106BCC" w:rsidP="006849F8">
            <w:pPr>
              <w:pStyle w:val="Marginlie"/>
            </w:pPr>
            <w:r>
              <w:t>K meziročnímu zrychlení růstu výdajů na nedůchodové sociální dávky nejvíce přispělo vyšší čerpání příspěvků na bydlení.</w:t>
            </w:r>
          </w:p>
          <w:p w14:paraId="23545393" w14:textId="77777777" w:rsidR="00106BCC" w:rsidRDefault="00106BCC" w:rsidP="006849F8">
            <w:pPr>
              <w:pStyle w:val="Marginlie"/>
            </w:pPr>
          </w:p>
          <w:p w14:paraId="7516ED44" w14:textId="77777777" w:rsidR="00106BCC" w:rsidRDefault="00106BCC" w:rsidP="006849F8">
            <w:pPr>
              <w:pStyle w:val="Marginlie"/>
            </w:pPr>
          </w:p>
          <w:p w14:paraId="0B9932C2" w14:textId="77777777" w:rsidR="00106BCC" w:rsidRDefault="00106BCC" w:rsidP="006849F8">
            <w:pPr>
              <w:pStyle w:val="Marginlie"/>
            </w:pPr>
          </w:p>
          <w:p w14:paraId="0F3CE311" w14:textId="77777777" w:rsidR="00106BCC" w:rsidRDefault="00106BCC" w:rsidP="006849F8">
            <w:pPr>
              <w:pStyle w:val="Marginlie"/>
            </w:pPr>
          </w:p>
          <w:p w14:paraId="2DDFCB8F" w14:textId="77777777" w:rsidR="00106BCC" w:rsidRDefault="00106BCC" w:rsidP="006849F8">
            <w:pPr>
              <w:pStyle w:val="Marginlie"/>
            </w:pPr>
          </w:p>
          <w:p w14:paraId="7D90F241" w14:textId="77777777" w:rsidR="00106BCC" w:rsidRDefault="00106BCC" w:rsidP="006849F8">
            <w:pPr>
              <w:pStyle w:val="Marginlie"/>
            </w:pPr>
          </w:p>
          <w:p w14:paraId="3CAAA87E" w14:textId="77777777" w:rsidR="00106BCC" w:rsidRDefault="00106BCC" w:rsidP="006849F8">
            <w:pPr>
              <w:pStyle w:val="Marginlie"/>
            </w:pPr>
          </w:p>
          <w:p w14:paraId="7A0EAD6E" w14:textId="77777777" w:rsidR="00106BCC" w:rsidRDefault="00106BCC" w:rsidP="006849F8">
            <w:pPr>
              <w:pStyle w:val="Marginlie"/>
            </w:pPr>
          </w:p>
          <w:p w14:paraId="202055FD" w14:textId="77777777" w:rsidR="00106BCC" w:rsidRDefault="00106BCC" w:rsidP="006849F8">
            <w:pPr>
              <w:pStyle w:val="Marginlie"/>
            </w:pPr>
          </w:p>
          <w:p w14:paraId="138F9CA9" w14:textId="77777777" w:rsidR="00106BCC" w:rsidRDefault="00106BCC" w:rsidP="006849F8">
            <w:pPr>
              <w:pStyle w:val="Marginlie"/>
            </w:pPr>
          </w:p>
          <w:p w14:paraId="0779B965" w14:textId="77777777" w:rsidR="00106BCC" w:rsidRDefault="00106BCC" w:rsidP="006849F8">
            <w:pPr>
              <w:pStyle w:val="Marginlie"/>
            </w:pPr>
          </w:p>
          <w:p w14:paraId="63C9FB6E" w14:textId="77777777" w:rsidR="00106BCC" w:rsidRDefault="00106BCC" w:rsidP="006849F8">
            <w:pPr>
              <w:pStyle w:val="Marginlie"/>
            </w:pPr>
          </w:p>
          <w:p w14:paraId="56BF9D73" w14:textId="77777777" w:rsidR="00106BCC" w:rsidRDefault="00106BCC" w:rsidP="006849F8">
            <w:pPr>
              <w:pStyle w:val="Marginlie"/>
            </w:pPr>
          </w:p>
          <w:p w14:paraId="10083399" w14:textId="77777777" w:rsidR="00106BCC" w:rsidRDefault="00106BCC" w:rsidP="006849F8">
            <w:pPr>
              <w:pStyle w:val="Marginlie"/>
            </w:pPr>
            <w:r>
              <w:t>Výdaje na rodičovské příspěvky, podobně jako na dávky nemocenského pojištění, klesly třetím rokem v řadě.</w:t>
            </w:r>
          </w:p>
          <w:p w14:paraId="25B040DC" w14:textId="77777777" w:rsidR="00106BCC" w:rsidRDefault="00106BCC" w:rsidP="006849F8">
            <w:pPr>
              <w:pStyle w:val="Marginlie"/>
            </w:pPr>
          </w:p>
        </w:tc>
        <w:tc>
          <w:tcPr>
            <w:tcW w:w="203" w:type="dxa"/>
            <w:shd w:val="clear" w:color="auto" w:fill="auto"/>
            <w:tcMar>
              <w:left w:w="0" w:type="dxa"/>
            </w:tcMar>
          </w:tcPr>
          <w:p w14:paraId="75B50E50" w14:textId="77777777" w:rsidR="00106BCC" w:rsidRDefault="00106BCC" w:rsidP="006849F8">
            <w:pPr>
              <w:pStyle w:val="Textpoznpodarou"/>
              <w:jc w:val="both"/>
              <w:rPr>
                <w:spacing w:val="-4"/>
              </w:rPr>
            </w:pPr>
          </w:p>
        </w:tc>
        <w:tc>
          <w:tcPr>
            <w:tcW w:w="7674" w:type="dxa"/>
            <w:shd w:val="clear" w:color="auto" w:fill="auto"/>
            <w:tcMar>
              <w:left w:w="0" w:type="dxa"/>
            </w:tcMar>
          </w:tcPr>
          <w:p w14:paraId="3DF2FD76" w14:textId="77777777" w:rsidR="00106BCC" w:rsidRPr="00F603D7" w:rsidRDefault="00106BCC" w:rsidP="006849F8">
            <w:pPr>
              <w:spacing w:after="0"/>
              <w:rPr>
                <w:color w:val="0D0D0D" w:themeColor="text1" w:themeTint="F2"/>
                <w:spacing w:val="-4"/>
              </w:rPr>
            </w:pPr>
            <w:r w:rsidRPr="00F603D7">
              <w:rPr>
                <w:color w:val="0D0D0D" w:themeColor="text1" w:themeTint="F2"/>
                <w:spacing w:val="-4"/>
              </w:rPr>
              <w:t xml:space="preserve">Na </w:t>
            </w:r>
            <w:r w:rsidRPr="00F603D7">
              <w:rPr>
                <w:rFonts w:cs="Arial"/>
                <w:color w:val="0D0D0D" w:themeColor="text1" w:themeTint="F2"/>
                <w:spacing w:val="-4"/>
              </w:rPr>
              <w:t xml:space="preserve">nedůchodové sociální dávky putovalo ze SR v 1. pololetí </w:t>
            </w:r>
            <w:r w:rsidRPr="00F603D7">
              <w:rPr>
                <w:color w:val="0D0D0D" w:themeColor="text1" w:themeTint="F2"/>
                <w:spacing w:val="-4"/>
              </w:rPr>
              <w:t>93,3 mld. korun a meziroční růst výdajů zrychlil na 6,9 % (skoro dvojnásobné tempo než o rok dříve). K letošnímu růstu zásadně přispěly výdaje na státní sociální podporu (SSP, +5,3 mld. korun), u nichž došlo k výraznému zvýšení objemu vyplacených příspěvků na bydlení</w:t>
            </w:r>
            <w:r w:rsidRPr="00F603D7">
              <w:rPr>
                <w:rStyle w:val="Znakapoznpodarou"/>
                <w:color w:val="0D0D0D" w:themeColor="text1" w:themeTint="F2"/>
                <w:spacing w:val="-4"/>
              </w:rPr>
              <w:footnoteReference w:id="100"/>
            </w:r>
            <w:r w:rsidRPr="00F603D7">
              <w:rPr>
                <w:color w:val="0D0D0D" w:themeColor="text1" w:themeTint="F2"/>
                <w:spacing w:val="-4"/>
              </w:rPr>
              <w:t xml:space="preserve"> (+</w:t>
            </w:r>
            <w:r>
              <w:rPr>
                <w:color w:val="0D0D0D" w:themeColor="text1" w:themeTint="F2"/>
                <w:spacing w:val="-4"/>
              </w:rPr>
              <w:t xml:space="preserve">113 %, hlavně </w:t>
            </w:r>
            <w:r w:rsidRPr="00F603D7">
              <w:rPr>
                <w:color w:val="0D0D0D" w:themeColor="text1" w:themeTint="F2"/>
                <w:spacing w:val="-4"/>
              </w:rPr>
              <w:t xml:space="preserve">v důsledku vysokých cen energií a </w:t>
            </w:r>
            <w:r w:rsidRPr="00F603D7">
              <w:rPr>
                <w:spacing w:val="-4"/>
              </w:rPr>
              <w:t xml:space="preserve">zvýšení nákladů uznatelných pro výplatu, dále růstu povědomí o možnosti čerpání této pomoci v populaci, jakož i zjednodušení procedury podání žádosti o dávku). Rostl také objem vyplacených přídavků na dítě (+62 %, zejména vlivem jejich plošného navýšení i nárůstu životního minima). Opačně působil pokles čerpání stále váhově dominantní položky SSP </w:t>
            </w:r>
            <w:r w:rsidRPr="00F603D7">
              <w:rPr>
                <w:rFonts w:cs="Arial"/>
                <w:color w:val="0D0D0D" w:themeColor="text1" w:themeTint="F2"/>
                <w:spacing w:val="-4"/>
              </w:rPr>
              <w:t>−</w:t>
            </w:r>
            <w:r w:rsidRPr="00F603D7">
              <w:rPr>
                <w:spacing w:val="-4"/>
              </w:rPr>
              <w:t xml:space="preserve"> rodičovských příspěvků (</w:t>
            </w:r>
            <w:r w:rsidRPr="00F603D7">
              <w:rPr>
                <w:color w:val="0D0D0D" w:themeColor="text1" w:themeTint="F2"/>
                <w:spacing w:val="-4"/>
              </w:rPr>
              <w:t>−5,7 %</w:t>
            </w:r>
            <w:r w:rsidRPr="00F603D7">
              <w:rPr>
                <w:spacing w:val="-4"/>
              </w:rPr>
              <w:t xml:space="preserve">). K němu došlo (po skokovém navýšení v roce 2020) třetím rokem v řadě. Z dalších podpor se zvýšily dávky sociální péče (+1 mld. korun). Zatímco loni stála za jejich prudkým růstem hlavně nově zavedená humanitární dávka pro </w:t>
            </w:r>
            <w:r w:rsidRPr="00F603D7">
              <w:rPr>
                <w:rFonts w:cs="Arial"/>
                <w:color w:val="0D0D0D" w:themeColor="text1" w:themeTint="F2"/>
                <w:spacing w:val="-4"/>
              </w:rPr>
              <w:t xml:space="preserve">uprchlíky z Ukrajiny, letos to byly příspěvky na živobytí (+30 %), které pomáhají jednotlivcům či rodinám při nedostatečném příjmu (čerpání humanitárních dávek se současně mírně snížilo – o 6 %). Svižně rostly také objemově méně významné dávky pro zdravotně postižené, především vlivem vyšších příspěvků na mobilitu. Po loňském poklesu letos v 1. pololetí mírně </w:t>
            </w:r>
            <w:r>
              <w:rPr>
                <w:rFonts w:cs="Arial"/>
                <w:color w:val="0D0D0D" w:themeColor="text1" w:themeTint="F2"/>
                <w:spacing w:val="-4"/>
              </w:rPr>
              <w:t>rostl</w:t>
            </w:r>
            <w:r w:rsidRPr="00F603D7">
              <w:rPr>
                <w:rFonts w:cs="Arial"/>
                <w:color w:val="0D0D0D" w:themeColor="text1" w:themeTint="F2"/>
                <w:spacing w:val="-4"/>
              </w:rPr>
              <w:t xml:space="preserve"> </w:t>
            </w:r>
            <w:r>
              <w:rPr>
                <w:rFonts w:cs="Arial"/>
                <w:color w:val="0D0D0D" w:themeColor="text1" w:themeTint="F2"/>
                <w:spacing w:val="-4"/>
              </w:rPr>
              <w:t xml:space="preserve">objem vyplacených podpor </w:t>
            </w:r>
            <w:r w:rsidRPr="00F603D7">
              <w:rPr>
                <w:rFonts w:cs="Arial"/>
                <w:color w:val="0D0D0D" w:themeColor="text1" w:themeTint="F2"/>
                <w:spacing w:val="-4"/>
              </w:rPr>
              <w:t>v nezaměstnanosti (+6,7 %), a to při stagnaci počtu registrovaných uchazečů o práci</w:t>
            </w:r>
            <w:r w:rsidRPr="00F603D7">
              <w:rPr>
                <w:rStyle w:val="Znakapoznpodarou"/>
                <w:color w:val="0D0D0D" w:themeColor="text1" w:themeTint="F2"/>
                <w:spacing w:val="-4"/>
              </w:rPr>
              <w:footnoteReference w:id="101"/>
            </w:r>
            <w:r w:rsidRPr="00F603D7">
              <w:rPr>
                <w:rFonts w:cs="Arial"/>
                <w:color w:val="0D0D0D" w:themeColor="text1" w:themeTint="F2"/>
                <w:spacing w:val="-4"/>
              </w:rPr>
              <w:t xml:space="preserve">. Výdaje na </w:t>
            </w:r>
            <w:r w:rsidRPr="00F603D7">
              <w:rPr>
                <w:spacing w:val="-4"/>
              </w:rPr>
              <w:t>dávky nemocenského pojištění se díky zlepšení epidemické situace meziročně snížily (−4,9 %), a to třetím rokem v řadě. Stále však</w:t>
            </w:r>
            <w:r w:rsidRPr="00F603D7">
              <w:rPr>
                <w:rFonts w:cs="Arial"/>
                <w:color w:val="0D0D0D" w:themeColor="text1" w:themeTint="F2"/>
                <w:spacing w:val="-4"/>
              </w:rPr>
              <w:t> </w:t>
            </w:r>
            <w:r w:rsidRPr="00F603D7">
              <w:rPr>
                <w:spacing w:val="-4"/>
              </w:rPr>
              <w:t>více než o pětinu převyšovaly úroveň z 1. pololetí 2019 a představovaly tak pro SR nezanedbatelný výdaj (24,2</w:t>
            </w:r>
            <w:r w:rsidRPr="00F603D7">
              <w:rPr>
                <w:rFonts w:cs="Arial"/>
                <w:color w:val="0D0D0D" w:themeColor="text1" w:themeTint="F2"/>
                <w:spacing w:val="-4"/>
              </w:rPr>
              <w:t> </w:t>
            </w:r>
            <w:r w:rsidRPr="00F603D7">
              <w:rPr>
                <w:spacing w:val="-4"/>
              </w:rPr>
              <w:t>mld. korun). Navzdory svižnému růstu výběru pojistného tyto dávky i letos převyšovaly příjmy z pojistného, tento schodek se nicméně meziročně zredukoval na polovinu (o 3 mld. korun).</w:t>
            </w:r>
          </w:p>
        </w:tc>
      </w:tr>
      <w:tr w:rsidR="00106BCC" w:rsidRPr="007B3A78" w14:paraId="4984AD2F" w14:textId="77777777" w:rsidTr="006849F8">
        <w:trPr>
          <w:trHeight w:val="170"/>
        </w:trPr>
        <w:tc>
          <w:tcPr>
            <w:tcW w:w="1792" w:type="dxa"/>
            <w:shd w:val="clear" w:color="auto" w:fill="auto"/>
            <w:tcMar>
              <w:left w:w="0" w:type="dxa"/>
            </w:tcMar>
          </w:tcPr>
          <w:p w14:paraId="48998315" w14:textId="77777777" w:rsidR="00106BCC" w:rsidRDefault="00106BCC" w:rsidP="006849F8">
            <w:pPr>
              <w:pStyle w:val="Marginlie"/>
            </w:pPr>
            <w:r>
              <w:t xml:space="preserve">Prudký růst neinvestičních dotací podnikatelům souvisel se zastropováním cen energií pro zákazníky. Potřeba těchto mimořádných výdajů ale ve 2. čtvrtletí slábla. </w:t>
            </w:r>
          </w:p>
        </w:tc>
        <w:tc>
          <w:tcPr>
            <w:tcW w:w="203" w:type="dxa"/>
            <w:shd w:val="clear" w:color="auto" w:fill="auto"/>
            <w:tcMar>
              <w:left w:w="0" w:type="dxa"/>
            </w:tcMar>
          </w:tcPr>
          <w:p w14:paraId="444690EC" w14:textId="77777777" w:rsidR="00106BCC" w:rsidRDefault="00106BCC" w:rsidP="006849F8">
            <w:pPr>
              <w:pStyle w:val="Textpoznpodarou"/>
              <w:jc w:val="both"/>
              <w:rPr>
                <w:spacing w:val="-4"/>
              </w:rPr>
            </w:pPr>
          </w:p>
        </w:tc>
        <w:tc>
          <w:tcPr>
            <w:tcW w:w="7674" w:type="dxa"/>
            <w:shd w:val="clear" w:color="auto" w:fill="auto"/>
            <w:tcMar>
              <w:left w:w="0" w:type="dxa"/>
            </w:tcMar>
          </w:tcPr>
          <w:p w14:paraId="623294D5" w14:textId="77777777" w:rsidR="00106BCC" w:rsidRDefault="00106BCC" w:rsidP="006849F8">
            <w:pPr>
              <w:spacing w:after="200"/>
              <w:rPr>
                <w:color w:val="0D0D0D" w:themeColor="text1" w:themeTint="F2"/>
                <w:spacing w:val="-5"/>
              </w:rPr>
            </w:pPr>
            <w:r>
              <w:rPr>
                <w:color w:val="0D0D0D" w:themeColor="text1" w:themeTint="F2"/>
                <w:spacing w:val="-5"/>
              </w:rPr>
              <w:t>Na silném růstu celkových běžných výdajů SR se vedle sociálních transferů letos významně podílely také neinvestiční výdaje podnikatelům, jejichž meziroční růst v 1. pololetí akceleroval na 128 % (+43,7 mld. korun) a dosahoval již více než 90 % celoroční rozpočtované výše.</w:t>
            </w:r>
            <w:r>
              <w:rPr>
                <w:color w:val="0D0D0D" w:themeColor="text1" w:themeTint="F2"/>
                <w:spacing w:val="-4"/>
              </w:rPr>
              <w:t xml:space="preserve"> Jsou zde zahrnuty především mimořádné výdaje – zejména kompenzace za dodávky elektřiny a plynu zákazníkům a ztráty kvůli zastropování jejich cen (32,6 mld. korun, z toho +23,9 mld. korun připadalo na 1. čtvrtletí 2023)</w:t>
            </w:r>
            <w:r>
              <w:rPr>
                <w:rStyle w:val="Znakapoznpodarou"/>
                <w:color w:val="0D0D0D" w:themeColor="text1" w:themeTint="F2"/>
                <w:spacing w:val="-4"/>
              </w:rPr>
              <w:footnoteReference w:id="102"/>
            </w:r>
            <w:r>
              <w:rPr>
                <w:color w:val="0D0D0D" w:themeColor="text1" w:themeTint="F2"/>
                <w:spacing w:val="-4"/>
              </w:rPr>
              <w:t>, dále dotace provozovatelům přenosové soustavy (7,2 mld.) či pomoc firmám v energeticky náročných odvětvích (4,6 mld.). Menší vliv na vývoj transferů podnikatelům měly vyšší zálohové dotace na obnovitelné zdroje energie či pokles v</w:t>
            </w:r>
            <w:r w:rsidRPr="00517B82">
              <w:rPr>
                <w:color w:val="0D0D0D" w:themeColor="text1" w:themeTint="F2"/>
                <w:spacing w:val="-4"/>
              </w:rPr>
              <w:t>ýdajů SR na řešení dopadů souvisejících s pandemi</w:t>
            </w:r>
            <w:r>
              <w:rPr>
                <w:color w:val="0D0D0D" w:themeColor="text1" w:themeTint="F2"/>
                <w:spacing w:val="-4"/>
              </w:rPr>
              <w:t>í</w:t>
            </w:r>
            <w:r w:rsidRPr="00517B82">
              <w:rPr>
                <w:color w:val="0D0D0D" w:themeColor="text1" w:themeTint="F2"/>
                <w:spacing w:val="-4"/>
              </w:rPr>
              <w:t>.</w:t>
            </w:r>
          </w:p>
        </w:tc>
      </w:tr>
      <w:tr w:rsidR="00106BCC" w:rsidRPr="007B3A78" w14:paraId="324B2A3A" w14:textId="77777777" w:rsidTr="006849F8">
        <w:trPr>
          <w:trHeight w:val="170"/>
        </w:trPr>
        <w:tc>
          <w:tcPr>
            <w:tcW w:w="1792" w:type="dxa"/>
            <w:shd w:val="clear" w:color="auto" w:fill="auto"/>
            <w:tcMar>
              <w:left w:w="0" w:type="dxa"/>
            </w:tcMar>
          </w:tcPr>
          <w:p w14:paraId="01F4BCF1" w14:textId="77777777" w:rsidR="00106BCC" w:rsidRDefault="00106BCC" w:rsidP="006849F8">
            <w:pPr>
              <w:pStyle w:val="Marginlie"/>
            </w:pPr>
            <w:r>
              <w:t xml:space="preserve">Na svižném růstu běžných transferů územním rozpočtům se podílelo široké spektrum faktorů. </w:t>
            </w:r>
          </w:p>
          <w:p w14:paraId="25012D5D" w14:textId="77777777" w:rsidR="00106BCC" w:rsidRDefault="00106BCC" w:rsidP="006849F8">
            <w:pPr>
              <w:pStyle w:val="Marginlie"/>
            </w:pPr>
          </w:p>
          <w:p w14:paraId="39360B06" w14:textId="77777777" w:rsidR="00106BCC" w:rsidRDefault="00106BCC" w:rsidP="006849F8">
            <w:pPr>
              <w:pStyle w:val="Marginlie"/>
            </w:pPr>
          </w:p>
          <w:p w14:paraId="6951C589" w14:textId="77777777" w:rsidR="00106BCC" w:rsidRDefault="00106BCC" w:rsidP="006849F8">
            <w:pPr>
              <w:pStyle w:val="Marginlie"/>
            </w:pPr>
          </w:p>
          <w:p w14:paraId="0114093E" w14:textId="77777777" w:rsidR="00106BCC" w:rsidRDefault="00106BCC" w:rsidP="006849F8">
            <w:pPr>
              <w:pStyle w:val="Marginlie"/>
            </w:pPr>
          </w:p>
          <w:p w14:paraId="78B33549" w14:textId="77777777" w:rsidR="00106BCC" w:rsidRDefault="00106BCC" w:rsidP="006849F8">
            <w:pPr>
              <w:pStyle w:val="Marginlie"/>
            </w:pPr>
          </w:p>
          <w:p w14:paraId="0E102058" w14:textId="77777777" w:rsidR="00106BCC" w:rsidRDefault="00106BCC" w:rsidP="006849F8">
            <w:pPr>
              <w:pStyle w:val="Marginlie"/>
            </w:pPr>
            <w:r>
              <w:t xml:space="preserve">Naopak růst výdajů na obsluhu státního dluhu na rekordní úroveň měl zřejmý základ ve výplatě protiinflačních dluhopisů. </w:t>
            </w:r>
          </w:p>
        </w:tc>
        <w:tc>
          <w:tcPr>
            <w:tcW w:w="203" w:type="dxa"/>
            <w:shd w:val="clear" w:color="auto" w:fill="auto"/>
            <w:tcMar>
              <w:left w:w="0" w:type="dxa"/>
            </w:tcMar>
          </w:tcPr>
          <w:p w14:paraId="1BB58180" w14:textId="77777777" w:rsidR="00106BCC" w:rsidRDefault="00106BCC" w:rsidP="006849F8">
            <w:pPr>
              <w:pStyle w:val="Textpoznpodarou"/>
              <w:jc w:val="both"/>
              <w:rPr>
                <w:spacing w:val="-4"/>
              </w:rPr>
            </w:pPr>
          </w:p>
        </w:tc>
        <w:tc>
          <w:tcPr>
            <w:tcW w:w="7674" w:type="dxa"/>
            <w:shd w:val="clear" w:color="auto" w:fill="auto"/>
            <w:tcMar>
              <w:left w:w="0" w:type="dxa"/>
            </w:tcMar>
          </w:tcPr>
          <w:p w14:paraId="1D35C173" w14:textId="77777777" w:rsidR="00106BCC" w:rsidRDefault="00106BCC" w:rsidP="006849F8">
            <w:pPr>
              <w:spacing w:after="200"/>
              <w:rPr>
                <w:color w:val="0D0D0D" w:themeColor="text1" w:themeTint="F2"/>
                <w:spacing w:val="-5"/>
              </w:rPr>
            </w:pPr>
            <w:r>
              <w:rPr>
                <w:color w:val="0D0D0D" w:themeColor="text1" w:themeTint="F2"/>
                <w:spacing w:val="-5"/>
              </w:rPr>
              <w:t>Výrazně posílily rovněž váhově významné</w:t>
            </w:r>
            <w:r w:rsidRPr="00FF1775">
              <w:rPr>
                <w:color w:val="0D0D0D" w:themeColor="text1" w:themeTint="F2"/>
                <w:spacing w:val="-5"/>
              </w:rPr>
              <w:t xml:space="preserve"> běžné </w:t>
            </w:r>
            <w:r w:rsidRPr="00FF1775">
              <w:rPr>
                <w:color w:val="0D0D0D" w:themeColor="text1" w:themeTint="F2"/>
                <w:spacing w:val="-4"/>
              </w:rPr>
              <w:t xml:space="preserve">transfery územním rozpočtům, </w:t>
            </w:r>
            <w:r>
              <w:rPr>
                <w:color w:val="0D0D0D" w:themeColor="text1" w:themeTint="F2"/>
                <w:spacing w:val="-4"/>
              </w:rPr>
              <w:t xml:space="preserve">jež byly </w:t>
            </w:r>
            <w:r w:rsidRPr="00FF1775">
              <w:rPr>
                <w:color w:val="0D0D0D" w:themeColor="text1" w:themeTint="F2"/>
                <w:spacing w:val="-4"/>
              </w:rPr>
              <w:t xml:space="preserve">oproti </w:t>
            </w:r>
            <w:r>
              <w:rPr>
                <w:color w:val="0D0D0D" w:themeColor="text1" w:themeTint="F2"/>
                <w:spacing w:val="-4"/>
              </w:rPr>
              <w:t>1.</w:t>
            </w:r>
            <w:r>
              <w:rPr>
                <w:color w:val="0D0D0D" w:themeColor="text1" w:themeTint="F2"/>
                <w:spacing w:val="-5"/>
              </w:rPr>
              <w:t> </w:t>
            </w:r>
            <w:r>
              <w:rPr>
                <w:color w:val="0D0D0D" w:themeColor="text1" w:themeTint="F2"/>
                <w:spacing w:val="-4"/>
              </w:rPr>
              <w:t>pololetí 2022</w:t>
            </w:r>
            <w:r w:rsidRPr="00FF1775">
              <w:rPr>
                <w:color w:val="0D0D0D" w:themeColor="text1" w:themeTint="F2"/>
                <w:spacing w:val="-4"/>
              </w:rPr>
              <w:t xml:space="preserve"> vyšší o šestinu (+26</w:t>
            </w:r>
            <w:r>
              <w:rPr>
                <w:color w:val="0D0D0D" w:themeColor="text1" w:themeTint="F2"/>
                <w:spacing w:val="-4"/>
              </w:rPr>
              <w:t>,0</w:t>
            </w:r>
            <w:r w:rsidRPr="00FF1775">
              <w:rPr>
                <w:color w:val="0D0D0D" w:themeColor="text1" w:themeTint="F2"/>
                <w:spacing w:val="-4"/>
              </w:rPr>
              <w:t xml:space="preserve"> mld. korun).</w:t>
            </w:r>
            <w:r>
              <w:rPr>
                <w:color w:val="0D0D0D" w:themeColor="text1" w:themeTint="F2"/>
                <w:spacing w:val="-4"/>
              </w:rPr>
              <w:t xml:space="preserve"> To souviselo s posílením výdajů do oblasti regionálního školství (+9,2 mld. korun, primárně na navýšení platových tarifů pedagogů i ostatních pracovníků), sociálních služeb či na kompenzační příspěvek na ubytování uprchlíků z Ukrajiny. Rostly i výdaje na spolufinancování programů v oblasti vzdělávání, podpořených z rozpočtu EU. SR výrazně zatížily také očekávané prudce rostoucí výdaje na obsluhu státního dluhu (+14,5 mld. korun)</w:t>
            </w:r>
            <w:r>
              <w:rPr>
                <w:rStyle w:val="Znakapoznpodarou"/>
                <w:spacing w:val="-4"/>
              </w:rPr>
              <w:footnoteReference w:id="103"/>
            </w:r>
            <w:r>
              <w:rPr>
                <w:color w:val="0D0D0D" w:themeColor="text1" w:themeTint="F2"/>
                <w:spacing w:val="-4"/>
              </w:rPr>
              <w:t>. Pololetní výše těchto výdajů dosáhla 37,5 mld. korun (a o bezmála čtvrtinu převýšila rekordní dluhové výdaje z roku 2013). Zásadní vliv zde měly výplaty protiinflačních státních dluhopisů občanům, dílčí roli pak rostoucí úrokové sazby u dalších instrumentů dluhového financování. Poslední položkou, k</w:t>
            </w:r>
            <w:r w:rsidRPr="00F3788B">
              <w:rPr>
                <w:color w:val="0D0D0D" w:themeColor="text1" w:themeTint="F2"/>
                <w:spacing w:val="-4"/>
              </w:rPr>
              <w:t xml:space="preserve">terá letos významněji podpořila fiskální expanzi, byly výdaje na platy v organizačních </w:t>
            </w:r>
            <w:r>
              <w:rPr>
                <w:color w:val="0D0D0D" w:themeColor="text1" w:themeTint="F2"/>
                <w:spacing w:val="-4"/>
              </w:rPr>
              <w:t xml:space="preserve">složkách státu. Ty po předchozích dvou letech stagnace letos v 1. pololetí vzrostly meziročně o desetinu (+6,2 mld. korun), což souviselo zejména s lednovým navýšením platových tarifů příslušníků bezpečnostních sborů a vojáků a loňským zářijovým navýšením u zaměstnanců ve státní službě. Po zmrazení během pandemie se navíc citelně zvýšily i výdaje na platy ústavních činitelů. </w:t>
            </w:r>
          </w:p>
        </w:tc>
      </w:tr>
      <w:tr w:rsidR="00106BCC" w:rsidRPr="007B3A78" w14:paraId="7D77FA5C" w14:textId="77777777" w:rsidTr="006849F8">
        <w:trPr>
          <w:trHeight w:val="170"/>
        </w:trPr>
        <w:tc>
          <w:tcPr>
            <w:tcW w:w="1792" w:type="dxa"/>
            <w:shd w:val="clear" w:color="auto" w:fill="auto"/>
            <w:tcMar>
              <w:left w:w="0" w:type="dxa"/>
            </w:tcMar>
          </w:tcPr>
          <w:p w14:paraId="089FB78F" w14:textId="77777777" w:rsidR="00106BCC" w:rsidRDefault="00106BCC" w:rsidP="006849F8">
            <w:pPr>
              <w:pStyle w:val="Marginlie"/>
            </w:pPr>
            <w:r>
              <w:t xml:space="preserve">Výdaje na neinvestiční nákupy státu se snížily vlivem nižší potřeby mimořádných výdajů ve zdravotnictví či </w:t>
            </w:r>
            <w:r>
              <w:br/>
              <w:t>u hmotných rezerv.</w:t>
            </w:r>
          </w:p>
        </w:tc>
        <w:tc>
          <w:tcPr>
            <w:tcW w:w="203" w:type="dxa"/>
            <w:shd w:val="clear" w:color="auto" w:fill="auto"/>
            <w:tcMar>
              <w:left w:w="0" w:type="dxa"/>
            </w:tcMar>
          </w:tcPr>
          <w:p w14:paraId="72519D2C" w14:textId="77777777" w:rsidR="00106BCC" w:rsidRDefault="00106BCC" w:rsidP="006849F8">
            <w:pPr>
              <w:pStyle w:val="Textpoznpodarou"/>
              <w:jc w:val="both"/>
              <w:rPr>
                <w:spacing w:val="-4"/>
              </w:rPr>
            </w:pPr>
          </w:p>
        </w:tc>
        <w:tc>
          <w:tcPr>
            <w:tcW w:w="7674" w:type="dxa"/>
            <w:shd w:val="clear" w:color="auto" w:fill="auto"/>
            <w:tcMar>
              <w:left w:w="0" w:type="dxa"/>
            </w:tcMar>
          </w:tcPr>
          <w:p w14:paraId="400791FA" w14:textId="77777777" w:rsidR="00106BCC" w:rsidRDefault="00106BCC" w:rsidP="006849F8">
            <w:pPr>
              <w:spacing w:after="200"/>
              <w:rPr>
                <w:color w:val="0D0D0D" w:themeColor="text1" w:themeTint="F2"/>
                <w:spacing w:val="-5"/>
              </w:rPr>
            </w:pPr>
            <w:r>
              <w:rPr>
                <w:color w:val="0D0D0D" w:themeColor="text1" w:themeTint="F2"/>
                <w:spacing w:val="-5"/>
              </w:rPr>
              <w:t xml:space="preserve">I </w:t>
            </w:r>
            <w:r w:rsidRPr="0052326C">
              <w:rPr>
                <w:color w:val="0D0D0D" w:themeColor="text1" w:themeTint="F2"/>
                <w:spacing w:val="-4"/>
              </w:rPr>
              <w:t xml:space="preserve">přes výše uvedené stále existovaly oblasti, které </w:t>
            </w:r>
            <w:r>
              <w:rPr>
                <w:color w:val="0D0D0D" w:themeColor="text1" w:themeTint="F2"/>
                <w:spacing w:val="-4"/>
              </w:rPr>
              <w:t xml:space="preserve">tlumily </w:t>
            </w:r>
            <w:r w:rsidRPr="0052326C">
              <w:rPr>
                <w:color w:val="0D0D0D" w:themeColor="text1" w:themeTint="F2"/>
                <w:spacing w:val="-4"/>
              </w:rPr>
              <w:t>prudký růst běžných výdajů SR. Patřily se</w:t>
            </w:r>
            <w:r>
              <w:rPr>
                <w:color w:val="0D0D0D" w:themeColor="text1" w:themeTint="F2"/>
                <w:spacing w:val="-4"/>
              </w:rPr>
              <w:t>m</w:t>
            </w:r>
            <w:r w:rsidRPr="0052326C">
              <w:rPr>
                <w:color w:val="0D0D0D" w:themeColor="text1" w:themeTint="F2"/>
                <w:spacing w:val="-4"/>
              </w:rPr>
              <w:t xml:space="preserve"> h</w:t>
            </w:r>
            <w:r>
              <w:rPr>
                <w:color w:val="0D0D0D" w:themeColor="text1" w:themeTint="F2"/>
                <w:spacing w:val="-4"/>
              </w:rPr>
              <w:t>lavně neinvestiční nákupy, jejichž objem meziročně snižovaly především výdaje</w:t>
            </w:r>
            <w:r w:rsidRPr="0052326C">
              <w:rPr>
                <w:color w:val="0D0D0D" w:themeColor="text1" w:themeTint="F2"/>
                <w:spacing w:val="-4"/>
              </w:rPr>
              <w:t xml:space="preserve"> na pořízení vakcín (-5,0 mld. Kč) či </w:t>
            </w:r>
            <w:r>
              <w:rPr>
                <w:color w:val="0D0D0D" w:themeColor="text1" w:themeTint="F2"/>
                <w:spacing w:val="-4"/>
              </w:rPr>
              <w:t xml:space="preserve">oblast </w:t>
            </w:r>
            <w:r w:rsidRPr="0052326C">
              <w:rPr>
                <w:color w:val="0D0D0D" w:themeColor="text1" w:themeTint="F2"/>
                <w:spacing w:val="-4"/>
              </w:rPr>
              <w:t>státních hmotných rezerv (-5,6 mld. Kč).</w:t>
            </w:r>
            <w:r>
              <w:rPr>
                <w:color w:val="0D0D0D" w:themeColor="text1" w:themeTint="F2"/>
                <w:spacing w:val="-4"/>
              </w:rPr>
              <w:t xml:space="preserve"> N</w:t>
            </w:r>
            <w:r>
              <w:rPr>
                <w:color w:val="0D0D0D" w:themeColor="text1" w:themeTint="F2"/>
              </w:rPr>
              <w:t>a druhou stranu vysoký cenový růst zde stále prodražoval některé běžné provozní výdaje (</w:t>
            </w:r>
            <w:r>
              <w:rPr>
                <w:spacing w:val="-4"/>
              </w:rPr>
              <w:t xml:space="preserve">např. u nákupů vody, paliv, energií či služeb). Mírně poklesly také běžné transfery státním fondům, zejména do oblasti zemědělství. </w:t>
            </w:r>
          </w:p>
        </w:tc>
      </w:tr>
      <w:tr w:rsidR="00106BCC" w:rsidRPr="007B3A78" w14:paraId="6E7D9726" w14:textId="77777777" w:rsidTr="006849F8">
        <w:trPr>
          <w:trHeight w:val="170"/>
        </w:trPr>
        <w:tc>
          <w:tcPr>
            <w:tcW w:w="1792" w:type="dxa"/>
            <w:shd w:val="clear" w:color="auto" w:fill="auto"/>
            <w:tcMar>
              <w:left w:w="0" w:type="dxa"/>
            </w:tcMar>
          </w:tcPr>
          <w:p w14:paraId="7ECC93C1" w14:textId="77777777" w:rsidR="00106BCC" w:rsidRDefault="00106BCC" w:rsidP="006849F8">
            <w:pPr>
              <w:pStyle w:val="Marginlie"/>
            </w:pPr>
            <w:r>
              <w:t>Kapitálové výdaje významně vzrostly, zejména díky realizaci Národního plánu obnovy.</w:t>
            </w:r>
          </w:p>
          <w:p w14:paraId="094D4888" w14:textId="77777777" w:rsidR="00106BCC" w:rsidRDefault="00106BCC" w:rsidP="006849F8">
            <w:pPr>
              <w:pStyle w:val="Marginlie"/>
            </w:pPr>
          </w:p>
          <w:p w14:paraId="74E42ECB" w14:textId="77777777" w:rsidR="00106BCC" w:rsidRDefault="00106BCC" w:rsidP="006849F8">
            <w:pPr>
              <w:pStyle w:val="Marginlie"/>
            </w:pPr>
          </w:p>
          <w:p w14:paraId="70E41416" w14:textId="77777777" w:rsidR="00106BCC" w:rsidRDefault="00106BCC" w:rsidP="006849F8">
            <w:pPr>
              <w:pStyle w:val="Marginlie"/>
            </w:pPr>
          </w:p>
          <w:p w14:paraId="78E37105" w14:textId="77777777" w:rsidR="00106BCC" w:rsidRDefault="00106BCC" w:rsidP="006849F8">
            <w:pPr>
              <w:pStyle w:val="Marginlie"/>
            </w:pPr>
          </w:p>
          <w:p w14:paraId="4873D5B6" w14:textId="77777777" w:rsidR="00106BCC" w:rsidRDefault="00106BCC" w:rsidP="006849F8">
            <w:pPr>
              <w:pStyle w:val="Marginlie"/>
            </w:pPr>
          </w:p>
          <w:p w14:paraId="1EDA7B90" w14:textId="77777777" w:rsidR="00106BCC" w:rsidRDefault="00106BCC" w:rsidP="006849F8">
            <w:pPr>
              <w:pStyle w:val="Marginlie"/>
            </w:pPr>
          </w:p>
          <w:p w14:paraId="3EC311FD" w14:textId="77777777" w:rsidR="00106BCC" w:rsidRDefault="00106BCC" w:rsidP="006849F8">
            <w:pPr>
              <w:pStyle w:val="Marginlie"/>
            </w:pPr>
            <w:r>
              <w:t xml:space="preserve">Podíl investic na celkových výdajích SR dosáhl průměrných 7 %. </w:t>
            </w:r>
          </w:p>
        </w:tc>
        <w:tc>
          <w:tcPr>
            <w:tcW w:w="203" w:type="dxa"/>
            <w:shd w:val="clear" w:color="auto" w:fill="auto"/>
            <w:tcMar>
              <w:left w:w="0" w:type="dxa"/>
            </w:tcMar>
          </w:tcPr>
          <w:p w14:paraId="5C95E61C" w14:textId="77777777" w:rsidR="00106BCC" w:rsidRDefault="00106BCC" w:rsidP="006849F8">
            <w:pPr>
              <w:pStyle w:val="Textpoznpodarou"/>
              <w:jc w:val="both"/>
              <w:rPr>
                <w:spacing w:val="-4"/>
              </w:rPr>
            </w:pPr>
          </w:p>
        </w:tc>
        <w:tc>
          <w:tcPr>
            <w:tcW w:w="7674" w:type="dxa"/>
            <w:shd w:val="clear" w:color="auto" w:fill="auto"/>
            <w:tcMar>
              <w:left w:w="0" w:type="dxa"/>
            </w:tcMar>
          </w:tcPr>
          <w:p w14:paraId="7DA999C8" w14:textId="77777777" w:rsidR="00106BCC" w:rsidRDefault="00106BCC" w:rsidP="00607E1D">
            <w:pPr>
              <w:spacing w:after="0"/>
              <w:rPr>
                <w:color w:val="0D0D0D" w:themeColor="text1" w:themeTint="F2"/>
                <w:spacing w:val="-4"/>
              </w:rPr>
            </w:pPr>
            <w:r w:rsidRPr="00756EE6">
              <w:rPr>
                <w:color w:val="0D0D0D" w:themeColor="text1" w:themeTint="F2"/>
                <w:spacing w:val="-4"/>
              </w:rPr>
              <w:t xml:space="preserve">Kapitálové výdaje </w:t>
            </w:r>
            <w:r w:rsidRPr="007D6F48">
              <w:rPr>
                <w:color w:val="0D0D0D" w:themeColor="text1" w:themeTint="F2"/>
                <w:spacing w:val="-4"/>
              </w:rPr>
              <w:t>SR</w:t>
            </w:r>
            <w:r>
              <w:rPr>
                <w:color w:val="0D0D0D" w:themeColor="text1" w:themeTint="F2"/>
                <w:spacing w:val="-4"/>
              </w:rPr>
              <w:t xml:space="preserve"> se v 1. pololetí meziročně zvýšily o významných 16,1 % (na </w:t>
            </w:r>
            <w:r>
              <w:rPr>
                <w:color w:val="0D0D0D" w:themeColor="text1" w:themeTint="F2"/>
                <w:spacing w:val="-4"/>
              </w:rPr>
              <w:br/>
              <w:t xml:space="preserve">79 mld. korun). Ve svižném růstu se </w:t>
            </w:r>
            <w:r w:rsidRPr="00756EE6">
              <w:rPr>
                <w:color w:val="0D0D0D" w:themeColor="text1" w:themeTint="F2"/>
                <w:spacing w:val="-4"/>
              </w:rPr>
              <w:t xml:space="preserve">zčásti odráží efekt slabší loňské základny </w:t>
            </w:r>
            <w:r>
              <w:rPr>
                <w:color w:val="0D0D0D" w:themeColor="text1" w:themeTint="F2"/>
                <w:spacing w:val="-4"/>
              </w:rPr>
              <w:br/>
            </w:r>
            <w:r w:rsidRPr="00756EE6">
              <w:rPr>
                <w:color w:val="0D0D0D" w:themeColor="text1" w:themeTint="F2"/>
                <w:spacing w:val="-4"/>
              </w:rPr>
              <w:t xml:space="preserve">(v 1. čtvrtletí 2022 </w:t>
            </w:r>
            <w:r w:rsidRPr="00F545A1">
              <w:rPr>
                <w:color w:val="0D0D0D" w:themeColor="text1" w:themeTint="F2"/>
                <w:spacing w:val="-4"/>
              </w:rPr>
              <w:t>hospodařil SR v režimu rozpočtového provizoria</w:t>
            </w:r>
            <w:r w:rsidRPr="00F545A1">
              <w:rPr>
                <w:color w:val="0D0D0D" w:themeColor="text1" w:themeTint="F2"/>
                <w:vertAlign w:val="superscript"/>
              </w:rPr>
              <w:footnoteReference w:id="104"/>
            </w:r>
            <w:r>
              <w:rPr>
                <w:color w:val="0D0D0D" w:themeColor="text1" w:themeTint="F2"/>
                <w:spacing w:val="-4"/>
              </w:rPr>
              <w:t>).</w:t>
            </w:r>
            <w:r w:rsidRPr="00F545A1">
              <w:rPr>
                <w:color w:val="0D0D0D" w:themeColor="text1" w:themeTint="F2"/>
                <w:spacing w:val="-4"/>
              </w:rPr>
              <w:t xml:space="preserve"> Dosud bylo letos proinvestováno 38</w:t>
            </w:r>
            <w:r>
              <w:rPr>
                <w:color w:val="0D0D0D" w:themeColor="text1" w:themeTint="F2"/>
                <w:spacing w:val="-4"/>
              </w:rPr>
              <w:t>,1 </w:t>
            </w:r>
            <w:r w:rsidRPr="00F545A1">
              <w:rPr>
                <w:color w:val="0D0D0D" w:themeColor="text1" w:themeTint="F2"/>
                <w:spacing w:val="-4"/>
              </w:rPr>
              <w:t>% celoroční rozpočtované výše kapitálových výdajů</w:t>
            </w:r>
            <w:r>
              <w:rPr>
                <w:color w:val="0D0D0D" w:themeColor="text1" w:themeTint="F2"/>
                <w:spacing w:val="-4"/>
              </w:rPr>
              <w:t xml:space="preserve"> (loni na konci pololetí 33,5 %, v roce 2022 ovšem 46,3 %)</w:t>
            </w:r>
            <w:r w:rsidRPr="00F545A1">
              <w:rPr>
                <w:color w:val="0D0D0D" w:themeColor="text1" w:themeTint="F2"/>
                <w:spacing w:val="-4"/>
              </w:rPr>
              <w:t xml:space="preserve">. </w:t>
            </w:r>
            <w:r>
              <w:rPr>
                <w:color w:val="0D0D0D" w:themeColor="text1" w:themeTint="F2"/>
                <w:spacing w:val="-4"/>
              </w:rPr>
              <w:t>Největší objem investic směřoval tradičně na oblast dopravní infrastruktury (25,5 mld. korun), k jejich růstu ovšem přispěl</w:t>
            </w:r>
            <w:r w:rsidRPr="00F545A1">
              <w:rPr>
                <w:color w:val="0D0D0D" w:themeColor="text1" w:themeTint="F2"/>
                <w:spacing w:val="-4"/>
              </w:rPr>
              <w:t xml:space="preserve"> zejména </w:t>
            </w:r>
            <w:r>
              <w:rPr>
                <w:color w:val="0D0D0D" w:themeColor="text1" w:themeTint="F2"/>
                <w:spacing w:val="-4"/>
              </w:rPr>
              <w:t>program Nová zelená úsporám v rámci Národního plánu obnovy (kde bylo alokováno</w:t>
            </w:r>
            <w:r w:rsidRPr="00F545A1">
              <w:rPr>
                <w:color w:val="0D0D0D" w:themeColor="text1" w:themeTint="F2"/>
                <w:spacing w:val="-4"/>
              </w:rPr>
              <w:t xml:space="preserve"> </w:t>
            </w:r>
            <w:r>
              <w:rPr>
                <w:color w:val="0D0D0D" w:themeColor="text1" w:themeTint="F2"/>
                <w:spacing w:val="-4"/>
              </w:rPr>
              <w:br/>
            </w:r>
            <w:r w:rsidRPr="00F545A1">
              <w:rPr>
                <w:color w:val="0D0D0D" w:themeColor="text1" w:themeTint="F2"/>
                <w:spacing w:val="-4"/>
              </w:rPr>
              <w:t>8,9 m</w:t>
            </w:r>
            <w:r>
              <w:rPr>
                <w:color w:val="0D0D0D" w:themeColor="text1" w:themeTint="F2"/>
                <w:spacing w:val="-4"/>
              </w:rPr>
              <w:t>ld., meziročně téměř dvojnásobek</w:t>
            </w:r>
            <w:r w:rsidRPr="00F545A1">
              <w:rPr>
                <w:color w:val="0D0D0D" w:themeColor="text1" w:themeTint="F2"/>
                <w:spacing w:val="-4"/>
              </w:rPr>
              <w:t>)</w:t>
            </w:r>
            <w:r>
              <w:rPr>
                <w:color w:val="0D0D0D" w:themeColor="text1" w:themeTint="F2"/>
                <w:spacing w:val="-4"/>
              </w:rPr>
              <w:t xml:space="preserve"> a též realizace</w:t>
            </w:r>
            <w:r w:rsidRPr="00F545A1">
              <w:rPr>
                <w:color w:val="0D0D0D" w:themeColor="text1" w:themeTint="F2"/>
                <w:spacing w:val="-4"/>
              </w:rPr>
              <w:t xml:space="preserve"> projektů v rámci Operačního programu Podnikání a inovace</w:t>
            </w:r>
            <w:r>
              <w:rPr>
                <w:color w:val="0D0D0D" w:themeColor="text1" w:themeTint="F2"/>
                <w:spacing w:val="-4"/>
              </w:rPr>
              <w:t xml:space="preserve"> pro konkurenceschopnost 2014+ či</w:t>
            </w:r>
            <w:r w:rsidRPr="00F545A1">
              <w:rPr>
                <w:color w:val="0D0D0D" w:themeColor="text1" w:themeTint="F2"/>
                <w:spacing w:val="-4"/>
              </w:rPr>
              <w:t xml:space="preserve"> Integrovaného regio</w:t>
            </w:r>
            <w:r>
              <w:rPr>
                <w:color w:val="0D0D0D" w:themeColor="text1" w:themeTint="F2"/>
                <w:spacing w:val="-4"/>
              </w:rPr>
              <w:t>nálního operačního programu 2014+</w:t>
            </w:r>
            <w:r w:rsidRPr="00F545A1">
              <w:rPr>
                <w:color w:val="0D0D0D" w:themeColor="text1" w:themeTint="F2"/>
                <w:spacing w:val="-4"/>
              </w:rPr>
              <w:t>.</w:t>
            </w:r>
            <w:r>
              <w:rPr>
                <w:color w:val="0D0D0D" w:themeColor="text1" w:themeTint="F2"/>
                <w:spacing w:val="-4"/>
              </w:rPr>
              <w:t xml:space="preserve"> Celkové investice se na všech výdajích SR dosud letos podílely rovnými 7 % (obdobně jako v 1. pololetí 2022), z dlouhodobého pohledu se jedná o průměrnou hodnotu. Mírně nadpoloviční objem dosud letos uvolněných investic ze SR souvisel se společnými projekty ČR a EU.</w:t>
            </w:r>
          </w:p>
        </w:tc>
      </w:tr>
      <w:tr w:rsidR="00106BCC" w:rsidRPr="007B3A78" w14:paraId="49E3AF28" w14:textId="77777777" w:rsidTr="006849F8">
        <w:trPr>
          <w:trHeight w:val="170"/>
        </w:trPr>
        <w:tc>
          <w:tcPr>
            <w:tcW w:w="1792" w:type="dxa"/>
            <w:shd w:val="clear" w:color="auto" w:fill="auto"/>
            <w:tcMar>
              <w:left w:w="0" w:type="dxa"/>
            </w:tcMar>
          </w:tcPr>
          <w:p w14:paraId="631C72A1" w14:textId="77777777" w:rsidR="00106BCC" w:rsidRDefault="00106BCC" w:rsidP="006849F8">
            <w:pPr>
              <w:pStyle w:val="Marginlie"/>
            </w:pPr>
            <w:r>
              <w:t xml:space="preserve">Čistá kladná pozice ČR ve vztahu k rozpočtu EU meziročně posílila. </w:t>
            </w:r>
          </w:p>
        </w:tc>
        <w:tc>
          <w:tcPr>
            <w:tcW w:w="203" w:type="dxa"/>
            <w:shd w:val="clear" w:color="auto" w:fill="auto"/>
            <w:tcMar>
              <w:left w:w="0" w:type="dxa"/>
            </w:tcMar>
          </w:tcPr>
          <w:p w14:paraId="556684FF" w14:textId="77777777" w:rsidR="00106BCC" w:rsidRDefault="00106BCC" w:rsidP="006849F8">
            <w:pPr>
              <w:pStyle w:val="Textpoznpodarou"/>
              <w:jc w:val="both"/>
              <w:rPr>
                <w:spacing w:val="-4"/>
              </w:rPr>
            </w:pPr>
          </w:p>
        </w:tc>
        <w:tc>
          <w:tcPr>
            <w:tcW w:w="7674" w:type="dxa"/>
            <w:shd w:val="clear" w:color="auto" w:fill="auto"/>
            <w:tcMar>
              <w:left w:w="0" w:type="dxa"/>
            </w:tcMar>
          </w:tcPr>
          <w:p w14:paraId="590903CD" w14:textId="77777777" w:rsidR="00106BCC" w:rsidRPr="00756EE6" w:rsidRDefault="00106BCC" w:rsidP="006849F8">
            <w:pPr>
              <w:spacing w:after="200"/>
              <w:rPr>
                <w:color w:val="0D0D0D" w:themeColor="text1" w:themeTint="F2"/>
                <w:spacing w:val="-4"/>
              </w:rPr>
            </w:pPr>
            <w:r w:rsidRPr="009261BA">
              <w:rPr>
                <w:color w:val="0D0D0D" w:themeColor="text1" w:themeTint="F2"/>
                <w:spacing w:val="-4"/>
              </w:rPr>
              <w:t xml:space="preserve">Česko zůstává nadále ve vztahu k rozpočtu EU v pozici čistého příjemce. V 1. pololetí 2023 obdržela ČR z rozpočtu EU 54,6 mld. korun (meziročně +13,0 %), opačným směrem putovalo 33,9 mld. korun (+4,2 %). ČR tak zatím letos obdržela o 20,8 mld. korun více, než </w:t>
            </w:r>
            <w:r>
              <w:rPr>
                <w:color w:val="0D0D0D" w:themeColor="text1" w:themeTint="F2"/>
                <w:spacing w:val="-4"/>
              </w:rPr>
              <w:t xml:space="preserve">odvedla </w:t>
            </w:r>
            <w:r w:rsidRPr="009261BA">
              <w:rPr>
                <w:color w:val="0D0D0D" w:themeColor="text1" w:themeTint="F2"/>
                <w:spacing w:val="-4"/>
              </w:rPr>
              <w:t>do rozpočtu EU</w:t>
            </w:r>
            <w:r>
              <w:rPr>
                <w:color w:val="0D0D0D" w:themeColor="text1" w:themeTint="F2"/>
                <w:spacing w:val="-4"/>
              </w:rPr>
              <w:t>.</w:t>
            </w:r>
            <w:r w:rsidRPr="009261BA">
              <w:rPr>
                <w:color w:val="0D0D0D" w:themeColor="text1" w:themeTint="F2"/>
                <w:spacing w:val="-4"/>
              </w:rPr>
              <w:t xml:space="preserve"> Při započítání </w:t>
            </w:r>
            <w:r>
              <w:rPr>
                <w:color w:val="0D0D0D" w:themeColor="text1" w:themeTint="F2"/>
                <w:spacing w:val="-4"/>
              </w:rPr>
              <w:t xml:space="preserve">prudce rostoucích </w:t>
            </w:r>
            <w:r w:rsidRPr="009261BA">
              <w:rPr>
                <w:color w:val="0D0D0D" w:themeColor="text1" w:themeTint="F2"/>
                <w:spacing w:val="-4"/>
              </w:rPr>
              <w:t xml:space="preserve">příjmů z Nástroje EU na </w:t>
            </w:r>
            <w:r>
              <w:rPr>
                <w:color w:val="0D0D0D" w:themeColor="text1" w:themeTint="F2"/>
                <w:spacing w:val="-4"/>
              </w:rPr>
              <w:t>podporu oživení (+225 %</w:t>
            </w:r>
            <w:r w:rsidRPr="009261BA">
              <w:rPr>
                <w:color w:val="0D0D0D" w:themeColor="text1" w:themeTint="F2"/>
                <w:spacing w:val="-4"/>
              </w:rPr>
              <w:t>) činí celkové kladné saldo 45,6 mld. korun (</w:t>
            </w:r>
            <w:r>
              <w:rPr>
                <w:color w:val="0D0D0D" w:themeColor="text1" w:themeTint="F2"/>
                <w:spacing w:val="-4"/>
              </w:rPr>
              <w:t>druhá nejvyšší pololetní hodnota za posledních sedm let). K meziročnímu růstu příjmů přispěly podobným dílem vyšší prostředky v oblasti Strukturálních fondů, Fondu soudržnosti i na přímé platby v zemědělství. Mírně se naopak snížily prostředky na rozvoj venkova (-0,9 mld. korun).</w:t>
            </w:r>
          </w:p>
        </w:tc>
      </w:tr>
      <w:tr w:rsidR="00106BCC" w:rsidRPr="00F704D2" w14:paraId="635257CA" w14:textId="77777777" w:rsidTr="006849F8">
        <w:trPr>
          <w:trHeight w:val="170"/>
        </w:trPr>
        <w:tc>
          <w:tcPr>
            <w:tcW w:w="1792" w:type="dxa"/>
            <w:vMerge w:val="restart"/>
            <w:shd w:val="clear" w:color="auto" w:fill="auto"/>
            <w:tcMar>
              <w:left w:w="0" w:type="dxa"/>
            </w:tcMar>
          </w:tcPr>
          <w:p w14:paraId="3EC369A6" w14:textId="77777777" w:rsidR="00106BCC" w:rsidRDefault="00106BCC" w:rsidP="006849F8">
            <w:pPr>
              <w:pStyle w:val="Marginlie"/>
            </w:pPr>
          </w:p>
        </w:tc>
        <w:tc>
          <w:tcPr>
            <w:tcW w:w="203" w:type="dxa"/>
            <w:vMerge w:val="restart"/>
            <w:shd w:val="clear" w:color="auto" w:fill="auto"/>
            <w:tcMar>
              <w:left w:w="0" w:type="dxa"/>
            </w:tcMar>
          </w:tcPr>
          <w:p w14:paraId="69B8D028" w14:textId="77777777" w:rsidR="00106BCC" w:rsidRDefault="00106BCC" w:rsidP="006849F8">
            <w:pPr>
              <w:pStyle w:val="Textpoznpodarou"/>
              <w:jc w:val="both"/>
              <w:rPr>
                <w:spacing w:val="-4"/>
              </w:rPr>
            </w:pPr>
          </w:p>
        </w:tc>
        <w:tc>
          <w:tcPr>
            <w:tcW w:w="7674" w:type="dxa"/>
            <w:shd w:val="clear" w:color="auto" w:fill="auto"/>
            <w:tcMar>
              <w:left w:w="0" w:type="dxa"/>
            </w:tcMar>
          </w:tcPr>
          <w:p w14:paraId="721679FA" w14:textId="14EDB73D" w:rsidR="00106BCC" w:rsidRPr="0033093B" w:rsidRDefault="00FA2C07" w:rsidP="006849F8">
            <w:pPr>
              <w:spacing w:after="20" w:line="240" w:lineRule="auto"/>
              <w:jc w:val="left"/>
              <w:rPr>
                <w:rFonts w:cs="Arial"/>
                <w:bCs/>
                <w:spacing w:val="-3"/>
              </w:rPr>
            </w:pPr>
            <w:r>
              <w:rPr>
                <w:b/>
                <w:spacing w:val="-3"/>
              </w:rPr>
              <w:t>Graf č. 18</w:t>
            </w:r>
            <w:r w:rsidR="00106BCC" w:rsidRPr="0033093B">
              <w:rPr>
                <w:b/>
                <w:spacing w:val="-3"/>
              </w:rPr>
              <w:t xml:space="preserve"> </w:t>
            </w:r>
            <w:r w:rsidR="00106BCC" w:rsidRPr="0033093B">
              <w:rPr>
                <w:rFonts w:cs="Arial"/>
                <w:b/>
                <w:bCs/>
                <w:spacing w:val="-3"/>
              </w:rPr>
              <w:t>Vyb</w:t>
            </w:r>
            <w:r w:rsidR="00106BCC">
              <w:rPr>
                <w:rFonts w:cs="Arial"/>
                <w:b/>
                <w:bCs/>
                <w:spacing w:val="-3"/>
              </w:rPr>
              <w:t xml:space="preserve">rané výdaje státního rozpočtu </w:t>
            </w:r>
            <w:r w:rsidR="00106BCC">
              <w:rPr>
                <w:rFonts w:cs="Arial"/>
                <w:bCs/>
                <w:spacing w:val="-3"/>
              </w:rPr>
              <w:t xml:space="preserve">(kumulace za 1. pololetí, </w:t>
            </w:r>
            <w:r w:rsidR="00106BCC" w:rsidRPr="008223D7">
              <w:rPr>
                <w:rFonts w:cs="Arial"/>
                <w:bCs/>
                <w:spacing w:val="-3"/>
              </w:rPr>
              <w:t>v</w:t>
            </w:r>
            <w:r w:rsidR="00106BCC" w:rsidRPr="0033093B">
              <w:rPr>
                <w:rFonts w:cs="Arial"/>
                <w:bCs/>
                <w:spacing w:val="-3"/>
              </w:rPr>
              <w:t xml:space="preserve"> mld. korun)</w:t>
            </w:r>
          </w:p>
        </w:tc>
      </w:tr>
      <w:tr w:rsidR="00106BCC" w14:paraId="797E142B" w14:textId="77777777" w:rsidTr="006849F8">
        <w:tblPrEx>
          <w:tblCellMar>
            <w:left w:w="70" w:type="dxa"/>
            <w:right w:w="70" w:type="dxa"/>
          </w:tblCellMar>
        </w:tblPrEx>
        <w:trPr>
          <w:trHeight w:val="170"/>
        </w:trPr>
        <w:tc>
          <w:tcPr>
            <w:tcW w:w="1792" w:type="dxa"/>
            <w:vMerge/>
            <w:shd w:val="clear" w:color="auto" w:fill="auto"/>
          </w:tcPr>
          <w:p w14:paraId="68FED6D8" w14:textId="77777777" w:rsidR="00106BCC" w:rsidRDefault="00106BCC" w:rsidP="006849F8">
            <w:pPr>
              <w:pStyle w:val="Marginlie"/>
            </w:pPr>
          </w:p>
        </w:tc>
        <w:tc>
          <w:tcPr>
            <w:tcW w:w="203" w:type="dxa"/>
            <w:vMerge/>
            <w:shd w:val="clear" w:color="auto" w:fill="auto"/>
          </w:tcPr>
          <w:p w14:paraId="1384FCFB" w14:textId="77777777" w:rsidR="00106BCC" w:rsidRDefault="00106BCC" w:rsidP="006849F8">
            <w:pPr>
              <w:pStyle w:val="Textpoznpodarou"/>
              <w:jc w:val="both"/>
              <w:rPr>
                <w:spacing w:val="-4"/>
              </w:rPr>
            </w:pPr>
          </w:p>
        </w:tc>
        <w:tc>
          <w:tcPr>
            <w:tcW w:w="7674" w:type="dxa"/>
            <w:shd w:val="clear" w:color="auto" w:fill="auto"/>
          </w:tcPr>
          <w:p w14:paraId="6FE9DADC" w14:textId="77777777" w:rsidR="00106BCC" w:rsidRPr="0067514E" w:rsidRDefault="00106BCC" w:rsidP="006849F8">
            <w:pPr>
              <w:spacing w:after="0"/>
              <w:rPr>
                <w:spacing w:val="-6"/>
              </w:rPr>
            </w:pPr>
            <w:r>
              <w:rPr>
                <w:noProof/>
              </w:rPr>
              <w:drawing>
                <wp:inline distT="0" distB="0" distL="0" distR="0" wp14:anchorId="780596F6" wp14:editId="097D4AB7">
                  <wp:extent cx="4720355" cy="3401149"/>
                  <wp:effectExtent l="0" t="0" r="4445" b="889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106BCC" w:rsidRPr="00343AC1" w14:paraId="46559CB1" w14:textId="77777777" w:rsidTr="006849F8">
        <w:trPr>
          <w:trHeight w:val="170"/>
        </w:trPr>
        <w:tc>
          <w:tcPr>
            <w:tcW w:w="1792" w:type="dxa"/>
            <w:vMerge/>
            <w:shd w:val="clear" w:color="auto" w:fill="auto"/>
            <w:tcMar>
              <w:left w:w="0" w:type="dxa"/>
            </w:tcMar>
          </w:tcPr>
          <w:p w14:paraId="74D8A556" w14:textId="77777777" w:rsidR="00106BCC" w:rsidRDefault="00106BCC" w:rsidP="006849F8">
            <w:pPr>
              <w:pStyle w:val="Marginlie"/>
            </w:pPr>
          </w:p>
        </w:tc>
        <w:tc>
          <w:tcPr>
            <w:tcW w:w="203" w:type="dxa"/>
            <w:vMerge/>
            <w:shd w:val="clear" w:color="auto" w:fill="auto"/>
            <w:tcMar>
              <w:left w:w="0" w:type="dxa"/>
            </w:tcMar>
          </w:tcPr>
          <w:p w14:paraId="364BCDDA" w14:textId="77777777" w:rsidR="00106BCC" w:rsidRDefault="00106BCC" w:rsidP="006849F8">
            <w:pPr>
              <w:pStyle w:val="Textpoznpodarou"/>
              <w:jc w:val="both"/>
              <w:rPr>
                <w:spacing w:val="-4"/>
              </w:rPr>
            </w:pPr>
          </w:p>
        </w:tc>
        <w:tc>
          <w:tcPr>
            <w:tcW w:w="7674" w:type="dxa"/>
            <w:shd w:val="clear" w:color="auto" w:fill="auto"/>
            <w:tcMar>
              <w:left w:w="0" w:type="dxa"/>
            </w:tcMar>
          </w:tcPr>
          <w:p w14:paraId="1524F68B" w14:textId="77777777" w:rsidR="00106BCC" w:rsidRPr="008F2BE2" w:rsidRDefault="00106BCC" w:rsidP="006849F8">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4612FDE0" w14:textId="77777777" w:rsidR="00106BCC" w:rsidRPr="008F2BE2" w:rsidRDefault="00106BCC" w:rsidP="006849F8">
            <w:pPr>
              <w:pStyle w:val="Textpoznpodarou"/>
              <w:rPr>
                <w:spacing w:val="-4"/>
                <w:sz w:val="14"/>
                <w:szCs w:val="14"/>
              </w:rPr>
            </w:pPr>
            <w:r w:rsidRPr="008F2BE2">
              <w:rPr>
                <w:spacing w:val="-4"/>
                <w:sz w:val="14"/>
                <w:szCs w:val="14"/>
              </w:rPr>
              <w:t>**Zahrnuje i dávky pěstounské péče.</w:t>
            </w:r>
            <w:r>
              <w:rPr>
                <w:spacing w:val="-4"/>
                <w:sz w:val="14"/>
                <w:szCs w:val="14"/>
              </w:rPr>
              <w:t xml:space="preserve">   *</w:t>
            </w: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Jsou zde obsaženy i dávky </w:t>
            </w:r>
            <w:r w:rsidRPr="00FB6649">
              <w:rPr>
                <w:spacing w:val="-4"/>
                <w:sz w:val="14"/>
                <w:szCs w:val="14"/>
              </w:rPr>
              <w:t>humanitární pomoc</w:t>
            </w:r>
            <w:r>
              <w:rPr>
                <w:spacing w:val="-4"/>
                <w:sz w:val="14"/>
                <w:szCs w:val="14"/>
              </w:rPr>
              <w:t>i poskytnuté občanům Ukrajiny.</w:t>
            </w:r>
          </w:p>
          <w:p w14:paraId="61A249DF" w14:textId="77777777" w:rsidR="00106BCC" w:rsidRDefault="00106BCC" w:rsidP="006849F8">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29F8E580" w14:textId="77777777" w:rsidR="00106BCC" w:rsidRDefault="00106BCC" w:rsidP="006849F8">
            <w:pPr>
              <w:pStyle w:val="Textpoznpodarou"/>
              <w:rPr>
                <w:spacing w:val="-4"/>
                <w:sz w:val="14"/>
                <w:szCs w:val="14"/>
              </w:rPr>
            </w:pPr>
            <w:r>
              <w:rPr>
                <w:spacing w:val="-4"/>
                <w:sz w:val="14"/>
                <w:szCs w:val="14"/>
              </w:rPr>
              <w:t>***** Odpovídá saldu rozpočtové kapitoly Státní dluh.</w:t>
            </w:r>
          </w:p>
          <w:p w14:paraId="4C893225" w14:textId="77777777" w:rsidR="00106BCC" w:rsidRPr="00D94406" w:rsidRDefault="00106BCC" w:rsidP="006849F8">
            <w:pPr>
              <w:pStyle w:val="Textpoznpodarou"/>
              <w:spacing w:after="160"/>
              <w:rPr>
                <w:sz w:val="16"/>
                <w:szCs w:val="16"/>
              </w:rPr>
            </w:pPr>
            <w:r w:rsidRPr="000F45E7">
              <w:rPr>
                <w:spacing w:val="-4"/>
                <w:sz w:val="14"/>
                <w:szCs w:val="14"/>
              </w:rPr>
              <w:t>Zdroj: MF ČR, MPSV</w:t>
            </w:r>
          </w:p>
        </w:tc>
      </w:tr>
    </w:tbl>
    <w:p w14:paraId="5D6917AD" w14:textId="77777777" w:rsidR="00106BCC" w:rsidRDefault="00106BCC" w:rsidP="00106BCC">
      <w:pPr>
        <w:pStyle w:val="Nadpis11"/>
        <w:rPr>
          <w:b w:val="0"/>
          <w:sz w:val="2"/>
          <w:szCs w:val="2"/>
        </w:rPr>
      </w:pPr>
    </w:p>
    <w:tbl>
      <w:tblPr>
        <w:tblW w:w="9669" w:type="dxa"/>
        <w:tblInd w:w="-20" w:type="dxa"/>
        <w:tblCellMar>
          <w:left w:w="0" w:type="dxa"/>
          <w:right w:w="0" w:type="dxa"/>
        </w:tblCellMar>
        <w:tblLook w:val="00A0" w:firstRow="1" w:lastRow="0" w:firstColumn="1" w:lastColumn="0" w:noHBand="0" w:noVBand="0"/>
      </w:tblPr>
      <w:tblGrid>
        <w:gridCol w:w="1780"/>
        <w:gridCol w:w="219"/>
        <w:gridCol w:w="7670"/>
      </w:tblGrid>
      <w:tr w:rsidR="00106BCC" w:rsidRPr="004B2C92" w14:paraId="444D1690" w14:textId="77777777" w:rsidTr="20D21749">
        <w:trPr>
          <w:trHeight w:val="145"/>
        </w:trPr>
        <w:tc>
          <w:tcPr>
            <w:tcW w:w="1780" w:type="dxa"/>
            <w:shd w:val="clear" w:color="auto" w:fill="auto"/>
            <w:tcMar>
              <w:left w:w="0" w:type="dxa"/>
            </w:tcMar>
          </w:tcPr>
          <w:p w14:paraId="23BE3ED6" w14:textId="77777777" w:rsidR="00106BCC" w:rsidRDefault="00106BCC" w:rsidP="006849F8">
            <w:pPr>
              <w:pStyle w:val="Marginlie"/>
            </w:pPr>
            <w:r w:rsidRPr="005B591B">
              <w:t>Státní dluh</w:t>
            </w:r>
            <w:r>
              <w:t xml:space="preserve"> pokořil na konci 1. pololetí poprvé v historii hranici</w:t>
            </w:r>
            <w:r w:rsidRPr="005B591B">
              <w:t xml:space="preserve"> 3 bilion</w:t>
            </w:r>
            <w:r>
              <w:t>ů</w:t>
            </w:r>
            <w:r w:rsidRPr="005B591B">
              <w:t xml:space="preserve"> korun. </w:t>
            </w:r>
          </w:p>
          <w:p w14:paraId="547D5C4D" w14:textId="77777777" w:rsidR="00106BCC" w:rsidRDefault="00106BCC" w:rsidP="006849F8">
            <w:pPr>
              <w:pStyle w:val="Marginlie"/>
            </w:pPr>
          </w:p>
          <w:p w14:paraId="684AD787" w14:textId="77777777" w:rsidR="00106BCC" w:rsidRDefault="00106BCC" w:rsidP="006849F8">
            <w:pPr>
              <w:pStyle w:val="Marginlie"/>
            </w:pPr>
          </w:p>
          <w:p w14:paraId="6E82E1EC" w14:textId="05212AF9" w:rsidR="00106BCC" w:rsidRDefault="00106BCC" w:rsidP="006849F8">
            <w:pPr>
              <w:pStyle w:val="Marginlie"/>
            </w:pPr>
          </w:p>
          <w:p w14:paraId="2E220F8D" w14:textId="77777777" w:rsidR="00106BCC" w:rsidRDefault="00106BCC" w:rsidP="006849F8">
            <w:pPr>
              <w:pStyle w:val="Marginlie"/>
            </w:pPr>
          </w:p>
          <w:p w14:paraId="6BBB4E97" w14:textId="77777777" w:rsidR="00106BCC" w:rsidRDefault="00106BCC" w:rsidP="006849F8">
            <w:pPr>
              <w:pStyle w:val="Marginlie"/>
            </w:pPr>
            <w:r>
              <w:t>Rostla výhradně vnitřní zadluženost, korunová hodnota vnějšího dluhu se snižovala.</w:t>
            </w:r>
          </w:p>
          <w:p w14:paraId="0BC2E3CE" w14:textId="77777777" w:rsidR="00106BCC" w:rsidRPr="005B591B" w:rsidRDefault="00106BCC" w:rsidP="006849F8">
            <w:pPr>
              <w:pStyle w:val="Marginlie"/>
            </w:pPr>
          </w:p>
        </w:tc>
        <w:tc>
          <w:tcPr>
            <w:tcW w:w="219" w:type="dxa"/>
            <w:shd w:val="clear" w:color="auto" w:fill="auto"/>
            <w:tcMar>
              <w:left w:w="0" w:type="dxa"/>
            </w:tcMar>
          </w:tcPr>
          <w:p w14:paraId="4EAA0D82" w14:textId="77777777" w:rsidR="00106BCC" w:rsidRDefault="00106BCC" w:rsidP="006849F8">
            <w:pPr>
              <w:pStyle w:val="Textpoznpodarou"/>
              <w:jc w:val="both"/>
              <w:rPr>
                <w:spacing w:val="-4"/>
              </w:rPr>
            </w:pPr>
          </w:p>
        </w:tc>
        <w:tc>
          <w:tcPr>
            <w:tcW w:w="7670" w:type="dxa"/>
            <w:shd w:val="clear" w:color="auto" w:fill="auto"/>
            <w:tcMar>
              <w:left w:w="0" w:type="dxa"/>
            </w:tcMar>
          </w:tcPr>
          <w:p w14:paraId="6CD50C7D" w14:textId="043FD343" w:rsidR="00106BCC" w:rsidRDefault="00106BCC" w:rsidP="006849F8">
            <w:pPr>
              <w:spacing w:after="200"/>
              <w:rPr>
                <w:color w:val="0D0D0D" w:themeColor="text1" w:themeTint="F2"/>
                <w:spacing w:val="-2"/>
              </w:rPr>
            </w:pPr>
            <w:r>
              <w:rPr>
                <w:color w:val="0D0D0D" w:themeColor="text1" w:themeTint="F2"/>
                <w:spacing w:val="-2"/>
              </w:rPr>
              <w:t>Přetrvávající hluboké rozpočtové schod</w:t>
            </w:r>
            <w:r w:rsidRPr="00BE22C9">
              <w:rPr>
                <w:color w:val="0D0D0D" w:themeColor="text1" w:themeTint="F2"/>
                <w:spacing w:val="-2"/>
              </w:rPr>
              <w:t>k</w:t>
            </w:r>
            <w:r>
              <w:rPr>
                <w:color w:val="0D0D0D" w:themeColor="text1" w:themeTint="F2"/>
                <w:spacing w:val="-2"/>
              </w:rPr>
              <w:t>y spolu s plánovanými splátkami dluhu se promítaly ve vysoké výpůjční potřebě státu</w:t>
            </w:r>
            <w:r w:rsidRPr="00CA654D">
              <w:rPr>
                <w:color w:val="0D0D0D" w:themeColor="text1" w:themeTint="F2"/>
                <w:spacing w:val="-2"/>
              </w:rPr>
              <w:t xml:space="preserve">. Státní dluh </w:t>
            </w:r>
            <w:r>
              <w:rPr>
                <w:color w:val="0D0D0D" w:themeColor="text1" w:themeTint="F2"/>
                <w:spacing w:val="-2"/>
              </w:rPr>
              <w:t xml:space="preserve">tak </w:t>
            </w:r>
            <w:r>
              <w:rPr>
                <w:spacing w:val="-2"/>
              </w:rPr>
              <w:t xml:space="preserve">na konci letošního června </w:t>
            </w:r>
            <w:r w:rsidRPr="001830C5">
              <w:rPr>
                <w:color w:val="0D0D0D" w:themeColor="text1" w:themeTint="F2"/>
                <w:spacing w:val="-2"/>
              </w:rPr>
              <w:t xml:space="preserve">vystoupal </w:t>
            </w:r>
            <w:r>
              <w:rPr>
                <w:spacing w:val="-2"/>
              </w:rPr>
              <w:t>na rekordních 3 04</w:t>
            </w:r>
            <w:r w:rsidR="00F23927">
              <w:rPr>
                <w:spacing w:val="-2"/>
              </w:rPr>
              <w:t>4 mld. korun a meziročně se zvýšil</w:t>
            </w:r>
            <w:r>
              <w:rPr>
                <w:spacing w:val="-2"/>
              </w:rPr>
              <w:t xml:space="preserve"> o 337 mld. (12,4 %). Meziroční procentní tempo bylo sice obdobné jako loni na konci června, růst dluhu za samotné první letošní pololetí (+150 mld. korun) ale oproti 1. pololetí 2022 zvolnil (+242 mld.). Za navýšením dluhu proti počátku roku stála letos především emise středně a dlouhodobých státních dluhopisů</w:t>
            </w:r>
            <w:r>
              <w:rPr>
                <w:rStyle w:val="Znakapoznpodarou"/>
                <w:spacing w:val="-2"/>
              </w:rPr>
              <w:footnoteReference w:id="105"/>
            </w:r>
            <w:r>
              <w:rPr>
                <w:spacing w:val="-2"/>
              </w:rPr>
              <w:t xml:space="preserve">, ve stejném období vloni k ní ale navíc významně přistupoval i zvýšený objem krátkodobých zápůjček. Především vlivem výše uvedeného došlo k razantnímu navýšení vnitřního státního dluhu (meziročně o 352 mld. korun, z toho od počátku letošního roku o 257 mld.). Naopak korunová hodnota vnějšího dluhu se meziročně mírně snížila a hlavně díky splátce krátkodobých zápůjček během </w:t>
            </w:r>
            <w:r>
              <w:rPr>
                <w:spacing w:val="-2"/>
              </w:rPr>
              <w:br/>
              <w:t>1. čtvrtletí 2023 poklesla o více než třetinu</w:t>
            </w:r>
            <w:r>
              <w:rPr>
                <w:rStyle w:val="Znakapoznpodarou"/>
                <w:spacing w:val="-2"/>
              </w:rPr>
              <w:footnoteReference w:id="106"/>
            </w:r>
            <w:r>
              <w:rPr>
                <w:spacing w:val="-2"/>
              </w:rPr>
              <w:t>.</w:t>
            </w:r>
          </w:p>
        </w:tc>
      </w:tr>
      <w:tr w:rsidR="00106BCC" w:rsidRPr="004B2C92" w14:paraId="5DBD756F" w14:textId="77777777" w:rsidTr="20D21749">
        <w:trPr>
          <w:trHeight w:val="145"/>
        </w:trPr>
        <w:tc>
          <w:tcPr>
            <w:tcW w:w="1780" w:type="dxa"/>
            <w:shd w:val="clear" w:color="auto" w:fill="auto"/>
            <w:tcMar>
              <w:left w:w="0" w:type="dxa"/>
            </w:tcMar>
          </w:tcPr>
          <w:p w14:paraId="5C677597" w14:textId="77777777" w:rsidR="00106BCC" w:rsidRDefault="00106BCC" w:rsidP="006849F8">
            <w:pPr>
              <w:pStyle w:val="Marginlie"/>
            </w:pPr>
            <w:r>
              <w:t xml:space="preserve">Schodek hospodaření sektoru vládních institucí se v 1. čtvrtletí meziročně navýšil o 32 mld. korun. </w:t>
            </w:r>
          </w:p>
          <w:p w14:paraId="0817158C" w14:textId="77777777" w:rsidR="00106BCC" w:rsidRDefault="00106BCC" w:rsidP="006849F8">
            <w:pPr>
              <w:pStyle w:val="Marginlie"/>
            </w:pPr>
          </w:p>
          <w:p w14:paraId="78A260B7" w14:textId="77777777" w:rsidR="00106BCC" w:rsidRDefault="00106BCC" w:rsidP="006849F8">
            <w:pPr>
              <w:pStyle w:val="Marginlie"/>
            </w:pPr>
          </w:p>
          <w:p w14:paraId="086549EA" w14:textId="77777777" w:rsidR="00106BCC" w:rsidRDefault="00106BCC" w:rsidP="006849F8">
            <w:pPr>
              <w:pStyle w:val="Marginlie"/>
            </w:pPr>
          </w:p>
          <w:p w14:paraId="30D14C2F" w14:textId="77777777" w:rsidR="00106BCC" w:rsidRDefault="00106BCC" w:rsidP="006849F8">
            <w:pPr>
              <w:pStyle w:val="Marginlie"/>
            </w:pPr>
          </w:p>
          <w:p w14:paraId="68646710" w14:textId="77777777" w:rsidR="00106BCC" w:rsidRDefault="00106BCC" w:rsidP="006849F8">
            <w:pPr>
              <w:pStyle w:val="Marginlie"/>
            </w:pPr>
            <w:r>
              <w:t xml:space="preserve">Sezónně očištěný deficit činil 4,2 % HDP, oproti </w:t>
            </w:r>
            <w:r>
              <w:br/>
              <w:t xml:space="preserve">2. pololetí 2022 se zatím neprohluboval. </w:t>
            </w:r>
          </w:p>
          <w:p w14:paraId="6ED2AF4B" w14:textId="77777777" w:rsidR="00106BCC" w:rsidRPr="005B591B" w:rsidRDefault="00106BCC" w:rsidP="006849F8">
            <w:pPr>
              <w:pStyle w:val="Marginlie"/>
            </w:pPr>
          </w:p>
        </w:tc>
        <w:tc>
          <w:tcPr>
            <w:tcW w:w="219" w:type="dxa"/>
            <w:shd w:val="clear" w:color="auto" w:fill="auto"/>
            <w:tcMar>
              <w:left w:w="0" w:type="dxa"/>
            </w:tcMar>
          </w:tcPr>
          <w:p w14:paraId="239BD253" w14:textId="77777777" w:rsidR="00106BCC" w:rsidRDefault="00106BCC" w:rsidP="006849F8">
            <w:pPr>
              <w:pStyle w:val="Textpoznpodarou"/>
              <w:jc w:val="both"/>
              <w:rPr>
                <w:spacing w:val="-4"/>
              </w:rPr>
            </w:pPr>
          </w:p>
        </w:tc>
        <w:tc>
          <w:tcPr>
            <w:tcW w:w="7670" w:type="dxa"/>
            <w:shd w:val="clear" w:color="auto" w:fill="auto"/>
            <w:tcMar>
              <w:left w:w="0" w:type="dxa"/>
            </w:tcMar>
          </w:tcPr>
          <w:p w14:paraId="2BE07A38" w14:textId="777C0E29" w:rsidR="00106BCC" w:rsidRPr="00F603D7" w:rsidRDefault="00106BCC" w:rsidP="00440D2A">
            <w:pPr>
              <w:spacing w:after="200"/>
              <w:rPr>
                <w:spacing w:val="-4"/>
                <w:szCs w:val="20"/>
              </w:rPr>
            </w:pPr>
            <w:r w:rsidRPr="20D21749">
              <w:rPr>
                <w:color w:val="0D0D0D" w:themeColor="text1" w:themeTint="F2"/>
                <w:spacing w:val="-4"/>
              </w:rPr>
              <w:t xml:space="preserve">Celý sektor vládních institucí (VI) </w:t>
            </w:r>
            <w:r w:rsidRPr="20D21749">
              <w:rPr>
                <w:spacing w:val="-4"/>
              </w:rPr>
              <w:t>hospodařil v 1. čtvrtletí 2023</w:t>
            </w:r>
            <w:r w:rsidRPr="00F603D7">
              <w:rPr>
                <w:rStyle w:val="Znakapoznpodarou"/>
                <w:color w:val="0D0D0D" w:themeColor="text1" w:themeTint="F2"/>
                <w:spacing w:val="-4"/>
              </w:rPr>
              <w:footnoteReference w:id="107"/>
            </w:r>
            <w:r w:rsidR="58FD3BB8" w:rsidRPr="20D21749">
              <w:rPr>
                <w:spacing w:val="-4"/>
              </w:rPr>
              <w:t xml:space="preserve"> s deficitem ve výši </w:t>
            </w:r>
            <w:r w:rsidRPr="20D21749">
              <w:rPr>
                <w:spacing w:val="-4"/>
              </w:rPr>
              <w:t>100,9</w:t>
            </w:r>
            <w:r>
              <w:rPr>
                <w:spacing w:val="-4"/>
                <w:szCs w:val="20"/>
              </w:rPr>
              <w:t> </w:t>
            </w:r>
            <w:r w:rsidRPr="20D21749">
              <w:rPr>
                <w:spacing w:val="-4"/>
              </w:rPr>
              <w:t>mld. korun</w:t>
            </w:r>
            <w:r w:rsidRPr="00F603D7">
              <w:rPr>
                <w:rStyle w:val="Znakapoznpodarou"/>
                <w:color w:val="0D0D0D" w:themeColor="text1" w:themeTint="F2"/>
                <w:spacing w:val="-4"/>
              </w:rPr>
              <w:footnoteReference w:id="108"/>
            </w:r>
            <w:r w:rsidRPr="00F603D7">
              <w:rPr>
                <w:spacing w:val="-4"/>
                <w:szCs w:val="20"/>
              </w:rPr>
              <w:t xml:space="preserve">. </w:t>
            </w:r>
            <w:r w:rsidRPr="20D21749">
              <w:rPr>
                <w:spacing w:val="-4"/>
              </w:rPr>
              <w:t>Schodek se meziročně skoro o polovinu prohloubil a v rámci 1. čtvrtletí</w:t>
            </w:r>
            <w:r w:rsidR="7E2BC7B5" w:rsidRPr="20D21749">
              <w:rPr>
                <w:spacing w:val="-4"/>
              </w:rPr>
              <w:t xml:space="preserve"> šlo o druhý nejvyšší deficit</w:t>
            </w:r>
            <w:r w:rsidRPr="20D21749">
              <w:rPr>
                <w:spacing w:val="-4"/>
              </w:rPr>
              <w:t xml:space="preserve"> v novodobé historii ČR (po roce 2021, kdy vrcholila pandemie). Citelné meziroční zvýšení deficitu souviselo s růstem výdajů (na 16 %), do nichž se promítal</w:t>
            </w:r>
            <w:r w:rsidR="58FD3BB8" w:rsidRPr="20D21749">
              <w:rPr>
                <w:spacing w:val="-4"/>
              </w:rPr>
              <w:t>o</w:t>
            </w:r>
            <w:r w:rsidRPr="20D21749">
              <w:rPr>
                <w:spacing w:val="-4"/>
              </w:rPr>
              <w:t xml:space="preserve"> řešení energetické krize i další, zejména mandatorní závazky. Prohloubení schodku šlo takřka výhradně za ústředními vládními institucemi (které dosáhly deficitu 137</w:t>
            </w:r>
            <w:r w:rsidR="58FD3BB8">
              <w:rPr>
                <w:spacing w:val="-4"/>
                <w:szCs w:val="20"/>
              </w:rPr>
              <w:t> </w:t>
            </w:r>
            <w:r w:rsidRPr="20D21749">
              <w:rPr>
                <w:spacing w:val="-4"/>
              </w:rPr>
              <w:t>mld. korun), naopak místní vládní instituce vykázaly přebytek 35 mld. (meziročně vyšší o 30 mld.) a mírně kladné saldo hospodaření si udržely i</w:t>
            </w:r>
            <w:r>
              <w:rPr>
                <w:spacing w:val="-4"/>
                <w:szCs w:val="20"/>
              </w:rPr>
              <w:t> </w:t>
            </w:r>
            <w:r w:rsidRPr="20D21749">
              <w:rPr>
                <w:spacing w:val="-4"/>
              </w:rPr>
              <w:t>zdravotní pojišťovny. Dle sezónně očištěných údajů činil schodek celého sektoru VI 4,2 % HDP, meziročně se prohloubil o</w:t>
            </w:r>
            <w:r w:rsidR="58FD3BB8">
              <w:rPr>
                <w:spacing w:val="-4"/>
                <w:szCs w:val="20"/>
              </w:rPr>
              <w:t> </w:t>
            </w:r>
            <w:r w:rsidRPr="20D21749">
              <w:rPr>
                <w:spacing w:val="-4"/>
              </w:rPr>
              <w:t>1,3</w:t>
            </w:r>
            <w:r w:rsidR="58FD3BB8">
              <w:rPr>
                <w:spacing w:val="-4"/>
                <w:szCs w:val="20"/>
              </w:rPr>
              <w:t> </w:t>
            </w:r>
            <w:r w:rsidRPr="20D21749">
              <w:rPr>
                <w:spacing w:val="-4"/>
              </w:rPr>
              <w:t>p. b., oproti druhému loňskému pololetí lze však pozorovat náznak stabilizace.</w:t>
            </w:r>
          </w:p>
        </w:tc>
      </w:tr>
      <w:tr w:rsidR="00106BCC" w:rsidRPr="004B2C92" w14:paraId="342D9757" w14:textId="77777777" w:rsidTr="20D21749">
        <w:trPr>
          <w:trHeight w:val="145"/>
        </w:trPr>
        <w:tc>
          <w:tcPr>
            <w:tcW w:w="1780" w:type="dxa"/>
            <w:shd w:val="clear" w:color="auto" w:fill="auto"/>
            <w:tcMar>
              <w:left w:w="0" w:type="dxa"/>
            </w:tcMar>
          </w:tcPr>
          <w:p w14:paraId="484EFAEA" w14:textId="77777777" w:rsidR="00106BCC" w:rsidRPr="005B591B" w:rsidRDefault="00106BCC" w:rsidP="006849F8">
            <w:pPr>
              <w:pStyle w:val="Marginlie"/>
            </w:pPr>
            <w:r>
              <w:t>Růst příjmů sektoru VI byl tažen hlavně běžnými daněni z důchodů. Nominální růst výběru daní navázaných na spotřebu zaostával za inflací.</w:t>
            </w:r>
          </w:p>
        </w:tc>
        <w:tc>
          <w:tcPr>
            <w:tcW w:w="219" w:type="dxa"/>
            <w:shd w:val="clear" w:color="auto" w:fill="auto"/>
            <w:tcMar>
              <w:left w:w="0" w:type="dxa"/>
            </w:tcMar>
          </w:tcPr>
          <w:p w14:paraId="18FCC9D0" w14:textId="77777777" w:rsidR="00106BCC" w:rsidRDefault="00106BCC" w:rsidP="006849F8">
            <w:pPr>
              <w:pStyle w:val="Textpoznpodarou"/>
              <w:jc w:val="both"/>
              <w:rPr>
                <w:spacing w:val="-4"/>
              </w:rPr>
            </w:pPr>
          </w:p>
        </w:tc>
        <w:tc>
          <w:tcPr>
            <w:tcW w:w="7670" w:type="dxa"/>
            <w:shd w:val="clear" w:color="auto" w:fill="auto"/>
            <w:tcMar>
              <w:left w:w="0" w:type="dxa"/>
            </w:tcMar>
          </w:tcPr>
          <w:p w14:paraId="34D6EC22" w14:textId="77777777" w:rsidR="00106BCC" w:rsidRPr="00F603D7" w:rsidRDefault="00106BCC" w:rsidP="006849F8">
            <w:pPr>
              <w:spacing w:after="200"/>
              <w:rPr>
                <w:spacing w:val="-4"/>
              </w:rPr>
            </w:pPr>
            <w:r w:rsidRPr="00F603D7">
              <w:rPr>
                <w:spacing w:val="-4"/>
                <w:szCs w:val="20"/>
              </w:rPr>
              <w:t>K meziročnímu růstu příjmů sektoru VI (+78,0 mld. korun) přispěly v 1. čtvrtletí nejvíce</w:t>
            </w:r>
            <w:r w:rsidRPr="00F603D7">
              <w:rPr>
                <w:spacing w:val="-4"/>
              </w:rPr>
              <w:t xml:space="preserve"> běžné daně z důchodů a jmění (+29,0 mld.), přijaté čisté sociální příspěvky (+22,4 mld.) a daně z výroby a dovozu (+14,2 mld.), které byly posílené o mimořádnou položku (daně z</w:t>
            </w:r>
            <w:r>
              <w:rPr>
                <w:spacing w:val="-4"/>
              </w:rPr>
              <w:t> </w:t>
            </w:r>
            <w:r w:rsidRPr="00F603D7">
              <w:rPr>
                <w:spacing w:val="-4"/>
              </w:rPr>
              <w:t>nadměrných zisků). Příspěvek daní navázaných na spotřebu byl slabší, neboť jejich výnos zaostával za inflací. Na růstu celkových výdajů sektoru VI (+109,9 mld. korun) se podílely zejména sociální dávky a naturální sociální transfery (+38,0 mld. korun) a též placené dotace (+30,2 mld. korun), jež zahrnovaly především kompenzace za dodávku elektřiny a</w:t>
            </w:r>
            <w:r>
              <w:rPr>
                <w:spacing w:val="-4"/>
              </w:rPr>
              <w:t> </w:t>
            </w:r>
            <w:r w:rsidRPr="00F603D7">
              <w:rPr>
                <w:spacing w:val="-4"/>
              </w:rPr>
              <w:t>plynu.). Posílil i meziroční růst mezispotřeby (+14,5 mld. korun) a náhrad zaměstnancům (+13,9 mld.). Vysoká úroveň úrokových sazeb dál ovlivňovala přírůstek placených důchodů z vlastnictví (+8,9 mld. korun). Výrazně meziročně nižší byly placené kapitálové transfery (−7,4 mld. korun).</w:t>
            </w:r>
          </w:p>
        </w:tc>
      </w:tr>
      <w:tr w:rsidR="00106BCC" w:rsidRPr="00D52ED2" w14:paraId="47B2814F" w14:textId="77777777" w:rsidTr="20D21749">
        <w:trPr>
          <w:trHeight w:val="145"/>
        </w:trPr>
        <w:tc>
          <w:tcPr>
            <w:tcW w:w="1780" w:type="dxa"/>
            <w:shd w:val="clear" w:color="auto" w:fill="auto"/>
            <w:tcMar>
              <w:left w:w="0" w:type="dxa"/>
            </w:tcMar>
          </w:tcPr>
          <w:p w14:paraId="4C0A7E0E" w14:textId="77777777" w:rsidR="00106BCC" w:rsidRDefault="00106BCC" w:rsidP="006849F8">
            <w:pPr>
              <w:pStyle w:val="Marginlie"/>
            </w:pPr>
          </w:p>
        </w:tc>
        <w:tc>
          <w:tcPr>
            <w:tcW w:w="219" w:type="dxa"/>
            <w:shd w:val="clear" w:color="auto" w:fill="auto"/>
            <w:tcMar>
              <w:left w:w="0" w:type="dxa"/>
            </w:tcMar>
          </w:tcPr>
          <w:p w14:paraId="4992ABAA" w14:textId="77777777" w:rsidR="00106BCC" w:rsidRDefault="00106BCC" w:rsidP="006849F8">
            <w:pPr>
              <w:pStyle w:val="Textpoznpodarou"/>
              <w:jc w:val="both"/>
              <w:rPr>
                <w:spacing w:val="-4"/>
              </w:rPr>
            </w:pPr>
          </w:p>
        </w:tc>
        <w:tc>
          <w:tcPr>
            <w:tcW w:w="7670" w:type="dxa"/>
            <w:shd w:val="clear" w:color="auto" w:fill="auto"/>
            <w:tcMar>
              <w:left w:w="0" w:type="dxa"/>
            </w:tcMar>
          </w:tcPr>
          <w:p w14:paraId="1AD064AA" w14:textId="5D029440" w:rsidR="00106BCC" w:rsidRDefault="00FA2C07" w:rsidP="006849F8">
            <w:pPr>
              <w:spacing w:after="40"/>
              <w:rPr>
                <w:color w:val="0D0D0D" w:themeColor="text1" w:themeTint="F2"/>
                <w:spacing w:val="-4"/>
              </w:rPr>
            </w:pPr>
            <w:r>
              <w:rPr>
                <w:b/>
                <w:spacing w:val="-2"/>
              </w:rPr>
              <w:t>Graf č. 19</w:t>
            </w:r>
            <w:r w:rsidR="00106BCC" w:rsidRPr="00C4556A">
              <w:rPr>
                <w:b/>
                <w:spacing w:val="-2"/>
              </w:rPr>
              <w:t xml:space="preserve"> </w:t>
            </w:r>
            <w:r w:rsidR="00106BCC" w:rsidRPr="00C4556A">
              <w:rPr>
                <w:rFonts w:cs="Arial"/>
                <w:b/>
                <w:bCs/>
                <w:spacing w:val="-2"/>
              </w:rPr>
              <w:t>Saldo hospodaření</w:t>
            </w:r>
            <w:r w:rsidR="00106BCC">
              <w:rPr>
                <w:rFonts w:cs="Arial"/>
                <w:b/>
                <w:bCs/>
                <w:spacing w:val="-2"/>
              </w:rPr>
              <w:t xml:space="preserve"> </w:t>
            </w:r>
            <w:r w:rsidR="00106BCC" w:rsidRPr="00C4556A">
              <w:rPr>
                <w:rFonts w:cs="Arial"/>
                <w:b/>
                <w:bCs/>
                <w:spacing w:val="-2"/>
              </w:rPr>
              <w:t xml:space="preserve">sektoru vládních </w:t>
            </w:r>
            <w:r w:rsidR="00106BCC">
              <w:rPr>
                <w:rFonts w:cs="Arial"/>
                <w:b/>
                <w:bCs/>
                <w:spacing w:val="-2"/>
              </w:rPr>
              <w:t>institucí v Česku, EU a v jejích vybraných členských státech</w:t>
            </w:r>
            <w:r w:rsidR="00106BCC" w:rsidRPr="00C4556A">
              <w:rPr>
                <w:rFonts w:cs="Arial"/>
                <w:b/>
                <w:bCs/>
                <w:spacing w:val="-2"/>
              </w:rPr>
              <w:t xml:space="preserve"> </w:t>
            </w:r>
            <w:r w:rsidR="00106BCC" w:rsidRPr="00C4556A">
              <w:rPr>
                <w:rFonts w:cs="Arial"/>
                <w:bCs/>
                <w:spacing w:val="-2"/>
              </w:rPr>
              <w:t>(</w:t>
            </w:r>
            <w:r w:rsidR="00106BCC">
              <w:rPr>
                <w:rFonts w:cs="Arial"/>
                <w:bCs/>
                <w:spacing w:val="-2"/>
              </w:rPr>
              <w:t>jednotlivá čtvrtletí, sezónně očištěno, v % HDP)</w:t>
            </w:r>
          </w:p>
        </w:tc>
      </w:tr>
      <w:tr w:rsidR="00106BCC" w:rsidRPr="00D52ED2" w14:paraId="672FCC20" w14:textId="77777777" w:rsidTr="20D21749">
        <w:tblPrEx>
          <w:tblCellMar>
            <w:left w:w="70" w:type="dxa"/>
            <w:right w:w="70" w:type="dxa"/>
          </w:tblCellMar>
        </w:tblPrEx>
        <w:trPr>
          <w:trHeight w:val="145"/>
        </w:trPr>
        <w:tc>
          <w:tcPr>
            <w:tcW w:w="1780" w:type="dxa"/>
            <w:shd w:val="clear" w:color="auto" w:fill="auto"/>
          </w:tcPr>
          <w:p w14:paraId="26178C57" w14:textId="77777777" w:rsidR="00106BCC" w:rsidRDefault="00106BCC" w:rsidP="006849F8">
            <w:pPr>
              <w:pStyle w:val="Marginlie"/>
            </w:pPr>
          </w:p>
        </w:tc>
        <w:tc>
          <w:tcPr>
            <w:tcW w:w="219" w:type="dxa"/>
            <w:shd w:val="clear" w:color="auto" w:fill="auto"/>
          </w:tcPr>
          <w:p w14:paraId="706FBADF" w14:textId="77777777" w:rsidR="00106BCC" w:rsidRDefault="00106BCC" w:rsidP="006849F8">
            <w:pPr>
              <w:pStyle w:val="Textpoznpodarou"/>
              <w:jc w:val="both"/>
              <w:rPr>
                <w:spacing w:val="-4"/>
              </w:rPr>
            </w:pPr>
          </w:p>
        </w:tc>
        <w:tc>
          <w:tcPr>
            <w:tcW w:w="7670" w:type="dxa"/>
            <w:shd w:val="clear" w:color="auto" w:fill="auto"/>
          </w:tcPr>
          <w:p w14:paraId="0960F1FA" w14:textId="77777777" w:rsidR="00106BCC" w:rsidRPr="00C4556A" w:rsidRDefault="00106BCC" w:rsidP="006849F8">
            <w:pPr>
              <w:spacing w:after="0"/>
              <w:rPr>
                <w:b/>
                <w:spacing w:val="-2"/>
              </w:rPr>
            </w:pPr>
            <w:r>
              <w:rPr>
                <w:noProof/>
              </w:rPr>
              <w:drawing>
                <wp:inline distT="0" distB="0" distL="0" distR="0" wp14:anchorId="26A7FEF6" wp14:editId="6E14597D">
                  <wp:extent cx="4719955" cy="3180522"/>
                  <wp:effectExtent l="0" t="0" r="4445" b="127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E159C6" w:rsidRPr="00D52ED2" w14:paraId="50F3D703" w14:textId="77777777" w:rsidTr="20D21749">
        <w:trPr>
          <w:trHeight w:val="145"/>
        </w:trPr>
        <w:tc>
          <w:tcPr>
            <w:tcW w:w="1780" w:type="dxa"/>
            <w:shd w:val="clear" w:color="auto" w:fill="auto"/>
            <w:tcMar>
              <w:left w:w="0" w:type="dxa"/>
            </w:tcMar>
          </w:tcPr>
          <w:p w14:paraId="76795970" w14:textId="77777777" w:rsidR="00E159C6" w:rsidRDefault="00E159C6" w:rsidP="00E159C6">
            <w:pPr>
              <w:pStyle w:val="Marginlie"/>
            </w:pPr>
          </w:p>
        </w:tc>
        <w:tc>
          <w:tcPr>
            <w:tcW w:w="219" w:type="dxa"/>
            <w:shd w:val="clear" w:color="auto" w:fill="auto"/>
            <w:tcMar>
              <w:left w:w="0" w:type="dxa"/>
            </w:tcMar>
          </w:tcPr>
          <w:p w14:paraId="28691F17" w14:textId="77777777" w:rsidR="00E159C6" w:rsidRDefault="00E159C6" w:rsidP="00E159C6">
            <w:pPr>
              <w:pStyle w:val="Textpoznpodarou"/>
              <w:jc w:val="both"/>
              <w:rPr>
                <w:spacing w:val="-4"/>
              </w:rPr>
            </w:pPr>
          </w:p>
        </w:tc>
        <w:tc>
          <w:tcPr>
            <w:tcW w:w="7670" w:type="dxa"/>
            <w:shd w:val="clear" w:color="auto" w:fill="auto"/>
            <w:tcMar>
              <w:left w:w="0" w:type="dxa"/>
            </w:tcMar>
          </w:tcPr>
          <w:p w14:paraId="63DA8381" w14:textId="43CF1C3E" w:rsidR="00E159C6" w:rsidRDefault="00E159C6" w:rsidP="00E159C6">
            <w:pPr>
              <w:spacing w:after="200"/>
              <w:rPr>
                <w:spacing w:val="-4"/>
                <w:sz w:val="14"/>
                <w:szCs w:val="14"/>
              </w:rPr>
            </w:pPr>
            <w:r>
              <w:rPr>
                <w:spacing w:val="-4"/>
                <w:sz w:val="14"/>
                <w:szCs w:val="14"/>
              </w:rPr>
              <w:t>Zdroj: Eurostat</w:t>
            </w:r>
          </w:p>
        </w:tc>
      </w:tr>
      <w:tr w:rsidR="00E159C6" w:rsidRPr="00F603D7" w14:paraId="209BEC03" w14:textId="77777777" w:rsidTr="20D21749">
        <w:trPr>
          <w:trHeight w:val="145"/>
        </w:trPr>
        <w:tc>
          <w:tcPr>
            <w:tcW w:w="1780" w:type="dxa"/>
            <w:shd w:val="clear" w:color="auto" w:fill="auto"/>
            <w:tcMar>
              <w:left w:w="0" w:type="dxa"/>
            </w:tcMar>
          </w:tcPr>
          <w:p w14:paraId="6E378F95" w14:textId="77777777" w:rsidR="00E159C6" w:rsidRPr="00E159C6" w:rsidRDefault="00E159C6" w:rsidP="00AC5C92">
            <w:pPr>
              <w:pStyle w:val="Marginlie"/>
              <w:rPr>
                <w:sz w:val="20"/>
                <w:szCs w:val="20"/>
              </w:rPr>
            </w:pPr>
            <w:r w:rsidRPr="00E159C6">
              <w:rPr>
                <w:sz w:val="20"/>
                <w:szCs w:val="20"/>
              </w:rPr>
              <w:t>Míra zadlužení sektoru VI nadále rostla.</w:t>
            </w:r>
          </w:p>
        </w:tc>
        <w:tc>
          <w:tcPr>
            <w:tcW w:w="219" w:type="dxa"/>
            <w:shd w:val="clear" w:color="auto" w:fill="auto"/>
            <w:tcMar>
              <w:left w:w="0" w:type="dxa"/>
            </w:tcMar>
          </w:tcPr>
          <w:p w14:paraId="648C417C" w14:textId="77777777" w:rsidR="00E159C6" w:rsidRDefault="00E159C6" w:rsidP="00AC5C92">
            <w:pPr>
              <w:pStyle w:val="Textpoznpodarou"/>
              <w:jc w:val="both"/>
              <w:rPr>
                <w:spacing w:val="-4"/>
              </w:rPr>
            </w:pPr>
          </w:p>
        </w:tc>
        <w:tc>
          <w:tcPr>
            <w:tcW w:w="7670" w:type="dxa"/>
            <w:shd w:val="clear" w:color="auto" w:fill="auto"/>
            <w:tcMar>
              <w:left w:w="0" w:type="dxa"/>
            </w:tcMar>
          </w:tcPr>
          <w:p w14:paraId="73B923B6" w14:textId="1E40C520" w:rsidR="00E159C6" w:rsidRPr="00607E1D" w:rsidRDefault="00E159C6" w:rsidP="00607E1D">
            <w:pPr>
              <w:spacing w:after="0"/>
              <w:rPr>
                <w:noProof/>
                <w:spacing w:val="-4"/>
                <w:szCs w:val="20"/>
              </w:rPr>
            </w:pPr>
            <w:r w:rsidRPr="00607E1D">
              <w:rPr>
                <w:noProof/>
                <w:spacing w:val="-4"/>
                <w:szCs w:val="20"/>
              </w:rPr>
              <w:t xml:space="preserve">Dluh sektoru vládních institucí v 1. čtvrtletí </w:t>
            </w:r>
            <w:r w:rsidR="00607E1D">
              <w:rPr>
                <w:noProof/>
                <w:spacing w:val="-4"/>
                <w:szCs w:val="20"/>
              </w:rPr>
              <w:t xml:space="preserve">2023 dosáhl 3 099,4 mld. korun </w:t>
            </w:r>
            <w:r w:rsidRPr="00607E1D">
              <w:rPr>
                <w:noProof/>
                <w:spacing w:val="-4"/>
                <w:szCs w:val="20"/>
              </w:rPr>
              <w:t>a meziročně vzrostl o 415,3 mld. Míra zadlužení vládních institucí byla meziročně vyšší o 1,7 p. b. na 44,5 % HDP. K růstu relativního zadlužení přispělo 6,0 p. b. navýšení nominálního dluhu, a</w:t>
            </w:r>
            <w:r w:rsidR="00607E1D">
              <w:rPr>
                <w:noProof/>
                <w:spacing w:val="-4"/>
                <w:szCs w:val="20"/>
              </w:rPr>
              <w:t> </w:t>
            </w:r>
            <w:r w:rsidRPr="00607E1D">
              <w:rPr>
                <w:noProof/>
                <w:spacing w:val="-4"/>
                <w:szCs w:val="20"/>
              </w:rPr>
              <w:t>naopak růst HDP přispěl k poklesu 4,3 p. b.</w:t>
            </w:r>
          </w:p>
        </w:tc>
      </w:tr>
    </w:tbl>
    <w:p w14:paraId="6FD91E5A" w14:textId="70121934" w:rsidR="00106BCC" w:rsidRPr="001C3855" w:rsidRDefault="00106BCC" w:rsidP="00607E1D">
      <w:pPr>
        <w:pStyle w:val="Nadpis11"/>
        <w:rPr>
          <w:sz w:val="2"/>
          <w:szCs w:val="2"/>
        </w:rPr>
      </w:pPr>
    </w:p>
    <w:sectPr w:rsidR="00106BCC" w:rsidRPr="001C3855" w:rsidSect="00A03B10">
      <w:headerReference w:type="even" r:id="rId36"/>
      <w:headerReference w:type="default" r:id="rId37"/>
      <w:footerReference w:type="even" r:id="rId38"/>
      <w:footerReference w:type="default" r:id="rId39"/>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36084" w14:textId="77777777" w:rsidR="00D33297" w:rsidRDefault="00D33297" w:rsidP="00E71A58">
      <w:r>
        <w:separator/>
      </w:r>
    </w:p>
  </w:endnote>
  <w:endnote w:type="continuationSeparator" w:id="0">
    <w:p w14:paraId="00AFBD15" w14:textId="77777777" w:rsidR="00D33297" w:rsidRDefault="00D3329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DA0121" w14:paraId="6989D3A2" w14:textId="77777777" w:rsidTr="7059F910">
      <w:trPr>
        <w:trHeight w:val="300"/>
      </w:trPr>
      <w:tc>
        <w:tcPr>
          <w:tcW w:w="3210" w:type="dxa"/>
        </w:tcPr>
        <w:p w14:paraId="6590D2C6" w14:textId="074A4A49" w:rsidR="00DA0121" w:rsidRDefault="00DA0121" w:rsidP="7059F910">
          <w:pPr>
            <w:pStyle w:val="Zhlav"/>
            <w:ind w:left="-115"/>
          </w:pPr>
        </w:p>
      </w:tc>
      <w:tc>
        <w:tcPr>
          <w:tcW w:w="3210" w:type="dxa"/>
        </w:tcPr>
        <w:p w14:paraId="5B278884" w14:textId="26249C98" w:rsidR="00DA0121" w:rsidRDefault="00DA0121" w:rsidP="7059F910">
          <w:pPr>
            <w:pStyle w:val="Zhlav"/>
            <w:jc w:val="center"/>
          </w:pPr>
        </w:p>
      </w:tc>
      <w:tc>
        <w:tcPr>
          <w:tcW w:w="3210" w:type="dxa"/>
        </w:tcPr>
        <w:p w14:paraId="350DA2AE" w14:textId="68DB72F9" w:rsidR="00DA0121" w:rsidRDefault="00DA0121" w:rsidP="7059F910">
          <w:pPr>
            <w:pStyle w:val="Zhlav"/>
            <w:ind w:right="-115"/>
            <w:jc w:val="right"/>
          </w:pPr>
        </w:p>
      </w:tc>
    </w:tr>
  </w:tbl>
  <w:p w14:paraId="2D671E04" w14:textId="65A29983" w:rsidR="00DA0121" w:rsidRDefault="00DA0121" w:rsidP="7059F9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DA0121" w14:paraId="5BC8A3D5" w14:textId="77777777" w:rsidTr="7059F910">
      <w:trPr>
        <w:trHeight w:val="300"/>
      </w:trPr>
      <w:tc>
        <w:tcPr>
          <w:tcW w:w="3210" w:type="dxa"/>
        </w:tcPr>
        <w:p w14:paraId="4C3FABBA" w14:textId="5B17EC4C" w:rsidR="00DA0121" w:rsidRDefault="00DA0121" w:rsidP="7059F910">
          <w:pPr>
            <w:pStyle w:val="Zhlav"/>
            <w:ind w:left="-115"/>
          </w:pPr>
        </w:p>
      </w:tc>
      <w:tc>
        <w:tcPr>
          <w:tcW w:w="3210" w:type="dxa"/>
        </w:tcPr>
        <w:p w14:paraId="2F6BA66C" w14:textId="3E0E9ADE" w:rsidR="00DA0121" w:rsidRDefault="00DA0121" w:rsidP="7059F910">
          <w:pPr>
            <w:pStyle w:val="Zhlav"/>
            <w:jc w:val="center"/>
          </w:pPr>
        </w:p>
      </w:tc>
      <w:tc>
        <w:tcPr>
          <w:tcW w:w="3210" w:type="dxa"/>
        </w:tcPr>
        <w:p w14:paraId="376513CE" w14:textId="29DADE64" w:rsidR="00DA0121" w:rsidRDefault="00DA0121" w:rsidP="7059F910">
          <w:pPr>
            <w:pStyle w:val="Zhlav"/>
            <w:ind w:right="-115"/>
            <w:jc w:val="right"/>
          </w:pPr>
        </w:p>
      </w:tc>
    </w:tr>
  </w:tbl>
  <w:p w14:paraId="02DCEB25" w14:textId="79ED3BB1" w:rsidR="00DA0121" w:rsidRDefault="00DA0121" w:rsidP="7059F9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45AC0F04" w:rsidR="00DA0121" w:rsidRPr="00932443" w:rsidRDefault="00DA0121"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47B13">
      <w:rPr>
        <w:szCs w:val="16"/>
      </w:rPr>
      <w:t>12</w:t>
    </w:r>
    <w:r w:rsidRPr="00932443">
      <w:rPr>
        <w:szCs w:val="16"/>
      </w:rPr>
      <w:fldChar w:fldCharType="end"/>
    </w:r>
    <w:r w:rsidRPr="00932443">
      <w:rPr>
        <w:szCs w:val="16"/>
      </w:rPr>
      <w:tab/>
    </w:r>
    <w:r>
      <w:rPr>
        <w:szCs w:val="16"/>
      </w:rPr>
      <w:t>1. pololetí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0BB69818" w:rsidR="00DA0121" w:rsidRPr="00932443" w:rsidRDefault="00DA0121" w:rsidP="00FA6CB6">
    <w:pPr>
      <w:pStyle w:val="Zpat"/>
      <w:rPr>
        <w:szCs w:val="16"/>
      </w:rPr>
    </w:pPr>
    <w:r w:rsidRPr="00FA6CB6">
      <w:rPr>
        <w:szCs w:val="16"/>
      </w:rPr>
      <w:tab/>
    </w:r>
    <w:r>
      <w:rPr>
        <w:szCs w:val="16"/>
      </w:rPr>
      <w:t>1. pololetí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47B13">
      <w:rPr>
        <w:rStyle w:val="ZpatChar"/>
        <w:szCs w:val="16"/>
      </w:rPr>
      <w:t>11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DFEB0" w14:textId="77777777" w:rsidR="00D33297" w:rsidRDefault="00D33297" w:rsidP="00A21B4D">
      <w:pPr>
        <w:spacing w:after="0"/>
      </w:pPr>
      <w:r>
        <w:separator/>
      </w:r>
    </w:p>
  </w:footnote>
  <w:footnote w:type="continuationSeparator" w:id="0">
    <w:p w14:paraId="0AD039DE" w14:textId="77777777" w:rsidR="00D33297" w:rsidRDefault="00D33297" w:rsidP="00E71A58">
      <w:r>
        <w:continuationSeparator/>
      </w:r>
    </w:p>
  </w:footnote>
  <w:footnote w:id="1">
    <w:p w14:paraId="0740DBF0" w14:textId="77777777" w:rsidR="00DA0121" w:rsidRDefault="00DA0121" w:rsidP="00BC223A">
      <w:pPr>
        <w:pStyle w:val="Textpoznpodarou"/>
        <w:rPr>
          <w:spacing w:val="-2"/>
          <w:sz w:val="16"/>
          <w:szCs w:val="16"/>
        </w:rPr>
      </w:pPr>
      <w:r>
        <w:rPr>
          <w:rStyle w:val="Znakapoznpodarou"/>
          <w:spacing w:val="-2"/>
          <w:sz w:val="16"/>
          <w:szCs w:val="16"/>
        </w:rPr>
        <w:footnoteRef/>
      </w:r>
      <w:r>
        <w:rPr>
          <w:spacing w:val="-2"/>
          <w:sz w:val="16"/>
          <w:szCs w:val="16"/>
        </w:rPr>
        <w:t xml:space="preserve"> Data o HDP, hrubé přidané hodnotě a jejich složkách jsou vyjádřena ve stálých cenách a v očištění o sezónní a kalendářní vlivy.</w:t>
      </w:r>
    </w:p>
  </w:footnote>
  <w:footnote w:id="2">
    <w:p w14:paraId="5E424833" w14:textId="77777777" w:rsidR="00DA0121" w:rsidRDefault="00DA0121" w:rsidP="00BC223A">
      <w:pPr>
        <w:pStyle w:val="Textpoznpodarou"/>
        <w:rPr>
          <w:sz w:val="16"/>
          <w:szCs w:val="16"/>
        </w:rPr>
      </w:pPr>
      <w:r>
        <w:rPr>
          <w:rStyle w:val="Znakapoznpodarou"/>
          <w:sz w:val="16"/>
          <w:szCs w:val="16"/>
        </w:rPr>
        <w:footnoteRef/>
      </w:r>
      <w:r>
        <w:rPr>
          <w:sz w:val="16"/>
          <w:szCs w:val="16"/>
        </w:rPr>
        <w:t xml:space="preserve"> Podle metodiky čtvrtletních národních účtů (vývoz a dovoz v ocenění FOB/FOB).</w:t>
      </w:r>
    </w:p>
  </w:footnote>
  <w:footnote w:id="3">
    <w:p w14:paraId="2FD8A757" w14:textId="77777777" w:rsidR="00DA0121" w:rsidRDefault="00DA0121" w:rsidP="00BC223A">
      <w:pPr>
        <w:pStyle w:val="Textpoznpodarou"/>
        <w:jc w:val="both"/>
        <w:rPr>
          <w:sz w:val="16"/>
          <w:szCs w:val="16"/>
        </w:rPr>
      </w:pPr>
      <w:r>
        <w:rPr>
          <w:rStyle w:val="Znakapoznpodarou"/>
          <w:spacing w:val="-2"/>
          <w:sz w:val="16"/>
          <w:szCs w:val="16"/>
        </w:rPr>
        <w:footnoteRef/>
      </w:r>
      <w:r>
        <w:rPr>
          <w:spacing w:val="-2"/>
          <w:sz w:val="16"/>
          <w:szCs w:val="16"/>
        </w:rPr>
        <w:t xml:space="preserve"> Údaje o zaměstnanosti jsou uvedeny v pojetí národních účtů a očištěny o sezónní vlivy.</w:t>
      </w:r>
    </w:p>
  </w:footnote>
  <w:footnote w:id="4">
    <w:p w14:paraId="29F53326" w14:textId="77777777" w:rsidR="00DA0121" w:rsidRPr="000348AF" w:rsidRDefault="00DA0121" w:rsidP="007E5149">
      <w:pPr>
        <w:pStyle w:val="Textpoznpodarou"/>
        <w:rPr>
          <w:sz w:val="16"/>
          <w:szCs w:val="16"/>
        </w:rPr>
      </w:pPr>
      <w:r w:rsidRPr="000348AF">
        <w:rPr>
          <w:rStyle w:val="Znakapoznpodarou"/>
          <w:sz w:val="16"/>
          <w:szCs w:val="16"/>
        </w:rPr>
        <w:footnoteRef/>
      </w:r>
      <w:r w:rsidRPr="000348AF">
        <w:rPr>
          <w:sz w:val="16"/>
          <w:szCs w:val="16"/>
        </w:rPr>
        <w:t xml:space="preserve"> Vývoj HDP, hrubé přidané hodnoty a jejich složek je vyjádřen prostřednictvím objemových indexů (tj. očištěn o vliv cen) a po očištění o sezónní a kalendářní vlivy. Údaje jsou platné k</w:t>
      </w:r>
      <w:r>
        <w:rPr>
          <w:sz w:val="16"/>
          <w:szCs w:val="16"/>
        </w:rPr>
        <w:t xml:space="preserve"> 29. 8. </w:t>
      </w:r>
      <w:r w:rsidRPr="000348AF">
        <w:rPr>
          <w:sz w:val="16"/>
          <w:szCs w:val="16"/>
        </w:rPr>
        <w:t>202</w:t>
      </w:r>
      <w:r>
        <w:rPr>
          <w:sz w:val="16"/>
          <w:szCs w:val="16"/>
        </w:rPr>
        <w:t>3</w:t>
      </w:r>
      <w:r w:rsidRPr="000348AF">
        <w:rPr>
          <w:sz w:val="16"/>
          <w:szCs w:val="16"/>
        </w:rPr>
        <w:t>.</w:t>
      </w:r>
    </w:p>
  </w:footnote>
  <w:footnote w:id="5">
    <w:p w14:paraId="3EB80FA6" w14:textId="14E9BA11" w:rsidR="00DA0121" w:rsidRPr="00F51B00" w:rsidRDefault="00DA0121" w:rsidP="007E5149">
      <w:pPr>
        <w:pStyle w:val="Textpoznpodarou"/>
        <w:rPr>
          <w:sz w:val="16"/>
          <w:szCs w:val="16"/>
        </w:rPr>
      </w:pPr>
      <w:r w:rsidRPr="00F51B00">
        <w:rPr>
          <w:rStyle w:val="Znakapoznpodarou"/>
          <w:sz w:val="16"/>
          <w:szCs w:val="16"/>
        </w:rPr>
        <w:footnoteRef/>
      </w:r>
      <w:r w:rsidR="20D21749" w:rsidRPr="00F51B00">
        <w:rPr>
          <w:sz w:val="16"/>
          <w:szCs w:val="16"/>
        </w:rPr>
        <w:t xml:space="preserve"> Data za Lucembursko nebyla dostupná.</w:t>
      </w:r>
    </w:p>
  </w:footnote>
  <w:footnote w:id="6">
    <w:p w14:paraId="363D1ACA" w14:textId="77777777" w:rsidR="00DA0121" w:rsidRDefault="00DA0121" w:rsidP="007E5149">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p>
  </w:footnote>
  <w:footnote w:id="7">
    <w:p w14:paraId="613975CC" w14:textId="77777777" w:rsidR="00DA0121" w:rsidRPr="005F75B1" w:rsidRDefault="00DA0121" w:rsidP="007E5149">
      <w:pPr>
        <w:pStyle w:val="Textpoznpodarou"/>
        <w:rPr>
          <w:sz w:val="16"/>
          <w:szCs w:val="16"/>
        </w:rPr>
      </w:pPr>
      <w:r w:rsidRPr="005F75B1">
        <w:rPr>
          <w:rStyle w:val="Znakapoznpodarou"/>
          <w:sz w:val="16"/>
          <w:szCs w:val="16"/>
        </w:rPr>
        <w:footnoteRef/>
      </w:r>
      <w:r w:rsidRPr="005F75B1">
        <w:rPr>
          <w:sz w:val="16"/>
          <w:szCs w:val="16"/>
        </w:rPr>
        <w:t xml:space="preserve"> Do reálného vyjádření převedeno s pomocí deflátoru spotřeby domácností.</w:t>
      </w:r>
    </w:p>
  </w:footnote>
  <w:footnote w:id="8">
    <w:p w14:paraId="7468F8B6" w14:textId="77777777" w:rsidR="00DA0121" w:rsidRPr="0053191D" w:rsidRDefault="00DA0121" w:rsidP="007E5149">
      <w:pPr>
        <w:pStyle w:val="Textpoznpodarou"/>
        <w:rPr>
          <w:sz w:val="16"/>
          <w:szCs w:val="16"/>
        </w:rPr>
      </w:pPr>
      <w:r w:rsidRPr="0053191D">
        <w:rPr>
          <w:rStyle w:val="Znakapoznpodarou"/>
          <w:sz w:val="16"/>
          <w:szCs w:val="16"/>
        </w:rPr>
        <w:footnoteRef/>
      </w:r>
      <w:r w:rsidRPr="0053191D">
        <w:rPr>
          <w:sz w:val="16"/>
          <w:szCs w:val="16"/>
        </w:rPr>
        <w:t xml:space="preserve"> Tato sekce zahrnuje činnosti organizací sdružujících osoby za účelem prosazování společných zájmů, opravy počítačů a výrobků pro osobní potřebu a převážně pro domácnost a řadu jiných osobních služeb</w:t>
      </w:r>
      <w:r>
        <w:rPr>
          <w:sz w:val="16"/>
          <w:szCs w:val="16"/>
        </w:rPr>
        <w:t xml:space="preserve"> (kosmetické, kadeřnické apod.).</w:t>
      </w:r>
    </w:p>
  </w:footnote>
  <w:footnote w:id="9">
    <w:p w14:paraId="7A1A43A4" w14:textId="77777777" w:rsidR="00DA0121" w:rsidRPr="009C6EA8" w:rsidRDefault="00DA0121" w:rsidP="007E5149">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10">
    <w:p w14:paraId="5CA1EF93" w14:textId="77777777" w:rsidR="00DA0121" w:rsidRPr="00954992" w:rsidRDefault="00DA0121" w:rsidP="007E5149">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w:t>
      </w:r>
      <w:r>
        <w:rPr>
          <w:sz w:val="16"/>
          <w:szCs w:val="16"/>
        </w:rPr>
        <w:t>.</w:t>
      </w:r>
    </w:p>
  </w:footnote>
  <w:footnote w:id="11">
    <w:p w14:paraId="4B70C420" w14:textId="77777777" w:rsidR="00DA0121" w:rsidRPr="004831F6" w:rsidRDefault="00DA0121" w:rsidP="007E5149">
      <w:pPr>
        <w:pStyle w:val="Textpoznpodarou"/>
        <w:rPr>
          <w:sz w:val="16"/>
          <w:szCs w:val="16"/>
        </w:rPr>
      </w:pPr>
      <w:r w:rsidRPr="004831F6">
        <w:rPr>
          <w:rStyle w:val="Znakapoznpodarou"/>
          <w:sz w:val="16"/>
          <w:szCs w:val="16"/>
        </w:rPr>
        <w:footnoteRef/>
      </w:r>
      <w:r w:rsidRPr="004831F6">
        <w:rPr>
          <w:sz w:val="16"/>
          <w:szCs w:val="16"/>
        </w:rPr>
        <w:t xml:space="preserve"> Změna zásob</w:t>
      </w:r>
      <w:r>
        <w:rPr>
          <w:sz w:val="16"/>
          <w:szCs w:val="16"/>
        </w:rPr>
        <w:t xml:space="preserve"> (v běžných cenách a sezónně neočištěná)</w:t>
      </w:r>
      <w:r w:rsidRPr="004831F6">
        <w:rPr>
          <w:sz w:val="16"/>
          <w:szCs w:val="16"/>
        </w:rPr>
        <w:t xml:space="preserve"> dosáhla</w:t>
      </w:r>
      <w:r>
        <w:rPr>
          <w:sz w:val="16"/>
          <w:szCs w:val="16"/>
        </w:rPr>
        <w:t xml:space="preserve"> loni ve 2. čtvrtletí 108,5 mld. korun. Zásoby se zvyšovaly pod vlivem rostoucích zásob nedokončené produkce a součástek pro průmyslovou výrobu, zásobení plynem i zásob zboží v maloobchodě. V letošním 2. čtvrtletí změna zásob dosáhla 57,1 mld. korun.</w:t>
      </w:r>
    </w:p>
  </w:footnote>
  <w:footnote w:id="12">
    <w:p w14:paraId="4020E4C7" w14:textId="77777777" w:rsidR="00DA0121" w:rsidRPr="00167B30" w:rsidRDefault="00DA0121" w:rsidP="007E5149">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 xml:space="preserve">. Bilance zahraničního obchodu v běžných cenách </w:t>
      </w:r>
      <w:r>
        <w:rPr>
          <w:sz w:val="16"/>
          <w:szCs w:val="16"/>
        </w:rPr>
        <w:br/>
        <w:t>a po sezónním očištění.</w:t>
      </w:r>
    </w:p>
  </w:footnote>
  <w:footnote w:id="13">
    <w:p w14:paraId="48F58860" w14:textId="77777777" w:rsidR="00DA0121" w:rsidRPr="00AC5E0A" w:rsidRDefault="00DA0121" w:rsidP="007E5149">
      <w:pPr>
        <w:pStyle w:val="Textpoznpodarou"/>
        <w:rPr>
          <w:sz w:val="16"/>
          <w:szCs w:val="16"/>
        </w:rPr>
      </w:pPr>
      <w:r w:rsidRPr="00AC5E0A">
        <w:rPr>
          <w:rStyle w:val="Znakapoznpodarou"/>
          <w:sz w:val="16"/>
          <w:szCs w:val="16"/>
        </w:rPr>
        <w:footnoteRef/>
      </w:r>
      <w:r w:rsidRPr="00AC5E0A">
        <w:rPr>
          <w:sz w:val="16"/>
          <w:szCs w:val="16"/>
        </w:rPr>
        <w:t xml:space="preserve"> Výrazný rozdíl mezi dynamikou HDP a HPH byl způsoben vlivem různého ocenění HDP a HPH. Hrubá přidaná hodnota je oceněná </w:t>
      </w:r>
      <w:r>
        <w:rPr>
          <w:sz w:val="16"/>
          <w:szCs w:val="16"/>
        </w:rPr>
        <w:br/>
      </w:r>
      <w:r w:rsidRPr="00AC5E0A">
        <w:rPr>
          <w:sz w:val="16"/>
          <w:szCs w:val="16"/>
        </w:rPr>
        <w:t>v základních cenách, zatímco HDP je vyjádřen ve skutečných cenách. Aktuálně se v těchto rozdílech projevují dotace zachycující stropy cen elektřiny. Ty byly ve 2. kvartálu meziročně vyšší (takže meziroční růst HDP ve srovnání s HPH tlumily), ale mezičtvrtletně jejich objem klesl (a s tím dynamika HDP předběhla HPH). K meziročnímu rozdílu mezi HDP a HPH také přispívaly v souvislosti s propadající se spotřebou klesající daňové výnosy.</w:t>
      </w:r>
    </w:p>
  </w:footnote>
  <w:footnote w:id="14">
    <w:p w14:paraId="0A6874CF" w14:textId="77777777" w:rsidR="00D27F07" w:rsidRPr="00A61085" w:rsidRDefault="00D27F07" w:rsidP="00D27F07">
      <w:pPr>
        <w:pStyle w:val="Textpoznpodarou"/>
        <w:rPr>
          <w:sz w:val="16"/>
          <w:szCs w:val="16"/>
        </w:rPr>
      </w:pPr>
      <w:r w:rsidRPr="00A61085">
        <w:rPr>
          <w:rStyle w:val="Znakapoznpodarou"/>
          <w:sz w:val="16"/>
          <w:szCs w:val="16"/>
        </w:rPr>
        <w:footnoteRef/>
      </w:r>
      <w:r w:rsidRPr="00A61085">
        <w:rPr>
          <w:sz w:val="16"/>
          <w:szCs w:val="16"/>
        </w:rPr>
        <w:t xml:space="preserve"> </w:t>
      </w:r>
      <w:r w:rsidRPr="00A61085">
        <w:rPr>
          <w:color w:val="0D0D0D" w:themeColor="text1" w:themeTint="F2"/>
          <w:sz w:val="16"/>
          <w:szCs w:val="16"/>
        </w:rPr>
        <w:t xml:space="preserve">Výkon všech odvětví ekonomiky </w:t>
      </w:r>
      <w:r>
        <w:rPr>
          <w:color w:val="0D0D0D" w:themeColor="text1" w:themeTint="F2"/>
          <w:sz w:val="16"/>
          <w:szCs w:val="16"/>
        </w:rPr>
        <w:t xml:space="preserve">letos </w:t>
      </w:r>
      <w:r w:rsidRPr="00A61085">
        <w:rPr>
          <w:color w:val="0D0D0D" w:themeColor="text1" w:themeTint="F2"/>
          <w:sz w:val="16"/>
          <w:szCs w:val="16"/>
        </w:rPr>
        <w:t>odpovídal vrcholu z konjunktury minulé dekády (4. čtvrtletí 2019).</w:t>
      </w:r>
    </w:p>
  </w:footnote>
  <w:footnote w:id="15">
    <w:p w14:paraId="6455E01F" w14:textId="77777777" w:rsidR="00D27F07" w:rsidRPr="00FB58F4" w:rsidRDefault="00D27F07" w:rsidP="00D27F07">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16">
    <w:p w14:paraId="4D83E492" w14:textId="77777777" w:rsidR="00D27F07" w:rsidRPr="00DF51C6" w:rsidRDefault="00D27F07" w:rsidP="00D27F07">
      <w:pPr>
        <w:pStyle w:val="paragraph"/>
        <w:spacing w:before="0" w:beforeAutospacing="0" w:after="0" w:afterAutospacing="0"/>
        <w:jc w:val="both"/>
        <w:textAlignment w:val="baseline"/>
        <w:rPr>
          <w:rFonts w:ascii="Arial" w:hAnsi="Arial" w:cs="Arial"/>
          <w:sz w:val="16"/>
          <w:szCs w:val="16"/>
        </w:rPr>
      </w:pPr>
      <w:r w:rsidRPr="00DF51C6">
        <w:rPr>
          <w:rStyle w:val="Znakapoznpodarou"/>
          <w:rFonts w:ascii="Arial" w:hAnsi="Arial" w:cs="Arial"/>
          <w:sz w:val="16"/>
          <w:szCs w:val="16"/>
        </w:rPr>
        <w:footnoteRef/>
      </w:r>
      <w:r w:rsidRPr="00DF51C6">
        <w:rPr>
          <w:rFonts w:ascii="Arial" w:hAnsi="Arial" w:cs="Arial"/>
          <w:sz w:val="16"/>
          <w:szCs w:val="16"/>
        </w:rPr>
        <w:t xml:space="preserve"> </w:t>
      </w:r>
      <w:r w:rsidRPr="00DF51C6">
        <w:rPr>
          <w:rStyle w:val="normaltextrun"/>
          <w:rFonts w:ascii="Arial" w:eastAsia="MS Gothic" w:hAnsi="Arial" w:cs="Arial"/>
          <w:sz w:val="16"/>
          <w:szCs w:val="16"/>
        </w:rPr>
        <w:t>Ten souvisel s nízkými cenami jatečních prasat v roce 2021 a následným omez</w:t>
      </w:r>
      <w:r>
        <w:rPr>
          <w:rStyle w:val="normaltextrun"/>
          <w:rFonts w:ascii="Arial" w:eastAsia="MS Gothic" w:hAnsi="Arial" w:cs="Arial"/>
          <w:sz w:val="16"/>
          <w:szCs w:val="16"/>
        </w:rPr>
        <w:t xml:space="preserve">ováním chovů. I přes silný </w:t>
      </w:r>
      <w:r w:rsidRPr="00DF51C6">
        <w:rPr>
          <w:rStyle w:val="normaltextrun"/>
          <w:rFonts w:ascii="Arial" w:eastAsia="MS Gothic" w:hAnsi="Arial" w:cs="Arial"/>
          <w:sz w:val="16"/>
          <w:szCs w:val="16"/>
        </w:rPr>
        <w:t xml:space="preserve">meziroční růst dovozů zvířat k porážce </w:t>
      </w:r>
      <w:r>
        <w:rPr>
          <w:rStyle w:val="normaltextrun"/>
          <w:rFonts w:ascii="Arial" w:eastAsia="MS Gothic" w:hAnsi="Arial" w:cs="Arial"/>
          <w:sz w:val="16"/>
          <w:szCs w:val="16"/>
        </w:rPr>
        <w:t xml:space="preserve">(objemově ale málo významných) </w:t>
      </w:r>
      <w:r w:rsidRPr="00DF51C6">
        <w:rPr>
          <w:rStyle w:val="normaltextrun"/>
          <w:rFonts w:ascii="Arial" w:eastAsia="MS Gothic" w:hAnsi="Arial" w:cs="Arial"/>
          <w:sz w:val="16"/>
          <w:szCs w:val="16"/>
        </w:rPr>
        <w:t>kleslo v letošním 2. čtvrtletí množství vyrobeného vepřového masa na jatkách v ČR poprvé v historii pod 50 tis. tun. Vlivem nárůstu výkupních cen j</w:t>
      </w:r>
      <w:r>
        <w:rPr>
          <w:rStyle w:val="normaltextrun"/>
          <w:rFonts w:ascii="Arial" w:eastAsia="MS Gothic" w:hAnsi="Arial" w:cs="Arial"/>
          <w:sz w:val="16"/>
          <w:szCs w:val="16"/>
        </w:rPr>
        <w:t>atečních prasat od loňského jara</w:t>
      </w:r>
      <w:r w:rsidRPr="00DF51C6">
        <w:rPr>
          <w:rStyle w:val="normaltextrun"/>
          <w:rFonts w:ascii="Arial" w:eastAsia="MS Gothic" w:hAnsi="Arial" w:cs="Arial"/>
          <w:sz w:val="16"/>
          <w:szCs w:val="16"/>
        </w:rPr>
        <w:t xml:space="preserve"> došlo postupně k ustálení stavů prasnic </w:t>
      </w:r>
      <w:r>
        <w:rPr>
          <w:rStyle w:val="normaltextrun"/>
          <w:rFonts w:ascii="Arial" w:eastAsia="MS Gothic" w:hAnsi="Arial" w:cs="Arial"/>
          <w:sz w:val="16"/>
          <w:szCs w:val="16"/>
        </w:rPr>
        <w:br/>
      </w:r>
      <w:r w:rsidRPr="00DF51C6">
        <w:rPr>
          <w:rStyle w:val="normaltextrun"/>
          <w:rFonts w:ascii="Arial" w:eastAsia="MS Gothic" w:hAnsi="Arial" w:cs="Arial"/>
          <w:sz w:val="16"/>
          <w:szCs w:val="16"/>
        </w:rPr>
        <w:t xml:space="preserve">i omezení vývozu selat, což dává v </w:t>
      </w:r>
      <w:r>
        <w:rPr>
          <w:rStyle w:val="normaltextrun"/>
          <w:rFonts w:ascii="Arial" w:eastAsia="MS Gothic" w:hAnsi="Arial" w:cs="Arial"/>
          <w:sz w:val="16"/>
          <w:szCs w:val="16"/>
        </w:rPr>
        <w:t>blízké budoucnosti předpoklad pro</w:t>
      </w:r>
      <w:r w:rsidRPr="00DF51C6">
        <w:rPr>
          <w:rStyle w:val="normaltextrun"/>
          <w:rFonts w:ascii="Arial" w:eastAsia="MS Gothic" w:hAnsi="Arial" w:cs="Arial"/>
          <w:sz w:val="16"/>
          <w:szCs w:val="16"/>
        </w:rPr>
        <w:t xml:space="preserve"> stabilizaci úrovně tuzemské produkce vepřového masa.</w:t>
      </w:r>
    </w:p>
  </w:footnote>
  <w:footnote w:id="17">
    <w:p w14:paraId="57E490AD" w14:textId="77777777" w:rsidR="00D27F07" w:rsidRPr="00125BAD" w:rsidRDefault="00D27F07" w:rsidP="00D27F07">
      <w:pPr>
        <w:pStyle w:val="Textpoznpodarou"/>
        <w:rPr>
          <w:spacing w:val="-2"/>
          <w:sz w:val="16"/>
          <w:szCs w:val="16"/>
        </w:rPr>
      </w:pPr>
      <w:r w:rsidRPr="00125BAD">
        <w:rPr>
          <w:rStyle w:val="Znakapoznpodarou"/>
          <w:spacing w:val="-2"/>
          <w:sz w:val="16"/>
          <w:szCs w:val="16"/>
        </w:rPr>
        <w:footnoteRef/>
      </w:r>
      <w:r w:rsidRPr="00125BAD">
        <w:rPr>
          <w:spacing w:val="-2"/>
          <w:sz w:val="16"/>
          <w:szCs w:val="16"/>
        </w:rPr>
        <w:t xml:space="preserve"> </w:t>
      </w:r>
      <w:r w:rsidRPr="00125BAD">
        <w:rPr>
          <w:rStyle w:val="normaltextrun"/>
          <w:rFonts w:cs="Arial"/>
          <w:color w:val="000000"/>
          <w:spacing w:val="-2"/>
          <w:sz w:val="16"/>
          <w:szCs w:val="16"/>
        </w:rPr>
        <w:t xml:space="preserve">Oproti 1. odhadu ČSÚ (k 10.6) došlo u drtivé většiny základních obilovin k mírnému navýšení očekávané sklizně (celkem </w:t>
      </w:r>
      <w:r w:rsidRPr="00125BAD">
        <w:rPr>
          <w:rStyle w:val="normaltextrun"/>
          <w:rFonts w:cs="Arial"/>
          <w:sz w:val="16"/>
          <w:szCs w:val="16"/>
        </w:rPr>
        <w:t>o 415 tis. tun, resp. rovných +6,0 %).</w:t>
      </w:r>
    </w:p>
  </w:footnote>
  <w:footnote w:id="18">
    <w:p w14:paraId="768F1C4E" w14:textId="77777777" w:rsidR="00D27F07" w:rsidRPr="009D228C" w:rsidRDefault="00D27F07" w:rsidP="00D27F07">
      <w:pPr>
        <w:pStyle w:val="paragraph"/>
        <w:spacing w:before="0" w:beforeAutospacing="0" w:after="0" w:afterAutospacing="0"/>
        <w:jc w:val="both"/>
        <w:textAlignment w:val="baseline"/>
        <w:rPr>
          <w:rFonts w:ascii="Arial" w:hAnsi="Arial" w:cs="Arial"/>
          <w:sz w:val="16"/>
          <w:szCs w:val="16"/>
        </w:rPr>
      </w:pPr>
      <w:r w:rsidRPr="009D228C">
        <w:rPr>
          <w:rStyle w:val="Znakapoznpodarou"/>
          <w:rFonts w:ascii="Arial" w:hAnsi="Arial" w:cs="Arial"/>
          <w:sz w:val="16"/>
          <w:szCs w:val="16"/>
        </w:rPr>
        <w:footnoteRef/>
      </w:r>
      <w:r w:rsidRPr="009D228C">
        <w:rPr>
          <w:rFonts w:ascii="Arial" w:hAnsi="Arial" w:cs="Arial"/>
          <w:sz w:val="16"/>
          <w:szCs w:val="16"/>
        </w:rPr>
        <w:t xml:space="preserve"> </w:t>
      </w:r>
      <w:r w:rsidRPr="009D228C">
        <w:rPr>
          <w:rStyle w:val="normaltextrun"/>
          <w:rFonts w:ascii="Arial" w:eastAsia="MS Gothic" w:hAnsi="Arial" w:cs="Arial"/>
          <w:sz w:val="16"/>
          <w:szCs w:val="16"/>
        </w:rPr>
        <w:t>Předpokládaná úroda dalších olejnin (mimo řepk</w:t>
      </w:r>
      <w:r>
        <w:rPr>
          <w:rStyle w:val="normaltextrun"/>
          <w:rFonts w:ascii="Arial" w:eastAsia="MS Gothic" w:hAnsi="Arial" w:cs="Arial"/>
          <w:sz w:val="16"/>
          <w:szCs w:val="16"/>
        </w:rPr>
        <w:t>u</w:t>
      </w:r>
      <w:r w:rsidRPr="009D228C">
        <w:rPr>
          <w:rStyle w:val="normaltextrun"/>
          <w:rFonts w:ascii="Arial" w:eastAsia="MS Gothic" w:hAnsi="Arial" w:cs="Arial"/>
          <w:sz w:val="16"/>
          <w:szCs w:val="16"/>
        </w:rPr>
        <w:t xml:space="preserve">) je meziročně nižší. Slunečnice se sklidí 50 tis. tun (−16,2 %) a sóji 60 tis. tun (−8,0 %). Očekávaná úroda okopanin je zejména kvůli poklesu hektarových výnosů meziročně slabší. Brambor se sklidí 522 tis. tun, </w:t>
      </w:r>
      <w:r>
        <w:rPr>
          <w:rStyle w:val="normaltextrun"/>
          <w:rFonts w:ascii="Arial" w:eastAsia="MS Gothic" w:hAnsi="Arial" w:cs="Arial"/>
          <w:sz w:val="16"/>
          <w:szCs w:val="16"/>
        </w:rPr>
        <w:br/>
      </w:r>
      <w:r w:rsidRPr="009D228C">
        <w:rPr>
          <w:rStyle w:val="normaltextrun"/>
          <w:rFonts w:ascii="Arial" w:eastAsia="MS Gothic" w:hAnsi="Arial" w:cs="Arial"/>
          <w:sz w:val="16"/>
          <w:szCs w:val="16"/>
        </w:rPr>
        <w:t>o pětinu méně v meziročním srovnání (−20,3 %) i ve srovnání s průměrem sklizní za posledních pět let (−19,2 %). Řepy cukrové by se mohlo sklidit 3,635 milionu tun (meziročně −10,4 %; srovnání s pětiletým průměrem −5,6 %).</w:t>
      </w:r>
      <w:r w:rsidRPr="009D228C">
        <w:rPr>
          <w:rStyle w:val="eop"/>
          <w:rFonts w:ascii="Arial" w:eastAsia="MS Gothic" w:hAnsi="Arial" w:cs="Arial"/>
          <w:sz w:val="16"/>
          <w:szCs w:val="16"/>
        </w:rPr>
        <w:t xml:space="preserve"> </w:t>
      </w:r>
      <w:r w:rsidRPr="009D228C">
        <w:rPr>
          <w:rStyle w:val="normaltextrun"/>
          <w:rFonts w:ascii="Arial" w:eastAsia="MS Gothic" w:hAnsi="Arial" w:cs="Arial"/>
          <w:sz w:val="16"/>
          <w:szCs w:val="16"/>
        </w:rPr>
        <w:t>Odhaduje se také meziročně nižší sklizeň pícnin, kukuřice na zeleno se sklidí 6,308 milionu tun (−17,2 %) a vojtěšky 395 tis. tun (−24,7 %).</w:t>
      </w:r>
      <w:r w:rsidRPr="009D228C">
        <w:rPr>
          <w:rStyle w:val="eop"/>
          <w:rFonts w:ascii="Arial" w:hAnsi="Arial" w:cs="Arial"/>
          <w:sz w:val="16"/>
          <w:szCs w:val="16"/>
        </w:rPr>
        <w:t> </w:t>
      </w:r>
    </w:p>
  </w:footnote>
  <w:footnote w:id="19">
    <w:p w14:paraId="6B3DC5E8" w14:textId="77777777" w:rsidR="00D27F07" w:rsidRPr="00D55FC9" w:rsidRDefault="00D27F07" w:rsidP="00D27F07">
      <w:pPr>
        <w:pStyle w:val="Textpoznpodarou"/>
        <w:rPr>
          <w:spacing w:val="-3"/>
          <w:sz w:val="16"/>
          <w:szCs w:val="16"/>
        </w:rPr>
      </w:pPr>
      <w:r w:rsidRPr="00D55FC9">
        <w:rPr>
          <w:rStyle w:val="Znakapoznpodarou"/>
          <w:spacing w:val="-3"/>
          <w:sz w:val="16"/>
          <w:szCs w:val="16"/>
        </w:rPr>
        <w:footnoteRef/>
      </w:r>
      <w:r w:rsidRPr="00D55FC9">
        <w:rPr>
          <w:spacing w:val="-3"/>
          <w:sz w:val="16"/>
          <w:szCs w:val="16"/>
        </w:rPr>
        <w:t xml:space="preserve"> V 1. čtvrtletí 2023 vzrostl objem fixních investic meziročně o 0,8 %, z toho v samotném 2. čtvrtletí o 2,5 % a mezikvartálně dokonce o 3,4 %. </w:t>
      </w:r>
    </w:p>
  </w:footnote>
  <w:footnote w:id="20">
    <w:p w14:paraId="3BDE52F0" w14:textId="77777777" w:rsidR="00D27F07" w:rsidRPr="008C2F46" w:rsidRDefault="00D27F07" w:rsidP="00D27F07">
      <w:pPr>
        <w:spacing w:after="0" w:line="240" w:lineRule="auto"/>
        <w:rPr>
          <w:rFonts w:cs="Arial"/>
          <w:color w:val="0D0D0D" w:themeColor="text1" w:themeTint="F2"/>
          <w:spacing w:val="-4"/>
          <w:sz w:val="16"/>
          <w:szCs w:val="16"/>
        </w:rPr>
      </w:pPr>
      <w:r w:rsidRPr="008C2F46">
        <w:rPr>
          <w:rStyle w:val="Znakapoznpodarou"/>
          <w:spacing w:val="-4"/>
          <w:sz w:val="16"/>
          <w:szCs w:val="16"/>
        </w:rPr>
        <w:footnoteRef/>
      </w:r>
      <w:r w:rsidRPr="008C2F46">
        <w:rPr>
          <w:spacing w:val="-4"/>
          <w:sz w:val="16"/>
          <w:szCs w:val="16"/>
        </w:rPr>
        <w:t xml:space="preserve"> </w:t>
      </w:r>
      <w:r w:rsidRPr="008C2F46">
        <w:rPr>
          <w:rFonts w:cs="Arial"/>
          <w:color w:val="0D0D0D" w:themeColor="text1" w:themeTint="F2"/>
          <w:spacing w:val="-4"/>
          <w:sz w:val="16"/>
          <w:szCs w:val="16"/>
        </w:rPr>
        <w:t>Zahrnuje odvětví těžby a dobývání, zpracovatelského průmyslu a také energetiky (zde pojímané jako odvětví výroby a rozvodu elektřiny, plynu, tepla a klimatizovaného vzduchu). Všechna meziroční tempa produkce jsou očištěna o kalendářní vlivy, mezičtvrtletní tempa i o vliv sezónnosti.</w:t>
      </w:r>
    </w:p>
  </w:footnote>
  <w:footnote w:id="21">
    <w:p w14:paraId="5B208C30" w14:textId="77777777" w:rsidR="00D27F07" w:rsidRPr="00AF5F38" w:rsidRDefault="00D27F07" w:rsidP="00D27F07">
      <w:pPr>
        <w:pStyle w:val="Textpoznpodarou"/>
        <w:rPr>
          <w:sz w:val="16"/>
          <w:szCs w:val="16"/>
        </w:rPr>
      </w:pPr>
      <w:r w:rsidRPr="008C2F46">
        <w:rPr>
          <w:rStyle w:val="Znakapoznpodarou"/>
          <w:sz w:val="16"/>
          <w:szCs w:val="16"/>
        </w:rPr>
        <w:footnoteRef/>
      </w:r>
      <w:r w:rsidRPr="008C2F46">
        <w:rPr>
          <w:sz w:val="16"/>
          <w:szCs w:val="16"/>
        </w:rPr>
        <w:t xml:space="preserve"> Dle Sdružení</w:t>
      </w:r>
      <w:r w:rsidRPr="00033208">
        <w:rPr>
          <w:sz w:val="16"/>
          <w:szCs w:val="16"/>
        </w:rPr>
        <w:t xml:space="preserve"> automobilového pr</w:t>
      </w:r>
      <w:r>
        <w:rPr>
          <w:sz w:val="16"/>
          <w:szCs w:val="16"/>
        </w:rPr>
        <w:t xml:space="preserve">ůmyslu bylo letos </w:t>
      </w:r>
      <w:r w:rsidRPr="00033208">
        <w:rPr>
          <w:sz w:val="16"/>
          <w:szCs w:val="16"/>
        </w:rPr>
        <w:t xml:space="preserve">v Česku </w:t>
      </w:r>
      <w:r>
        <w:rPr>
          <w:sz w:val="16"/>
          <w:szCs w:val="16"/>
        </w:rPr>
        <w:t>v 1. pololetí</w:t>
      </w:r>
      <w:r w:rsidRPr="00033208">
        <w:rPr>
          <w:sz w:val="16"/>
          <w:szCs w:val="16"/>
        </w:rPr>
        <w:t xml:space="preserve"> </w:t>
      </w:r>
      <w:r>
        <w:rPr>
          <w:sz w:val="16"/>
          <w:szCs w:val="16"/>
        </w:rPr>
        <w:t xml:space="preserve">vyrobeno 738 tis. osobních automobilů (nejvíce v tomto období za poslední čtyři roky a pouze o 3 % méně než v rekordním 1. pololetí 2018). Výroba meziročně posílila o 22 %. </w:t>
      </w:r>
      <w:r>
        <w:rPr>
          <w:spacing w:val="-3"/>
          <w:sz w:val="16"/>
          <w:szCs w:val="16"/>
        </w:rPr>
        <w:t xml:space="preserve">Březnová (139 tis.) </w:t>
      </w:r>
      <w:r>
        <w:rPr>
          <w:spacing w:val="-3"/>
          <w:sz w:val="16"/>
          <w:szCs w:val="16"/>
        </w:rPr>
        <w:br/>
        <w:t>a červnová výroba (143 tis.) byla v rámci shodných měsíců dokonce nejvyšší v historii. Na elektrická vozidla (vč. vozů s</w:t>
      </w:r>
      <w:r w:rsidRPr="00E04667">
        <w:rPr>
          <w:spacing w:val="-3"/>
          <w:sz w:val="16"/>
          <w:szCs w:val="16"/>
        </w:rPr>
        <w:t xml:space="preserve"> hybridní</w:t>
      </w:r>
      <w:r>
        <w:rPr>
          <w:spacing w:val="-3"/>
          <w:sz w:val="16"/>
          <w:szCs w:val="16"/>
        </w:rPr>
        <w:t>m</w:t>
      </w:r>
      <w:r w:rsidRPr="00E04667">
        <w:rPr>
          <w:spacing w:val="-3"/>
          <w:sz w:val="16"/>
          <w:szCs w:val="16"/>
        </w:rPr>
        <w:t xml:space="preserve"> pohon</w:t>
      </w:r>
      <w:r>
        <w:rPr>
          <w:spacing w:val="-3"/>
          <w:sz w:val="16"/>
          <w:szCs w:val="16"/>
        </w:rPr>
        <w:t>em)</w:t>
      </w:r>
      <w:r w:rsidRPr="00E04667">
        <w:rPr>
          <w:spacing w:val="-3"/>
          <w:sz w:val="16"/>
          <w:szCs w:val="16"/>
        </w:rPr>
        <w:t xml:space="preserve"> </w:t>
      </w:r>
      <w:r>
        <w:rPr>
          <w:spacing w:val="-3"/>
          <w:sz w:val="16"/>
          <w:szCs w:val="16"/>
        </w:rPr>
        <w:t>připadala</w:t>
      </w:r>
      <w:r w:rsidRPr="00327346">
        <w:rPr>
          <w:spacing w:val="-3"/>
          <w:sz w:val="16"/>
          <w:szCs w:val="16"/>
        </w:rPr>
        <w:t xml:space="preserve"> </w:t>
      </w:r>
      <w:r>
        <w:rPr>
          <w:spacing w:val="-3"/>
          <w:sz w:val="16"/>
          <w:szCs w:val="16"/>
        </w:rPr>
        <w:t>letos v 1. pololetí již více než osmina všech v tuzemsku vyrobených osobních automobilů. Meziročně nižší produkci zaznamenali naopak výrobci ostatních druhů motorových vozidel.</w:t>
      </w:r>
    </w:p>
  </w:footnote>
  <w:footnote w:id="22">
    <w:p w14:paraId="0AAF06D3" w14:textId="77777777" w:rsidR="00D27F07" w:rsidRPr="00BF5830" w:rsidRDefault="00D27F07" w:rsidP="00D27F07">
      <w:pPr>
        <w:pStyle w:val="Textpoznpodarou"/>
        <w:rPr>
          <w:spacing w:val="-2"/>
          <w:sz w:val="16"/>
          <w:szCs w:val="16"/>
        </w:rPr>
      </w:pPr>
      <w:r w:rsidRPr="00BF5830">
        <w:rPr>
          <w:rStyle w:val="Znakapoznpodarou"/>
          <w:spacing w:val="-4"/>
          <w:sz w:val="16"/>
          <w:szCs w:val="16"/>
        </w:rPr>
        <w:footnoteRef/>
      </w:r>
      <w:r w:rsidRPr="00BF5830">
        <w:rPr>
          <w:spacing w:val="-4"/>
          <w:sz w:val="16"/>
          <w:szCs w:val="16"/>
        </w:rPr>
        <w:t xml:space="preserve"> </w:t>
      </w:r>
      <w:r>
        <w:rPr>
          <w:spacing w:val="-4"/>
          <w:sz w:val="16"/>
          <w:szCs w:val="16"/>
        </w:rPr>
        <w:t>Hrubá</w:t>
      </w:r>
      <w:r w:rsidRPr="00BF5830">
        <w:rPr>
          <w:spacing w:val="-4"/>
          <w:sz w:val="16"/>
          <w:szCs w:val="16"/>
        </w:rPr>
        <w:t xml:space="preserve"> tuzemská spotřeba elektřiny se </w:t>
      </w:r>
      <w:r>
        <w:rPr>
          <w:spacing w:val="-4"/>
          <w:sz w:val="16"/>
          <w:szCs w:val="16"/>
        </w:rPr>
        <w:t xml:space="preserve">v 1. pololetí 2023 </w:t>
      </w:r>
      <w:r w:rsidRPr="00BF5830">
        <w:rPr>
          <w:spacing w:val="-4"/>
          <w:sz w:val="16"/>
          <w:szCs w:val="16"/>
        </w:rPr>
        <w:t xml:space="preserve">meziročně snížila </w:t>
      </w:r>
      <w:r>
        <w:rPr>
          <w:spacing w:val="-4"/>
          <w:sz w:val="16"/>
          <w:szCs w:val="16"/>
        </w:rPr>
        <w:t>o 6,4</w:t>
      </w:r>
      <w:r w:rsidRPr="00BF5830">
        <w:rPr>
          <w:spacing w:val="-4"/>
          <w:sz w:val="16"/>
          <w:szCs w:val="16"/>
        </w:rPr>
        <w:t xml:space="preserve"> % a prohloubila svůj pokles z předchozího </w:t>
      </w:r>
      <w:r>
        <w:rPr>
          <w:spacing w:val="-4"/>
          <w:sz w:val="16"/>
          <w:szCs w:val="16"/>
        </w:rPr>
        <w:t>roku (−1,5</w:t>
      </w:r>
      <w:r w:rsidRPr="00BF5830">
        <w:rPr>
          <w:spacing w:val="-4"/>
          <w:sz w:val="16"/>
          <w:szCs w:val="16"/>
        </w:rPr>
        <w:t xml:space="preserve"> %). K úspoře došlo letos </w:t>
      </w:r>
      <w:r w:rsidRPr="00BF5830">
        <w:rPr>
          <w:spacing w:val="-3"/>
          <w:sz w:val="16"/>
          <w:szCs w:val="16"/>
        </w:rPr>
        <w:t xml:space="preserve">u všech hlavních kategorií spotřeby – nejvíce u </w:t>
      </w:r>
      <w:r>
        <w:rPr>
          <w:spacing w:val="-3"/>
          <w:sz w:val="16"/>
          <w:szCs w:val="16"/>
        </w:rPr>
        <w:t xml:space="preserve">maloodběratelů (z řad </w:t>
      </w:r>
      <w:r w:rsidRPr="00BF5830">
        <w:rPr>
          <w:spacing w:val="-3"/>
          <w:sz w:val="16"/>
          <w:szCs w:val="16"/>
        </w:rPr>
        <w:t>podnikatelů</w:t>
      </w:r>
      <w:r>
        <w:rPr>
          <w:spacing w:val="-3"/>
          <w:sz w:val="16"/>
          <w:szCs w:val="16"/>
        </w:rPr>
        <w:t>), a to 5,6 %, nejméně u</w:t>
      </w:r>
      <w:r w:rsidRPr="00BF5830">
        <w:rPr>
          <w:spacing w:val="-4"/>
          <w:sz w:val="16"/>
          <w:szCs w:val="16"/>
        </w:rPr>
        <w:t> </w:t>
      </w:r>
      <w:r w:rsidRPr="00BF5830">
        <w:rPr>
          <w:spacing w:val="-3"/>
          <w:sz w:val="16"/>
          <w:szCs w:val="16"/>
        </w:rPr>
        <w:t>nejvýznamnějších velkoodběratelů</w:t>
      </w:r>
      <w:r>
        <w:rPr>
          <w:spacing w:val="-2"/>
          <w:sz w:val="16"/>
          <w:szCs w:val="16"/>
        </w:rPr>
        <w:t xml:space="preserve"> </w:t>
      </w:r>
      <w:r w:rsidRPr="00BF5830">
        <w:rPr>
          <w:spacing w:val="-4"/>
          <w:sz w:val="16"/>
          <w:szCs w:val="16"/>
        </w:rPr>
        <w:t>(</w:t>
      </w:r>
      <w:r>
        <w:rPr>
          <w:spacing w:val="-4"/>
          <w:sz w:val="16"/>
          <w:szCs w:val="16"/>
        </w:rPr>
        <w:t>−</w:t>
      </w:r>
      <w:r w:rsidRPr="00BF5830">
        <w:rPr>
          <w:spacing w:val="-4"/>
          <w:sz w:val="16"/>
          <w:szCs w:val="16"/>
        </w:rPr>
        <w:t xml:space="preserve">2,2 %). Domácnostem klesla spotřeba o 4,4 % (v 1. pololetí 2022 byl ale propad hlubší – 10,3 %). Citelně, byť mírněji než loni klesla v 1. pololetí i celková spotřeba plynu v ČR – meziročně o 12,3 % (po přepočtu na </w:t>
      </w:r>
      <w:r>
        <w:rPr>
          <w:spacing w:val="-4"/>
          <w:sz w:val="16"/>
          <w:szCs w:val="16"/>
        </w:rPr>
        <w:t xml:space="preserve">dlouhodobý </w:t>
      </w:r>
      <w:r w:rsidRPr="00BF5830">
        <w:rPr>
          <w:spacing w:val="-4"/>
          <w:sz w:val="16"/>
          <w:szCs w:val="16"/>
        </w:rPr>
        <w:t>teplotní normál o 11,7 %). Snížení spotřeby bylo u všech hlavních kategorií odběratelů srovnatelné. Domácnosti odebraly o 12,9 % plynu méně, v první polovině loňského roku činil ale jejich pokles 19,2 %.</w:t>
      </w:r>
    </w:p>
  </w:footnote>
  <w:footnote w:id="23">
    <w:p w14:paraId="77A58A04" w14:textId="77777777" w:rsidR="00D27F07" w:rsidRPr="00513FEA" w:rsidRDefault="00D27F07" w:rsidP="00D27F07">
      <w:pPr>
        <w:pStyle w:val="Textpoznpodarou"/>
        <w:rPr>
          <w:sz w:val="16"/>
          <w:szCs w:val="16"/>
        </w:rPr>
      </w:pPr>
      <w:r w:rsidRPr="00513FEA">
        <w:rPr>
          <w:rStyle w:val="Znakapoznpodarou"/>
          <w:sz w:val="16"/>
          <w:szCs w:val="16"/>
        </w:rPr>
        <w:footnoteRef/>
      </w:r>
      <w:r w:rsidRPr="00513FEA">
        <w:rPr>
          <w:sz w:val="16"/>
          <w:szCs w:val="16"/>
        </w:rPr>
        <w:t xml:space="preserve"> </w:t>
      </w:r>
      <w:r>
        <w:rPr>
          <w:color w:val="0D0D0D" w:themeColor="text1" w:themeTint="F2"/>
          <w:spacing w:val="-5"/>
          <w:sz w:val="16"/>
          <w:szCs w:val="16"/>
        </w:rPr>
        <w:t>Vlivem přechodného</w:t>
      </w:r>
      <w:r w:rsidRPr="00513FEA">
        <w:rPr>
          <w:color w:val="0D0D0D" w:themeColor="text1" w:themeTint="F2"/>
          <w:spacing w:val="-5"/>
          <w:sz w:val="16"/>
          <w:szCs w:val="16"/>
        </w:rPr>
        <w:t xml:space="preserve"> období oživení těžby </w:t>
      </w:r>
      <w:r>
        <w:rPr>
          <w:color w:val="0D0D0D" w:themeColor="text1" w:themeTint="F2"/>
          <w:spacing w:val="-5"/>
          <w:sz w:val="16"/>
          <w:szCs w:val="16"/>
        </w:rPr>
        <w:t>uhlí v předchozích dvou letech klesla letos produkce</w:t>
      </w:r>
      <w:r w:rsidRPr="00513FEA">
        <w:rPr>
          <w:color w:val="0D0D0D" w:themeColor="text1" w:themeTint="F2"/>
          <w:spacing w:val="-5"/>
          <w:sz w:val="16"/>
          <w:szCs w:val="16"/>
        </w:rPr>
        <w:t xml:space="preserve"> v</w:t>
      </w:r>
      <w:r>
        <w:rPr>
          <w:color w:val="0D0D0D" w:themeColor="text1" w:themeTint="F2"/>
          <w:spacing w:val="-5"/>
          <w:sz w:val="16"/>
          <w:szCs w:val="16"/>
        </w:rPr>
        <w:t>e srovnání s 1. pololetím 2020 „jen“ o 11,2 %.</w:t>
      </w:r>
    </w:p>
  </w:footnote>
  <w:footnote w:id="24">
    <w:p w14:paraId="24ACB297" w14:textId="77777777" w:rsidR="00D27F07" w:rsidRPr="00F33536" w:rsidRDefault="00D27F07" w:rsidP="00D27F07">
      <w:pPr>
        <w:pStyle w:val="Textpoznpodarou"/>
        <w:jc w:val="both"/>
        <w:rPr>
          <w:spacing w:val="-2"/>
          <w:sz w:val="16"/>
          <w:szCs w:val="16"/>
        </w:rPr>
      </w:pPr>
      <w:r w:rsidRPr="00F33536">
        <w:rPr>
          <w:rStyle w:val="Znakapoznpodarou"/>
          <w:spacing w:val="-2"/>
          <w:sz w:val="16"/>
          <w:szCs w:val="16"/>
        </w:rPr>
        <w:footnoteRef/>
      </w:r>
      <w:r w:rsidRPr="00F33536">
        <w:rPr>
          <w:spacing w:val="-2"/>
          <w:sz w:val="16"/>
          <w:szCs w:val="16"/>
        </w:rPr>
        <w:t xml:space="preserve"> </w:t>
      </w:r>
      <w:r>
        <w:rPr>
          <w:spacing w:val="-2"/>
          <w:sz w:val="16"/>
          <w:szCs w:val="16"/>
        </w:rPr>
        <w:t xml:space="preserve">Jde o tržby z průmyslové činnosti. </w:t>
      </w:r>
      <w:r w:rsidRPr="00F33536">
        <w:rPr>
          <w:rFonts w:cs="Arial"/>
          <w:color w:val="0D0D0D" w:themeColor="text1" w:themeTint="F2"/>
          <w:spacing w:val="-2"/>
          <w:sz w:val="16"/>
          <w:szCs w:val="16"/>
        </w:rPr>
        <w:t>Meziroční tempa tržeb jsou očištěna o kalendářní vlivy.</w:t>
      </w:r>
    </w:p>
  </w:footnote>
  <w:footnote w:id="25">
    <w:p w14:paraId="104C1D81" w14:textId="77777777" w:rsidR="00D27F07" w:rsidRPr="00C8370A" w:rsidRDefault="00D27F07" w:rsidP="00D27F07">
      <w:pPr>
        <w:pStyle w:val="Textpoznpodarou"/>
        <w:rPr>
          <w:sz w:val="16"/>
          <w:szCs w:val="16"/>
        </w:rPr>
      </w:pPr>
      <w:r w:rsidRPr="00C8370A">
        <w:rPr>
          <w:rStyle w:val="Znakapoznpodarou"/>
          <w:sz w:val="16"/>
          <w:szCs w:val="16"/>
        </w:rPr>
        <w:footnoteRef/>
      </w:r>
      <w:r w:rsidRPr="00C8370A">
        <w:rPr>
          <w:sz w:val="16"/>
          <w:szCs w:val="16"/>
        </w:rPr>
        <w:t xml:space="preserve"> </w:t>
      </w:r>
      <w:r w:rsidRPr="00C8370A">
        <w:rPr>
          <w:rFonts w:cs="Arial"/>
          <w:bCs/>
          <w:color w:val="0D0D0D" w:themeColor="text1" w:themeTint="F2"/>
          <w:spacing w:val="-5"/>
          <w:sz w:val="16"/>
          <w:szCs w:val="16"/>
        </w:rPr>
        <w:t>Tato diskrepance souvisí s prudkým cenovým růstem v odvětvích, jejichž produkce tradičně směřuje primárně na domácí trh (energetika, těžba a dobývání či potravinářský průmysl).</w:t>
      </w:r>
    </w:p>
  </w:footnote>
  <w:footnote w:id="26">
    <w:p w14:paraId="53149EC0" w14:textId="77777777" w:rsidR="00D27F07" w:rsidRPr="00FB58F4" w:rsidRDefault="00D27F07" w:rsidP="00D27F07">
      <w:pPr>
        <w:pStyle w:val="Textpoznpodarou"/>
        <w:jc w:val="both"/>
        <w:rPr>
          <w:rFonts w:cs="Arial"/>
          <w:color w:val="0D0D0D" w:themeColor="text1" w:themeTint="F2"/>
          <w:spacing w:val="-2"/>
          <w:sz w:val="16"/>
          <w:szCs w:val="16"/>
        </w:rPr>
      </w:pPr>
      <w:r w:rsidRPr="00F33536">
        <w:rPr>
          <w:rStyle w:val="Znakapoznpodarou"/>
          <w:rFonts w:cs="Arial"/>
          <w:color w:val="0D0D0D" w:themeColor="text1" w:themeTint="F2"/>
          <w:spacing w:val="-2"/>
          <w:sz w:val="16"/>
          <w:szCs w:val="16"/>
        </w:rPr>
        <w:footnoteRef/>
      </w:r>
      <w:r w:rsidRPr="00F33536">
        <w:rPr>
          <w:rFonts w:cs="Arial"/>
          <w:color w:val="0D0D0D" w:themeColor="text1" w:themeTint="F2"/>
          <w:spacing w:val="-2"/>
          <w:sz w:val="16"/>
          <w:szCs w:val="16"/>
        </w:rPr>
        <w:t xml:space="preserve"> Zjišťování zakázek probíhá jen ve dvanácti zpracovatelských odvětvích vyrábějících převážně na zakázku, s dlouhodobějším výrobním cyklem a s většími zásobami zakázek. Meziroční tempa zakázek j</w:t>
      </w:r>
      <w:r>
        <w:rPr>
          <w:rFonts w:cs="Arial"/>
          <w:color w:val="0D0D0D" w:themeColor="text1" w:themeTint="F2"/>
          <w:spacing w:val="-2"/>
          <w:sz w:val="16"/>
          <w:szCs w:val="16"/>
        </w:rPr>
        <w:t>sou očištěna o kalendářní vlivy, mezikvartální tempa také o vliv sezónnosti.</w:t>
      </w:r>
    </w:p>
  </w:footnote>
  <w:footnote w:id="27">
    <w:p w14:paraId="591B1120" w14:textId="77777777" w:rsidR="00D27F07" w:rsidRPr="003728A3" w:rsidRDefault="00D27F07" w:rsidP="00D27F07">
      <w:pPr>
        <w:pStyle w:val="Textpoznpodarou"/>
        <w:rPr>
          <w:sz w:val="16"/>
          <w:szCs w:val="16"/>
        </w:rPr>
      </w:pPr>
      <w:r w:rsidRPr="003728A3">
        <w:rPr>
          <w:rStyle w:val="Znakapoznpodarou"/>
          <w:sz w:val="16"/>
          <w:szCs w:val="16"/>
        </w:rPr>
        <w:footnoteRef/>
      </w:r>
      <w:r w:rsidRPr="003728A3">
        <w:rPr>
          <w:sz w:val="16"/>
          <w:szCs w:val="16"/>
        </w:rPr>
        <w:t xml:space="preserve"> V mezikvartálním srovnání zakázky ve 2. čtvrtletí stagnovaly, pokles ale zaznamenaly v prvním letošním čtvrtletí (o 3,8 %).</w:t>
      </w:r>
    </w:p>
  </w:footnote>
  <w:footnote w:id="28">
    <w:p w14:paraId="7E6CEF9C" w14:textId="77777777" w:rsidR="00D27F07" w:rsidRPr="002F35D0" w:rsidRDefault="00D27F07" w:rsidP="00D27F07">
      <w:pPr>
        <w:pStyle w:val="Textpoznpodarou"/>
        <w:rPr>
          <w:spacing w:val="-2"/>
          <w:sz w:val="16"/>
          <w:szCs w:val="16"/>
        </w:rPr>
      </w:pPr>
      <w:r w:rsidRPr="002F35D0">
        <w:rPr>
          <w:rStyle w:val="Znakapoznpodarou"/>
          <w:spacing w:val="-2"/>
          <w:sz w:val="16"/>
          <w:szCs w:val="16"/>
        </w:rPr>
        <w:footnoteRef/>
      </w:r>
      <w:r w:rsidRPr="002F35D0">
        <w:rPr>
          <w:spacing w:val="-2"/>
          <w:sz w:val="16"/>
          <w:szCs w:val="16"/>
        </w:rPr>
        <w:t xml:space="preserve"> Ty přetrvávají od konce loňského října. </w:t>
      </w:r>
      <w:r w:rsidRPr="002F35D0">
        <w:rPr>
          <w:sz w:val="16"/>
          <w:szCs w:val="16"/>
        </w:rPr>
        <w:t>To se již začalo projevovat na „tvrdých“ datech – evidenční počet zaměstnanců v</w:t>
      </w:r>
      <w:r>
        <w:rPr>
          <w:sz w:val="16"/>
          <w:szCs w:val="16"/>
        </w:rPr>
        <w:t> průmyslu v</w:t>
      </w:r>
      <w:r w:rsidRPr="002F35D0">
        <w:rPr>
          <w:sz w:val="16"/>
          <w:szCs w:val="16"/>
        </w:rPr>
        <w:t xml:space="preserve"> 1. čtvrtletí 2023 </w:t>
      </w:r>
      <w:r>
        <w:rPr>
          <w:sz w:val="16"/>
          <w:szCs w:val="16"/>
        </w:rPr>
        <w:t>meziročně poklesl o 0,7 %, v následujícím kvartále již o 1,3 %.</w:t>
      </w:r>
    </w:p>
  </w:footnote>
  <w:footnote w:id="29">
    <w:p w14:paraId="34311E98" w14:textId="77777777" w:rsidR="00D27F07" w:rsidRPr="00AF44D9" w:rsidRDefault="00D27F07" w:rsidP="00D27F07">
      <w:pPr>
        <w:pStyle w:val="Textpoznpodarou"/>
        <w:rPr>
          <w:sz w:val="16"/>
          <w:szCs w:val="16"/>
        </w:rPr>
      </w:pPr>
      <w:r w:rsidRPr="00AF44D9">
        <w:rPr>
          <w:rStyle w:val="Znakapoznpodarou"/>
          <w:sz w:val="16"/>
          <w:szCs w:val="16"/>
        </w:rPr>
        <w:footnoteRef/>
      </w:r>
      <w:r w:rsidRPr="00AF44D9">
        <w:rPr>
          <w:sz w:val="16"/>
          <w:szCs w:val="16"/>
        </w:rPr>
        <w:t xml:space="preserve"> Podniky mohly uvést více bariér současně.</w:t>
      </w:r>
      <w:r>
        <w:rPr>
          <w:sz w:val="16"/>
          <w:szCs w:val="16"/>
        </w:rPr>
        <w:t xml:space="preserve"> Bariéry jsou očištěny o vliv sezónnosti. Slabá poptávka představovala zásadní růstový limit především pro většinu energeticky náročných průmyslových oborů (hutnictví, výroba stavebních hmot, gumárenství a plastikářství, </w:t>
      </w:r>
      <w:r w:rsidRPr="001D37AB">
        <w:rPr>
          <w:sz w:val="16"/>
          <w:szCs w:val="16"/>
        </w:rPr>
        <w:t>dřevozpracující a papírenský průmysl), dále pro textilní či nápojový průmysl. Tuto bariéru uvedl i vysoký podíl podniků v</w:t>
      </w:r>
      <w:r>
        <w:rPr>
          <w:sz w:val="16"/>
          <w:szCs w:val="16"/>
        </w:rPr>
        <w:t>e výrobě elektrických zařízení</w:t>
      </w:r>
      <w:r w:rsidRPr="001D37AB">
        <w:rPr>
          <w:sz w:val="16"/>
          <w:szCs w:val="16"/>
        </w:rPr>
        <w:t>.</w:t>
      </w:r>
    </w:p>
  </w:footnote>
  <w:footnote w:id="30">
    <w:p w14:paraId="5B6F8ED9" w14:textId="77777777" w:rsidR="00D27F07" w:rsidRPr="002A5130" w:rsidRDefault="00D27F07" w:rsidP="00D27F07">
      <w:pPr>
        <w:pStyle w:val="Textpoznpodarou"/>
        <w:rPr>
          <w:sz w:val="16"/>
          <w:szCs w:val="16"/>
        </w:rPr>
      </w:pPr>
      <w:r w:rsidRPr="002A5130">
        <w:rPr>
          <w:rStyle w:val="Znakapoznpodarou"/>
          <w:sz w:val="16"/>
          <w:szCs w:val="16"/>
        </w:rPr>
        <w:footnoteRef/>
      </w:r>
      <w:r>
        <w:rPr>
          <w:sz w:val="16"/>
          <w:szCs w:val="16"/>
        </w:rPr>
        <w:t xml:space="preserve"> U</w:t>
      </w:r>
      <w:r w:rsidRPr="002A5130">
        <w:rPr>
          <w:sz w:val="16"/>
          <w:szCs w:val="16"/>
        </w:rPr>
        <w:t xml:space="preserve"> n</w:t>
      </w:r>
      <w:r>
        <w:rPr>
          <w:sz w:val="16"/>
          <w:szCs w:val="16"/>
        </w:rPr>
        <w:t>edostatku zaměstnanců šlo o strojírenství, kožedělný i obuvnický průmysl či výrobu dopravních prostředků (mimo automobily).</w:t>
      </w:r>
    </w:p>
  </w:footnote>
  <w:footnote w:id="31">
    <w:p w14:paraId="61C80EAB" w14:textId="77777777" w:rsidR="00D27F07" w:rsidRPr="00291A49" w:rsidRDefault="00D27F07" w:rsidP="00D27F07">
      <w:pPr>
        <w:pStyle w:val="Textpoznpodarou"/>
        <w:rPr>
          <w:sz w:val="16"/>
          <w:szCs w:val="16"/>
        </w:rPr>
      </w:pPr>
      <w:r w:rsidRPr="00291A49">
        <w:rPr>
          <w:rStyle w:val="Znakapoznpodarou"/>
          <w:sz w:val="16"/>
          <w:szCs w:val="16"/>
        </w:rPr>
        <w:footnoteRef/>
      </w:r>
      <w:r w:rsidRPr="00291A49">
        <w:rPr>
          <w:sz w:val="16"/>
          <w:szCs w:val="16"/>
        </w:rPr>
        <w:t xml:space="preserve"> Dle kon</w:t>
      </w:r>
      <w:r>
        <w:rPr>
          <w:sz w:val="16"/>
          <w:szCs w:val="16"/>
        </w:rPr>
        <w:t xml:space="preserve">junkturálních průzkumů z letošního srpna očekávalo </w:t>
      </w:r>
      <w:r w:rsidRPr="00291A49">
        <w:rPr>
          <w:sz w:val="16"/>
          <w:szCs w:val="16"/>
        </w:rPr>
        <w:t xml:space="preserve">růst cen vlastní produkce </w:t>
      </w:r>
      <w:r>
        <w:rPr>
          <w:sz w:val="16"/>
          <w:szCs w:val="16"/>
        </w:rPr>
        <w:t xml:space="preserve">(v horizontu tří měsíců) více než 40 % tuzemských </w:t>
      </w:r>
      <w:r w:rsidRPr="00291A49">
        <w:rPr>
          <w:sz w:val="16"/>
          <w:szCs w:val="16"/>
        </w:rPr>
        <w:t xml:space="preserve">stavebních podniků. I přes postupný pokles (který je však mírnější než v průmyslu či maloobchodu) šlo </w:t>
      </w:r>
      <w:r>
        <w:rPr>
          <w:sz w:val="16"/>
          <w:szCs w:val="16"/>
        </w:rPr>
        <w:t xml:space="preserve">zdaleka </w:t>
      </w:r>
      <w:r w:rsidRPr="00291A49">
        <w:rPr>
          <w:sz w:val="16"/>
          <w:szCs w:val="16"/>
        </w:rPr>
        <w:t>o nejvyšší podíl mezi všemi hlavními odvětvími v ČR.</w:t>
      </w:r>
    </w:p>
  </w:footnote>
  <w:footnote w:id="32">
    <w:p w14:paraId="52E7AF48" w14:textId="77777777" w:rsidR="00D27F07" w:rsidRPr="002D2942" w:rsidRDefault="00D27F07" w:rsidP="00D27F07">
      <w:pPr>
        <w:pStyle w:val="Textpoznpodarou"/>
        <w:jc w:val="both"/>
        <w:rPr>
          <w:sz w:val="16"/>
          <w:szCs w:val="16"/>
        </w:rPr>
      </w:pPr>
      <w:r w:rsidRPr="002D2942">
        <w:rPr>
          <w:rStyle w:val="Znakapoznpodarou"/>
          <w:rFonts w:cs="Arial"/>
          <w:color w:val="0D0D0D" w:themeColor="text1" w:themeTint="F2"/>
          <w:sz w:val="16"/>
          <w:szCs w:val="16"/>
        </w:rPr>
        <w:footnoteRef/>
      </w:r>
      <w:r w:rsidRPr="002D2942">
        <w:rPr>
          <w:rFonts w:cs="Arial"/>
          <w:color w:val="0D0D0D" w:themeColor="text1" w:themeTint="F2"/>
          <w:sz w:val="16"/>
          <w:szCs w:val="16"/>
        </w:rPr>
        <w:t xml:space="preserve"> Údaje o stavební produkci jsou ve stálých cenách, meziroční tempa jsou očištěna o kalendářní vlivy, mezičtvrtletní též o vliv sezónnosti.</w:t>
      </w:r>
    </w:p>
  </w:footnote>
  <w:footnote w:id="33">
    <w:p w14:paraId="1D3C2BFC" w14:textId="77777777" w:rsidR="00D27F07" w:rsidRDefault="00D27F07" w:rsidP="00D27F07">
      <w:pPr>
        <w:pStyle w:val="Textpoznpodarou"/>
      </w:pPr>
      <w:r w:rsidRPr="006E2FE1">
        <w:rPr>
          <w:rStyle w:val="Znakapoznpodarou"/>
          <w:sz w:val="16"/>
          <w:szCs w:val="16"/>
        </w:rPr>
        <w:footnoteRef/>
      </w:r>
      <w:r w:rsidRPr="006E2FE1">
        <w:rPr>
          <w:sz w:val="16"/>
          <w:szCs w:val="16"/>
        </w:rPr>
        <w:t xml:space="preserve"> Počet zahájených bytů v ČR v 1. pololetí 2022 byl ovšem relativně vysoký, když vyšplhal na úroveň</w:t>
      </w:r>
      <w:r>
        <w:t xml:space="preserve"> </w:t>
      </w:r>
      <w:r w:rsidRPr="006E2FE1">
        <w:rPr>
          <w:sz w:val="16"/>
          <w:szCs w:val="16"/>
        </w:rPr>
        <w:t>srovnatelnou s</w:t>
      </w:r>
      <w:r>
        <w:rPr>
          <w:sz w:val="16"/>
          <w:szCs w:val="16"/>
        </w:rPr>
        <w:t xml:space="preserve"> konjunkturním </w:t>
      </w:r>
      <w:r w:rsidRPr="006E2FE1">
        <w:rPr>
          <w:sz w:val="16"/>
          <w:szCs w:val="16"/>
        </w:rPr>
        <w:t>obdobím 2006 až 2008.</w:t>
      </w:r>
    </w:p>
  </w:footnote>
  <w:footnote w:id="34">
    <w:p w14:paraId="28701952" w14:textId="77777777" w:rsidR="00D27F07" w:rsidRDefault="00D27F07" w:rsidP="00D27F07">
      <w:pPr>
        <w:pStyle w:val="Textpoznpodarou"/>
      </w:pPr>
      <w:r>
        <w:rPr>
          <w:rStyle w:val="Znakapoznpodarou"/>
        </w:rPr>
        <w:footnoteRef/>
      </w:r>
      <w:r>
        <w:t xml:space="preserve"> </w:t>
      </w:r>
      <w:r w:rsidRPr="00AF44D9">
        <w:rPr>
          <w:sz w:val="16"/>
          <w:szCs w:val="16"/>
        </w:rPr>
        <w:t>Podniky mohly uvést více bariér současně</w:t>
      </w:r>
      <w:r>
        <w:rPr>
          <w:sz w:val="16"/>
          <w:szCs w:val="16"/>
        </w:rPr>
        <w:t>.</w:t>
      </w:r>
    </w:p>
  </w:footnote>
  <w:footnote w:id="35">
    <w:p w14:paraId="6F883029" w14:textId="77777777" w:rsidR="00D27F07" w:rsidRPr="00E62461" w:rsidRDefault="00D27F07" w:rsidP="00D27F07">
      <w:pPr>
        <w:spacing w:after="0" w:line="240" w:lineRule="auto"/>
        <w:rPr>
          <w:spacing w:val="-2"/>
        </w:rPr>
      </w:pPr>
      <w:r w:rsidRPr="00E62461">
        <w:rPr>
          <w:rStyle w:val="Znakapoznpodarou"/>
          <w:color w:val="0D0D0D" w:themeColor="text1" w:themeTint="F2"/>
          <w:spacing w:val="-2"/>
          <w:sz w:val="16"/>
          <w:szCs w:val="16"/>
        </w:rPr>
        <w:footnoteRef/>
      </w:r>
      <w:r w:rsidRPr="00E62461">
        <w:rPr>
          <w:color w:val="0D0D0D" w:themeColor="text1" w:themeTint="F2"/>
          <w:spacing w:val="-2"/>
          <w:sz w:val="16"/>
          <w:szCs w:val="16"/>
        </w:rPr>
        <w:t xml:space="preserve"> Bez obchodu, peněžnictví, pojišťovnictví, vědy, výzkumu a veřejných služeb. Všechny údaje za tržby ve službách jsou ve stálých cenách, meziroční data jsou očištěna o kalendářní vlivy, mezičtvrtletní jsou očištěna o sezónní vlivy (včetně vlivu počtu pracovních dnů).</w:t>
      </w:r>
    </w:p>
  </w:footnote>
  <w:footnote w:id="36">
    <w:p w14:paraId="56AC78C6" w14:textId="77777777" w:rsidR="00D27F07" w:rsidRDefault="00D27F07" w:rsidP="00D27F07">
      <w:pPr>
        <w:pStyle w:val="paragraph"/>
        <w:spacing w:before="0" w:beforeAutospacing="0" w:after="0" w:afterAutospacing="0"/>
        <w:jc w:val="both"/>
        <w:textAlignment w:val="baseline"/>
        <w:rPr>
          <w:rFonts w:ascii="Arial" w:eastAsia="Calibri" w:hAnsi="Arial"/>
          <w:sz w:val="16"/>
          <w:szCs w:val="16"/>
        </w:rPr>
      </w:pPr>
      <w:r w:rsidRPr="00C429B4">
        <w:rPr>
          <w:rFonts w:ascii="Arial" w:eastAsia="Calibri" w:hAnsi="Arial"/>
          <w:sz w:val="16"/>
          <w:szCs w:val="16"/>
          <w:vertAlign w:val="superscript"/>
        </w:rPr>
        <w:footnoteRef/>
      </w:r>
      <w:r w:rsidRPr="00C429B4">
        <w:rPr>
          <w:rFonts w:ascii="Arial" w:eastAsia="Calibri" w:hAnsi="Arial"/>
          <w:sz w:val="16"/>
          <w:szCs w:val="16"/>
        </w:rPr>
        <w:t xml:space="preserve"> Počet hostů i jejich přenocování v hromadných ubytovacích zařízeních (HUZ) v ČR se meziročně zvyšoval devátý kvartál v řadě. </w:t>
      </w:r>
      <w:r>
        <w:rPr>
          <w:rFonts w:ascii="Arial" w:eastAsia="Calibri" w:hAnsi="Arial"/>
          <w:sz w:val="16"/>
          <w:szCs w:val="16"/>
        </w:rPr>
        <w:br/>
      </w:r>
      <w:r w:rsidRPr="00C429B4">
        <w:rPr>
          <w:rFonts w:ascii="Arial" w:eastAsia="Calibri" w:hAnsi="Arial"/>
          <w:sz w:val="16"/>
          <w:szCs w:val="16"/>
        </w:rPr>
        <w:t>V 1. pololetí 2023 tak přijelo o 21,9 % hostů více a jejich přenoc</w:t>
      </w:r>
      <w:r>
        <w:rPr>
          <w:rFonts w:ascii="Arial" w:eastAsia="Calibri" w:hAnsi="Arial"/>
          <w:sz w:val="16"/>
          <w:szCs w:val="16"/>
        </w:rPr>
        <w:t>ování přibylo o 19,2 %. K růst</w:t>
      </w:r>
      <w:r w:rsidRPr="00C429B4">
        <w:rPr>
          <w:rFonts w:ascii="Arial" w:eastAsia="Calibri" w:hAnsi="Arial"/>
          <w:sz w:val="16"/>
          <w:szCs w:val="16"/>
        </w:rPr>
        <w:t>u počtu přenocování letos (stejně jako po celé 2. pololetí 2022) z drtivé většiny přispěli zahraniční hosté, neb</w:t>
      </w:r>
      <w:r>
        <w:rPr>
          <w:rFonts w:ascii="Arial" w:eastAsia="Calibri" w:hAnsi="Arial"/>
          <w:sz w:val="16"/>
          <w:szCs w:val="16"/>
        </w:rPr>
        <w:t>oť přenocování rezidentů se navýšila</w:t>
      </w:r>
      <w:r w:rsidRPr="00C429B4">
        <w:rPr>
          <w:rFonts w:ascii="Arial" w:eastAsia="Calibri" w:hAnsi="Arial"/>
          <w:sz w:val="16"/>
          <w:szCs w:val="16"/>
        </w:rPr>
        <w:t xml:space="preserve"> jen o 3,8 % (nerezidentů </w:t>
      </w:r>
      <w:r>
        <w:rPr>
          <w:rFonts w:ascii="Arial" w:eastAsia="Calibri" w:hAnsi="Arial"/>
          <w:sz w:val="16"/>
          <w:szCs w:val="16"/>
        </w:rPr>
        <w:br/>
      </w:r>
      <w:r w:rsidRPr="00C429B4">
        <w:rPr>
          <w:rFonts w:ascii="Arial" w:eastAsia="Calibri" w:hAnsi="Arial"/>
          <w:sz w:val="16"/>
          <w:szCs w:val="16"/>
        </w:rPr>
        <w:t xml:space="preserve">o 47,8 %). V samotném 2. čtvrtletí se letos </w:t>
      </w:r>
      <w:r>
        <w:rPr>
          <w:rFonts w:ascii="Arial" w:eastAsia="Calibri" w:hAnsi="Arial"/>
          <w:sz w:val="16"/>
          <w:szCs w:val="16"/>
        </w:rPr>
        <w:t>v</w:t>
      </w:r>
      <w:r w:rsidRPr="00C429B4">
        <w:rPr>
          <w:rFonts w:ascii="Arial" w:eastAsia="Calibri" w:hAnsi="Arial"/>
          <w:sz w:val="16"/>
          <w:szCs w:val="16"/>
        </w:rPr>
        <w:t>ýkon cestovní</w:t>
      </w:r>
      <w:r>
        <w:rPr>
          <w:rFonts w:ascii="Arial" w:eastAsia="Calibri" w:hAnsi="Arial"/>
          <w:sz w:val="16"/>
          <w:szCs w:val="16"/>
        </w:rPr>
        <w:t>ho</w:t>
      </w:r>
      <w:r w:rsidRPr="00C429B4">
        <w:rPr>
          <w:rFonts w:ascii="Arial" w:eastAsia="Calibri" w:hAnsi="Arial"/>
          <w:sz w:val="16"/>
          <w:szCs w:val="16"/>
        </w:rPr>
        <w:t xml:space="preserve"> ruchu </w:t>
      </w:r>
      <w:r>
        <w:rPr>
          <w:rFonts w:ascii="Arial" w:eastAsia="Calibri" w:hAnsi="Arial"/>
          <w:sz w:val="16"/>
          <w:szCs w:val="16"/>
        </w:rPr>
        <w:t>poprvé výrazně přiblížil úrovni</w:t>
      </w:r>
      <w:r w:rsidRPr="00C429B4">
        <w:rPr>
          <w:rFonts w:ascii="Arial" w:eastAsia="Calibri" w:hAnsi="Arial"/>
          <w:sz w:val="16"/>
          <w:szCs w:val="16"/>
        </w:rPr>
        <w:t xml:space="preserve"> ze shodného období roku 2019 </w:t>
      </w:r>
      <w:r>
        <w:rPr>
          <w:rFonts w:ascii="Arial" w:eastAsia="Calibri" w:hAnsi="Arial"/>
          <w:sz w:val="16"/>
          <w:szCs w:val="16"/>
        </w:rPr>
        <w:t>–</w:t>
      </w:r>
      <w:r w:rsidRPr="00C429B4">
        <w:rPr>
          <w:rFonts w:ascii="Arial" w:eastAsia="Calibri" w:hAnsi="Arial"/>
          <w:sz w:val="16"/>
          <w:szCs w:val="16"/>
        </w:rPr>
        <w:t xml:space="preserve"> počet všech přenocování byl nižší jen o necelá 2 %, u zahraničních hostů však stále o významných 15 % (domácí cestovní ruch se </w:t>
      </w:r>
      <w:r>
        <w:rPr>
          <w:rFonts w:ascii="Arial" w:eastAsia="Calibri" w:hAnsi="Arial"/>
          <w:sz w:val="16"/>
          <w:szCs w:val="16"/>
        </w:rPr>
        <w:t>již v létě 2021 zotavil z „</w:t>
      </w:r>
      <w:r w:rsidRPr="00C429B4">
        <w:rPr>
          <w:rFonts w:ascii="Arial" w:eastAsia="Calibri" w:hAnsi="Arial"/>
          <w:sz w:val="16"/>
          <w:szCs w:val="16"/>
        </w:rPr>
        <w:t>covidového šoku</w:t>
      </w:r>
      <w:r>
        <w:rPr>
          <w:rFonts w:ascii="Arial" w:eastAsia="Calibri" w:hAnsi="Arial"/>
          <w:sz w:val="16"/>
          <w:szCs w:val="16"/>
        </w:rPr>
        <w:t>“</w:t>
      </w:r>
      <w:r w:rsidRPr="00C429B4">
        <w:rPr>
          <w:rFonts w:ascii="Arial" w:eastAsia="Calibri" w:hAnsi="Arial"/>
          <w:sz w:val="16"/>
          <w:szCs w:val="16"/>
        </w:rPr>
        <w:t>). </w:t>
      </w:r>
      <w:r>
        <w:rPr>
          <w:rFonts w:ascii="Arial" w:eastAsia="Calibri" w:hAnsi="Arial"/>
          <w:sz w:val="16"/>
          <w:szCs w:val="16"/>
        </w:rPr>
        <w:t>Ubyto</w:t>
      </w:r>
      <w:r w:rsidRPr="00C429B4">
        <w:rPr>
          <w:rFonts w:ascii="Arial" w:eastAsia="Calibri" w:hAnsi="Arial"/>
          <w:sz w:val="16"/>
          <w:szCs w:val="16"/>
        </w:rPr>
        <w:t xml:space="preserve">vaných hostů přibylo oproti 2. čtvrtletí 2022 ve všech regionech </w:t>
      </w:r>
      <w:r>
        <w:rPr>
          <w:rFonts w:ascii="Arial" w:eastAsia="Calibri" w:hAnsi="Arial"/>
          <w:sz w:val="16"/>
          <w:szCs w:val="16"/>
        </w:rPr>
        <w:t>–</w:t>
      </w:r>
      <w:r w:rsidRPr="00C429B4">
        <w:rPr>
          <w:rFonts w:ascii="Arial" w:eastAsia="Calibri" w:hAnsi="Arial"/>
          <w:sz w:val="16"/>
          <w:szCs w:val="16"/>
        </w:rPr>
        <w:t xml:space="preserve"> nejvíce v Praze </w:t>
      </w:r>
      <w:r>
        <w:rPr>
          <w:rFonts w:ascii="Arial" w:eastAsia="Calibri" w:hAnsi="Arial"/>
          <w:sz w:val="16"/>
          <w:szCs w:val="16"/>
        </w:rPr>
        <w:br/>
      </w:r>
      <w:r w:rsidRPr="00C429B4">
        <w:rPr>
          <w:rFonts w:ascii="Arial" w:eastAsia="Calibri" w:hAnsi="Arial"/>
          <w:sz w:val="16"/>
          <w:szCs w:val="16"/>
        </w:rPr>
        <w:t xml:space="preserve">a Karlovarském kraji (shodně zhruba o pětinu), nejméně na Vysočině (+5 %) a </w:t>
      </w:r>
      <w:r>
        <w:rPr>
          <w:rFonts w:ascii="Arial" w:eastAsia="Calibri" w:hAnsi="Arial"/>
          <w:sz w:val="16"/>
          <w:szCs w:val="16"/>
        </w:rPr>
        <w:t xml:space="preserve">v </w:t>
      </w:r>
      <w:r w:rsidRPr="00C429B4">
        <w:rPr>
          <w:rFonts w:ascii="Arial" w:eastAsia="Calibri" w:hAnsi="Arial"/>
          <w:sz w:val="16"/>
          <w:szCs w:val="16"/>
        </w:rPr>
        <w:t>Plzeňském kraji (+7 %). Ve většině krajů (vyjma Královéhradeckého, Pardubického a Olomouckého) přispěli k růstu návštěvnosti primárně cizinci. V Praze a Jihomoravském kraji počet tuzemských hostů meziročně dokonce jen stagnoval. </w:t>
      </w:r>
    </w:p>
    <w:p w14:paraId="31A222B7" w14:textId="77777777" w:rsidR="00D27F07" w:rsidRPr="00C429B4" w:rsidRDefault="00D27F07" w:rsidP="00D27F07">
      <w:pPr>
        <w:pStyle w:val="paragraph"/>
        <w:spacing w:before="0" w:beforeAutospacing="0" w:after="0" w:afterAutospacing="0"/>
        <w:jc w:val="both"/>
        <w:textAlignment w:val="baseline"/>
        <w:rPr>
          <w:rFonts w:ascii="Arial" w:eastAsia="Calibri" w:hAnsi="Arial"/>
          <w:sz w:val="16"/>
          <w:szCs w:val="16"/>
        </w:rPr>
      </w:pPr>
      <w:r w:rsidRPr="00C429B4">
        <w:rPr>
          <w:rFonts w:ascii="Arial" w:eastAsia="Calibri" w:hAnsi="Arial"/>
          <w:sz w:val="16"/>
          <w:szCs w:val="16"/>
        </w:rPr>
        <w:t xml:space="preserve">K meziročnímu růstu návštěvnosti nejvíce přispěli </w:t>
      </w:r>
      <w:r>
        <w:rPr>
          <w:rFonts w:ascii="Arial" w:eastAsia="Calibri" w:hAnsi="Arial"/>
          <w:sz w:val="16"/>
          <w:szCs w:val="16"/>
        </w:rPr>
        <w:t xml:space="preserve">ve 2. čtvrtletí </w:t>
      </w:r>
      <w:r w:rsidRPr="00C429B4">
        <w:rPr>
          <w:rFonts w:ascii="Arial" w:eastAsia="Calibri" w:hAnsi="Arial"/>
          <w:sz w:val="16"/>
          <w:szCs w:val="16"/>
        </w:rPr>
        <w:t xml:space="preserve">hosté z Německa (+116 tis.), Jižní Korey (+52 tis.), Polska (+47 tis.) </w:t>
      </w:r>
      <w:r>
        <w:rPr>
          <w:rFonts w:ascii="Arial" w:eastAsia="Calibri" w:hAnsi="Arial"/>
          <w:sz w:val="16"/>
          <w:szCs w:val="16"/>
        </w:rPr>
        <w:br/>
      </w:r>
      <w:r w:rsidRPr="00C429B4">
        <w:rPr>
          <w:rFonts w:ascii="Arial" w:eastAsia="Calibri" w:hAnsi="Arial"/>
          <w:sz w:val="16"/>
          <w:szCs w:val="16"/>
        </w:rPr>
        <w:t>a USA (+37 tis.). K obnovování vazeb se vzdálenějšími státy pomohly přípravy, resp. otevření nových přímých leteckých linek do Prahy (ze Soulu, Tchai-peie). Naopak jen minimální vazby v turismu přetrvávaly s Ruskem</w:t>
      </w:r>
      <w:r>
        <w:rPr>
          <w:rFonts w:ascii="Arial" w:eastAsia="Calibri" w:hAnsi="Arial"/>
          <w:sz w:val="16"/>
          <w:szCs w:val="16"/>
        </w:rPr>
        <w:t xml:space="preserve">, zhoršená geopolitická situace </w:t>
      </w:r>
      <w:r w:rsidRPr="00C429B4">
        <w:rPr>
          <w:rFonts w:ascii="Arial" w:eastAsia="Calibri" w:hAnsi="Arial"/>
          <w:sz w:val="16"/>
          <w:szCs w:val="16"/>
        </w:rPr>
        <w:t xml:space="preserve">se patrně promítla </w:t>
      </w:r>
      <w:r>
        <w:rPr>
          <w:rFonts w:ascii="Arial" w:eastAsia="Calibri" w:hAnsi="Arial"/>
          <w:sz w:val="16"/>
          <w:szCs w:val="16"/>
        </w:rPr>
        <w:br/>
      </w:r>
      <w:r w:rsidRPr="00C429B4">
        <w:rPr>
          <w:rFonts w:ascii="Arial" w:eastAsia="Calibri" w:hAnsi="Arial"/>
          <w:sz w:val="16"/>
          <w:szCs w:val="16"/>
        </w:rPr>
        <w:t>i do meziročního poklesu ubytovaných hostů z Izraele (</w:t>
      </w:r>
      <w:r>
        <w:rPr>
          <w:rFonts w:ascii="Arial" w:eastAsia="Calibri" w:hAnsi="Arial"/>
          <w:sz w:val="16"/>
          <w:szCs w:val="16"/>
        </w:rPr>
        <w:t>−</w:t>
      </w:r>
      <w:r w:rsidRPr="00C429B4">
        <w:rPr>
          <w:rFonts w:ascii="Arial" w:eastAsia="Calibri" w:hAnsi="Arial"/>
          <w:sz w:val="16"/>
          <w:szCs w:val="16"/>
        </w:rPr>
        <w:t>10 %). Oproti 2. čtvrtletí 2019 přijelo do ČR znatelně více hostů ze všech sousedních států (ze Slovenska dokonce skoro o 20 %), z ostatních významnějších partnerských zemí (top 30 z roku 2019) ale již jen z Nizozemska.</w:t>
      </w:r>
    </w:p>
  </w:footnote>
  <w:footnote w:id="37">
    <w:p w14:paraId="341A97B4" w14:textId="77777777" w:rsidR="00D27F07" w:rsidRPr="00880DA8" w:rsidRDefault="00D27F07" w:rsidP="00D27F07">
      <w:pPr>
        <w:pStyle w:val="Textpoznpodarou"/>
        <w:rPr>
          <w:sz w:val="16"/>
          <w:szCs w:val="16"/>
        </w:rPr>
      </w:pPr>
      <w:r w:rsidRPr="00880DA8">
        <w:rPr>
          <w:rStyle w:val="Znakapoznpodarou"/>
          <w:sz w:val="16"/>
          <w:szCs w:val="16"/>
        </w:rPr>
        <w:footnoteRef/>
      </w:r>
      <w:r w:rsidRPr="00880DA8">
        <w:rPr>
          <w:sz w:val="16"/>
          <w:szCs w:val="16"/>
        </w:rPr>
        <w:t xml:space="preserve"> Ty zahrnují činnosti související se zpracováním dat a hostingem</w:t>
      </w:r>
      <w:r>
        <w:rPr>
          <w:sz w:val="16"/>
          <w:szCs w:val="16"/>
        </w:rPr>
        <w:t>, webovými portály a dále</w:t>
      </w:r>
      <w:r w:rsidRPr="00880DA8">
        <w:rPr>
          <w:sz w:val="16"/>
          <w:szCs w:val="16"/>
        </w:rPr>
        <w:t xml:space="preserve"> </w:t>
      </w:r>
      <w:r>
        <w:rPr>
          <w:sz w:val="16"/>
          <w:szCs w:val="16"/>
        </w:rPr>
        <w:t>zpravodajské tiskové kanceláře</w:t>
      </w:r>
      <w:r w:rsidRPr="00880DA8">
        <w:rPr>
          <w:sz w:val="16"/>
          <w:szCs w:val="16"/>
        </w:rPr>
        <w:t xml:space="preserve"> a agentur</w:t>
      </w:r>
      <w:r>
        <w:rPr>
          <w:sz w:val="16"/>
          <w:szCs w:val="16"/>
        </w:rPr>
        <w:t>y</w:t>
      </w:r>
      <w:r w:rsidRPr="00880DA8">
        <w:rPr>
          <w:sz w:val="16"/>
          <w:szCs w:val="16"/>
        </w:rPr>
        <w:t>.</w:t>
      </w:r>
    </w:p>
  </w:footnote>
  <w:footnote w:id="38">
    <w:p w14:paraId="7B3AAA55" w14:textId="77777777" w:rsidR="00D27F07" w:rsidRDefault="00D27F07" w:rsidP="00D27F07">
      <w:pPr>
        <w:pStyle w:val="Textpoznpodarou"/>
      </w:pPr>
      <w:r w:rsidRPr="002622F6">
        <w:rPr>
          <w:rStyle w:val="Znakapoznpodarou"/>
          <w:sz w:val="16"/>
          <w:szCs w:val="16"/>
        </w:rPr>
        <w:footnoteRef/>
      </w:r>
      <w:r>
        <w:rPr>
          <w:sz w:val="16"/>
          <w:szCs w:val="16"/>
        </w:rPr>
        <w:t xml:space="preserve"> O něco l</w:t>
      </w:r>
      <w:r w:rsidRPr="002622F6">
        <w:rPr>
          <w:sz w:val="16"/>
          <w:szCs w:val="16"/>
        </w:rPr>
        <w:t xml:space="preserve">épe se vedlo segmentu filmové distribuce. </w:t>
      </w:r>
      <w:r w:rsidRPr="002622F6">
        <w:rPr>
          <w:rFonts w:cs="Arial"/>
          <w:color w:val="0D0D0D" w:themeColor="text1" w:themeTint="F2"/>
          <w:spacing w:val="-3"/>
          <w:sz w:val="16"/>
          <w:szCs w:val="16"/>
        </w:rPr>
        <w:t>Dle</w:t>
      </w:r>
      <w:r w:rsidRPr="00EB7D87">
        <w:rPr>
          <w:rFonts w:cs="Arial"/>
          <w:color w:val="0D0D0D" w:themeColor="text1" w:themeTint="F2"/>
          <w:spacing w:val="-3"/>
          <w:sz w:val="16"/>
          <w:szCs w:val="16"/>
        </w:rPr>
        <w:t xml:space="preserve"> údajů </w:t>
      </w:r>
      <w:r>
        <w:rPr>
          <w:spacing w:val="-3"/>
          <w:sz w:val="16"/>
          <w:szCs w:val="16"/>
        </w:rPr>
        <w:t xml:space="preserve">Unie filmových distributorů vzrostly v 1. pololetí 2023 hrubé nominální tržby provozovatelů tuzemských kin meziročně o necelá 2 %. Celková návštěvnost však vlivem slabších letošních výsledků ve 2. čtvrtletí v celém </w:t>
      </w:r>
      <w:r>
        <w:rPr>
          <w:spacing w:val="-3"/>
          <w:sz w:val="16"/>
          <w:szCs w:val="16"/>
        </w:rPr>
        <w:br/>
        <w:t>1. pololetí klesla o 6,1 %. Ve srovnání s rekordním rokem 2019 letos scházela skoro třetina diváků a tržby zaostávaly bezmála o pětinu (avšak počet odehraných představení byl nižší jen o necelých 7 %).</w:t>
      </w:r>
    </w:p>
  </w:footnote>
  <w:footnote w:id="39">
    <w:p w14:paraId="14A565D5" w14:textId="77777777" w:rsidR="00D27F07" w:rsidRPr="00EB7D87" w:rsidRDefault="00D27F07" w:rsidP="00D27F07">
      <w:pPr>
        <w:spacing w:after="0" w:line="240" w:lineRule="auto"/>
        <w:rPr>
          <w:spacing w:val="-2"/>
        </w:rPr>
      </w:pPr>
      <w:r w:rsidRPr="00EB7D87">
        <w:rPr>
          <w:rStyle w:val="Znakapoznpodarou"/>
          <w:color w:val="0D0D0D" w:themeColor="text1" w:themeTint="F2"/>
          <w:spacing w:val="-2"/>
          <w:sz w:val="16"/>
          <w:szCs w:val="16"/>
        </w:rPr>
        <w:footnoteRef/>
      </w:r>
      <w:r w:rsidRPr="00EB7D87">
        <w:rPr>
          <w:color w:val="0D0D0D" w:themeColor="text1" w:themeTint="F2"/>
          <w:spacing w:val="-2"/>
          <w:sz w:val="16"/>
          <w:szCs w:val="16"/>
        </w:rPr>
        <w:t xml:space="preserve"> Všechna meziroční tempa tržeb za maloobchod jsou uvedena ve stálých cenách a očištěna o kalendářní vlivy, mezičtvrtletní </w:t>
      </w:r>
      <w:r>
        <w:rPr>
          <w:color w:val="0D0D0D" w:themeColor="text1" w:themeTint="F2"/>
          <w:spacing w:val="-2"/>
          <w:sz w:val="16"/>
          <w:szCs w:val="16"/>
        </w:rPr>
        <w:br/>
        <w:t>i meziměsíční</w:t>
      </w:r>
      <w:r w:rsidRPr="00EB7D87">
        <w:rPr>
          <w:color w:val="0D0D0D" w:themeColor="text1" w:themeTint="F2"/>
          <w:spacing w:val="-2"/>
          <w:sz w:val="16"/>
          <w:szCs w:val="16"/>
        </w:rPr>
        <w:t xml:space="preserve"> tempa jsou očištěna o sezónní vlivy (včetně vlivu počtu pracovních dnů). Maloobchod zahrnuje odvětví CZ-NACE 47.</w:t>
      </w:r>
    </w:p>
  </w:footnote>
  <w:footnote w:id="40">
    <w:p w14:paraId="28406609" w14:textId="77777777" w:rsidR="00D27F07" w:rsidRPr="007C4D84" w:rsidRDefault="00D27F07" w:rsidP="00D27F07">
      <w:pPr>
        <w:pStyle w:val="Textpoznpodarou"/>
        <w:rPr>
          <w:sz w:val="16"/>
          <w:szCs w:val="16"/>
        </w:rPr>
      </w:pPr>
      <w:r w:rsidRPr="007C4D84">
        <w:rPr>
          <w:rStyle w:val="Znakapoznpodarou"/>
          <w:sz w:val="16"/>
          <w:szCs w:val="16"/>
        </w:rPr>
        <w:footnoteRef/>
      </w:r>
      <w:r w:rsidRPr="007C4D84">
        <w:rPr>
          <w:sz w:val="16"/>
          <w:szCs w:val="16"/>
        </w:rPr>
        <w:t xml:space="preserve"> Ten dosáhl loni v říjnu nejvyšší hodnoty od krizového roku 1999. V následujících měsících se </w:t>
      </w:r>
      <w:r>
        <w:rPr>
          <w:sz w:val="16"/>
          <w:szCs w:val="16"/>
        </w:rPr>
        <w:t xml:space="preserve">postupně zvyšovala důvěra domácností </w:t>
      </w:r>
      <w:r w:rsidRPr="007C4D84">
        <w:rPr>
          <w:sz w:val="16"/>
          <w:szCs w:val="16"/>
        </w:rPr>
        <w:t>i v souvislosti se zlepšováním situace s dostupností a cenovým vývojem klíčových energetických komodit v Evropě.</w:t>
      </w:r>
      <w:r>
        <w:rPr>
          <w:sz w:val="16"/>
          <w:szCs w:val="16"/>
        </w:rPr>
        <w:t xml:space="preserve"> Letos v červenci tak dosáhl pesimismus spotřebitelů fakticky nejnižší úrovně od počátku ruské invaze na Ukrajinu. </w:t>
      </w:r>
    </w:p>
  </w:footnote>
  <w:footnote w:id="41">
    <w:p w14:paraId="49972FF3" w14:textId="77777777" w:rsidR="00D27F07" w:rsidRPr="006C5EA8" w:rsidRDefault="00D27F07" w:rsidP="00D27F07">
      <w:pPr>
        <w:pStyle w:val="Textpoznpodarou"/>
        <w:rPr>
          <w:sz w:val="16"/>
          <w:szCs w:val="16"/>
        </w:rPr>
      </w:pPr>
      <w:r w:rsidRPr="006C5EA8">
        <w:rPr>
          <w:rStyle w:val="Znakapoznpodarou"/>
          <w:sz w:val="16"/>
          <w:szCs w:val="16"/>
        </w:rPr>
        <w:footnoteRef/>
      </w:r>
      <w:r w:rsidRPr="006C5EA8">
        <w:rPr>
          <w:sz w:val="16"/>
          <w:szCs w:val="16"/>
        </w:rPr>
        <w:t xml:space="preserve"> Odhlédneme-li od období pandemických uzávěr ekonomiky, byla aktuální důvěra v obchodě nejnižší od poloviny roku 2013.</w:t>
      </w:r>
    </w:p>
  </w:footnote>
  <w:footnote w:id="42">
    <w:p w14:paraId="04F54C47" w14:textId="77777777" w:rsidR="00DA0121" w:rsidRPr="00441515" w:rsidRDefault="00DA0121" w:rsidP="00674BAC">
      <w:pPr>
        <w:pStyle w:val="Textpoznpodarou"/>
        <w:rPr>
          <w:rFonts w:cs="Arial"/>
          <w:i/>
          <w:iCs/>
          <w:sz w:val="16"/>
          <w:szCs w:val="16"/>
        </w:rPr>
      </w:pPr>
      <w:r w:rsidRPr="00441515">
        <w:rPr>
          <w:rStyle w:val="Znakapoznpodarou"/>
          <w:rFonts w:cs="Arial"/>
          <w:sz w:val="16"/>
          <w:szCs w:val="16"/>
        </w:rPr>
        <w:footnoteRef/>
      </w:r>
      <w:r w:rsidRPr="00441515">
        <w:rPr>
          <w:rFonts w:cs="Arial"/>
          <w:i/>
          <w:iCs/>
          <w:sz w:val="16"/>
          <w:szCs w:val="16"/>
        </w:rPr>
        <w:t xml:space="preserve"> </w:t>
      </w:r>
      <w:r w:rsidRPr="00441515">
        <w:rPr>
          <w:rStyle w:val="Zdraznn"/>
          <w:rFonts w:cs="Arial"/>
          <w:i w:val="0"/>
          <w:iCs w:val="0"/>
          <w:color w:val="333333"/>
          <w:sz w:val="16"/>
          <w:szCs w:val="16"/>
          <w:bdr w:val="none" w:sz="0" w:space="0" w:color="auto" w:frame="1"/>
          <w:shd w:val="clear" w:color="auto" w:fill="FFFFFF"/>
        </w:rPr>
        <w:t>Údaje za zahraniční obchod se zbožím od roku 2020 jsou přepočítávány aktualizovanou metodou založenou na vyšší míře detailu, viz </w:t>
      </w:r>
      <w:hyperlink r:id="rId1" w:history="1">
        <w:r w:rsidRPr="00C80FF3">
          <w:rPr>
            <w:rStyle w:val="Hypertextovodkaz"/>
            <w:rFonts w:cs="Arial"/>
            <w:sz w:val="16"/>
            <w:szCs w:val="16"/>
            <w:bdr w:val="none" w:sz="0" w:space="0" w:color="auto" w:frame="1"/>
            <w:shd w:val="clear" w:color="auto" w:fill="FFFFFF"/>
          </w:rPr>
          <w:t>https://www.czso.cz/csu/czso/aktualizace-metody-propoctu-zahranicni-obchod-se-zbozim</w:t>
        </w:r>
      </w:hyperlink>
      <w:r>
        <w:rPr>
          <w:rStyle w:val="Hypertextovodkaz"/>
          <w:rFonts w:cs="Arial"/>
          <w:sz w:val="16"/>
          <w:szCs w:val="16"/>
          <w:bdr w:val="none" w:sz="0" w:space="0" w:color="auto" w:frame="1"/>
          <w:shd w:val="clear" w:color="auto" w:fill="FFFFFF"/>
        </w:rPr>
        <w:t xml:space="preserve">. </w:t>
      </w:r>
      <w:r w:rsidRPr="004E0CF8">
        <w:rPr>
          <w:sz w:val="16"/>
          <w:szCs w:val="16"/>
        </w:rPr>
        <w:t>Není-li uvedeno jinak, jsou všechny údaje sezónně neočištěné a v běžných cenách.</w:t>
      </w:r>
    </w:p>
  </w:footnote>
  <w:footnote w:id="43">
    <w:p w14:paraId="517C0088" w14:textId="77777777" w:rsidR="00DA0121" w:rsidRPr="00FC5C85" w:rsidRDefault="00DA0121" w:rsidP="00674BAC">
      <w:pPr>
        <w:pStyle w:val="Textpoznpodarou"/>
        <w:rPr>
          <w:sz w:val="16"/>
          <w:szCs w:val="16"/>
        </w:rPr>
      </w:pPr>
      <w:r w:rsidRPr="00FC5C85">
        <w:rPr>
          <w:rStyle w:val="Znakapoznpodarou"/>
          <w:sz w:val="16"/>
          <w:szCs w:val="16"/>
        </w:rPr>
        <w:footnoteRef/>
      </w:r>
      <w:r w:rsidRPr="00FC5C85">
        <w:rPr>
          <w:sz w:val="16"/>
          <w:szCs w:val="16"/>
        </w:rPr>
        <w:t xml:space="preserve"> Ceny vývozu zboží se</w:t>
      </w:r>
      <w:r>
        <w:rPr>
          <w:sz w:val="16"/>
          <w:szCs w:val="16"/>
        </w:rPr>
        <w:t xml:space="preserve"> ve 2. čtvrtletí 2023 meziročně zvýšily o 1,8 % a mezičtvrtletně klesly o 2,2 %.</w:t>
      </w:r>
      <w:r w:rsidRPr="00FC5C85">
        <w:rPr>
          <w:sz w:val="16"/>
          <w:szCs w:val="16"/>
        </w:rPr>
        <w:t xml:space="preserve"> </w:t>
      </w:r>
    </w:p>
  </w:footnote>
  <w:footnote w:id="44">
    <w:p w14:paraId="1D2D38DA" w14:textId="77777777" w:rsidR="00DA0121" w:rsidRPr="00DE472F" w:rsidRDefault="00DA0121" w:rsidP="00674BAC">
      <w:pPr>
        <w:pStyle w:val="Textpoznpodarou"/>
        <w:rPr>
          <w:sz w:val="16"/>
          <w:szCs w:val="16"/>
        </w:rPr>
      </w:pPr>
      <w:r w:rsidRPr="00DE472F">
        <w:rPr>
          <w:rStyle w:val="Znakapoznpodarou"/>
          <w:sz w:val="16"/>
          <w:szCs w:val="16"/>
        </w:rPr>
        <w:footnoteRef/>
      </w:r>
      <w:r w:rsidRPr="00DE472F">
        <w:rPr>
          <w:sz w:val="16"/>
          <w:szCs w:val="16"/>
        </w:rPr>
        <w:t xml:space="preserve"> </w:t>
      </w:r>
      <w:r>
        <w:rPr>
          <w:sz w:val="16"/>
          <w:szCs w:val="16"/>
        </w:rPr>
        <w:t xml:space="preserve">Vývoz k našim nejbližším sousedům byl značně ovlivněn poklesem ceny elektřiny. V případě Německa se ve 2. čtvrtletí propadla hodnota vývozu elektřiny, plynu, páry a klimatizovaného vzduchu o 4,8 mld. korun a o 2,1 mld. nižší byl vývoz produktů souvisejících s odpady. Export elektřiny na Slovensko se propadl o 8,0 mld. korun a přidalo se k tomu snížení vývozu ropy a zemního plynu </w:t>
      </w:r>
      <w:r>
        <w:rPr>
          <w:sz w:val="16"/>
          <w:szCs w:val="16"/>
        </w:rPr>
        <w:br/>
        <w:t xml:space="preserve">o 5,1 mld.  </w:t>
      </w:r>
    </w:p>
  </w:footnote>
  <w:footnote w:id="45">
    <w:p w14:paraId="6AEAB5B2" w14:textId="77777777" w:rsidR="00DA0121" w:rsidRPr="00063A81" w:rsidRDefault="00DA0121" w:rsidP="00674BAC">
      <w:pPr>
        <w:pStyle w:val="Textpoznpodarou"/>
        <w:rPr>
          <w:sz w:val="16"/>
          <w:szCs w:val="16"/>
        </w:rPr>
      </w:pPr>
      <w:r w:rsidRPr="00063A81">
        <w:rPr>
          <w:rStyle w:val="Znakapoznpodarou"/>
          <w:sz w:val="16"/>
          <w:szCs w:val="16"/>
        </w:rPr>
        <w:footnoteRef/>
      </w:r>
      <w:r w:rsidRPr="00063A81">
        <w:rPr>
          <w:sz w:val="16"/>
          <w:szCs w:val="16"/>
        </w:rPr>
        <w:t xml:space="preserve"> Ceny dovozu zboží</w:t>
      </w:r>
      <w:r>
        <w:rPr>
          <w:sz w:val="16"/>
          <w:szCs w:val="16"/>
        </w:rPr>
        <w:t xml:space="preserve"> ve 2. čtvrtletí</w:t>
      </w:r>
      <w:r w:rsidRPr="00063A81">
        <w:rPr>
          <w:sz w:val="16"/>
          <w:szCs w:val="16"/>
        </w:rPr>
        <w:t xml:space="preserve"> </w:t>
      </w:r>
      <w:r>
        <w:rPr>
          <w:sz w:val="16"/>
          <w:szCs w:val="16"/>
        </w:rPr>
        <w:t>meziročně klesly o 7,6 % a mezičtvrtletně se propadly o 4,5 %. C</w:t>
      </w:r>
      <w:r w:rsidRPr="000B767B">
        <w:rPr>
          <w:sz w:val="16"/>
          <w:szCs w:val="16"/>
        </w:rPr>
        <w:t xml:space="preserve">eny minerálních paliv </w:t>
      </w:r>
      <w:r>
        <w:rPr>
          <w:sz w:val="16"/>
          <w:szCs w:val="16"/>
        </w:rPr>
        <w:t xml:space="preserve">byly nižší </w:t>
      </w:r>
      <w:r w:rsidRPr="000B767B">
        <w:rPr>
          <w:sz w:val="16"/>
          <w:szCs w:val="16"/>
        </w:rPr>
        <w:t xml:space="preserve">o 32,0 % (hlavně ropy a ropných výrobků, plynu a elektřiny), ostatních surovin o 15,8 % (především rud kovů a kovového odpadu) </w:t>
      </w:r>
      <w:r>
        <w:rPr>
          <w:sz w:val="16"/>
          <w:szCs w:val="16"/>
        </w:rPr>
        <w:br/>
      </w:r>
      <w:r w:rsidRPr="000B767B">
        <w:rPr>
          <w:sz w:val="16"/>
          <w:szCs w:val="16"/>
        </w:rPr>
        <w:t>a chemikálií o 10,9 % (zvláště plastů).</w:t>
      </w:r>
    </w:p>
  </w:footnote>
  <w:footnote w:id="46">
    <w:p w14:paraId="494957D6" w14:textId="77777777" w:rsidR="00DA0121" w:rsidRPr="009424B8" w:rsidRDefault="00DA0121" w:rsidP="00674BAC">
      <w:pPr>
        <w:pStyle w:val="Textpoznpodarou"/>
        <w:rPr>
          <w:sz w:val="16"/>
          <w:szCs w:val="16"/>
        </w:rPr>
      </w:pPr>
      <w:r w:rsidRPr="009424B8">
        <w:rPr>
          <w:rStyle w:val="Znakapoznpodarou"/>
          <w:sz w:val="16"/>
          <w:szCs w:val="16"/>
        </w:rPr>
        <w:footnoteRef/>
      </w:r>
      <w:r w:rsidRPr="009424B8">
        <w:rPr>
          <w:sz w:val="16"/>
          <w:szCs w:val="16"/>
        </w:rPr>
        <w:t xml:space="preserve"> Norsko představuje „nový“ zdroj zemního plynu a náhradu za výpadek u dovozu</w:t>
      </w:r>
      <w:r>
        <w:rPr>
          <w:sz w:val="16"/>
          <w:szCs w:val="16"/>
        </w:rPr>
        <w:t xml:space="preserve"> této komodity</w:t>
      </w:r>
      <w:r w:rsidRPr="009424B8">
        <w:rPr>
          <w:sz w:val="16"/>
          <w:szCs w:val="16"/>
        </w:rPr>
        <w:t xml:space="preserve"> z Ruska.</w:t>
      </w:r>
    </w:p>
  </w:footnote>
  <w:footnote w:id="47">
    <w:p w14:paraId="471BB2AB" w14:textId="77777777" w:rsidR="00DA0121" w:rsidRPr="008D5381" w:rsidRDefault="00DA0121" w:rsidP="00C6020C">
      <w:pPr>
        <w:pStyle w:val="Textpoznpodarou"/>
        <w:rPr>
          <w:sz w:val="16"/>
          <w:szCs w:val="16"/>
        </w:rPr>
      </w:pPr>
      <w:r w:rsidRPr="008D5381">
        <w:rPr>
          <w:rStyle w:val="Znakapoznpodarou"/>
          <w:sz w:val="16"/>
          <w:szCs w:val="16"/>
        </w:rPr>
        <w:footnoteRef/>
      </w:r>
      <w:r w:rsidRPr="008D5381">
        <w:rPr>
          <w:sz w:val="16"/>
          <w:szCs w:val="16"/>
        </w:rPr>
        <w:t xml:space="preserve"> Mezi červnem 2023 a prosincem 2022 se spotřebitelské ceny zvýšily o 7,2 %. Z toho většina z posunu připadá na leden, kdy se obvykle mění ceníky a letos nárůst zahrnul i zrušení energetického tarifu </w:t>
      </w:r>
      <w:r>
        <w:rPr>
          <w:sz w:val="16"/>
          <w:szCs w:val="16"/>
        </w:rPr>
        <w:t>–</w:t>
      </w:r>
      <w:r w:rsidRPr="008D5381">
        <w:rPr>
          <w:sz w:val="16"/>
          <w:szCs w:val="16"/>
        </w:rPr>
        <w:t xml:space="preserve"> mezi letošním červnem a lednem </w:t>
      </w:r>
      <w:r>
        <w:rPr>
          <w:sz w:val="16"/>
          <w:szCs w:val="16"/>
        </w:rPr>
        <w:t xml:space="preserve">dosáhlo </w:t>
      </w:r>
      <w:r w:rsidRPr="008D5381">
        <w:rPr>
          <w:sz w:val="16"/>
          <w:szCs w:val="16"/>
        </w:rPr>
        <w:t>navýšení cen jen 1,2 %. Mezi červnem 2022 a prosince</w:t>
      </w:r>
      <w:r>
        <w:rPr>
          <w:sz w:val="16"/>
          <w:szCs w:val="16"/>
        </w:rPr>
        <w:t>m</w:t>
      </w:r>
      <w:r w:rsidRPr="008D5381">
        <w:rPr>
          <w:sz w:val="16"/>
          <w:szCs w:val="16"/>
        </w:rPr>
        <w:t xml:space="preserve"> 2021 ale přírůstek dosáhl 13,2 % a z toho mezi červnem a lednem ceny vzrostly o 8,3 %.  </w:t>
      </w:r>
    </w:p>
  </w:footnote>
  <w:footnote w:id="48">
    <w:p w14:paraId="0CA22C48" w14:textId="77777777" w:rsidR="00DA0121" w:rsidRPr="00114669" w:rsidRDefault="00DA0121" w:rsidP="00C6020C">
      <w:pPr>
        <w:pStyle w:val="Textpoznpodarou"/>
        <w:rPr>
          <w:sz w:val="16"/>
          <w:szCs w:val="16"/>
        </w:rPr>
      </w:pPr>
      <w:r w:rsidRPr="000A4298">
        <w:rPr>
          <w:rStyle w:val="Znakapoznpodarou"/>
          <w:sz w:val="16"/>
          <w:szCs w:val="16"/>
        </w:rPr>
        <w:footnoteRef/>
      </w:r>
      <w:r>
        <w:rPr>
          <w:sz w:val="16"/>
          <w:szCs w:val="16"/>
        </w:rPr>
        <w:t xml:space="preserve"> I</w:t>
      </w:r>
      <w:r w:rsidRPr="000A4298">
        <w:rPr>
          <w:sz w:val="16"/>
          <w:szCs w:val="16"/>
        </w:rPr>
        <w:t>mputované nájemné vyjadřuje náklady vlastnického bydlení.</w:t>
      </w:r>
      <w:r>
        <w:rPr>
          <w:sz w:val="16"/>
          <w:szCs w:val="16"/>
        </w:rPr>
        <w:t xml:space="preserve"> Kromě samotných cen bydlení zahrnuje i náklady na výstavbu a renovace a další poplatky. Více na:</w:t>
      </w:r>
      <w:r w:rsidRPr="000A4298">
        <w:rPr>
          <w:sz w:val="16"/>
          <w:szCs w:val="16"/>
        </w:rPr>
        <w:t xml:space="preserve"> </w:t>
      </w:r>
      <w:hyperlink r:id="rId2" w:history="1">
        <w:r w:rsidRPr="000A4298">
          <w:rPr>
            <w:rStyle w:val="Hypertextovodkaz"/>
            <w:sz w:val="16"/>
            <w:szCs w:val="16"/>
          </w:rPr>
          <w:t>https://www.czso.cz/csu/czso/metodicka-poznamka-k-indexu-spotrebitelskych-cen-imputovane-najemne</w:t>
        </w:r>
      </w:hyperlink>
      <w:r>
        <w:rPr>
          <w:rStyle w:val="Hypertextovodkaz"/>
          <w:sz w:val="16"/>
          <w:szCs w:val="16"/>
          <w:u w:val="none"/>
        </w:rPr>
        <w:t>.</w:t>
      </w:r>
    </w:p>
  </w:footnote>
  <w:footnote w:id="49">
    <w:p w14:paraId="44898EB0" w14:textId="77777777" w:rsidR="00DA0121" w:rsidRPr="00720921" w:rsidRDefault="00DA0121" w:rsidP="00C6020C">
      <w:pPr>
        <w:pStyle w:val="Textpoznpodarou"/>
        <w:rPr>
          <w:sz w:val="16"/>
          <w:szCs w:val="16"/>
        </w:rPr>
      </w:pPr>
      <w:r w:rsidRPr="00720921">
        <w:rPr>
          <w:rStyle w:val="Znakapoznpodarou"/>
          <w:sz w:val="16"/>
          <w:szCs w:val="16"/>
        </w:rPr>
        <w:footnoteRef/>
      </w:r>
      <w:r w:rsidRPr="00720921">
        <w:rPr>
          <w:sz w:val="16"/>
          <w:szCs w:val="16"/>
        </w:rPr>
        <w:t xml:space="preserve"> Zahrnuje služby osobní péče</w:t>
      </w:r>
      <w:r>
        <w:rPr>
          <w:sz w:val="16"/>
          <w:szCs w:val="16"/>
        </w:rPr>
        <w:t xml:space="preserve"> a osobní potřeby a doplňky</w:t>
      </w:r>
      <w:r w:rsidRPr="00720921">
        <w:rPr>
          <w:sz w:val="16"/>
          <w:szCs w:val="16"/>
        </w:rPr>
        <w:t>, sociální péči, pojištění a další finanční služby apod.</w:t>
      </w:r>
    </w:p>
  </w:footnote>
  <w:footnote w:id="50">
    <w:p w14:paraId="6C33C92E" w14:textId="77777777" w:rsidR="00DA0121" w:rsidRPr="00C055FA" w:rsidRDefault="00DA0121" w:rsidP="00C6020C">
      <w:pPr>
        <w:pStyle w:val="Textpoznpodarou"/>
        <w:rPr>
          <w:sz w:val="16"/>
          <w:szCs w:val="16"/>
        </w:rPr>
      </w:pPr>
      <w:r w:rsidRPr="00C055FA">
        <w:rPr>
          <w:rStyle w:val="Znakapoznpodarou"/>
          <w:sz w:val="16"/>
          <w:szCs w:val="16"/>
        </w:rPr>
        <w:footnoteRef/>
      </w:r>
      <w:r w:rsidRPr="00C055FA">
        <w:rPr>
          <w:sz w:val="16"/>
          <w:szCs w:val="16"/>
        </w:rPr>
        <w:t xml:space="preserve"> </w:t>
      </w:r>
      <w:r>
        <w:rPr>
          <w:sz w:val="16"/>
          <w:szCs w:val="16"/>
        </w:rPr>
        <w:t xml:space="preserve">Oproti indexu spotřebitelských cen, který ČSÚ pro českou ekonomiku sestavuje, </w:t>
      </w:r>
      <w:r w:rsidRPr="00C055FA">
        <w:rPr>
          <w:sz w:val="16"/>
          <w:szCs w:val="16"/>
        </w:rPr>
        <w:t>HICP neobsahuje imputované nájemné</w:t>
      </w:r>
      <w:r>
        <w:rPr>
          <w:sz w:val="16"/>
          <w:szCs w:val="16"/>
        </w:rPr>
        <w:t>, což bývá zdrojem rozdílů mezi HICP a Indexem spotřebitelských cen</w:t>
      </w:r>
      <w:r w:rsidRPr="00C055FA">
        <w:rPr>
          <w:sz w:val="16"/>
          <w:szCs w:val="16"/>
        </w:rPr>
        <w:t>.</w:t>
      </w:r>
    </w:p>
  </w:footnote>
  <w:footnote w:id="51">
    <w:p w14:paraId="19B9E259" w14:textId="77777777" w:rsidR="00DA0121" w:rsidRPr="005F66A4" w:rsidRDefault="00DA0121" w:rsidP="00C6020C">
      <w:pPr>
        <w:pStyle w:val="Textpoznpodarou"/>
        <w:rPr>
          <w:sz w:val="16"/>
          <w:szCs w:val="16"/>
        </w:rPr>
      </w:pPr>
      <w:r w:rsidRPr="005F66A4">
        <w:rPr>
          <w:rStyle w:val="Znakapoznpodarou"/>
          <w:sz w:val="16"/>
          <w:szCs w:val="16"/>
        </w:rPr>
        <w:footnoteRef/>
      </w:r>
      <w:r w:rsidRPr="005F66A4">
        <w:rPr>
          <w:sz w:val="16"/>
          <w:szCs w:val="16"/>
        </w:rPr>
        <w:t xml:space="preserve"> </w:t>
      </w:r>
      <w:r>
        <w:rPr>
          <w:sz w:val="16"/>
          <w:szCs w:val="16"/>
        </w:rPr>
        <w:t>Přesné hodnoty ukazatele nejsou uvedeny kvůli ochraně i</w:t>
      </w:r>
      <w:r w:rsidRPr="005F66A4">
        <w:rPr>
          <w:sz w:val="16"/>
          <w:szCs w:val="16"/>
        </w:rPr>
        <w:t>ndividuální</w:t>
      </w:r>
      <w:r>
        <w:rPr>
          <w:sz w:val="16"/>
          <w:szCs w:val="16"/>
        </w:rPr>
        <w:t>ch</w:t>
      </w:r>
      <w:r w:rsidRPr="005F66A4">
        <w:rPr>
          <w:sz w:val="16"/>
          <w:szCs w:val="16"/>
        </w:rPr>
        <w:t xml:space="preserve"> dat.</w:t>
      </w:r>
    </w:p>
  </w:footnote>
  <w:footnote w:id="52">
    <w:p w14:paraId="0B2D34E5" w14:textId="77777777" w:rsidR="00DA0121" w:rsidRPr="000C5F73" w:rsidRDefault="00DA0121" w:rsidP="00C6020C">
      <w:pPr>
        <w:pStyle w:val="Textpoznpodarou"/>
        <w:rPr>
          <w:sz w:val="16"/>
          <w:szCs w:val="16"/>
        </w:rPr>
      </w:pPr>
      <w:r w:rsidRPr="000C5F73">
        <w:rPr>
          <w:rStyle w:val="Znakapoznpodarou"/>
          <w:sz w:val="16"/>
          <w:szCs w:val="16"/>
        </w:rPr>
        <w:footnoteRef/>
      </w:r>
      <w:r w:rsidRPr="000C5F73">
        <w:rPr>
          <w:sz w:val="16"/>
          <w:szCs w:val="16"/>
        </w:rPr>
        <w:t xml:space="preserve"> Bez cen zásobování vodou a</w:t>
      </w:r>
      <w:r>
        <w:rPr>
          <w:sz w:val="16"/>
          <w:szCs w:val="16"/>
        </w:rPr>
        <w:t> </w:t>
      </w:r>
      <w:r w:rsidRPr="000C5F73">
        <w:rPr>
          <w:sz w:val="16"/>
          <w:szCs w:val="16"/>
        </w:rPr>
        <w:t>služeb souvisejících s odpadními vodami.</w:t>
      </w:r>
    </w:p>
  </w:footnote>
  <w:footnote w:id="53">
    <w:p w14:paraId="6052F062" w14:textId="77777777" w:rsidR="00DA0121" w:rsidRPr="00C11C5A" w:rsidRDefault="00DA0121" w:rsidP="00C6020C">
      <w:pPr>
        <w:pStyle w:val="Textpoznpodarou"/>
        <w:rPr>
          <w:sz w:val="16"/>
          <w:szCs w:val="16"/>
        </w:rPr>
      </w:pPr>
      <w:r w:rsidRPr="00C11C5A">
        <w:rPr>
          <w:rStyle w:val="Znakapoznpodarou"/>
          <w:sz w:val="16"/>
          <w:szCs w:val="16"/>
        </w:rPr>
        <w:footnoteRef/>
      </w:r>
      <w:r>
        <w:rPr>
          <w:sz w:val="16"/>
          <w:szCs w:val="16"/>
        </w:rPr>
        <w:t xml:space="preserve"> Podle údajů ČNB byl ve 2. čtvrtletí 2023 </w:t>
      </w:r>
      <w:r w:rsidRPr="00C11C5A">
        <w:rPr>
          <w:sz w:val="16"/>
          <w:szCs w:val="16"/>
        </w:rPr>
        <w:t xml:space="preserve">průměrný kurz koruny vůči euru </w:t>
      </w:r>
      <w:r>
        <w:rPr>
          <w:sz w:val="16"/>
          <w:szCs w:val="16"/>
        </w:rPr>
        <w:t>23,588 </w:t>
      </w:r>
      <w:r w:rsidRPr="00C11C5A">
        <w:rPr>
          <w:sz w:val="16"/>
          <w:szCs w:val="16"/>
        </w:rPr>
        <w:t xml:space="preserve">CZK/EUR. </w:t>
      </w:r>
      <w:r>
        <w:rPr>
          <w:sz w:val="16"/>
          <w:szCs w:val="16"/>
        </w:rPr>
        <w:t>V roce 2022</w:t>
      </w:r>
      <w:r w:rsidRPr="00C11C5A">
        <w:rPr>
          <w:sz w:val="16"/>
          <w:szCs w:val="16"/>
        </w:rPr>
        <w:t xml:space="preserve"> to bylo </w:t>
      </w:r>
      <w:r>
        <w:rPr>
          <w:sz w:val="16"/>
          <w:szCs w:val="16"/>
        </w:rPr>
        <w:t xml:space="preserve">24,644 </w:t>
      </w:r>
      <w:r w:rsidRPr="00C11C5A">
        <w:rPr>
          <w:sz w:val="16"/>
          <w:szCs w:val="16"/>
        </w:rPr>
        <w:t xml:space="preserve">CZK/EUR. </w:t>
      </w:r>
      <w:r>
        <w:rPr>
          <w:sz w:val="16"/>
          <w:szCs w:val="16"/>
        </w:rPr>
        <w:t>Kurz dolaru meziročně výrazně posílil</w:t>
      </w:r>
      <w:r w:rsidRPr="00C11C5A">
        <w:rPr>
          <w:sz w:val="16"/>
          <w:szCs w:val="16"/>
        </w:rPr>
        <w:t xml:space="preserve">. </w:t>
      </w:r>
      <w:r>
        <w:rPr>
          <w:sz w:val="16"/>
          <w:szCs w:val="16"/>
        </w:rPr>
        <w:t xml:space="preserve">Ve 2. čtvrtletí 2022 </w:t>
      </w:r>
      <w:r w:rsidRPr="00C11C5A">
        <w:rPr>
          <w:sz w:val="16"/>
          <w:szCs w:val="16"/>
        </w:rPr>
        <w:t xml:space="preserve">činil </w:t>
      </w:r>
      <w:r>
        <w:rPr>
          <w:sz w:val="16"/>
          <w:szCs w:val="16"/>
        </w:rPr>
        <w:t xml:space="preserve">průměr 23,156 </w:t>
      </w:r>
      <w:r w:rsidRPr="00C11C5A">
        <w:rPr>
          <w:sz w:val="16"/>
          <w:szCs w:val="16"/>
        </w:rPr>
        <w:t>CZK/USD</w:t>
      </w:r>
      <w:r>
        <w:rPr>
          <w:sz w:val="16"/>
          <w:szCs w:val="16"/>
        </w:rPr>
        <w:t xml:space="preserve"> a letos</w:t>
      </w:r>
      <w:r w:rsidRPr="00C11C5A">
        <w:rPr>
          <w:sz w:val="16"/>
          <w:szCs w:val="16"/>
        </w:rPr>
        <w:t xml:space="preserve"> 2</w:t>
      </w:r>
      <w:r>
        <w:rPr>
          <w:sz w:val="16"/>
          <w:szCs w:val="16"/>
        </w:rPr>
        <w:t>1,673 </w:t>
      </w:r>
      <w:r w:rsidRPr="00C11C5A">
        <w:rPr>
          <w:sz w:val="16"/>
          <w:szCs w:val="16"/>
        </w:rPr>
        <w:t>CZK/U</w:t>
      </w:r>
      <w:r>
        <w:rPr>
          <w:sz w:val="16"/>
          <w:szCs w:val="16"/>
        </w:rPr>
        <w:t>SD</w:t>
      </w:r>
      <w:r w:rsidRPr="00C11C5A">
        <w:rPr>
          <w:sz w:val="16"/>
          <w:szCs w:val="16"/>
        </w:rPr>
        <w:t>.</w:t>
      </w:r>
    </w:p>
  </w:footnote>
  <w:footnote w:id="54">
    <w:p w14:paraId="68DCCC78" w14:textId="77777777" w:rsidR="00DA0121" w:rsidRPr="00940B11" w:rsidRDefault="00DA0121" w:rsidP="00C6020C">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2</w:t>
      </w:r>
      <w:r>
        <w:rPr>
          <w:sz w:val="16"/>
          <w:szCs w:val="16"/>
        </w:rPr>
        <w:t> </w:t>
      </w:r>
      <w:r w:rsidRPr="00940B11">
        <w:rPr>
          <w:sz w:val="16"/>
          <w:szCs w:val="16"/>
        </w:rPr>
        <w:t>– suroviny nepoživatelné s výjimkou paliv</w:t>
      </w:r>
      <w:r>
        <w:rPr>
          <w:sz w:val="16"/>
          <w:szCs w:val="16"/>
        </w:rPr>
        <w:t>.</w:t>
      </w:r>
    </w:p>
  </w:footnote>
  <w:footnote w:id="55">
    <w:p w14:paraId="799D14DF" w14:textId="77777777" w:rsidR="00DA0121" w:rsidRPr="00940B11" w:rsidRDefault="00DA0121" w:rsidP="00C6020C">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6</w:t>
      </w:r>
      <w:r>
        <w:rPr>
          <w:sz w:val="16"/>
          <w:szCs w:val="16"/>
        </w:rPr>
        <w:t> </w:t>
      </w:r>
      <w:r w:rsidRPr="00940B11">
        <w:rPr>
          <w:sz w:val="16"/>
          <w:szCs w:val="16"/>
        </w:rPr>
        <w:t>– tržní výrobky tříděné hlavně podle materiálu</w:t>
      </w:r>
      <w:r>
        <w:rPr>
          <w:sz w:val="16"/>
          <w:szCs w:val="16"/>
        </w:rPr>
        <w:t>.</w:t>
      </w:r>
    </w:p>
  </w:footnote>
  <w:footnote w:id="56">
    <w:p w14:paraId="3B8DB768" w14:textId="77777777" w:rsidR="00DA0121" w:rsidRPr="00F72E52" w:rsidRDefault="00DA0121" w:rsidP="006A3CAF">
      <w:pPr>
        <w:pStyle w:val="Textpoznpodarou"/>
        <w:jc w:val="both"/>
        <w:rPr>
          <w:color w:val="0D0D0D" w:themeColor="text1" w:themeTint="F2"/>
          <w:spacing w:val="-2"/>
          <w:sz w:val="16"/>
          <w:szCs w:val="16"/>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Údaje </w:t>
      </w:r>
      <w:r>
        <w:rPr>
          <w:color w:val="0D0D0D" w:themeColor="text1" w:themeTint="F2"/>
          <w:spacing w:val="-2"/>
          <w:sz w:val="16"/>
          <w:szCs w:val="16"/>
        </w:rPr>
        <w:t xml:space="preserve">o zaměstnanosti </w:t>
      </w:r>
      <w:r w:rsidRPr="00F72E52">
        <w:rPr>
          <w:color w:val="0D0D0D" w:themeColor="text1" w:themeTint="F2"/>
          <w:spacing w:val="-2"/>
          <w:sz w:val="16"/>
          <w:szCs w:val="16"/>
        </w:rPr>
        <w:t>vycház</w:t>
      </w:r>
      <w:r>
        <w:rPr>
          <w:color w:val="0D0D0D" w:themeColor="text1" w:themeTint="F2"/>
          <w:spacing w:val="-2"/>
          <w:sz w:val="16"/>
          <w:szCs w:val="16"/>
        </w:rPr>
        <w:t>ej</w:t>
      </w:r>
      <w:r w:rsidRPr="00F72E52">
        <w:rPr>
          <w:color w:val="0D0D0D" w:themeColor="text1" w:themeTint="F2"/>
          <w:spacing w:val="-2"/>
          <w:sz w:val="16"/>
          <w:szCs w:val="16"/>
        </w:rPr>
        <w:t>í z</w:t>
      </w:r>
      <w:r>
        <w:rPr>
          <w:color w:val="0D0D0D" w:themeColor="text1" w:themeTint="F2"/>
          <w:spacing w:val="-2"/>
          <w:sz w:val="16"/>
          <w:szCs w:val="16"/>
        </w:rPr>
        <w:t> </w:t>
      </w:r>
      <w:r w:rsidRPr="00F72E52">
        <w:rPr>
          <w:color w:val="0D0D0D" w:themeColor="text1" w:themeTint="F2"/>
          <w:spacing w:val="-2"/>
          <w:sz w:val="16"/>
          <w:szCs w:val="16"/>
        </w:rPr>
        <w:t>pojetí národních účtů. Jsou vyjádřeny ve fyzických osobách a</w:t>
      </w:r>
      <w:r>
        <w:rPr>
          <w:color w:val="0D0D0D" w:themeColor="text1" w:themeTint="F2"/>
          <w:spacing w:val="-2"/>
          <w:sz w:val="16"/>
          <w:szCs w:val="16"/>
        </w:rPr>
        <w:t> </w:t>
      </w:r>
      <w:r w:rsidRPr="00F72E52">
        <w:rPr>
          <w:color w:val="0D0D0D" w:themeColor="text1" w:themeTint="F2"/>
          <w:spacing w:val="-2"/>
          <w:sz w:val="16"/>
          <w:szCs w:val="16"/>
        </w:rPr>
        <w:t>očištěny o sezónní vlivy.</w:t>
      </w:r>
      <w:r>
        <w:rPr>
          <w:color w:val="0D0D0D" w:themeColor="text1" w:themeTint="F2"/>
          <w:spacing w:val="-2"/>
          <w:sz w:val="16"/>
          <w:szCs w:val="16"/>
        </w:rPr>
        <w:t xml:space="preserve"> Na rozdíl od údajů z podnikové statistiky či z </w:t>
      </w:r>
      <w:r w:rsidRPr="00946AFA">
        <w:rPr>
          <w:sz w:val="16"/>
          <w:szCs w:val="16"/>
        </w:rPr>
        <w:t xml:space="preserve">výběrového šetření pracovních sil </w:t>
      </w:r>
      <w:r>
        <w:rPr>
          <w:sz w:val="16"/>
          <w:szCs w:val="16"/>
        </w:rPr>
        <w:t>(VŠPS) zahrnují např. i odhad vlivu šedé ekonomiky.</w:t>
      </w:r>
    </w:p>
  </w:footnote>
  <w:footnote w:id="57">
    <w:p w14:paraId="46C1EB98" w14:textId="77777777" w:rsidR="00DA0121" w:rsidRPr="00946AFA" w:rsidRDefault="00DA0121" w:rsidP="006A3CAF">
      <w:pPr>
        <w:pStyle w:val="Textpoznpodarou"/>
        <w:rPr>
          <w:sz w:val="16"/>
          <w:szCs w:val="16"/>
        </w:rPr>
      </w:pPr>
      <w:r w:rsidRPr="00946AFA">
        <w:rPr>
          <w:rStyle w:val="Znakapoznpodarou"/>
          <w:sz w:val="16"/>
          <w:szCs w:val="16"/>
        </w:rPr>
        <w:footnoteRef/>
      </w:r>
      <w:r w:rsidRPr="00946AFA">
        <w:rPr>
          <w:sz w:val="16"/>
          <w:szCs w:val="16"/>
        </w:rPr>
        <w:t xml:space="preserve"> Z detailnějších </w:t>
      </w:r>
      <w:r>
        <w:rPr>
          <w:sz w:val="16"/>
          <w:szCs w:val="16"/>
        </w:rPr>
        <w:t xml:space="preserve">údajů z VŠPS </w:t>
      </w:r>
      <w:r w:rsidRPr="00946AFA">
        <w:rPr>
          <w:sz w:val="16"/>
          <w:szCs w:val="16"/>
        </w:rPr>
        <w:t>plyne, že počet zaměstnavatel</w:t>
      </w:r>
      <w:r>
        <w:rPr>
          <w:sz w:val="16"/>
          <w:szCs w:val="16"/>
        </w:rPr>
        <w:t>ů (podnikatelů se zaměstnanci) ve 2. čtvrtletí meziročně pouze stagnoval (po předchozích čtyřech letech poklesů). Tato skupina podnikatelů je v metodice národních účtů řazena do kategorie zaměstnanců.</w:t>
      </w:r>
    </w:p>
  </w:footnote>
  <w:footnote w:id="58">
    <w:p w14:paraId="187805C1" w14:textId="77777777" w:rsidR="00DA0121" w:rsidRPr="00650B9F" w:rsidRDefault="00DA0121" w:rsidP="006A3CAF">
      <w:pPr>
        <w:pStyle w:val="Textpoznpodarou"/>
        <w:rPr>
          <w:sz w:val="16"/>
          <w:szCs w:val="16"/>
        </w:rPr>
      </w:pPr>
      <w:r w:rsidRPr="00650B9F">
        <w:rPr>
          <w:rStyle w:val="Znakapoznpodarou"/>
          <w:sz w:val="16"/>
          <w:szCs w:val="16"/>
        </w:rPr>
        <w:footnoteRef/>
      </w:r>
      <w:r w:rsidRPr="00650B9F">
        <w:rPr>
          <w:sz w:val="16"/>
          <w:szCs w:val="16"/>
        </w:rPr>
        <w:t xml:space="preserve"> </w:t>
      </w:r>
      <w:r w:rsidRPr="00650B9F">
        <w:rPr>
          <w:color w:val="0D0D0D" w:themeColor="text1" w:themeTint="F2"/>
          <w:spacing w:val="-4"/>
          <w:sz w:val="16"/>
          <w:szCs w:val="16"/>
        </w:rPr>
        <w:t>Ve váhově nejvýznamnějších segmentech ekonomiky – zpracovatelském průmyslu či uskupení obchod, doprava,</w:t>
      </w:r>
      <w:r>
        <w:rPr>
          <w:color w:val="0D0D0D" w:themeColor="text1" w:themeTint="F2"/>
          <w:spacing w:val="-4"/>
          <w:sz w:val="16"/>
          <w:szCs w:val="16"/>
        </w:rPr>
        <w:t xml:space="preserve"> ubytování a pohostinství – byl</w:t>
      </w:r>
      <w:r w:rsidRPr="00650B9F">
        <w:rPr>
          <w:color w:val="0D0D0D" w:themeColor="text1" w:themeTint="F2"/>
          <w:spacing w:val="-4"/>
          <w:sz w:val="16"/>
          <w:szCs w:val="16"/>
        </w:rPr>
        <w:t xml:space="preserve"> letos </w:t>
      </w:r>
      <w:r>
        <w:rPr>
          <w:color w:val="0D0D0D" w:themeColor="text1" w:themeTint="F2"/>
          <w:spacing w:val="-4"/>
          <w:sz w:val="16"/>
          <w:szCs w:val="16"/>
        </w:rPr>
        <w:t xml:space="preserve">jejich počet </w:t>
      </w:r>
      <w:r w:rsidRPr="00650B9F">
        <w:rPr>
          <w:color w:val="0D0D0D" w:themeColor="text1" w:themeTint="F2"/>
          <w:spacing w:val="-4"/>
          <w:sz w:val="16"/>
          <w:szCs w:val="16"/>
        </w:rPr>
        <w:t xml:space="preserve">oproti počátku roku 2019 nižší </w:t>
      </w:r>
      <w:r>
        <w:rPr>
          <w:color w:val="0D0D0D" w:themeColor="text1" w:themeTint="F2"/>
          <w:spacing w:val="-4"/>
          <w:sz w:val="16"/>
          <w:szCs w:val="16"/>
        </w:rPr>
        <w:t xml:space="preserve">o 11 %, resp. 7 %. Naopak nad svými předkrizovými počty se nacházeli sebezaměstnaní zejména v informačních a komunikačních činnostech (+12 %) a ve stavebnictví (+3 %). </w:t>
      </w:r>
    </w:p>
  </w:footnote>
  <w:footnote w:id="59">
    <w:p w14:paraId="4F81874B" w14:textId="77777777" w:rsidR="00DA0121" w:rsidRPr="00965E54" w:rsidRDefault="00DA0121" w:rsidP="006A3CAF">
      <w:pPr>
        <w:pStyle w:val="Textpoznpodarou"/>
        <w:rPr>
          <w:sz w:val="16"/>
          <w:szCs w:val="16"/>
        </w:rPr>
      </w:pPr>
      <w:r w:rsidRPr="00965E54">
        <w:rPr>
          <w:rStyle w:val="Znakapoznpodarou"/>
          <w:sz w:val="16"/>
          <w:szCs w:val="16"/>
        </w:rPr>
        <w:footnoteRef/>
      </w:r>
      <w:r w:rsidRPr="00965E54">
        <w:rPr>
          <w:sz w:val="16"/>
          <w:szCs w:val="16"/>
        </w:rPr>
        <w:t xml:space="preserve"> Např. počet žáků ve školním roce 2022/2023 meziročně rostl neobvykle na všech stupních vzdělávání současně (nejvíce na základních školách – o 4,5 %).</w:t>
      </w:r>
    </w:p>
  </w:footnote>
  <w:footnote w:id="60">
    <w:p w14:paraId="37301B58" w14:textId="77777777" w:rsidR="00DA0121" w:rsidRPr="00965E54" w:rsidRDefault="00DA0121" w:rsidP="006A3CAF">
      <w:pPr>
        <w:pStyle w:val="Textpoznpodarou"/>
        <w:rPr>
          <w:sz w:val="16"/>
          <w:szCs w:val="16"/>
        </w:rPr>
      </w:pPr>
      <w:r w:rsidRPr="00965E54">
        <w:rPr>
          <w:rStyle w:val="Znakapoznpodarou"/>
          <w:sz w:val="16"/>
          <w:szCs w:val="16"/>
        </w:rPr>
        <w:footnoteRef/>
      </w:r>
      <w:r w:rsidRPr="00965E54">
        <w:rPr>
          <w:sz w:val="16"/>
          <w:szCs w:val="16"/>
        </w:rPr>
        <w:t xml:space="preserve"> Z detailnějších údajů podnikové statistiky plyne, že k meziročnímu poklesu evidenčního počtu zaměstnanců došlo ve 2. čtvrtletí ve všech váhově významnějších průmyslových oborech (</w:t>
      </w:r>
      <w:r>
        <w:rPr>
          <w:sz w:val="16"/>
          <w:szCs w:val="16"/>
        </w:rPr>
        <w:t>výrobu</w:t>
      </w:r>
      <w:r w:rsidRPr="00965E54">
        <w:rPr>
          <w:sz w:val="16"/>
          <w:szCs w:val="16"/>
        </w:rPr>
        <w:t xml:space="preserve"> motorových vozidel</w:t>
      </w:r>
      <w:r>
        <w:rPr>
          <w:sz w:val="16"/>
          <w:szCs w:val="16"/>
        </w:rPr>
        <w:t xml:space="preserve"> nevyjímaje</w:t>
      </w:r>
      <w:r w:rsidRPr="00965E54">
        <w:rPr>
          <w:sz w:val="16"/>
          <w:szCs w:val="16"/>
        </w:rPr>
        <w:t>).</w:t>
      </w:r>
    </w:p>
  </w:footnote>
  <w:footnote w:id="61">
    <w:p w14:paraId="4B95C34E" w14:textId="186D3ED9" w:rsidR="00DA0121" w:rsidRPr="00A90530" w:rsidRDefault="00DA0121" w:rsidP="006A3CAF">
      <w:pPr>
        <w:pStyle w:val="Textpoznpodarou"/>
        <w:rPr>
          <w:sz w:val="16"/>
          <w:szCs w:val="16"/>
        </w:rPr>
      </w:pPr>
      <w:r w:rsidRPr="00A90530">
        <w:rPr>
          <w:rStyle w:val="Znakapoznpodarou"/>
          <w:sz w:val="16"/>
          <w:szCs w:val="16"/>
        </w:rPr>
        <w:footnoteRef/>
      </w:r>
      <w:r w:rsidRPr="00A90530">
        <w:rPr>
          <w:sz w:val="16"/>
          <w:szCs w:val="16"/>
        </w:rPr>
        <w:t xml:space="preserve"> </w:t>
      </w:r>
      <w:r>
        <w:rPr>
          <w:sz w:val="16"/>
          <w:szCs w:val="16"/>
        </w:rPr>
        <w:t xml:space="preserve">Z </w:t>
      </w:r>
      <w:r w:rsidRPr="00A90530">
        <w:rPr>
          <w:sz w:val="16"/>
          <w:szCs w:val="16"/>
        </w:rPr>
        <w:t>občanů Ukrajiny registrovaných na úřadech práce</w:t>
      </w:r>
      <w:r>
        <w:rPr>
          <w:sz w:val="16"/>
          <w:szCs w:val="16"/>
        </w:rPr>
        <w:t xml:space="preserve"> tvořily</w:t>
      </w:r>
      <w:r w:rsidRPr="00A90530">
        <w:rPr>
          <w:sz w:val="16"/>
          <w:szCs w:val="16"/>
        </w:rPr>
        <w:t xml:space="preserve"> </w:t>
      </w:r>
      <w:r>
        <w:rPr>
          <w:sz w:val="16"/>
          <w:szCs w:val="16"/>
        </w:rPr>
        <w:t xml:space="preserve">ženy </w:t>
      </w:r>
      <w:r w:rsidRPr="00A90530">
        <w:rPr>
          <w:sz w:val="16"/>
          <w:szCs w:val="16"/>
        </w:rPr>
        <w:t>již 52 %. Nadpoloviční podíl žen se mezi významnějšími skupinami cizinců vyskytoval již pouze u občanů Ruska, Kazachstánu a Thajska. Bezmála již tři čtvrtiny registrovaných pracovníků z Ukrajiny nepotřeboval</w:t>
      </w:r>
      <w:r>
        <w:rPr>
          <w:sz w:val="16"/>
          <w:szCs w:val="16"/>
        </w:rPr>
        <w:t>y</w:t>
      </w:r>
      <w:r w:rsidRPr="00A90530">
        <w:rPr>
          <w:sz w:val="16"/>
          <w:szCs w:val="16"/>
        </w:rPr>
        <w:t xml:space="preserve"> v Česku speciální pracovní oprávnění (např. zaměstnaneckou kartu). </w:t>
      </w:r>
      <w:r>
        <w:rPr>
          <w:sz w:val="16"/>
          <w:szCs w:val="16"/>
        </w:rPr>
        <w:t>Tímto se liší od většiny ostatních zaměstnanců z tzv. třetích zemí“.</w:t>
      </w:r>
    </w:p>
  </w:footnote>
  <w:footnote w:id="62">
    <w:p w14:paraId="4B7253FD" w14:textId="77777777" w:rsidR="00DA0121" w:rsidRPr="009A5FB8" w:rsidRDefault="00DA0121" w:rsidP="006A3CAF">
      <w:pPr>
        <w:pStyle w:val="Textpoznpodarou"/>
        <w:rPr>
          <w:sz w:val="16"/>
          <w:szCs w:val="16"/>
        </w:rPr>
      </w:pPr>
      <w:r w:rsidRPr="009A5FB8">
        <w:rPr>
          <w:rStyle w:val="Znakapoznpodarou"/>
          <w:sz w:val="16"/>
          <w:szCs w:val="16"/>
        </w:rPr>
        <w:footnoteRef/>
      </w:r>
      <w:r w:rsidRPr="009A5FB8">
        <w:rPr>
          <w:sz w:val="16"/>
          <w:szCs w:val="16"/>
        </w:rPr>
        <w:t xml:space="preserve"> U </w:t>
      </w:r>
      <w:r>
        <w:rPr>
          <w:sz w:val="16"/>
          <w:szCs w:val="16"/>
        </w:rPr>
        <w:t>občanů Slovenska činil 7,5 tis.</w:t>
      </w:r>
      <w:r w:rsidRPr="009A5FB8">
        <w:rPr>
          <w:sz w:val="16"/>
          <w:szCs w:val="16"/>
        </w:rPr>
        <w:t>, Filipín (+3,0 tis.), Polska (+2,4 tis.), Ruska a Vietnamu (shodně +1,9 tis.), Indie (+1,8 tis.), Maďar</w:t>
      </w:r>
      <w:r>
        <w:rPr>
          <w:sz w:val="16"/>
          <w:szCs w:val="16"/>
        </w:rPr>
        <w:t xml:space="preserve">ska a Turecka (shodně +1,2 %), </w:t>
      </w:r>
      <w:r w:rsidRPr="009A5FB8">
        <w:rPr>
          <w:sz w:val="16"/>
          <w:szCs w:val="16"/>
        </w:rPr>
        <w:t>Kazachstánu (+1,0 tis.)</w:t>
      </w:r>
      <w:r>
        <w:rPr>
          <w:sz w:val="16"/>
          <w:szCs w:val="16"/>
        </w:rPr>
        <w:t>.</w:t>
      </w:r>
      <w:r w:rsidRPr="009A5FB8">
        <w:rPr>
          <w:sz w:val="16"/>
          <w:szCs w:val="16"/>
        </w:rPr>
        <w:t xml:space="preserve"> Z význa</w:t>
      </w:r>
      <w:r>
        <w:rPr>
          <w:sz w:val="16"/>
          <w:szCs w:val="16"/>
        </w:rPr>
        <w:t>mnějších cizineckých skupin v Česku</w:t>
      </w:r>
      <w:r w:rsidRPr="009A5FB8">
        <w:rPr>
          <w:sz w:val="16"/>
          <w:szCs w:val="16"/>
        </w:rPr>
        <w:t xml:space="preserve"> klesl za posledních 1,5 roku pouze počet zaměstnanců z Běloruska (-0,3 tis.) a Bulharska (-0,1 tis.).  </w:t>
      </w:r>
    </w:p>
  </w:footnote>
  <w:footnote w:id="63">
    <w:p w14:paraId="7C0CE3C7" w14:textId="77777777" w:rsidR="00DA0121" w:rsidRPr="00A20936" w:rsidRDefault="00DA0121" w:rsidP="006A3CAF">
      <w:pPr>
        <w:pStyle w:val="Textpoznpodarou"/>
        <w:rPr>
          <w:color w:val="0D0D0D" w:themeColor="text1" w:themeTint="F2"/>
          <w:spacing w:val="-4"/>
          <w:sz w:val="16"/>
          <w:szCs w:val="16"/>
        </w:rPr>
      </w:pPr>
      <w:r w:rsidRPr="00A20936">
        <w:rPr>
          <w:rStyle w:val="Znakapoznpodarou"/>
          <w:color w:val="0D0D0D" w:themeColor="text1" w:themeTint="F2"/>
          <w:spacing w:val="-2"/>
          <w:sz w:val="16"/>
          <w:szCs w:val="16"/>
        </w:rPr>
        <w:footnoteRef/>
      </w:r>
      <w:r w:rsidRPr="00A20936">
        <w:rPr>
          <w:color w:val="0D0D0D" w:themeColor="text1" w:themeTint="F2"/>
          <w:spacing w:val="-2"/>
          <w:sz w:val="16"/>
          <w:szCs w:val="16"/>
        </w:rPr>
        <w:t xml:space="preserve"> Redukci počtu zaměstnanc</w:t>
      </w:r>
      <w:r>
        <w:rPr>
          <w:color w:val="0D0D0D" w:themeColor="text1" w:themeTint="F2"/>
          <w:spacing w:val="-2"/>
          <w:sz w:val="16"/>
          <w:szCs w:val="16"/>
        </w:rPr>
        <w:t>ů očekávaly (dle šetření z července</w:t>
      </w:r>
      <w:r w:rsidRPr="00A20936">
        <w:rPr>
          <w:color w:val="0D0D0D" w:themeColor="text1" w:themeTint="F2"/>
          <w:spacing w:val="-2"/>
          <w:sz w:val="16"/>
          <w:szCs w:val="16"/>
        </w:rPr>
        <w:t xml:space="preserve"> 2023) podniky ve výrazné většině průmyslových oborů – jak energeticky náročných (hutnictví, kovovýroba, výroba stavebních materiálů, chemický průmysl či potravinářství</w:t>
      </w:r>
      <w:r>
        <w:rPr>
          <w:color w:val="0D0D0D" w:themeColor="text1" w:themeTint="F2"/>
          <w:spacing w:val="-2"/>
          <w:sz w:val="16"/>
          <w:szCs w:val="16"/>
        </w:rPr>
        <w:t>), dále subdodavatelských oborů pro automobilový průmysl (elektrotechnika, gumárenství, plastikářství) či v řadě</w:t>
      </w:r>
      <w:r w:rsidRPr="00A20936">
        <w:rPr>
          <w:color w:val="0D0D0D" w:themeColor="text1" w:themeTint="F2"/>
          <w:spacing w:val="-2"/>
          <w:sz w:val="16"/>
          <w:szCs w:val="16"/>
        </w:rPr>
        <w:t xml:space="preserve"> </w:t>
      </w:r>
      <w:r>
        <w:rPr>
          <w:color w:val="0D0D0D" w:themeColor="text1" w:themeTint="F2"/>
          <w:spacing w:val="-2"/>
          <w:sz w:val="16"/>
          <w:szCs w:val="16"/>
        </w:rPr>
        <w:t>menších oborů (nápojový, textilní, oděvní</w:t>
      </w:r>
      <w:r w:rsidRPr="00A20936">
        <w:rPr>
          <w:color w:val="0D0D0D" w:themeColor="text1" w:themeTint="F2"/>
          <w:spacing w:val="-2"/>
          <w:sz w:val="16"/>
          <w:szCs w:val="16"/>
        </w:rPr>
        <w:t xml:space="preserve">, </w:t>
      </w:r>
      <w:r>
        <w:rPr>
          <w:color w:val="0D0D0D" w:themeColor="text1" w:themeTint="F2"/>
          <w:spacing w:val="-2"/>
          <w:sz w:val="16"/>
          <w:szCs w:val="16"/>
        </w:rPr>
        <w:t>dřevozpracující a</w:t>
      </w:r>
      <w:r w:rsidRPr="001D108A">
        <w:rPr>
          <w:sz w:val="16"/>
          <w:szCs w:val="16"/>
        </w:rPr>
        <w:t> </w:t>
      </w:r>
      <w:r>
        <w:rPr>
          <w:color w:val="0D0D0D" w:themeColor="text1" w:themeTint="F2"/>
          <w:spacing w:val="-2"/>
          <w:sz w:val="16"/>
          <w:szCs w:val="16"/>
        </w:rPr>
        <w:t xml:space="preserve">papírenský </w:t>
      </w:r>
      <w:r w:rsidRPr="00A20936">
        <w:rPr>
          <w:color w:val="0D0D0D" w:themeColor="text1" w:themeTint="F2"/>
          <w:spacing w:val="-2"/>
          <w:sz w:val="16"/>
          <w:szCs w:val="16"/>
        </w:rPr>
        <w:t xml:space="preserve">průmysl). Naopak mírně pozitivní výhledy přetrvávaly ve výrobě dopravních </w:t>
      </w:r>
      <w:r>
        <w:rPr>
          <w:color w:val="0D0D0D" w:themeColor="text1" w:themeTint="F2"/>
          <w:spacing w:val="-4"/>
          <w:sz w:val="16"/>
          <w:szCs w:val="16"/>
        </w:rPr>
        <w:t>prostředků,</w:t>
      </w:r>
      <w:r w:rsidRPr="00A20936">
        <w:rPr>
          <w:color w:val="0D0D0D" w:themeColor="text1" w:themeTint="F2"/>
          <w:spacing w:val="-4"/>
          <w:sz w:val="16"/>
          <w:szCs w:val="16"/>
        </w:rPr>
        <w:t xml:space="preserve"> počítačů, elektronických a optických přístrojů, z menších oborů pak ve farmacii, tiskárenství</w:t>
      </w:r>
      <w:r>
        <w:rPr>
          <w:color w:val="0D0D0D" w:themeColor="text1" w:themeTint="F2"/>
          <w:spacing w:val="-4"/>
          <w:sz w:val="16"/>
          <w:szCs w:val="16"/>
        </w:rPr>
        <w:t>,</w:t>
      </w:r>
      <w:r w:rsidRPr="00A20936">
        <w:rPr>
          <w:color w:val="0D0D0D" w:themeColor="text1" w:themeTint="F2"/>
          <w:spacing w:val="-4"/>
          <w:sz w:val="16"/>
          <w:szCs w:val="16"/>
        </w:rPr>
        <w:t xml:space="preserve"> obu</w:t>
      </w:r>
      <w:r>
        <w:rPr>
          <w:color w:val="0D0D0D" w:themeColor="text1" w:themeTint="F2"/>
          <w:spacing w:val="-4"/>
          <w:sz w:val="16"/>
          <w:szCs w:val="16"/>
        </w:rPr>
        <w:t>vnictví či opravě a instalaci</w:t>
      </w:r>
      <w:r w:rsidRPr="007B0645">
        <w:rPr>
          <w:color w:val="0D0D0D" w:themeColor="text1" w:themeTint="F2"/>
          <w:spacing w:val="-4"/>
          <w:sz w:val="16"/>
          <w:szCs w:val="16"/>
        </w:rPr>
        <w:t xml:space="preserve"> strojů a zařízení</w:t>
      </w:r>
      <w:r>
        <w:rPr>
          <w:color w:val="0D0D0D" w:themeColor="text1" w:themeTint="F2"/>
          <w:spacing w:val="-4"/>
          <w:sz w:val="16"/>
          <w:szCs w:val="16"/>
        </w:rPr>
        <w:t>.</w:t>
      </w:r>
    </w:p>
    <w:p w14:paraId="158B4574" w14:textId="77777777" w:rsidR="00DA0121" w:rsidRPr="006116E7" w:rsidRDefault="00DA0121" w:rsidP="006A3CAF">
      <w:pPr>
        <w:pStyle w:val="Textpoznpodarou"/>
        <w:rPr>
          <w:color w:val="0D0D0D" w:themeColor="text1" w:themeTint="F2"/>
          <w:spacing w:val="-4"/>
          <w:sz w:val="16"/>
          <w:szCs w:val="16"/>
        </w:rPr>
      </w:pPr>
      <w:r w:rsidRPr="00A20936">
        <w:rPr>
          <w:color w:val="0D0D0D" w:themeColor="text1" w:themeTint="F2"/>
          <w:spacing w:val="-4"/>
          <w:sz w:val="16"/>
          <w:szCs w:val="16"/>
        </w:rPr>
        <w:t>Ve službách byla negativní očekávání</w:t>
      </w:r>
      <w:r>
        <w:rPr>
          <w:color w:val="0D0D0D" w:themeColor="text1" w:themeTint="F2"/>
          <w:spacing w:val="-4"/>
          <w:sz w:val="16"/>
          <w:szCs w:val="16"/>
        </w:rPr>
        <w:t xml:space="preserve"> nejvíce patrná v pozemní dopravě</w:t>
      </w:r>
      <w:r w:rsidRPr="00A20936">
        <w:rPr>
          <w:color w:val="0D0D0D" w:themeColor="text1" w:themeTint="F2"/>
          <w:spacing w:val="-4"/>
          <w:sz w:val="16"/>
          <w:szCs w:val="16"/>
        </w:rPr>
        <w:t xml:space="preserve">, </w:t>
      </w:r>
      <w:r>
        <w:rPr>
          <w:color w:val="0D0D0D" w:themeColor="text1" w:themeTint="F2"/>
          <w:spacing w:val="-4"/>
          <w:sz w:val="16"/>
          <w:szCs w:val="16"/>
        </w:rPr>
        <w:t xml:space="preserve">v </w:t>
      </w:r>
      <w:r w:rsidRPr="00A20936">
        <w:rPr>
          <w:color w:val="0D0D0D" w:themeColor="text1" w:themeTint="F2"/>
          <w:spacing w:val="-4"/>
          <w:sz w:val="16"/>
          <w:szCs w:val="16"/>
        </w:rPr>
        <w:t xml:space="preserve">peněžnictví, </w:t>
      </w:r>
      <w:r>
        <w:rPr>
          <w:color w:val="0D0D0D" w:themeColor="text1" w:themeTint="F2"/>
          <w:spacing w:val="-4"/>
          <w:sz w:val="16"/>
          <w:szCs w:val="16"/>
        </w:rPr>
        <w:t xml:space="preserve">v </w:t>
      </w:r>
      <w:r w:rsidRPr="00A20936">
        <w:rPr>
          <w:color w:val="0D0D0D" w:themeColor="text1" w:themeTint="F2"/>
          <w:spacing w:val="-4"/>
          <w:sz w:val="16"/>
          <w:szCs w:val="16"/>
        </w:rPr>
        <w:t>telek</w:t>
      </w:r>
      <w:r>
        <w:rPr>
          <w:color w:val="0D0D0D" w:themeColor="text1" w:themeTint="F2"/>
          <w:spacing w:val="-4"/>
          <w:sz w:val="16"/>
          <w:szCs w:val="16"/>
        </w:rPr>
        <w:t xml:space="preserve">omunikacích, ve </w:t>
      </w:r>
      <w:r w:rsidRPr="00A20936">
        <w:rPr>
          <w:color w:val="0D0D0D" w:themeColor="text1" w:themeTint="F2"/>
          <w:spacing w:val="-4"/>
          <w:sz w:val="16"/>
          <w:szCs w:val="16"/>
        </w:rPr>
        <w:t>vydavatelských činnostech</w:t>
      </w:r>
      <w:r>
        <w:rPr>
          <w:color w:val="0D0D0D" w:themeColor="text1" w:themeTint="F2"/>
          <w:spacing w:val="-4"/>
          <w:sz w:val="16"/>
          <w:szCs w:val="16"/>
        </w:rPr>
        <w:t>,</w:t>
      </w:r>
      <w:r w:rsidRPr="00A20936">
        <w:rPr>
          <w:color w:val="0D0D0D" w:themeColor="text1" w:themeTint="F2"/>
          <w:spacing w:val="-4"/>
          <w:sz w:val="16"/>
          <w:szCs w:val="16"/>
        </w:rPr>
        <w:t xml:space="preserve"> </w:t>
      </w:r>
      <w:r>
        <w:rPr>
          <w:color w:val="0D0D0D" w:themeColor="text1" w:themeTint="F2"/>
          <w:spacing w:val="-4"/>
          <w:sz w:val="16"/>
          <w:szCs w:val="16"/>
        </w:rPr>
        <w:t>u</w:t>
      </w:r>
      <w:r w:rsidRPr="001D108A">
        <w:rPr>
          <w:sz w:val="16"/>
          <w:szCs w:val="16"/>
        </w:rPr>
        <w:t> </w:t>
      </w:r>
      <w:r w:rsidRPr="00A20936">
        <w:rPr>
          <w:color w:val="0D0D0D" w:themeColor="text1" w:themeTint="F2"/>
          <w:spacing w:val="-4"/>
          <w:sz w:val="16"/>
          <w:szCs w:val="16"/>
        </w:rPr>
        <w:t>ce</w:t>
      </w:r>
      <w:r>
        <w:rPr>
          <w:color w:val="0D0D0D" w:themeColor="text1" w:themeTint="F2"/>
          <w:spacing w:val="-4"/>
          <w:sz w:val="16"/>
          <w:szCs w:val="16"/>
        </w:rPr>
        <w:t>stovních kanceláří a agentur, opravě</w:t>
      </w:r>
      <w:r w:rsidRPr="006116E7">
        <w:rPr>
          <w:color w:val="0D0D0D" w:themeColor="text1" w:themeTint="F2"/>
          <w:spacing w:val="-4"/>
          <w:sz w:val="16"/>
          <w:szCs w:val="16"/>
        </w:rPr>
        <w:t xml:space="preserve"> počítačů a výrob</w:t>
      </w:r>
      <w:r>
        <w:rPr>
          <w:color w:val="0D0D0D" w:themeColor="text1" w:themeTint="F2"/>
          <w:spacing w:val="-4"/>
          <w:sz w:val="16"/>
          <w:szCs w:val="16"/>
        </w:rPr>
        <w:t>ků pro osobní potřebu</w:t>
      </w:r>
      <w:r w:rsidRPr="006116E7">
        <w:rPr>
          <w:color w:val="0D0D0D" w:themeColor="text1" w:themeTint="F2"/>
          <w:spacing w:val="-4"/>
          <w:sz w:val="16"/>
          <w:szCs w:val="16"/>
        </w:rPr>
        <w:t xml:space="preserve"> pro domácnost</w:t>
      </w:r>
      <w:r>
        <w:rPr>
          <w:color w:val="0D0D0D" w:themeColor="text1" w:themeTint="F2"/>
          <w:spacing w:val="-4"/>
          <w:sz w:val="16"/>
          <w:szCs w:val="16"/>
        </w:rPr>
        <w:t xml:space="preserve"> či v a</w:t>
      </w:r>
      <w:r w:rsidRPr="006116E7">
        <w:rPr>
          <w:color w:val="0D0D0D" w:themeColor="text1" w:themeTint="F2"/>
          <w:spacing w:val="-4"/>
          <w:sz w:val="16"/>
          <w:szCs w:val="16"/>
        </w:rPr>
        <w:t>dministrativní</w:t>
      </w:r>
      <w:r>
        <w:rPr>
          <w:color w:val="0D0D0D" w:themeColor="text1" w:themeTint="F2"/>
          <w:spacing w:val="-4"/>
          <w:sz w:val="16"/>
          <w:szCs w:val="16"/>
        </w:rPr>
        <w:t>ch, kancelářských a jiných podpůrných</w:t>
      </w:r>
      <w:r w:rsidRPr="006116E7">
        <w:rPr>
          <w:color w:val="0D0D0D" w:themeColor="text1" w:themeTint="F2"/>
          <w:spacing w:val="-4"/>
          <w:sz w:val="16"/>
          <w:szCs w:val="16"/>
        </w:rPr>
        <w:t xml:space="preserve"> činnosti pro podnikání</w:t>
      </w:r>
      <w:r>
        <w:rPr>
          <w:color w:val="0D0D0D" w:themeColor="text1" w:themeTint="F2"/>
          <w:spacing w:val="-4"/>
          <w:sz w:val="16"/>
          <w:szCs w:val="16"/>
        </w:rPr>
        <w:t>.</w:t>
      </w:r>
      <w:r w:rsidRPr="00A20936">
        <w:rPr>
          <w:color w:val="0D0D0D" w:themeColor="text1" w:themeTint="F2"/>
          <w:spacing w:val="-4"/>
          <w:sz w:val="16"/>
          <w:szCs w:val="16"/>
        </w:rPr>
        <w:t xml:space="preserve"> Naopak u řady jiných podnikových služeb (právní a účetnické činnosti, </w:t>
      </w:r>
      <w:r>
        <w:rPr>
          <w:color w:val="0D0D0D" w:themeColor="text1" w:themeTint="F2"/>
          <w:spacing w:val="-4"/>
          <w:sz w:val="16"/>
          <w:szCs w:val="16"/>
        </w:rPr>
        <w:t>a</w:t>
      </w:r>
      <w:r w:rsidRPr="006116E7">
        <w:rPr>
          <w:color w:val="0D0D0D" w:themeColor="text1" w:themeTint="F2"/>
          <w:spacing w:val="-4"/>
          <w:sz w:val="16"/>
          <w:szCs w:val="16"/>
        </w:rPr>
        <w:t>rchitektonické a inženýrské činnosti</w:t>
      </w:r>
      <w:r>
        <w:rPr>
          <w:color w:val="0D0D0D" w:themeColor="text1" w:themeTint="F2"/>
          <w:spacing w:val="-4"/>
          <w:sz w:val="16"/>
          <w:szCs w:val="16"/>
        </w:rPr>
        <w:t>,</w:t>
      </w:r>
      <w:r w:rsidRPr="006116E7">
        <w:rPr>
          <w:color w:val="0D0D0D" w:themeColor="text1" w:themeTint="F2"/>
          <w:spacing w:val="-4"/>
          <w:sz w:val="16"/>
          <w:szCs w:val="16"/>
        </w:rPr>
        <w:t xml:space="preserve"> </w:t>
      </w:r>
      <w:r w:rsidRPr="00A20936">
        <w:rPr>
          <w:color w:val="0D0D0D" w:themeColor="text1" w:themeTint="F2"/>
          <w:spacing w:val="-4"/>
          <w:sz w:val="16"/>
          <w:szCs w:val="16"/>
        </w:rPr>
        <w:t>služby pracovních agentur) či v oblasti pojišťovnictví, programování, kurýrních činnostech</w:t>
      </w:r>
      <w:r>
        <w:rPr>
          <w:color w:val="0D0D0D" w:themeColor="text1" w:themeTint="F2"/>
          <w:spacing w:val="-4"/>
          <w:sz w:val="16"/>
          <w:szCs w:val="16"/>
        </w:rPr>
        <w:t>, pohostinství a</w:t>
      </w:r>
      <w:r w:rsidRPr="00A20936">
        <w:rPr>
          <w:color w:val="0D0D0D" w:themeColor="text1" w:themeTint="F2"/>
          <w:spacing w:val="-4"/>
          <w:sz w:val="16"/>
          <w:szCs w:val="16"/>
        </w:rPr>
        <w:t xml:space="preserve"> sk</w:t>
      </w:r>
      <w:r>
        <w:rPr>
          <w:color w:val="0D0D0D" w:themeColor="text1" w:themeTint="F2"/>
          <w:spacing w:val="-4"/>
          <w:sz w:val="16"/>
          <w:szCs w:val="16"/>
        </w:rPr>
        <w:t>ladování podniky předpokládaly</w:t>
      </w:r>
      <w:r w:rsidRPr="00A20936">
        <w:rPr>
          <w:color w:val="0D0D0D" w:themeColor="text1" w:themeTint="F2"/>
          <w:spacing w:val="-4"/>
          <w:sz w:val="16"/>
          <w:szCs w:val="16"/>
        </w:rPr>
        <w:t xml:space="preserve"> </w:t>
      </w:r>
      <w:r>
        <w:rPr>
          <w:color w:val="0D0D0D" w:themeColor="text1" w:themeTint="F2"/>
          <w:spacing w:val="-4"/>
          <w:sz w:val="16"/>
          <w:szCs w:val="16"/>
        </w:rPr>
        <w:t xml:space="preserve">spíše </w:t>
      </w:r>
      <w:r w:rsidRPr="00A20936">
        <w:rPr>
          <w:color w:val="0D0D0D" w:themeColor="text1" w:themeTint="F2"/>
          <w:spacing w:val="-4"/>
          <w:sz w:val="16"/>
          <w:szCs w:val="16"/>
        </w:rPr>
        <w:t>vyšší zaměstnanost.</w:t>
      </w:r>
    </w:p>
  </w:footnote>
  <w:footnote w:id="64">
    <w:p w14:paraId="1AF425DF" w14:textId="77777777" w:rsidR="00DA0121" w:rsidRPr="004E68B1" w:rsidRDefault="00DA0121" w:rsidP="006A3CAF">
      <w:pPr>
        <w:pStyle w:val="Textpoznpodarou"/>
        <w:rPr>
          <w:spacing w:val="-3"/>
          <w:sz w:val="16"/>
          <w:szCs w:val="16"/>
        </w:rPr>
      </w:pPr>
      <w:r w:rsidRPr="004E68B1">
        <w:rPr>
          <w:rStyle w:val="Znakapoznpodarou"/>
          <w:spacing w:val="-3"/>
          <w:sz w:val="16"/>
          <w:szCs w:val="16"/>
        </w:rPr>
        <w:footnoteRef/>
      </w:r>
      <w:r>
        <w:rPr>
          <w:spacing w:val="-3"/>
          <w:sz w:val="16"/>
          <w:szCs w:val="16"/>
        </w:rPr>
        <w:t xml:space="preserve"> Není-li uvedeno jinak, vycházejí v</w:t>
      </w:r>
      <w:r w:rsidRPr="004E68B1">
        <w:rPr>
          <w:spacing w:val="-3"/>
          <w:sz w:val="16"/>
          <w:szCs w:val="16"/>
        </w:rPr>
        <w:t>šechny údaje o </w:t>
      </w:r>
      <w:r>
        <w:rPr>
          <w:spacing w:val="-3"/>
          <w:sz w:val="16"/>
          <w:szCs w:val="16"/>
        </w:rPr>
        <w:t xml:space="preserve">mírách </w:t>
      </w:r>
      <w:r w:rsidRPr="004E68B1">
        <w:rPr>
          <w:spacing w:val="-3"/>
          <w:sz w:val="16"/>
          <w:szCs w:val="16"/>
        </w:rPr>
        <w:t>nezaměstnanosti z</w:t>
      </w:r>
      <w:r>
        <w:rPr>
          <w:spacing w:val="-3"/>
          <w:sz w:val="16"/>
          <w:szCs w:val="16"/>
        </w:rPr>
        <w:t> VŠPS (dle metodiky ILO) a jsou očištěny o sezónní vlivy.</w:t>
      </w:r>
    </w:p>
  </w:footnote>
  <w:footnote w:id="65">
    <w:p w14:paraId="235D8E5E" w14:textId="75273123" w:rsidR="00DA0121" w:rsidRPr="001D108A" w:rsidRDefault="00DA0121" w:rsidP="006A3CAF">
      <w:pPr>
        <w:pStyle w:val="paragraph"/>
        <w:spacing w:before="0" w:beforeAutospacing="0" w:after="0" w:afterAutospacing="0"/>
        <w:textAlignment w:val="baseline"/>
        <w:rPr>
          <w:rFonts w:ascii="Arial" w:hAnsi="Arial" w:cs="Arial"/>
          <w:sz w:val="20"/>
          <w:szCs w:val="20"/>
        </w:rPr>
      </w:pPr>
      <w:r w:rsidRPr="001D108A">
        <w:rPr>
          <w:rFonts w:ascii="Arial" w:eastAsia="Calibri" w:hAnsi="Arial"/>
          <w:color w:val="0D0D0D" w:themeColor="text1" w:themeTint="F2"/>
          <w:spacing w:val="-4"/>
          <w:sz w:val="16"/>
          <w:szCs w:val="16"/>
          <w:vertAlign w:val="superscript"/>
        </w:rPr>
        <w:footnoteRef/>
      </w:r>
      <w:r w:rsidRPr="001D108A">
        <w:rPr>
          <w:rFonts w:ascii="Arial" w:eastAsia="Calibri" w:hAnsi="Arial"/>
          <w:color w:val="0D0D0D" w:themeColor="text1" w:themeTint="F2"/>
          <w:spacing w:val="-4"/>
          <w:sz w:val="16"/>
          <w:szCs w:val="16"/>
        </w:rPr>
        <w:t xml:space="preserve"> </w:t>
      </w:r>
      <w:r w:rsidRPr="001D108A">
        <w:rPr>
          <w:rFonts w:ascii="Arial" w:eastAsia="Calibri" w:hAnsi="Arial"/>
          <w:sz w:val="16"/>
          <w:szCs w:val="16"/>
        </w:rPr>
        <w:t>Česku stále patřila významná pozice mezi státy EU. Nižší celkovou nezaměstnanost (osob ve věku 15</w:t>
      </w:r>
      <w:r>
        <w:rPr>
          <w:rFonts w:ascii="Arial" w:eastAsia="Calibri" w:hAnsi="Arial"/>
          <w:sz w:val="16"/>
          <w:szCs w:val="16"/>
        </w:rPr>
        <w:t>–</w:t>
      </w:r>
      <w:r w:rsidRPr="001D108A">
        <w:rPr>
          <w:rFonts w:ascii="Arial" w:eastAsia="Calibri" w:hAnsi="Arial"/>
          <w:sz w:val="16"/>
          <w:szCs w:val="16"/>
        </w:rPr>
        <w:t xml:space="preserve">74 let) než v tuzemsku vykázala v červenci jen Malta (2,5 %). Mezi středoevropskými státy si držely nezaměstnanost pod 3 % Polsko i Německo, vyšší byla na Slovensku (5,8 %) a </w:t>
      </w:r>
      <w:r>
        <w:rPr>
          <w:rFonts w:ascii="Arial" w:eastAsia="Calibri" w:hAnsi="Arial"/>
          <w:sz w:val="16"/>
          <w:szCs w:val="16"/>
        </w:rPr>
        <w:t xml:space="preserve">v </w:t>
      </w:r>
      <w:r w:rsidRPr="001D108A">
        <w:rPr>
          <w:rFonts w:ascii="Arial" w:eastAsia="Calibri" w:hAnsi="Arial"/>
          <w:sz w:val="16"/>
          <w:szCs w:val="16"/>
        </w:rPr>
        <w:t xml:space="preserve">Rakousku (5,6 %). V celé EU se tradičně s největšími problémy potýkalo Španělsko (11,6 %) a Řecko (10,8 %). Nezaměstnanost setrvávala v EU (5,9 %) i </w:t>
      </w:r>
      <w:r>
        <w:rPr>
          <w:rFonts w:ascii="Arial" w:eastAsia="Calibri" w:hAnsi="Arial"/>
          <w:sz w:val="16"/>
          <w:szCs w:val="16"/>
        </w:rPr>
        <w:t xml:space="preserve">v </w:t>
      </w:r>
      <w:r w:rsidRPr="001D108A">
        <w:rPr>
          <w:rFonts w:ascii="Arial" w:eastAsia="Calibri" w:hAnsi="Arial"/>
          <w:sz w:val="16"/>
          <w:szCs w:val="16"/>
        </w:rPr>
        <w:t xml:space="preserve">eurozóně (6,4 %) na velmi nízkých hodnotách, oproti letošnímu červnu stagnovala a ve srovnání s konjunkturálním rokem 2008 byla nižší o více než 1 p. b. </w:t>
      </w:r>
    </w:p>
  </w:footnote>
  <w:footnote w:id="66">
    <w:p w14:paraId="572B6205" w14:textId="77777777" w:rsidR="00DA0121" w:rsidRPr="00EC5D23" w:rsidRDefault="00DA0121" w:rsidP="006A3CAF">
      <w:pPr>
        <w:pStyle w:val="Textpoznpodarou"/>
        <w:rPr>
          <w:sz w:val="16"/>
          <w:szCs w:val="16"/>
        </w:rPr>
      </w:pPr>
      <w:r w:rsidRPr="00EC5D23">
        <w:rPr>
          <w:rStyle w:val="Znakapoznpodarou"/>
          <w:sz w:val="16"/>
          <w:szCs w:val="16"/>
        </w:rPr>
        <w:footnoteRef/>
      </w:r>
      <w:r w:rsidRPr="00EC5D23">
        <w:rPr>
          <w:sz w:val="16"/>
          <w:szCs w:val="16"/>
        </w:rPr>
        <w:t xml:space="preserve"> </w:t>
      </w:r>
      <w:r w:rsidRPr="00EC5D23">
        <w:rPr>
          <w:spacing w:val="-3"/>
          <w:sz w:val="16"/>
          <w:szCs w:val="16"/>
        </w:rPr>
        <w:t>Dle údajů MPSV činil sezonně neočištěný podíl dosažitelných uchazečů o zaměstnání ve věku 15 až 64 let</w:t>
      </w:r>
      <w:r>
        <w:rPr>
          <w:spacing w:val="-3"/>
          <w:sz w:val="16"/>
          <w:szCs w:val="16"/>
        </w:rPr>
        <w:t xml:space="preserve"> na obyvatelstvu stejného věku </w:t>
      </w:r>
      <w:r w:rsidRPr="001E4B77">
        <w:rPr>
          <w:spacing w:val="-2"/>
          <w:sz w:val="16"/>
          <w:szCs w:val="16"/>
        </w:rPr>
        <w:t xml:space="preserve">loni v lednu 3,6 %, v červenci 3,3 % a v prosinci 3,7 %. Letos v lednu vystoupal na 3,9 % (nejvýše od května 2021), </w:t>
      </w:r>
      <w:r>
        <w:rPr>
          <w:spacing w:val="-2"/>
          <w:sz w:val="16"/>
          <w:szCs w:val="16"/>
        </w:rPr>
        <w:t xml:space="preserve">v </w:t>
      </w:r>
      <w:r w:rsidRPr="001E4B77">
        <w:rPr>
          <w:spacing w:val="-2"/>
          <w:sz w:val="16"/>
          <w:szCs w:val="16"/>
        </w:rPr>
        <w:t xml:space="preserve">červenci klesl na </w:t>
      </w:r>
      <w:r>
        <w:rPr>
          <w:spacing w:val="-2"/>
          <w:sz w:val="16"/>
          <w:szCs w:val="16"/>
        </w:rPr>
        <w:br/>
      </w:r>
      <w:r w:rsidRPr="001E4B77">
        <w:rPr>
          <w:spacing w:val="-2"/>
          <w:sz w:val="16"/>
          <w:szCs w:val="16"/>
        </w:rPr>
        <w:t>3,5 %.</w:t>
      </w:r>
    </w:p>
  </w:footnote>
  <w:footnote w:id="67">
    <w:p w14:paraId="365C4AA9" w14:textId="77777777" w:rsidR="00DA0121" w:rsidRPr="004A5CB3" w:rsidRDefault="00DA0121" w:rsidP="006A3CAF">
      <w:pPr>
        <w:pStyle w:val="Textpoznpodarou"/>
        <w:rPr>
          <w:sz w:val="16"/>
          <w:szCs w:val="16"/>
        </w:rPr>
      </w:pPr>
      <w:r w:rsidRPr="004A5CB3">
        <w:rPr>
          <w:rStyle w:val="Znakapoznpodarou"/>
          <w:sz w:val="16"/>
          <w:szCs w:val="16"/>
        </w:rPr>
        <w:footnoteRef/>
      </w:r>
      <w:r w:rsidRPr="004A5CB3">
        <w:rPr>
          <w:sz w:val="16"/>
          <w:szCs w:val="16"/>
        </w:rPr>
        <w:t xml:space="preserve"> Jen zlomek tohoto počtu je ovšem schopen </w:t>
      </w:r>
      <w:r>
        <w:rPr>
          <w:sz w:val="16"/>
          <w:szCs w:val="16"/>
        </w:rPr>
        <w:t xml:space="preserve">nastoupit </w:t>
      </w:r>
      <w:r w:rsidRPr="004A5CB3">
        <w:rPr>
          <w:sz w:val="16"/>
          <w:szCs w:val="16"/>
        </w:rPr>
        <w:t>bezprostředně do práce. Významnou část pracovních rezerv totiž tvoří studenti a ženy na rodičovské dovolené.</w:t>
      </w:r>
    </w:p>
  </w:footnote>
  <w:footnote w:id="68">
    <w:p w14:paraId="0DA8FE01" w14:textId="77777777" w:rsidR="00DA0121" w:rsidRPr="007E3267" w:rsidRDefault="00DA0121" w:rsidP="006A3CAF">
      <w:pPr>
        <w:spacing w:after="0"/>
        <w:rPr>
          <w:color w:val="0D0D0D" w:themeColor="text1" w:themeTint="F2"/>
          <w:spacing w:val="-4"/>
          <w:sz w:val="16"/>
          <w:szCs w:val="16"/>
        </w:rPr>
      </w:pPr>
      <w:r w:rsidRPr="007E3267">
        <w:rPr>
          <w:rStyle w:val="Znakapoznpodarou"/>
          <w:sz w:val="16"/>
          <w:szCs w:val="16"/>
        </w:rPr>
        <w:footnoteRef/>
      </w:r>
      <w:r w:rsidRPr="007E3267">
        <w:rPr>
          <w:sz w:val="16"/>
          <w:szCs w:val="16"/>
        </w:rPr>
        <w:t xml:space="preserve"> </w:t>
      </w:r>
      <w:r w:rsidRPr="007E3267">
        <w:rPr>
          <w:color w:val="0D0D0D" w:themeColor="text1" w:themeTint="F2"/>
          <w:spacing w:val="-4"/>
          <w:sz w:val="16"/>
          <w:szCs w:val="16"/>
        </w:rPr>
        <w:t>Aktuální pokles byl však nejslabší v řadě od počátku loňského roku.</w:t>
      </w:r>
    </w:p>
  </w:footnote>
  <w:footnote w:id="69">
    <w:p w14:paraId="27252037" w14:textId="77777777" w:rsidR="00DA0121" w:rsidRPr="00B6005F" w:rsidRDefault="00DA0121" w:rsidP="006A3CAF">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Hrubý disponibilní důchod (HDD) domác</w:t>
      </w:r>
      <w:r>
        <w:rPr>
          <w:spacing w:val="-3"/>
          <w:sz w:val="16"/>
          <w:szCs w:val="16"/>
        </w:rPr>
        <w:t>ností se v reálném vyjádření v 1</w:t>
      </w:r>
      <w:r w:rsidRPr="00B6005F">
        <w:rPr>
          <w:spacing w:val="-3"/>
          <w:sz w:val="16"/>
          <w:szCs w:val="16"/>
        </w:rPr>
        <w:t>. čtvrt</w:t>
      </w:r>
      <w:r>
        <w:rPr>
          <w:spacing w:val="-3"/>
          <w:sz w:val="16"/>
          <w:szCs w:val="16"/>
        </w:rPr>
        <w:t xml:space="preserve">letí 2023 meziročně snížil o 3,4 %, z toho </w:t>
      </w:r>
      <w:r w:rsidRPr="00B6005F">
        <w:rPr>
          <w:spacing w:val="-3"/>
          <w:sz w:val="16"/>
          <w:szCs w:val="16"/>
        </w:rPr>
        <w:t>objem mezd a platů v pojetí národních účtů se ve s</w:t>
      </w:r>
      <w:r>
        <w:rPr>
          <w:spacing w:val="-3"/>
          <w:sz w:val="16"/>
          <w:szCs w:val="16"/>
        </w:rPr>
        <w:t>tejném období reálně propadl o 3,8 % (dle předběžných údajů klesl tento objem i ve 2. čtvrtletí, a to o 1,9 %).</w:t>
      </w:r>
      <w:r w:rsidRPr="00B6005F">
        <w:rPr>
          <w:spacing w:val="-3"/>
          <w:sz w:val="16"/>
          <w:szCs w:val="16"/>
        </w:rPr>
        <w:t xml:space="preserve"> Mzdy a platy zohledňují (na rozdíl od podnikové statistiky) i další faktory, např. šedou ekonomiku, možné zvýšení ekonomické aktivity obyvatel, např. formou druhých zaměstnání či dohod o provedení práce. HDD zahrnuje vedle mezd a platů i p</w:t>
      </w:r>
      <w:r>
        <w:rPr>
          <w:spacing w:val="-3"/>
          <w:sz w:val="16"/>
          <w:szCs w:val="16"/>
        </w:rPr>
        <w:t>říjmy plynoucí z podnikání či z</w:t>
      </w:r>
      <w:r w:rsidRPr="001D108A">
        <w:rPr>
          <w:sz w:val="16"/>
          <w:szCs w:val="16"/>
        </w:rPr>
        <w:t> </w:t>
      </w:r>
      <w:r w:rsidRPr="00B6005F">
        <w:rPr>
          <w:spacing w:val="-3"/>
          <w:sz w:val="16"/>
          <w:szCs w:val="16"/>
        </w:rPr>
        <w:t xml:space="preserve">vlastnictví kapitálu a také sociální transfery od státu, vč. donedávna plně valorizovaných starobních důchodů (efekt úpravy valorizačního schématu z důvodu úsporných opatření se poprvé projevil v červnu 2023). </w:t>
      </w:r>
    </w:p>
  </w:footnote>
  <w:footnote w:id="70">
    <w:p w14:paraId="5651AC21" w14:textId="77777777" w:rsidR="00DA0121" w:rsidRPr="00B6005F" w:rsidRDefault="00DA0121" w:rsidP="006A3CAF">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Výjimkou bylo odvětví veřejné správy, obrany a sociálního zabezpečení. Od 1. září 2022 došlo k 10%</w:t>
      </w:r>
      <w:r>
        <w:rPr>
          <w:spacing w:val="-3"/>
          <w:sz w:val="16"/>
          <w:szCs w:val="16"/>
        </w:rPr>
        <w:t xml:space="preserve"> navýšení platových tarifů </w:t>
      </w:r>
      <w:r w:rsidRPr="00477E4D">
        <w:rPr>
          <w:spacing w:val="-4"/>
          <w:sz w:val="16"/>
          <w:szCs w:val="16"/>
        </w:rPr>
        <w:t>u zaměstnanců spadajících po</w:t>
      </w:r>
      <w:r>
        <w:rPr>
          <w:spacing w:val="-4"/>
          <w:sz w:val="16"/>
          <w:szCs w:val="16"/>
        </w:rPr>
        <w:t>d</w:t>
      </w:r>
      <w:r w:rsidRPr="00477E4D">
        <w:rPr>
          <w:spacing w:val="-4"/>
          <w:sz w:val="16"/>
          <w:szCs w:val="16"/>
        </w:rPr>
        <w:t xml:space="preserve"> služební zákon. Od ledna 2023 se zvýšily i platové tarify u vojáků a příslušníků bezpečnostních sborů (o 10 %).</w:t>
      </w:r>
    </w:p>
  </w:footnote>
  <w:footnote w:id="71">
    <w:p w14:paraId="16455923" w14:textId="77777777" w:rsidR="00DA0121" w:rsidRPr="00B6005F" w:rsidRDefault="00DA0121" w:rsidP="006A3CAF">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Od ledna 2023 došlo k navýšení minimální mzdy o 6,8 </w:t>
      </w:r>
      <w:r>
        <w:rPr>
          <w:spacing w:val="-3"/>
          <w:sz w:val="16"/>
          <w:szCs w:val="16"/>
        </w:rPr>
        <w:t>% (srovnatelně jako v předchozím roce</w:t>
      </w:r>
      <w:r w:rsidRPr="00B6005F">
        <w:rPr>
          <w:spacing w:val="-3"/>
          <w:sz w:val="16"/>
          <w:szCs w:val="16"/>
        </w:rPr>
        <w:t xml:space="preserve">). Na rozdíl od praxe z minulých let </w:t>
      </w:r>
      <w:r>
        <w:rPr>
          <w:spacing w:val="-3"/>
          <w:sz w:val="16"/>
          <w:szCs w:val="16"/>
        </w:rPr>
        <w:t xml:space="preserve">však </w:t>
      </w:r>
      <w:r w:rsidRPr="00B6005F">
        <w:rPr>
          <w:spacing w:val="-3"/>
          <w:sz w:val="16"/>
          <w:szCs w:val="16"/>
        </w:rPr>
        <w:t>neby</w:t>
      </w:r>
      <w:r>
        <w:rPr>
          <w:spacing w:val="-3"/>
          <w:sz w:val="16"/>
          <w:szCs w:val="16"/>
        </w:rPr>
        <w:t xml:space="preserve">l posun minimální mzdy </w:t>
      </w:r>
      <w:r w:rsidRPr="00B6005F">
        <w:rPr>
          <w:spacing w:val="-3"/>
          <w:sz w:val="16"/>
          <w:szCs w:val="16"/>
        </w:rPr>
        <w:t>doprovázen zvýšením hranice u tzv. zaručených mezd (ta letos vzrostla jen v</w:t>
      </w:r>
      <w:r>
        <w:rPr>
          <w:spacing w:val="-3"/>
          <w:sz w:val="16"/>
          <w:szCs w:val="16"/>
        </w:rPr>
        <w:t xml:space="preserve"> osmé – </w:t>
      </w:r>
      <w:r w:rsidRPr="00B6005F">
        <w:rPr>
          <w:spacing w:val="-3"/>
          <w:sz w:val="16"/>
          <w:szCs w:val="16"/>
        </w:rPr>
        <w:t>kvalifi</w:t>
      </w:r>
      <w:r>
        <w:rPr>
          <w:spacing w:val="-3"/>
          <w:sz w:val="16"/>
          <w:szCs w:val="16"/>
        </w:rPr>
        <w:t>kačně nejvyšší kategorii prací –, v</w:t>
      </w:r>
      <w:r w:rsidRPr="00B6005F">
        <w:rPr>
          <w:spacing w:val="-3"/>
          <w:sz w:val="16"/>
          <w:szCs w:val="16"/>
        </w:rPr>
        <w:t> níž ale minimální mzdu patrně pobírá jen zlomek zaměstnanců).</w:t>
      </w:r>
    </w:p>
  </w:footnote>
  <w:footnote w:id="72">
    <w:p w14:paraId="559A5826" w14:textId="22BCC251" w:rsidR="00DA0121" w:rsidRPr="00DE6209" w:rsidRDefault="00DA0121">
      <w:pPr>
        <w:pStyle w:val="Textpoznpodarou"/>
        <w:rPr>
          <w:sz w:val="16"/>
          <w:szCs w:val="16"/>
        </w:rPr>
      </w:pPr>
      <w:r w:rsidRPr="00DE6209">
        <w:rPr>
          <w:rStyle w:val="Znakapoznpodarou"/>
          <w:sz w:val="16"/>
          <w:szCs w:val="16"/>
        </w:rPr>
        <w:footnoteRef/>
      </w:r>
      <w:r w:rsidRPr="00DE6209">
        <w:rPr>
          <w:sz w:val="16"/>
          <w:szCs w:val="16"/>
        </w:rPr>
        <w:t xml:space="preserve"> </w:t>
      </w:r>
      <w:r w:rsidRPr="00DE6209">
        <w:rPr>
          <w:spacing w:val="-2"/>
          <w:sz w:val="16"/>
          <w:szCs w:val="16"/>
        </w:rPr>
        <w:t>Např. medián mzdy občanů Ukrajiny se v 1. pololetí dle předběžných údajů zvýšil nejméně ze všech významnějších cizineckých skupin zaměstnanců – meziročně o 6,2 % (na méně než 30 tis. korun), přitom na celém trhu práce vzrostla střední úroveň mzdy o 7,2 %.</w:t>
      </w:r>
    </w:p>
  </w:footnote>
  <w:footnote w:id="73">
    <w:p w14:paraId="7D7963CF" w14:textId="77777777" w:rsidR="00DA0121" w:rsidRPr="00B43E19" w:rsidRDefault="00DA0121" w:rsidP="006A3CAF">
      <w:pPr>
        <w:pStyle w:val="Textpoznpodarou"/>
        <w:rPr>
          <w:sz w:val="16"/>
          <w:szCs w:val="16"/>
        </w:rPr>
      </w:pPr>
      <w:r w:rsidRPr="00B6005F">
        <w:rPr>
          <w:rStyle w:val="Znakapoznpodarou"/>
          <w:spacing w:val="-3"/>
          <w:sz w:val="16"/>
          <w:szCs w:val="16"/>
        </w:rPr>
        <w:footnoteRef/>
      </w:r>
      <w:r w:rsidRPr="00B6005F">
        <w:rPr>
          <w:spacing w:val="-3"/>
          <w:sz w:val="16"/>
          <w:szCs w:val="16"/>
        </w:rPr>
        <w:t xml:space="preserve"> Zahrnuje výrobu a rozvod elektřiny, plynu, tepla a klimatizovaného vzduchu.</w:t>
      </w:r>
    </w:p>
  </w:footnote>
  <w:footnote w:id="74">
    <w:p w14:paraId="34F70312" w14:textId="77777777" w:rsidR="00DA0121" w:rsidRPr="007A01D2" w:rsidRDefault="00DA0121" w:rsidP="006A3CAF">
      <w:pPr>
        <w:pStyle w:val="Textpoznpodarou"/>
        <w:rPr>
          <w:spacing w:val="-2"/>
          <w:sz w:val="16"/>
          <w:szCs w:val="16"/>
        </w:rPr>
      </w:pPr>
      <w:r w:rsidRPr="007A01D2">
        <w:rPr>
          <w:rStyle w:val="Znakapoznpodarou"/>
          <w:spacing w:val="-2"/>
          <w:sz w:val="16"/>
          <w:szCs w:val="16"/>
        </w:rPr>
        <w:footnoteRef/>
      </w:r>
      <w:r w:rsidRPr="007A01D2">
        <w:rPr>
          <w:spacing w:val="-2"/>
          <w:sz w:val="16"/>
          <w:szCs w:val="16"/>
        </w:rPr>
        <w:t xml:space="preserve"> Po zohlednění svižného růstu zaměstnanosti zde objem vyplacených mezd vzrostl skoro o pětinu a vyrovnal se tak odvětví energetiky.</w:t>
      </w:r>
    </w:p>
  </w:footnote>
  <w:footnote w:id="75">
    <w:p w14:paraId="033DA195" w14:textId="77777777" w:rsidR="00DA0121" w:rsidRPr="000869D8" w:rsidRDefault="00DA0121" w:rsidP="006A3CAF">
      <w:pPr>
        <w:pStyle w:val="Textpoznpodarou"/>
        <w:rPr>
          <w:sz w:val="16"/>
          <w:szCs w:val="16"/>
        </w:rPr>
      </w:pPr>
      <w:r w:rsidRPr="000869D8">
        <w:rPr>
          <w:rStyle w:val="Znakapoznpodarou"/>
          <w:sz w:val="16"/>
          <w:szCs w:val="16"/>
        </w:rPr>
        <w:footnoteRef/>
      </w:r>
      <w:r w:rsidRPr="000869D8">
        <w:rPr>
          <w:sz w:val="16"/>
          <w:szCs w:val="16"/>
        </w:rPr>
        <w:t xml:space="preserve"> Jde z hlediska zaměstnanosti o relativně malé odvětví zahrnující různorodé spektrum aktivit. Jedná se zejména o profesní organizace, odborové svazy, spolky a občanské iniciativy, ale také opravy počítačů a výrobků pro osobní potřebu a </w:t>
      </w:r>
      <w:r>
        <w:rPr>
          <w:sz w:val="16"/>
          <w:szCs w:val="16"/>
        </w:rPr>
        <w:t xml:space="preserve">dále o </w:t>
      </w:r>
      <w:r w:rsidRPr="000869D8">
        <w:rPr>
          <w:sz w:val="16"/>
          <w:szCs w:val="16"/>
        </w:rPr>
        <w:t>osobní služby pro domácnost (např. kosmetické, kadeřnické, čistírny oblečení aj.)</w:t>
      </w:r>
      <w:r>
        <w:rPr>
          <w:sz w:val="16"/>
          <w:szCs w:val="16"/>
        </w:rPr>
        <w:t>.</w:t>
      </w:r>
    </w:p>
  </w:footnote>
  <w:footnote w:id="76">
    <w:p w14:paraId="6E6C9503" w14:textId="77777777" w:rsidR="00DA0121" w:rsidRPr="00D16130" w:rsidRDefault="00DA0121" w:rsidP="006A3CAF">
      <w:pPr>
        <w:pStyle w:val="Textpoznpodarou"/>
        <w:rPr>
          <w:sz w:val="16"/>
          <w:szCs w:val="16"/>
        </w:rPr>
      </w:pPr>
      <w:r w:rsidRPr="00D16130">
        <w:rPr>
          <w:rStyle w:val="Znakapoznpodarou"/>
          <w:sz w:val="16"/>
          <w:szCs w:val="16"/>
        </w:rPr>
        <w:footnoteRef/>
      </w:r>
      <w:r w:rsidRPr="00D16130">
        <w:rPr>
          <w:sz w:val="16"/>
          <w:szCs w:val="16"/>
        </w:rPr>
        <w:t xml:space="preserve"> Pro zjednodušení zahrnuje odvětví </w:t>
      </w:r>
      <w:r w:rsidRPr="00D16130">
        <w:rPr>
          <w:rFonts w:cs="Arial"/>
          <w:color w:val="0D0D0D" w:themeColor="text1" w:themeTint="F2"/>
          <w:spacing w:val="-4"/>
          <w:sz w:val="16"/>
          <w:szCs w:val="16"/>
        </w:rPr>
        <w:t>Veřejná správa a obrana, povinné sociální zabezpečení; Vzdělávání; Zdravotní a sociální péče; Kulturní, zábavní a rekreační činnosti.</w:t>
      </w:r>
    </w:p>
  </w:footnote>
  <w:footnote w:id="77">
    <w:p w14:paraId="569D83A9" w14:textId="77777777" w:rsidR="00DA0121" w:rsidRPr="00046FDC" w:rsidRDefault="00DA0121" w:rsidP="006A3CAF">
      <w:pPr>
        <w:pStyle w:val="Textpoznpodarou"/>
        <w:rPr>
          <w:spacing w:val="-3"/>
          <w:sz w:val="16"/>
          <w:szCs w:val="16"/>
        </w:rPr>
      </w:pPr>
      <w:r w:rsidRPr="00046FDC">
        <w:rPr>
          <w:rStyle w:val="Znakapoznpodarou"/>
          <w:spacing w:val="-3"/>
          <w:sz w:val="16"/>
          <w:szCs w:val="16"/>
        </w:rPr>
        <w:footnoteRef/>
      </w:r>
      <w:r w:rsidRPr="00046FDC">
        <w:rPr>
          <w:spacing w:val="-3"/>
          <w:sz w:val="16"/>
          <w:szCs w:val="16"/>
        </w:rPr>
        <w:t xml:space="preserve"> Do růstu průměrných mezd se zde promítlo navýšení platových tarifů nepedagogickým pracovníkům o 10 %, realizované od loňského září.</w:t>
      </w:r>
    </w:p>
  </w:footnote>
  <w:footnote w:id="78">
    <w:p w14:paraId="043B5E44" w14:textId="77777777" w:rsidR="00DA0121" w:rsidRDefault="00DA0121" w:rsidP="00C6020C">
      <w:pPr>
        <w:pStyle w:val="Textpoznpodarou"/>
        <w:rPr>
          <w:sz w:val="16"/>
          <w:szCs w:val="16"/>
        </w:rPr>
      </w:pPr>
      <w:r>
        <w:rPr>
          <w:rStyle w:val="Znakapoznpodarou"/>
          <w:sz w:val="16"/>
          <w:szCs w:val="16"/>
        </w:rPr>
        <w:footnoteRef/>
      </w:r>
      <w:r>
        <w:rPr>
          <w:sz w:val="16"/>
          <w:szCs w:val="16"/>
        </w:rPr>
        <w:t xml:space="preserve"> Není-li uvedeno jinak, je zdrojem údajů v této kapitole databáze ARAD České národní banky. Hodnoty směnných kurzů jsou rovněž převzaty od ČNB.</w:t>
      </w:r>
    </w:p>
  </w:footnote>
  <w:footnote w:id="79">
    <w:p w14:paraId="749C133E" w14:textId="77777777" w:rsidR="00DA0121" w:rsidRPr="001F5F82" w:rsidRDefault="00DA0121" w:rsidP="00C6020C">
      <w:pPr>
        <w:pStyle w:val="Textpoznpodarou"/>
        <w:rPr>
          <w:sz w:val="16"/>
          <w:szCs w:val="16"/>
        </w:rPr>
      </w:pPr>
      <w:r w:rsidRPr="001F5F82">
        <w:rPr>
          <w:rStyle w:val="Znakapoznpodarou"/>
          <w:sz w:val="16"/>
          <w:szCs w:val="16"/>
        </w:rPr>
        <w:footnoteRef/>
      </w:r>
      <w:r w:rsidRPr="001F5F82">
        <w:rPr>
          <w:sz w:val="16"/>
          <w:szCs w:val="16"/>
        </w:rPr>
        <w:t xml:space="preserve"> Není-li uvedeno jinak, je změnou úrokových sazeb myšlen rozdíl mezi hodnotou ke dni 3</w:t>
      </w:r>
      <w:r>
        <w:rPr>
          <w:sz w:val="16"/>
          <w:szCs w:val="16"/>
        </w:rPr>
        <w:t>0. 6</w:t>
      </w:r>
      <w:r w:rsidRPr="001F5F82">
        <w:rPr>
          <w:sz w:val="16"/>
          <w:szCs w:val="16"/>
        </w:rPr>
        <w:t>.</w:t>
      </w:r>
      <w:r>
        <w:rPr>
          <w:sz w:val="16"/>
          <w:szCs w:val="16"/>
        </w:rPr>
        <w:t xml:space="preserve"> 2023</w:t>
      </w:r>
      <w:r w:rsidRPr="001F5F82">
        <w:rPr>
          <w:sz w:val="16"/>
          <w:szCs w:val="16"/>
        </w:rPr>
        <w:t xml:space="preserve"> a</w:t>
      </w:r>
      <w:r>
        <w:rPr>
          <w:sz w:val="16"/>
          <w:szCs w:val="16"/>
        </w:rPr>
        <w:t> </w:t>
      </w:r>
      <w:r w:rsidRPr="001F5F82">
        <w:rPr>
          <w:sz w:val="16"/>
          <w:szCs w:val="16"/>
        </w:rPr>
        <w:t>3</w:t>
      </w:r>
      <w:r>
        <w:rPr>
          <w:sz w:val="16"/>
          <w:szCs w:val="16"/>
        </w:rPr>
        <w:t>1. 3</w:t>
      </w:r>
      <w:r w:rsidRPr="001F5F82">
        <w:rPr>
          <w:sz w:val="16"/>
          <w:szCs w:val="16"/>
        </w:rPr>
        <w:t>.</w:t>
      </w:r>
      <w:r>
        <w:rPr>
          <w:sz w:val="16"/>
          <w:szCs w:val="16"/>
        </w:rPr>
        <w:t xml:space="preserve"> 2023.</w:t>
      </w:r>
    </w:p>
  </w:footnote>
  <w:footnote w:id="80">
    <w:p w14:paraId="229B28BD" w14:textId="77777777" w:rsidR="00DA0121" w:rsidRPr="00651A71" w:rsidRDefault="00DA0121" w:rsidP="00C6020C">
      <w:pPr>
        <w:pStyle w:val="Textpoznpodarou"/>
        <w:rPr>
          <w:sz w:val="16"/>
          <w:szCs w:val="16"/>
        </w:rPr>
      </w:pPr>
      <w:r w:rsidRPr="00651A71">
        <w:rPr>
          <w:rStyle w:val="Znakapoznpodarou"/>
          <w:sz w:val="16"/>
          <w:szCs w:val="16"/>
        </w:rPr>
        <w:footnoteRef/>
      </w:r>
      <w:r w:rsidRPr="00651A71">
        <w:rPr>
          <w:sz w:val="16"/>
          <w:szCs w:val="16"/>
        </w:rPr>
        <w:t xml:space="preserve"> O</w:t>
      </w:r>
      <w:r w:rsidRPr="00651A71">
        <w:rPr>
          <w:spacing w:val="-3"/>
          <w:sz w:val="16"/>
          <w:szCs w:val="16"/>
          <w:lang w:eastAsia="en-US"/>
        </w:rPr>
        <w:t>byvatelstvo</w:t>
      </w:r>
      <w:r>
        <w:rPr>
          <w:spacing w:val="-3"/>
          <w:sz w:val="16"/>
          <w:szCs w:val="16"/>
          <w:lang w:eastAsia="en-US"/>
        </w:rPr>
        <w:t xml:space="preserve"> včetně </w:t>
      </w:r>
      <w:r w:rsidRPr="00651A71">
        <w:rPr>
          <w:spacing w:val="-3"/>
          <w:sz w:val="16"/>
          <w:szCs w:val="16"/>
          <w:lang w:eastAsia="en-US"/>
        </w:rPr>
        <w:t>živnostníků.</w:t>
      </w:r>
    </w:p>
  </w:footnote>
  <w:footnote w:id="81">
    <w:p w14:paraId="35768DD6" w14:textId="77777777" w:rsidR="00DA0121" w:rsidRPr="00284DA5" w:rsidRDefault="00DA0121" w:rsidP="00C6020C">
      <w:pPr>
        <w:pStyle w:val="Textpoznpodarou"/>
        <w:rPr>
          <w:sz w:val="16"/>
          <w:szCs w:val="16"/>
        </w:rPr>
      </w:pPr>
      <w:r w:rsidRPr="00284DA5">
        <w:rPr>
          <w:rStyle w:val="Znakapoznpodarou"/>
          <w:sz w:val="16"/>
          <w:szCs w:val="16"/>
        </w:rPr>
        <w:footnoteRef/>
      </w:r>
      <w:r w:rsidRPr="00284DA5">
        <w:rPr>
          <w:sz w:val="16"/>
          <w:szCs w:val="16"/>
        </w:rPr>
        <w:t xml:space="preserve"> V nových smlouvách jsou zahrnuty i</w:t>
      </w:r>
      <w:r>
        <w:rPr>
          <w:sz w:val="16"/>
          <w:szCs w:val="16"/>
        </w:rPr>
        <w:t> </w:t>
      </w:r>
      <w:r w:rsidRPr="00284DA5">
        <w:rPr>
          <w:sz w:val="16"/>
          <w:szCs w:val="16"/>
        </w:rPr>
        <w:t>refinancované úvěry a</w:t>
      </w:r>
      <w:r>
        <w:rPr>
          <w:sz w:val="16"/>
          <w:szCs w:val="16"/>
        </w:rPr>
        <w:t> </w:t>
      </w:r>
      <w:r w:rsidRPr="00284DA5">
        <w:rPr>
          <w:sz w:val="16"/>
          <w:szCs w:val="16"/>
        </w:rPr>
        <w:t>ostatní ujednání.</w:t>
      </w:r>
      <w:r>
        <w:rPr>
          <w:sz w:val="16"/>
          <w:szCs w:val="16"/>
        </w:rPr>
        <w:t xml:space="preserve"> Refinancované úvěry zahrnují stávající smlouvy sjednané nově u jiné banky, zatímco ostatní nová ujednání jsou stávající smlouvy sjednané s novými podmínkami u stejné banky.</w:t>
      </w:r>
    </w:p>
  </w:footnote>
  <w:footnote w:id="82">
    <w:p w14:paraId="202C26E8" w14:textId="77777777" w:rsidR="00DA0121" w:rsidRPr="00724B7B" w:rsidRDefault="00DA0121" w:rsidP="00C6020C">
      <w:pPr>
        <w:pStyle w:val="Textpoznpodarou"/>
        <w:rPr>
          <w:sz w:val="16"/>
          <w:szCs w:val="16"/>
        </w:rPr>
      </w:pPr>
      <w:r w:rsidRPr="00724B7B">
        <w:rPr>
          <w:rStyle w:val="Znakapoznpodarou"/>
          <w:sz w:val="16"/>
          <w:szCs w:val="16"/>
        </w:rPr>
        <w:footnoteRef/>
      </w:r>
      <w:r w:rsidRPr="00724B7B">
        <w:rPr>
          <w:sz w:val="16"/>
          <w:szCs w:val="16"/>
        </w:rPr>
        <w:t xml:space="preserve"> Úvěry v cizí měně začaly prudce</w:t>
      </w:r>
      <w:r>
        <w:rPr>
          <w:sz w:val="16"/>
          <w:szCs w:val="16"/>
        </w:rPr>
        <w:t xml:space="preserve"> růst</w:t>
      </w:r>
      <w:r w:rsidRPr="00724B7B">
        <w:rPr>
          <w:sz w:val="16"/>
          <w:szCs w:val="16"/>
        </w:rPr>
        <w:t xml:space="preserve"> po začátku opětovného zvyšování měnověpolitických sazeb v červnu 2021.</w:t>
      </w:r>
    </w:p>
  </w:footnote>
  <w:footnote w:id="83">
    <w:p w14:paraId="3CFA6B9C" w14:textId="77777777" w:rsidR="00DA0121" w:rsidRPr="008522D6" w:rsidRDefault="00DA0121" w:rsidP="00106BCC">
      <w:pPr>
        <w:pStyle w:val="Textpoznpodarou"/>
        <w:jc w:val="both"/>
        <w:rPr>
          <w:sz w:val="16"/>
          <w:szCs w:val="16"/>
        </w:rPr>
      </w:pPr>
      <w:r w:rsidRPr="008522D6">
        <w:rPr>
          <w:rStyle w:val="Znakapoznpodarou"/>
          <w:sz w:val="16"/>
          <w:szCs w:val="16"/>
        </w:rPr>
        <w:footnoteRef/>
      </w:r>
      <w:r w:rsidRPr="008522D6">
        <w:rPr>
          <w:sz w:val="16"/>
          <w:szCs w:val="16"/>
        </w:rPr>
        <w:t xml:space="preserve"> </w:t>
      </w:r>
      <w:r w:rsidRPr="008522D6">
        <w:rPr>
          <w:color w:val="0D0D0D" w:themeColor="text1" w:themeTint="F2"/>
          <w:sz w:val="16"/>
          <w:szCs w:val="16"/>
        </w:rPr>
        <w:t xml:space="preserve">Pokud není uvedeno jinak, vycházejí všechny údaje týkající se státního rozpočtu </w:t>
      </w:r>
      <w:r w:rsidRPr="008522D6">
        <w:rPr>
          <w:rFonts w:cs="Arial"/>
          <w:color w:val="0D0D0D" w:themeColor="text1" w:themeTint="F2"/>
          <w:sz w:val="16"/>
          <w:szCs w:val="16"/>
        </w:rPr>
        <w:t>z dat Ministerstva financí o pokladním plnění.</w:t>
      </w:r>
    </w:p>
  </w:footnote>
  <w:footnote w:id="84">
    <w:p w14:paraId="6DFF2546" w14:textId="77777777" w:rsidR="00DA0121" w:rsidRPr="008522D6" w:rsidRDefault="00DA0121" w:rsidP="00106BCC">
      <w:pPr>
        <w:pStyle w:val="Textpoznpodarou"/>
        <w:rPr>
          <w:sz w:val="16"/>
          <w:szCs w:val="16"/>
        </w:rPr>
      </w:pPr>
      <w:r w:rsidRPr="008522D6">
        <w:rPr>
          <w:rStyle w:val="Znakapoznpodarou"/>
          <w:sz w:val="16"/>
          <w:szCs w:val="16"/>
        </w:rPr>
        <w:footnoteRef/>
      </w:r>
      <w:r>
        <w:rPr>
          <w:sz w:val="16"/>
          <w:szCs w:val="16"/>
        </w:rPr>
        <w:t xml:space="preserve"> Dle zákona č. 449/2023 Sb.</w:t>
      </w:r>
      <w:r w:rsidRPr="008522D6">
        <w:rPr>
          <w:sz w:val="16"/>
          <w:szCs w:val="16"/>
        </w:rPr>
        <w:t xml:space="preserve"> o státním</w:t>
      </w:r>
      <w:r>
        <w:rPr>
          <w:sz w:val="16"/>
          <w:szCs w:val="16"/>
        </w:rPr>
        <w:t xml:space="preserve"> rozpočtu na rok 2023 schváleného</w:t>
      </w:r>
      <w:r w:rsidRPr="008522D6">
        <w:rPr>
          <w:sz w:val="16"/>
          <w:szCs w:val="16"/>
        </w:rPr>
        <w:t xml:space="preserve"> 30. listopadu 2022.</w:t>
      </w:r>
    </w:p>
  </w:footnote>
  <w:footnote w:id="85">
    <w:p w14:paraId="7045D3F4" w14:textId="1C908765" w:rsidR="00DA0121" w:rsidRPr="00563E75" w:rsidRDefault="00DA0121" w:rsidP="00106BCC">
      <w:pPr>
        <w:pStyle w:val="Textpoznpodarou"/>
        <w:rPr>
          <w:spacing w:val="-2"/>
        </w:rPr>
      </w:pPr>
      <w:r w:rsidRPr="00563E75">
        <w:rPr>
          <w:rStyle w:val="Znakapoznpodarou"/>
          <w:spacing w:val="-2"/>
          <w:sz w:val="16"/>
          <w:szCs w:val="16"/>
        </w:rPr>
        <w:footnoteRef/>
      </w:r>
      <w:r w:rsidRPr="00563E75">
        <w:rPr>
          <w:spacing w:val="-2"/>
        </w:rPr>
        <w:t xml:space="preserve"> </w:t>
      </w:r>
      <w:r w:rsidRPr="00563E75">
        <w:rPr>
          <w:spacing w:val="-2"/>
          <w:sz w:val="16"/>
          <w:szCs w:val="16"/>
        </w:rPr>
        <w:t>Na očekávaném růstu souhrnných příjmů SR za rok 2023 (+19,5 %) by se měly zásadně podílet inkasa „sektorové“ daně u podn</w:t>
      </w:r>
      <w:r>
        <w:rPr>
          <w:spacing w:val="-2"/>
          <w:sz w:val="16"/>
          <w:szCs w:val="16"/>
        </w:rPr>
        <w:t>iků z neočekávaných zisků a odvody</w:t>
      </w:r>
      <w:r w:rsidRPr="00563E75">
        <w:rPr>
          <w:spacing w:val="-2"/>
          <w:sz w:val="16"/>
          <w:szCs w:val="16"/>
        </w:rPr>
        <w:t xml:space="preserve"> z nadměrných příjmů (prvotně odhadované na 100 mld. korun, aktuálně na 64,5 mld.), dále např. navýšení očekávaných příjmů z emisních povolenek (na 82,5 mld.) a významně posílený převod z tzv. privatizačního účtu (na 45 mld.).</w:t>
      </w:r>
    </w:p>
  </w:footnote>
  <w:footnote w:id="86">
    <w:p w14:paraId="41E13CA3" w14:textId="77777777" w:rsidR="00DA0121" w:rsidRPr="00C230B9" w:rsidRDefault="00DA0121" w:rsidP="00106BCC">
      <w:pPr>
        <w:pStyle w:val="Textpoznpodarou"/>
        <w:rPr>
          <w:sz w:val="16"/>
          <w:szCs w:val="16"/>
        </w:rPr>
      </w:pPr>
      <w:r w:rsidRPr="00C230B9">
        <w:rPr>
          <w:rStyle w:val="Znakapoznpodarou"/>
          <w:sz w:val="16"/>
          <w:szCs w:val="16"/>
        </w:rPr>
        <w:footnoteRef/>
      </w:r>
      <w:r w:rsidRPr="00C230B9">
        <w:rPr>
          <w:sz w:val="16"/>
          <w:szCs w:val="16"/>
        </w:rPr>
        <w:t xml:space="preserve"> Zahrnují příjmy z rozpočtu Evropské Unie a z</w:t>
      </w:r>
      <w:r>
        <w:rPr>
          <w:sz w:val="16"/>
          <w:szCs w:val="16"/>
        </w:rPr>
        <w:t xml:space="preserve"> Finančních mechanismů </w:t>
      </w:r>
      <w:r w:rsidRPr="00C230B9">
        <w:rPr>
          <w:sz w:val="16"/>
          <w:szCs w:val="16"/>
        </w:rPr>
        <w:t xml:space="preserve">EHP/Norska/Švýcarska. </w:t>
      </w:r>
    </w:p>
  </w:footnote>
  <w:footnote w:id="87">
    <w:p w14:paraId="78E022EF" w14:textId="77777777" w:rsidR="00DA0121" w:rsidRPr="008B3D4E" w:rsidRDefault="00DA0121" w:rsidP="00106BCC">
      <w:pPr>
        <w:pStyle w:val="Textpoznpodarou"/>
        <w:rPr>
          <w:sz w:val="16"/>
          <w:szCs w:val="16"/>
        </w:rPr>
      </w:pPr>
      <w:r w:rsidRPr="008B3D4E">
        <w:rPr>
          <w:rStyle w:val="Znakapoznpodarou"/>
          <w:sz w:val="16"/>
          <w:szCs w:val="16"/>
        </w:rPr>
        <w:footnoteRef/>
      </w:r>
      <w:r w:rsidRPr="008B3D4E">
        <w:rPr>
          <w:sz w:val="16"/>
          <w:szCs w:val="16"/>
        </w:rPr>
        <w:t xml:space="preserve"> Tento odvod (zdaněný 90% sazbou) představuje rozdíl mezi sku</w:t>
      </w:r>
      <w:r>
        <w:rPr>
          <w:sz w:val="16"/>
          <w:szCs w:val="16"/>
        </w:rPr>
        <w:t>tečným příjmem a stropem tržního</w:t>
      </w:r>
      <w:r w:rsidRPr="008B3D4E">
        <w:rPr>
          <w:sz w:val="16"/>
          <w:szCs w:val="16"/>
        </w:rPr>
        <w:t xml:space="preserve"> příjmu z prodeje elektřiny nad stanovenou hranici (za období od 1. prosince 2022 do konce roku 2023).</w:t>
      </w:r>
    </w:p>
  </w:footnote>
  <w:footnote w:id="88">
    <w:p w14:paraId="49A93657" w14:textId="77777777" w:rsidR="00DA0121" w:rsidRPr="00CA30CB" w:rsidRDefault="00DA0121" w:rsidP="00106BCC">
      <w:pPr>
        <w:pStyle w:val="Textpoznpodarou"/>
        <w:rPr>
          <w:sz w:val="16"/>
          <w:szCs w:val="16"/>
        </w:rPr>
      </w:pPr>
      <w:r w:rsidRPr="00CA30CB">
        <w:rPr>
          <w:rStyle w:val="Znakapoznpodarou"/>
          <w:sz w:val="16"/>
          <w:szCs w:val="16"/>
        </w:rPr>
        <w:footnoteRef/>
      </w:r>
      <w:r w:rsidRPr="00CA30CB">
        <w:rPr>
          <w:sz w:val="16"/>
          <w:szCs w:val="16"/>
        </w:rPr>
        <w:t xml:space="preserve"> Ta se týká energetických, petrochemických a těžebních firem a zahrnuje rovněž velké banky.</w:t>
      </w:r>
    </w:p>
  </w:footnote>
  <w:footnote w:id="89">
    <w:p w14:paraId="7B9689D5" w14:textId="77777777" w:rsidR="00DA0121" w:rsidRPr="0034442A" w:rsidRDefault="00DA0121" w:rsidP="00106BCC">
      <w:pPr>
        <w:pStyle w:val="Textpoznpodarou"/>
        <w:rPr>
          <w:sz w:val="16"/>
          <w:szCs w:val="16"/>
        </w:rPr>
      </w:pPr>
      <w:r w:rsidRPr="0034442A">
        <w:rPr>
          <w:rStyle w:val="Znakapoznpodarou"/>
          <w:sz w:val="16"/>
          <w:szCs w:val="16"/>
        </w:rPr>
        <w:footnoteRef/>
      </w:r>
      <w:r w:rsidRPr="0034442A">
        <w:rPr>
          <w:sz w:val="16"/>
          <w:szCs w:val="16"/>
        </w:rPr>
        <w:t xml:space="preserve"> </w:t>
      </w:r>
      <w:r w:rsidRPr="0034442A">
        <w:rPr>
          <w:spacing w:val="-4"/>
          <w:sz w:val="16"/>
          <w:szCs w:val="16"/>
        </w:rPr>
        <w:t>Nicméně původní rozpočtový odhad tohoto celoročního inkasa byl již letos v dubnu razantně revidován (z 85 mld. korun na 28 mld. korun)</w:t>
      </w:r>
      <w:r>
        <w:rPr>
          <w:spacing w:val="-4"/>
          <w:sz w:val="16"/>
          <w:szCs w:val="16"/>
        </w:rPr>
        <w:t xml:space="preserve">, v srpnu pak došlo k dílčí korekci očekáváného výnosu směrem </w:t>
      </w:r>
      <w:r w:rsidRPr="00563E75">
        <w:rPr>
          <w:spacing w:val="-4"/>
          <w:sz w:val="16"/>
          <w:szCs w:val="16"/>
        </w:rPr>
        <w:t>nahoru (na 46 mld. korun).</w:t>
      </w:r>
    </w:p>
  </w:footnote>
  <w:footnote w:id="90">
    <w:p w14:paraId="5932B59A" w14:textId="77777777" w:rsidR="00DA0121" w:rsidRPr="00D223A1" w:rsidRDefault="00DA0121" w:rsidP="00106BCC">
      <w:pPr>
        <w:pStyle w:val="Textpoznpodarou"/>
        <w:rPr>
          <w:sz w:val="16"/>
          <w:szCs w:val="16"/>
        </w:rPr>
      </w:pPr>
      <w:r w:rsidRPr="00D223A1">
        <w:rPr>
          <w:rStyle w:val="Znakapoznpodarou"/>
          <w:sz w:val="16"/>
          <w:szCs w:val="16"/>
        </w:rPr>
        <w:footnoteRef/>
      </w:r>
      <w:r w:rsidRPr="00D223A1">
        <w:rPr>
          <w:sz w:val="16"/>
          <w:szCs w:val="16"/>
        </w:rPr>
        <w:t xml:space="preserve"> </w:t>
      </w:r>
      <w:r w:rsidRPr="00D223A1">
        <w:rPr>
          <w:spacing w:val="-4"/>
          <w:sz w:val="16"/>
          <w:szCs w:val="16"/>
        </w:rPr>
        <w:t xml:space="preserve">Celostátní inkaso DPFO </w:t>
      </w:r>
      <w:r>
        <w:rPr>
          <w:spacing w:val="-4"/>
          <w:sz w:val="16"/>
          <w:szCs w:val="16"/>
        </w:rPr>
        <w:t xml:space="preserve">ze závislé činnosti </w:t>
      </w:r>
      <w:r w:rsidRPr="00D223A1">
        <w:rPr>
          <w:spacing w:val="-4"/>
          <w:sz w:val="16"/>
          <w:szCs w:val="16"/>
        </w:rPr>
        <w:t>(na úrovni všech veřejn</w:t>
      </w:r>
      <w:r>
        <w:rPr>
          <w:spacing w:val="-4"/>
          <w:sz w:val="16"/>
          <w:szCs w:val="16"/>
        </w:rPr>
        <w:t xml:space="preserve">ých rozpočtů) letos ovšem stále zaostávalo o celou pětinu za úrovní </w:t>
      </w:r>
      <w:r>
        <w:rPr>
          <w:spacing w:val="-4"/>
          <w:sz w:val="16"/>
          <w:szCs w:val="16"/>
        </w:rPr>
        <w:br/>
        <w:t xml:space="preserve">z 1. pololetí 2019. </w:t>
      </w:r>
      <w:r w:rsidRPr="00D223A1">
        <w:rPr>
          <w:spacing w:val="-4"/>
          <w:sz w:val="16"/>
          <w:szCs w:val="16"/>
        </w:rPr>
        <w:t>Klíčovou roli zde sehrálo snížení daňového zatížení práce od roku 2021 (v souvislosti se zrušením tzv. superhrubé mzdy).</w:t>
      </w:r>
    </w:p>
  </w:footnote>
  <w:footnote w:id="91">
    <w:p w14:paraId="096DAD4A" w14:textId="77777777" w:rsidR="00DA0121" w:rsidRDefault="00DA0121" w:rsidP="00106BCC">
      <w:pPr>
        <w:pStyle w:val="Textpoznpodarou"/>
      </w:pPr>
      <w:r w:rsidRPr="004466A0">
        <w:rPr>
          <w:rStyle w:val="Znakapoznpodarou"/>
          <w:sz w:val="16"/>
          <w:szCs w:val="16"/>
        </w:rPr>
        <w:footnoteRef/>
      </w:r>
      <w:r>
        <w:rPr>
          <w:sz w:val="16"/>
          <w:szCs w:val="16"/>
        </w:rPr>
        <w:t xml:space="preserve"> V červenci </w:t>
      </w:r>
      <w:r w:rsidRPr="00597B33">
        <w:rPr>
          <w:spacing w:val="-4"/>
          <w:sz w:val="16"/>
          <w:szCs w:val="16"/>
        </w:rPr>
        <w:t>měla na výběr této daně pozitivní dopad úhrada vyrovnání za zdaňovací období roku 202</w:t>
      </w:r>
      <w:r>
        <w:rPr>
          <w:sz w:val="16"/>
          <w:szCs w:val="16"/>
        </w:rPr>
        <w:t>2. Inkaso daně od ledna do července zaostalo za loňskou úrovní již jen o 3 %. Schválený státní rozpočet počítá na letošní rok s celoročním poklesem výběru této daně.</w:t>
      </w:r>
    </w:p>
  </w:footnote>
  <w:footnote w:id="92">
    <w:p w14:paraId="4F9DA947" w14:textId="032A004E" w:rsidR="00DA0121" w:rsidRPr="00FF7F61" w:rsidRDefault="00DA0121" w:rsidP="00106BCC">
      <w:pPr>
        <w:pStyle w:val="Textpoznpodarou"/>
        <w:rPr>
          <w:sz w:val="16"/>
          <w:szCs w:val="16"/>
        </w:rPr>
      </w:pPr>
      <w:r w:rsidRPr="00FF7F61">
        <w:rPr>
          <w:rStyle w:val="Znakapoznpodarou"/>
          <w:sz w:val="16"/>
          <w:szCs w:val="16"/>
        </w:rPr>
        <w:footnoteRef/>
      </w:r>
      <w:r w:rsidRPr="00FF7F61">
        <w:rPr>
          <w:sz w:val="16"/>
          <w:szCs w:val="16"/>
        </w:rPr>
        <w:t xml:space="preserve"> Ve 2. čtvrtletí 2023 se však mezikvartální pokles výdajů na konečnou spotřebu domácností </w:t>
      </w:r>
      <w:r>
        <w:rPr>
          <w:sz w:val="16"/>
          <w:szCs w:val="16"/>
        </w:rPr>
        <w:t xml:space="preserve">zastavil </w:t>
      </w:r>
      <w:r w:rsidRPr="00FF7F61">
        <w:rPr>
          <w:sz w:val="16"/>
          <w:szCs w:val="16"/>
        </w:rPr>
        <w:t>(+0,2 %).</w:t>
      </w:r>
    </w:p>
  </w:footnote>
  <w:footnote w:id="93">
    <w:p w14:paraId="6E73E7E0" w14:textId="77777777" w:rsidR="00DA0121" w:rsidRPr="00694B41" w:rsidRDefault="00DA0121" w:rsidP="00106BCC">
      <w:pPr>
        <w:pStyle w:val="Textpoznpodarou"/>
        <w:rPr>
          <w:sz w:val="16"/>
          <w:szCs w:val="16"/>
        </w:rPr>
      </w:pPr>
      <w:r w:rsidRPr="00694B41">
        <w:rPr>
          <w:rStyle w:val="Znakapoznpodarou"/>
          <w:sz w:val="16"/>
          <w:szCs w:val="16"/>
        </w:rPr>
        <w:footnoteRef/>
      </w:r>
      <w:r w:rsidRPr="00694B41">
        <w:rPr>
          <w:sz w:val="16"/>
          <w:szCs w:val="16"/>
        </w:rPr>
        <w:t xml:space="preserve"> Jde o zvýšení </w:t>
      </w:r>
      <w:r>
        <w:rPr>
          <w:sz w:val="16"/>
          <w:szCs w:val="16"/>
        </w:rPr>
        <w:t>z</w:t>
      </w:r>
      <w:r w:rsidRPr="00694B41">
        <w:rPr>
          <w:sz w:val="16"/>
          <w:szCs w:val="16"/>
        </w:rPr>
        <w:t> 1 na 2 mil. korun, které vstoupilo v platnost od ledna 2023.</w:t>
      </w:r>
    </w:p>
  </w:footnote>
  <w:footnote w:id="94">
    <w:p w14:paraId="6F936978" w14:textId="77777777" w:rsidR="00DA0121" w:rsidRDefault="00DA0121" w:rsidP="00106BCC">
      <w:pPr>
        <w:pStyle w:val="Textpoznpodarou"/>
      </w:pPr>
      <w:r w:rsidRPr="008B3D4E">
        <w:rPr>
          <w:rStyle w:val="Znakapoznpodarou"/>
          <w:sz w:val="16"/>
          <w:szCs w:val="16"/>
        </w:rPr>
        <w:footnoteRef/>
      </w:r>
      <w:r w:rsidRPr="008B3D4E">
        <w:rPr>
          <w:sz w:val="16"/>
          <w:szCs w:val="16"/>
        </w:rPr>
        <w:t xml:space="preserve"> </w:t>
      </w:r>
      <w:r w:rsidRPr="008B3D4E">
        <w:rPr>
          <w:spacing w:val="-4"/>
          <w:sz w:val="16"/>
          <w:szCs w:val="16"/>
        </w:rPr>
        <w:t xml:space="preserve">Od </w:t>
      </w:r>
      <w:r w:rsidRPr="008B3D4E">
        <w:rPr>
          <w:color w:val="0D0D0D" w:themeColor="text1" w:themeTint="F2"/>
          <w:spacing w:val="-4"/>
          <w:sz w:val="16"/>
          <w:szCs w:val="16"/>
        </w:rPr>
        <w:t>června do konce září 2022 byla snížena sazba spotřební daně z be</w:t>
      </w:r>
      <w:r>
        <w:rPr>
          <w:color w:val="0D0D0D" w:themeColor="text1" w:themeTint="F2"/>
          <w:spacing w:val="-4"/>
          <w:sz w:val="16"/>
          <w:szCs w:val="16"/>
        </w:rPr>
        <w:t>nzínu a motorové nafty o 1,5 korun na 8,45 korun</w:t>
      </w:r>
      <w:r w:rsidRPr="008B3D4E">
        <w:rPr>
          <w:color w:val="0D0D0D" w:themeColor="text1" w:themeTint="F2"/>
          <w:spacing w:val="-4"/>
          <w:sz w:val="16"/>
          <w:szCs w:val="16"/>
        </w:rPr>
        <w:t xml:space="preserve"> na litr. U nafty bylo toto opat</w:t>
      </w:r>
      <w:r>
        <w:rPr>
          <w:color w:val="0D0D0D" w:themeColor="text1" w:themeTint="F2"/>
          <w:spacing w:val="-4"/>
          <w:sz w:val="16"/>
          <w:szCs w:val="16"/>
        </w:rPr>
        <w:t>ření prodlouženo až do konce července 2023.</w:t>
      </w:r>
    </w:p>
  </w:footnote>
  <w:footnote w:id="95">
    <w:p w14:paraId="05420C6B" w14:textId="77777777" w:rsidR="00DA0121" w:rsidRPr="009E140D" w:rsidRDefault="00DA0121" w:rsidP="00106BCC">
      <w:pPr>
        <w:pStyle w:val="Textpoznpodarou"/>
        <w:rPr>
          <w:sz w:val="16"/>
          <w:szCs w:val="16"/>
        </w:rPr>
      </w:pPr>
      <w:r w:rsidRPr="009E140D">
        <w:rPr>
          <w:rStyle w:val="Znakapoznpodarou"/>
          <w:sz w:val="16"/>
          <w:szCs w:val="16"/>
        </w:rPr>
        <w:footnoteRef/>
      </w:r>
      <w:r w:rsidRPr="009E140D">
        <w:rPr>
          <w:sz w:val="16"/>
          <w:szCs w:val="16"/>
        </w:rPr>
        <w:t xml:space="preserve"> V 1. pololetí 2020, resp. 2021,</w:t>
      </w:r>
      <w:r>
        <w:rPr>
          <w:sz w:val="16"/>
          <w:szCs w:val="16"/>
        </w:rPr>
        <w:t xml:space="preserve"> kdy byly běžné výdaje SR razantn</w:t>
      </w:r>
      <w:r w:rsidRPr="009E140D">
        <w:rPr>
          <w:sz w:val="16"/>
          <w:szCs w:val="16"/>
        </w:rPr>
        <w:t>ě navýšeny transfery souvisejí</w:t>
      </w:r>
      <w:r>
        <w:rPr>
          <w:sz w:val="16"/>
          <w:szCs w:val="16"/>
        </w:rPr>
        <w:t>cími</w:t>
      </w:r>
      <w:r w:rsidRPr="009E140D">
        <w:rPr>
          <w:sz w:val="16"/>
          <w:szCs w:val="16"/>
        </w:rPr>
        <w:t xml:space="preserve"> s pandemií, činilo jejich růstové tempo „jen“ 15,5 %, resp. 10,6 %.</w:t>
      </w:r>
    </w:p>
  </w:footnote>
  <w:footnote w:id="96">
    <w:p w14:paraId="51E32708" w14:textId="77777777" w:rsidR="00DA0121" w:rsidRPr="00AC0B00" w:rsidRDefault="00DA0121" w:rsidP="00106BCC">
      <w:pPr>
        <w:pStyle w:val="Textpoznpodarou"/>
        <w:rPr>
          <w:sz w:val="16"/>
          <w:szCs w:val="16"/>
        </w:rPr>
      </w:pPr>
      <w:r w:rsidRPr="00AC0B00">
        <w:rPr>
          <w:rStyle w:val="Znakapoznpodarou"/>
          <w:sz w:val="16"/>
          <w:szCs w:val="16"/>
        </w:rPr>
        <w:footnoteRef/>
      </w:r>
      <w:r w:rsidRPr="00AC0B00">
        <w:rPr>
          <w:sz w:val="16"/>
          <w:szCs w:val="16"/>
        </w:rPr>
        <w:t xml:space="preserve"> </w:t>
      </w:r>
      <w:r>
        <w:rPr>
          <w:sz w:val="16"/>
          <w:szCs w:val="16"/>
        </w:rPr>
        <w:t xml:space="preserve">Průměrný měsíční starobní důchod (bez souběhu s ostatními důchody) tak letos v červnu poprvé překonal hranici 20 tis. korun. U mužů dosáhl 21 520 korun, u žen 19 038 korun. Díky zavedení „výchovného“ se významně snížil rozdíl v úrovni důchodů mezi muži </w:t>
      </w:r>
      <w:r>
        <w:rPr>
          <w:sz w:val="16"/>
          <w:szCs w:val="16"/>
        </w:rPr>
        <w:br/>
        <w:t xml:space="preserve">a ženami. Sólo starobní důchod u žen zaostával za úrovní mužů o 11,5 % (o rok dříve o 16,5 %). Relativní rozdíl důchodů mezi pohlavími byl tak letos již mírně nižší než v případě průměrných mezd. </w:t>
      </w:r>
    </w:p>
  </w:footnote>
  <w:footnote w:id="97">
    <w:p w14:paraId="125D46A9" w14:textId="77777777" w:rsidR="00DA0121" w:rsidRPr="004A6934" w:rsidRDefault="00DA0121" w:rsidP="00106BCC">
      <w:pPr>
        <w:pStyle w:val="Textpoznpodarou"/>
        <w:rPr>
          <w:sz w:val="16"/>
          <w:szCs w:val="16"/>
        </w:rPr>
      </w:pPr>
      <w:r w:rsidRPr="004A6934">
        <w:rPr>
          <w:rStyle w:val="Znakapoznpodarou"/>
          <w:sz w:val="16"/>
          <w:szCs w:val="16"/>
        </w:rPr>
        <w:footnoteRef/>
      </w:r>
      <w:r w:rsidRPr="004A6934">
        <w:rPr>
          <w:sz w:val="16"/>
          <w:szCs w:val="16"/>
        </w:rPr>
        <w:t xml:space="preserve"> Růst počtu všech příjemců trvale krácených starobních důchodů letos zrychloval (ve 2. čtvrtletí na 3,5 % meziročně, nejvíce za posledních sedm let). Do tohoto počtu nejsou zahrnuty osoby, které podaly žádost o předčasný důchod, ale zahájení jeho výplaty si odložily. Zvýšený zájem o předčasné penze pramenil primárně z výhodnosti valorizačního mechanismu, naopak vliv</w:t>
      </w:r>
      <w:r>
        <w:rPr>
          <w:sz w:val="16"/>
          <w:szCs w:val="16"/>
        </w:rPr>
        <w:t xml:space="preserve"> možného</w:t>
      </w:r>
      <w:r w:rsidRPr="004A6934">
        <w:rPr>
          <w:sz w:val="16"/>
          <w:szCs w:val="16"/>
        </w:rPr>
        <w:t xml:space="preserve"> zhoršeného postavení osob v předdůchodovém věku na pracovním trhu hrál patrně spíše jen doplňkovou roli.</w:t>
      </w:r>
    </w:p>
  </w:footnote>
  <w:footnote w:id="98">
    <w:p w14:paraId="1F6C7253" w14:textId="77777777" w:rsidR="00DA0121" w:rsidRPr="00F7046D" w:rsidRDefault="00DA0121" w:rsidP="00106BCC">
      <w:pPr>
        <w:pStyle w:val="Textpoznpodarou"/>
        <w:rPr>
          <w:sz w:val="16"/>
          <w:szCs w:val="16"/>
        </w:rPr>
      </w:pPr>
      <w:r w:rsidRPr="00F7046D">
        <w:rPr>
          <w:rStyle w:val="Znakapoznpodarou"/>
          <w:sz w:val="16"/>
          <w:szCs w:val="16"/>
        </w:rPr>
        <w:footnoteRef/>
      </w:r>
      <w:r w:rsidRPr="00F7046D">
        <w:rPr>
          <w:sz w:val="16"/>
          <w:szCs w:val="16"/>
        </w:rPr>
        <w:t xml:space="preserve"> Jen okrajový negativní vliv na výši inkasa pojistného mělo letošní zavedení slevy na odvodech pro zaměstnavatele poskytující kratší úvazky rodičům menších dětí, osobám pečujícím o své blízké či lidem nad 55 let. Od února do července uplatnily firmy tyto slevy pro </w:t>
      </w:r>
      <w:r>
        <w:rPr>
          <w:sz w:val="16"/>
          <w:szCs w:val="16"/>
        </w:rPr>
        <w:br/>
      </w:r>
      <w:r w:rsidRPr="00F7046D">
        <w:rPr>
          <w:sz w:val="16"/>
          <w:szCs w:val="16"/>
        </w:rPr>
        <w:t xml:space="preserve">86 tis. zaměstnanců, a to </w:t>
      </w:r>
      <w:r>
        <w:rPr>
          <w:sz w:val="16"/>
          <w:szCs w:val="16"/>
        </w:rPr>
        <w:t>v celkové</w:t>
      </w:r>
      <w:r w:rsidRPr="00F7046D">
        <w:rPr>
          <w:sz w:val="16"/>
          <w:szCs w:val="16"/>
        </w:rPr>
        <w:t xml:space="preserve"> výši 416 mil. korun.</w:t>
      </w:r>
    </w:p>
  </w:footnote>
  <w:footnote w:id="99">
    <w:p w14:paraId="1E6AA515" w14:textId="77777777" w:rsidR="00DA0121" w:rsidRPr="009431D5" w:rsidRDefault="00DA0121" w:rsidP="00106BCC">
      <w:pPr>
        <w:pStyle w:val="Textpoznpodarou"/>
        <w:jc w:val="both"/>
        <w:rPr>
          <w:rFonts w:cs="Arial"/>
          <w:color w:val="000000" w:themeColor="text1"/>
          <w:spacing w:val="-4"/>
          <w:sz w:val="16"/>
          <w:szCs w:val="16"/>
        </w:rPr>
      </w:pPr>
      <w:r w:rsidRPr="00EC2E06">
        <w:rPr>
          <w:rStyle w:val="Znakapoznpodarou"/>
          <w:spacing w:val="-4"/>
          <w:sz w:val="16"/>
          <w:szCs w:val="16"/>
        </w:rPr>
        <w:footnoteRef/>
      </w:r>
      <w:r>
        <w:rPr>
          <w:spacing w:val="-4"/>
          <w:sz w:val="16"/>
          <w:szCs w:val="16"/>
        </w:rPr>
        <w:t xml:space="preserve"> To vyjadřuje r</w:t>
      </w:r>
      <w:r>
        <w:rPr>
          <w:rFonts w:cs="Arial"/>
          <w:color w:val="000000" w:themeColor="text1"/>
          <w:spacing w:val="-4"/>
          <w:sz w:val="16"/>
          <w:szCs w:val="16"/>
        </w:rPr>
        <w:t>ozdíl mezi příjmy</w:t>
      </w:r>
      <w:r w:rsidRPr="009431D5">
        <w:rPr>
          <w:rFonts w:cs="Arial"/>
          <w:color w:val="000000" w:themeColor="text1"/>
          <w:spacing w:val="-4"/>
          <w:sz w:val="16"/>
          <w:szCs w:val="16"/>
        </w:rPr>
        <w:t xml:space="preserve"> z pojistného na důchodové pojištění</w:t>
      </w:r>
      <w:r>
        <w:rPr>
          <w:rFonts w:ascii="Segoe UI" w:eastAsia="Times New Roman" w:hAnsi="Segoe UI" w:cs="Segoe UI"/>
          <w:b/>
          <w:bCs/>
          <w:color w:val="000000"/>
          <w:sz w:val="18"/>
          <w:szCs w:val="18"/>
        </w:rPr>
        <w:t xml:space="preserve"> </w:t>
      </w:r>
      <w:r>
        <w:rPr>
          <w:rFonts w:cs="Arial"/>
          <w:color w:val="000000" w:themeColor="text1"/>
          <w:spacing w:val="-4"/>
          <w:sz w:val="16"/>
          <w:szCs w:val="16"/>
        </w:rPr>
        <w:t xml:space="preserve">a výdaji na dávky </w:t>
      </w:r>
      <w:r w:rsidRPr="00EC2E06">
        <w:rPr>
          <w:rFonts w:cs="Arial"/>
          <w:color w:val="000000" w:themeColor="text1"/>
          <w:spacing w:val="-4"/>
          <w:sz w:val="16"/>
          <w:szCs w:val="16"/>
        </w:rPr>
        <w:t xml:space="preserve">důchodového </w:t>
      </w:r>
      <w:r w:rsidRPr="00EC2E06">
        <w:rPr>
          <w:rFonts w:cs="Arial"/>
          <w:color w:val="0D0D0D" w:themeColor="text1" w:themeTint="F2"/>
          <w:spacing w:val="-4"/>
          <w:sz w:val="16"/>
          <w:szCs w:val="16"/>
        </w:rPr>
        <w:t>pojištění</w:t>
      </w:r>
      <w:r>
        <w:rPr>
          <w:rFonts w:cs="Arial"/>
          <w:color w:val="000000" w:themeColor="text1"/>
          <w:spacing w:val="-4"/>
          <w:sz w:val="16"/>
          <w:szCs w:val="16"/>
        </w:rPr>
        <w:t xml:space="preserve"> (včetně nákladů</w:t>
      </w:r>
      <w:r w:rsidRPr="00EC2E06">
        <w:rPr>
          <w:rFonts w:cs="Arial"/>
          <w:color w:val="000000" w:themeColor="text1"/>
          <w:spacing w:val="-4"/>
          <w:sz w:val="16"/>
          <w:szCs w:val="16"/>
        </w:rPr>
        <w:t xml:space="preserve"> na </w:t>
      </w:r>
      <w:r>
        <w:rPr>
          <w:rFonts w:cs="Arial"/>
          <w:color w:val="000000" w:themeColor="text1"/>
          <w:spacing w:val="-4"/>
          <w:sz w:val="16"/>
          <w:szCs w:val="16"/>
        </w:rPr>
        <w:t>jeho správu).</w:t>
      </w:r>
    </w:p>
  </w:footnote>
  <w:footnote w:id="100">
    <w:p w14:paraId="7C4BE2AE" w14:textId="77777777" w:rsidR="00DA0121" w:rsidRPr="00A01FE0" w:rsidRDefault="00DA0121" w:rsidP="00106BCC">
      <w:pPr>
        <w:pStyle w:val="Textpoznpodarou"/>
        <w:rPr>
          <w:sz w:val="16"/>
          <w:szCs w:val="16"/>
        </w:rPr>
      </w:pPr>
      <w:r w:rsidRPr="00A01FE0">
        <w:rPr>
          <w:rStyle w:val="Znakapoznpodarou"/>
          <w:sz w:val="16"/>
          <w:szCs w:val="16"/>
        </w:rPr>
        <w:footnoteRef/>
      </w:r>
      <w:r w:rsidRPr="00A01FE0">
        <w:rPr>
          <w:sz w:val="16"/>
          <w:szCs w:val="16"/>
        </w:rPr>
        <w:t xml:space="preserve"> Na tomto příspěvku bylo od počátku roku vyplaceno 8,2 mld. korun</w:t>
      </w:r>
      <w:r>
        <w:rPr>
          <w:sz w:val="16"/>
          <w:szCs w:val="16"/>
        </w:rPr>
        <w:t xml:space="preserve">, </w:t>
      </w:r>
      <w:r w:rsidRPr="00A01FE0">
        <w:rPr>
          <w:sz w:val="16"/>
          <w:szCs w:val="16"/>
        </w:rPr>
        <w:t>rekordní byl i počet jeho příjemců (</w:t>
      </w:r>
      <w:r>
        <w:rPr>
          <w:sz w:val="16"/>
          <w:szCs w:val="16"/>
        </w:rPr>
        <w:t>jen za letošní</w:t>
      </w:r>
      <w:r w:rsidRPr="00A01FE0">
        <w:rPr>
          <w:sz w:val="16"/>
          <w:szCs w:val="16"/>
        </w:rPr>
        <w:t xml:space="preserve"> červen </w:t>
      </w:r>
      <w:r>
        <w:rPr>
          <w:sz w:val="16"/>
          <w:szCs w:val="16"/>
        </w:rPr>
        <w:t xml:space="preserve">šlo </w:t>
      </w:r>
      <w:r>
        <w:rPr>
          <w:sz w:val="16"/>
          <w:szCs w:val="16"/>
        </w:rPr>
        <w:br/>
        <w:t xml:space="preserve">o </w:t>
      </w:r>
      <w:r w:rsidRPr="00A01FE0">
        <w:rPr>
          <w:sz w:val="16"/>
          <w:szCs w:val="16"/>
        </w:rPr>
        <w:t xml:space="preserve">267 tis. domácností při průměrné výší dávky 6 134 korun). </w:t>
      </w:r>
    </w:p>
  </w:footnote>
  <w:footnote w:id="101">
    <w:p w14:paraId="06441511" w14:textId="77777777" w:rsidR="00DA0121" w:rsidRPr="003B3184" w:rsidRDefault="00DA0121" w:rsidP="00106BCC">
      <w:pPr>
        <w:pStyle w:val="Textpoznpodarou"/>
        <w:rPr>
          <w:sz w:val="16"/>
          <w:szCs w:val="16"/>
        </w:rPr>
      </w:pPr>
      <w:r w:rsidRPr="003B3184">
        <w:rPr>
          <w:rStyle w:val="Znakapoznpodarou"/>
          <w:sz w:val="16"/>
          <w:szCs w:val="16"/>
        </w:rPr>
        <w:footnoteRef/>
      </w:r>
      <w:r w:rsidRPr="003B3184">
        <w:rPr>
          <w:sz w:val="16"/>
          <w:szCs w:val="16"/>
        </w:rPr>
        <w:t xml:space="preserve"> Nárok na podporu v nez</w:t>
      </w:r>
      <w:r>
        <w:rPr>
          <w:sz w:val="16"/>
          <w:szCs w:val="16"/>
        </w:rPr>
        <w:t>aměstnanosti mělo letos v červnu 70 tis. registrovaných uchazečů o práci (28 % z jejich celkového počtu).</w:t>
      </w:r>
    </w:p>
  </w:footnote>
  <w:footnote w:id="102">
    <w:p w14:paraId="7CE8D75B" w14:textId="18AF8BFD" w:rsidR="00DA0121" w:rsidRDefault="00DA0121" w:rsidP="00106BCC">
      <w:pPr>
        <w:pStyle w:val="Textpoznpodarou"/>
      </w:pPr>
      <w:r w:rsidRPr="00781816">
        <w:rPr>
          <w:rStyle w:val="Znakapoznpodarou"/>
          <w:sz w:val="16"/>
          <w:szCs w:val="16"/>
        </w:rPr>
        <w:footnoteRef/>
      </w:r>
      <w:r w:rsidRPr="00781816">
        <w:rPr>
          <w:sz w:val="16"/>
          <w:szCs w:val="16"/>
        </w:rPr>
        <w:t xml:space="preserve"> </w:t>
      </w:r>
      <w:r w:rsidRPr="00652F08">
        <w:rPr>
          <w:sz w:val="16"/>
          <w:szCs w:val="16"/>
        </w:rPr>
        <w:t xml:space="preserve">Rovněž červencové údaje dokládají, že potřeba této mimořádné pomoci se během letošního roku (v souvislosti s příznivým trendem vývoje cen plynu elektřiny na světových trzích) postupně snižuje. Od počátku roku bylo na kompenzacích firmám vlivem zastropování cen ze SR vyplaceno 36,4 mld. korun. Navíc výplata pomoci podnikům v energeticky náročných odvětvích se ve 2. čtvrtletí fakticky zastavila. Naopak dotace provozovateli přenosové soustavy byly ve významné výši vyplaceny i v červenci a </w:t>
      </w:r>
      <w:r w:rsidR="00E159C6">
        <w:rPr>
          <w:sz w:val="16"/>
          <w:szCs w:val="16"/>
        </w:rPr>
        <w:t xml:space="preserve">v </w:t>
      </w:r>
      <w:r w:rsidRPr="00652F08">
        <w:rPr>
          <w:sz w:val="16"/>
          <w:szCs w:val="16"/>
        </w:rPr>
        <w:t>kumulac</w:t>
      </w:r>
      <w:r w:rsidR="00E159C6">
        <w:rPr>
          <w:sz w:val="16"/>
          <w:szCs w:val="16"/>
        </w:rPr>
        <w:t>i</w:t>
      </w:r>
      <w:r w:rsidRPr="00652F08">
        <w:rPr>
          <w:sz w:val="16"/>
          <w:szCs w:val="16"/>
        </w:rPr>
        <w:t xml:space="preserve"> od ledna činily již 10,1 mld. korun.</w:t>
      </w:r>
    </w:p>
  </w:footnote>
  <w:footnote w:id="103">
    <w:p w14:paraId="0B9AC861" w14:textId="77777777" w:rsidR="00DA0121" w:rsidRPr="00614788" w:rsidRDefault="00DA0121" w:rsidP="00106BCC">
      <w:pPr>
        <w:pStyle w:val="Textpoznpodarou"/>
        <w:rPr>
          <w:spacing w:val="-2"/>
          <w:sz w:val="16"/>
          <w:szCs w:val="16"/>
        </w:rPr>
      </w:pPr>
      <w:r w:rsidRPr="00614788">
        <w:rPr>
          <w:rStyle w:val="Znakapoznpodarou"/>
          <w:spacing w:val="-2"/>
          <w:sz w:val="16"/>
          <w:szCs w:val="16"/>
        </w:rPr>
        <w:footnoteRef/>
      </w:r>
      <w:r w:rsidRPr="00614788">
        <w:rPr>
          <w:spacing w:val="-2"/>
          <w:sz w:val="16"/>
          <w:szCs w:val="16"/>
        </w:rPr>
        <w:t xml:space="preserve"> Čisté výdaje odpovídají saldu rozpočtov</w:t>
      </w:r>
      <w:r>
        <w:rPr>
          <w:spacing w:val="-2"/>
          <w:sz w:val="16"/>
          <w:szCs w:val="16"/>
        </w:rPr>
        <w:t>é kapitoly Státní dluh (č. 396).</w:t>
      </w:r>
    </w:p>
  </w:footnote>
  <w:footnote w:id="104">
    <w:p w14:paraId="4C05F0B4" w14:textId="77777777" w:rsidR="00DA0121" w:rsidRPr="00271248" w:rsidRDefault="00DA0121" w:rsidP="00106BCC">
      <w:pPr>
        <w:pStyle w:val="Textpoznpodarou"/>
        <w:rPr>
          <w:sz w:val="16"/>
          <w:szCs w:val="16"/>
        </w:rPr>
      </w:pPr>
      <w:r w:rsidRPr="00271248">
        <w:rPr>
          <w:rStyle w:val="Znakapoznpodarou"/>
          <w:sz w:val="16"/>
          <w:szCs w:val="16"/>
        </w:rPr>
        <w:footnoteRef/>
      </w:r>
      <w:r w:rsidRPr="00271248">
        <w:rPr>
          <w:sz w:val="16"/>
          <w:szCs w:val="16"/>
        </w:rPr>
        <w:t xml:space="preserve"> Úhrn měsíčních výdajů ve všech organi</w:t>
      </w:r>
      <w:r>
        <w:rPr>
          <w:sz w:val="16"/>
          <w:szCs w:val="16"/>
        </w:rPr>
        <w:t>začních složkách státu tak mohl</w:t>
      </w:r>
      <w:r w:rsidRPr="00271248">
        <w:rPr>
          <w:sz w:val="16"/>
          <w:szCs w:val="16"/>
        </w:rPr>
        <w:t xml:space="preserve"> dosáhnout maximálně jedné dvanáctiny celkových výdajů SR stanovených </w:t>
      </w:r>
      <w:r>
        <w:rPr>
          <w:sz w:val="16"/>
          <w:szCs w:val="16"/>
        </w:rPr>
        <w:t>dle schváleného zákona o SR z roku 2021).</w:t>
      </w:r>
      <w:r w:rsidRPr="00862F80">
        <w:rPr>
          <w:sz w:val="16"/>
          <w:szCs w:val="16"/>
        </w:rPr>
        <w:t xml:space="preserve"> </w:t>
      </w:r>
      <w:r>
        <w:rPr>
          <w:sz w:val="16"/>
          <w:szCs w:val="16"/>
        </w:rPr>
        <w:t>To vedlo na počátku roku mj. k odkladu zbytných provozních výdajů i investic.</w:t>
      </w:r>
    </w:p>
  </w:footnote>
  <w:footnote w:id="105">
    <w:p w14:paraId="1AEFFD76" w14:textId="77777777" w:rsidR="00DA0121" w:rsidRPr="00CA2DF7" w:rsidRDefault="00DA0121" w:rsidP="00106BCC">
      <w:pPr>
        <w:pStyle w:val="Textpoznpodarou"/>
        <w:rPr>
          <w:sz w:val="16"/>
          <w:szCs w:val="16"/>
        </w:rPr>
      </w:pPr>
      <w:r w:rsidRPr="00CA2DF7">
        <w:rPr>
          <w:rStyle w:val="Znakapoznpodarou"/>
          <w:sz w:val="16"/>
          <w:szCs w:val="16"/>
        </w:rPr>
        <w:footnoteRef/>
      </w:r>
      <w:r w:rsidRPr="00CA2DF7">
        <w:rPr>
          <w:sz w:val="16"/>
          <w:szCs w:val="16"/>
        </w:rPr>
        <w:t xml:space="preserve"> Během 1. pololetí 2023 byly vydány korunové státní dluhopisy (se splatností nad 1 rok) ve výši 287 mld. korun (meziročně zhruba </w:t>
      </w:r>
      <w:r>
        <w:rPr>
          <w:sz w:val="16"/>
          <w:szCs w:val="16"/>
        </w:rPr>
        <w:br/>
      </w:r>
      <w:r w:rsidRPr="00CA2DF7">
        <w:rPr>
          <w:sz w:val="16"/>
          <w:szCs w:val="16"/>
        </w:rPr>
        <w:t xml:space="preserve">o desetinu více, ale oproti rokům 2020 i 2021 znatelně méně). Z toho na fixně úročené dluhopisy připadalo 253 mld. korun (s průměrnou zbytkovou dobou splatnosti 8,7 let a průměrným výnosem 4,6 % p. a.). </w:t>
      </w:r>
      <w:r>
        <w:rPr>
          <w:sz w:val="16"/>
          <w:szCs w:val="16"/>
        </w:rPr>
        <w:t xml:space="preserve">Čistá emise středně a dlouhodobých dluhopisů (po odečtení uskutečněných splátek) činila dosud letos 142 mld. korun. </w:t>
      </w:r>
      <w:r>
        <w:rPr>
          <w:spacing w:val="-4"/>
          <w:sz w:val="16"/>
          <w:szCs w:val="16"/>
        </w:rPr>
        <w:t>Hodnota veškerých domácích</w:t>
      </w:r>
      <w:r w:rsidRPr="00790DFB">
        <w:rPr>
          <w:spacing w:val="-4"/>
          <w:sz w:val="16"/>
          <w:szCs w:val="16"/>
        </w:rPr>
        <w:t xml:space="preserve"> státních dluhopisů v oběhu </w:t>
      </w:r>
      <w:r>
        <w:rPr>
          <w:spacing w:val="-4"/>
          <w:sz w:val="16"/>
          <w:szCs w:val="16"/>
        </w:rPr>
        <w:t>(zahrnujících i státní pokladniční poukázky) vystoupala letos na konci června na 2 868 mld. korun. Z nich bylo 27,9 %  v držbě nerezidentů, 65,9 % připadalo na tuzemské finanční instituce (především banky a penzijní fondy), významnější podíl vlastnily dále ještě domácnosti (3,7 %).</w:t>
      </w:r>
    </w:p>
  </w:footnote>
  <w:footnote w:id="106">
    <w:p w14:paraId="03DB6A11" w14:textId="77777777" w:rsidR="00DA0121" w:rsidRPr="00552F88" w:rsidRDefault="00DA0121" w:rsidP="00106BCC">
      <w:pPr>
        <w:pStyle w:val="Textpoznpodarou"/>
        <w:rPr>
          <w:sz w:val="16"/>
          <w:szCs w:val="16"/>
        </w:rPr>
      </w:pPr>
      <w:r w:rsidRPr="00552F88">
        <w:rPr>
          <w:rStyle w:val="Znakapoznpodarou"/>
          <w:sz w:val="16"/>
          <w:szCs w:val="16"/>
        </w:rPr>
        <w:footnoteRef/>
      </w:r>
      <w:r>
        <w:rPr>
          <w:sz w:val="16"/>
          <w:szCs w:val="16"/>
        </w:rPr>
        <w:t xml:space="preserve"> V</w:t>
      </w:r>
      <w:r w:rsidRPr="00552F88">
        <w:rPr>
          <w:sz w:val="16"/>
          <w:szCs w:val="16"/>
        </w:rPr>
        <w:t xml:space="preserve">nější zadluženost </w:t>
      </w:r>
      <w:r>
        <w:rPr>
          <w:sz w:val="16"/>
          <w:szCs w:val="16"/>
        </w:rPr>
        <w:t>se na celkovém státním dluhu</w:t>
      </w:r>
      <w:r w:rsidRPr="00552F88">
        <w:rPr>
          <w:sz w:val="16"/>
          <w:szCs w:val="16"/>
        </w:rPr>
        <w:t xml:space="preserve"> n</w:t>
      </w:r>
      <w:r>
        <w:rPr>
          <w:sz w:val="16"/>
          <w:szCs w:val="16"/>
        </w:rPr>
        <w:t>a konci letošního června podílela pouze 5,9 %.</w:t>
      </w:r>
    </w:p>
  </w:footnote>
  <w:footnote w:id="107">
    <w:p w14:paraId="1380CB9F" w14:textId="2204EB45" w:rsidR="00DA0121" w:rsidRDefault="00DA0121" w:rsidP="00106BCC">
      <w:pPr>
        <w:pStyle w:val="Textpoznpodarou"/>
        <w:rPr>
          <w:sz w:val="16"/>
          <w:szCs w:val="16"/>
        </w:rPr>
      </w:pPr>
      <w:r w:rsidRPr="008C2F4A">
        <w:rPr>
          <w:rStyle w:val="Znakapoznpodarou"/>
          <w:sz w:val="16"/>
          <w:szCs w:val="16"/>
        </w:rPr>
        <w:footnoteRef/>
      </w:r>
      <w:r w:rsidR="20D21749" w:rsidRPr="008C2F4A">
        <w:rPr>
          <w:sz w:val="16"/>
          <w:szCs w:val="16"/>
        </w:rPr>
        <w:t xml:space="preserve"> </w:t>
      </w:r>
      <w:r w:rsidR="20D21749">
        <w:rPr>
          <w:sz w:val="16"/>
          <w:szCs w:val="16"/>
        </w:rPr>
        <w:t xml:space="preserve">Údaje o hospodaření vládních institucí za 2. čtvrtletí 2023 zveřejní ČSÚ 2. října 2023, Eurostat analogicky 23. října 2023. Detailnější zhodnocení tuzemského vývoje za 1. čtvrtletí 2023 je obsaženo v publikaci </w:t>
      </w:r>
      <w:r w:rsidR="20D21749" w:rsidRPr="20D21749">
        <w:rPr>
          <w:i/>
          <w:iCs/>
          <w:sz w:val="16"/>
          <w:szCs w:val="16"/>
        </w:rPr>
        <w:t>Analýza sektorových účtů</w:t>
      </w:r>
      <w:r w:rsidR="20D21749">
        <w:rPr>
          <w:sz w:val="16"/>
          <w:szCs w:val="16"/>
        </w:rPr>
        <w:t>:</w:t>
      </w:r>
    </w:p>
    <w:p w14:paraId="4F104424" w14:textId="77777777" w:rsidR="00DA0121" w:rsidRPr="009831FA" w:rsidRDefault="00DA0121" w:rsidP="00106BCC">
      <w:pPr>
        <w:pStyle w:val="Textpoznpodarou"/>
        <w:rPr>
          <w:sz w:val="16"/>
          <w:szCs w:val="16"/>
        </w:rPr>
      </w:pPr>
      <w:r w:rsidRPr="009831FA">
        <w:rPr>
          <w:rStyle w:val="Hypertextovodkaz"/>
          <w:sz w:val="16"/>
          <w:szCs w:val="16"/>
        </w:rPr>
        <w:t>https://www.czso.cz/csu/czso/cri/analyza-ctvrtletnich-sektorovych-uctu-1-ctvrtleti-2023</w:t>
      </w:r>
    </w:p>
  </w:footnote>
  <w:footnote w:id="108">
    <w:p w14:paraId="3E12E774" w14:textId="77777777" w:rsidR="00DA0121" w:rsidRPr="00654E54" w:rsidRDefault="00DA0121" w:rsidP="00106BCC">
      <w:pPr>
        <w:pStyle w:val="Textpoznpodarou"/>
        <w:rPr>
          <w:sz w:val="16"/>
          <w:szCs w:val="16"/>
        </w:rPr>
      </w:pPr>
      <w:r w:rsidRPr="00654E54">
        <w:rPr>
          <w:rStyle w:val="Znakapoznpodarou"/>
          <w:sz w:val="16"/>
          <w:szCs w:val="16"/>
        </w:rPr>
        <w:footnoteRef/>
      </w:r>
      <w:r>
        <w:rPr>
          <w:sz w:val="16"/>
          <w:szCs w:val="16"/>
        </w:rPr>
        <w:t xml:space="preserve"> Není-li uvedeno jinak, jsou ú</w:t>
      </w:r>
      <w:r w:rsidRPr="00654E54">
        <w:rPr>
          <w:sz w:val="16"/>
          <w:szCs w:val="16"/>
        </w:rPr>
        <w:t xml:space="preserve">daje o hospodaření sektoru VI v ČR </w:t>
      </w:r>
      <w:r>
        <w:rPr>
          <w:sz w:val="16"/>
          <w:szCs w:val="16"/>
        </w:rPr>
        <w:t>vyjádře</w:t>
      </w:r>
      <w:r w:rsidRPr="00654E54">
        <w:rPr>
          <w:sz w:val="16"/>
          <w:szCs w:val="16"/>
        </w:rPr>
        <w:t>ny bez sezónního očištění.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DA0121" w14:paraId="3D57519A" w14:textId="77777777" w:rsidTr="7059F910">
      <w:trPr>
        <w:trHeight w:val="300"/>
      </w:trPr>
      <w:tc>
        <w:tcPr>
          <w:tcW w:w="3210" w:type="dxa"/>
        </w:tcPr>
        <w:p w14:paraId="7811EB53" w14:textId="4DDFCD4B" w:rsidR="00DA0121" w:rsidRDefault="00DA0121" w:rsidP="7059F910">
          <w:pPr>
            <w:pStyle w:val="Zhlav"/>
            <w:ind w:left="-115"/>
          </w:pPr>
        </w:p>
      </w:tc>
      <w:tc>
        <w:tcPr>
          <w:tcW w:w="3210" w:type="dxa"/>
        </w:tcPr>
        <w:p w14:paraId="5B18E2FB" w14:textId="699852E7" w:rsidR="00DA0121" w:rsidRDefault="00DA0121" w:rsidP="7059F910">
          <w:pPr>
            <w:pStyle w:val="Zhlav"/>
            <w:jc w:val="center"/>
          </w:pPr>
        </w:p>
      </w:tc>
      <w:tc>
        <w:tcPr>
          <w:tcW w:w="3210" w:type="dxa"/>
        </w:tcPr>
        <w:p w14:paraId="1759E02E" w14:textId="10B800EB" w:rsidR="00DA0121" w:rsidRDefault="00DA0121" w:rsidP="7059F910">
          <w:pPr>
            <w:pStyle w:val="Zhlav"/>
            <w:ind w:right="-115"/>
            <w:jc w:val="right"/>
          </w:pPr>
        </w:p>
      </w:tc>
    </w:tr>
  </w:tbl>
  <w:p w14:paraId="757EF678" w14:textId="58C73B80" w:rsidR="00DA0121" w:rsidRDefault="00DA0121" w:rsidP="7059F9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DA0121" w14:paraId="0DBEFC73" w14:textId="77777777" w:rsidTr="7059F910">
      <w:trPr>
        <w:trHeight w:val="300"/>
      </w:trPr>
      <w:tc>
        <w:tcPr>
          <w:tcW w:w="3210" w:type="dxa"/>
        </w:tcPr>
        <w:p w14:paraId="2A6581A2" w14:textId="561A369A" w:rsidR="00DA0121" w:rsidRDefault="00DA0121" w:rsidP="7059F910">
          <w:pPr>
            <w:pStyle w:val="Zhlav"/>
            <w:ind w:left="-115"/>
          </w:pPr>
        </w:p>
      </w:tc>
      <w:tc>
        <w:tcPr>
          <w:tcW w:w="3210" w:type="dxa"/>
        </w:tcPr>
        <w:p w14:paraId="3D3E0A0E" w14:textId="2B32CF54" w:rsidR="00DA0121" w:rsidRDefault="00DA0121" w:rsidP="7059F910">
          <w:pPr>
            <w:pStyle w:val="Zhlav"/>
            <w:jc w:val="center"/>
          </w:pPr>
        </w:p>
      </w:tc>
      <w:tc>
        <w:tcPr>
          <w:tcW w:w="3210" w:type="dxa"/>
        </w:tcPr>
        <w:p w14:paraId="64BF241E" w14:textId="61DF3F23" w:rsidR="00DA0121" w:rsidRDefault="00DA0121" w:rsidP="7059F910">
          <w:pPr>
            <w:pStyle w:val="Zhlav"/>
            <w:ind w:right="-115"/>
            <w:jc w:val="right"/>
          </w:pPr>
        </w:p>
      </w:tc>
    </w:tr>
  </w:tbl>
  <w:p w14:paraId="7626C104" w14:textId="012EE53B" w:rsidR="00DA0121" w:rsidRDefault="00DA0121" w:rsidP="7059F9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DA0121" w:rsidRDefault="00DA0121" w:rsidP="00937AE2">
    <w:pPr>
      <w:pStyle w:val="Zhlav"/>
    </w:pPr>
    <w:r>
      <w:t>Vývoj ekonomiky České republiky</w:t>
    </w:r>
  </w:p>
  <w:p w14:paraId="3E881AB3" w14:textId="77777777" w:rsidR="00DA0121" w:rsidRPr="006F5416" w:rsidRDefault="00DA0121" w:rsidP="00937AE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DA0121" w:rsidRDefault="00DA0121" w:rsidP="00937AE2">
    <w:pPr>
      <w:pStyle w:val="Zhlav"/>
    </w:pPr>
    <w:r>
      <w:t>Vývoj ekonomiky České republiky</w:t>
    </w:r>
  </w:p>
  <w:p w14:paraId="57266714" w14:textId="77777777" w:rsidR="00DA0121" w:rsidRPr="006F5416" w:rsidRDefault="00DA0121"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51D21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8"/>
  </w:num>
  <w:num w:numId="14">
    <w:abstractNumId w:val="14"/>
  </w:num>
  <w:num w:numId="15">
    <w:abstractNumId w:val="20"/>
  </w:num>
  <w:num w:numId="16">
    <w:abstractNumId w:val="16"/>
  </w:num>
  <w:num w:numId="17">
    <w:abstractNumId w:val="29"/>
  </w:num>
  <w:num w:numId="18">
    <w:abstractNumId w:val="21"/>
  </w:num>
  <w:num w:numId="19">
    <w:abstractNumId w:val="31"/>
  </w:num>
  <w:num w:numId="20">
    <w:abstractNumId w:val="32"/>
  </w:num>
  <w:num w:numId="21">
    <w:abstractNumId w:val="27"/>
  </w:num>
  <w:num w:numId="22">
    <w:abstractNumId w:val="19"/>
  </w:num>
  <w:num w:numId="23">
    <w:abstractNumId w:val="17"/>
  </w:num>
  <w:num w:numId="24">
    <w:abstractNumId w:val="18"/>
  </w:num>
  <w:num w:numId="25">
    <w:abstractNumId w:val="13"/>
  </w:num>
  <w:num w:numId="26">
    <w:abstractNumId w:val="23"/>
  </w:num>
  <w:num w:numId="27">
    <w:abstractNumId w:val="22"/>
  </w:num>
  <w:num w:numId="28">
    <w:abstractNumId w:val="10"/>
  </w:num>
  <w:num w:numId="29">
    <w:abstractNumId w:val="32"/>
  </w:num>
  <w:num w:numId="30">
    <w:abstractNumId w:val="24"/>
  </w:num>
  <w:num w:numId="31">
    <w:abstractNumId w:val="12"/>
  </w:num>
  <w:num w:numId="32">
    <w:abstractNumId w:val="33"/>
  </w:num>
  <w:num w:numId="33">
    <w:abstractNumId w:val="32"/>
  </w:num>
  <w:num w:numId="34">
    <w:abstractNumId w:val="11"/>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107"/>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5152"/>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2BC"/>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E04FD"/>
    <w:rsid w:val="000E0E96"/>
    <w:rsid w:val="000E298B"/>
    <w:rsid w:val="000E2C7D"/>
    <w:rsid w:val="000E3E56"/>
    <w:rsid w:val="000E440D"/>
    <w:rsid w:val="000E4AC5"/>
    <w:rsid w:val="000E6253"/>
    <w:rsid w:val="000E6AC4"/>
    <w:rsid w:val="000E6E4D"/>
    <w:rsid w:val="000E6FBD"/>
    <w:rsid w:val="000E6FCB"/>
    <w:rsid w:val="000F090B"/>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6BCC"/>
    <w:rsid w:val="00107124"/>
    <w:rsid w:val="0011038E"/>
    <w:rsid w:val="00111573"/>
    <w:rsid w:val="00112370"/>
    <w:rsid w:val="0011239B"/>
    <w:rsid w:val="001125EF"/>
    <w:rsid w:val="00112CAB"/>
    <w:rsid w:val="0011440C"/>
    <w:rsid w:val="00114C33"/>
    <w:rsid w:val="00114D5B"/>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5376"/>
    <w:rsid w:val="00136A6F"/>
    <w:rsid w:val="00136C1A"/>
    <w:rsid w:val="00137812"/>
    <w:rsid w:val="001405FA"/>
    <w:rsid w:val="00140D1A"/>
    <w:rsid w:val="00141184"/>
    <w:rsid w:val="00141315"/>
    <w:rsid w:val="0014152B"/>
    <w:rsid w:val="00141AA0"/>
    <w:rsid w:val="001425C3"/>
    <w:rsid w:val="0014262D"/>
    <w:rsid w:val="00142B29"/>
    <w:rsid w:val="00144108"/>
    <w:rsid w:val="00144588"/>
    <w:rsid w:val="001447DD"/>
    <w:rsid w:val="00145358"/>
    <w:rsid w:val="001459BC"/>
    <w:rsid w:val="0014779E"/>
    <w:rsid w:val="00147B13"/>
    <w:rsid w:val="00150ECA"/>
    <w:rsid w:val="0015108F"/>
    <w:rsid w:val="00151707"/>
    <w:rsid w:val="00152C86"/>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64B"/>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6B3F"/>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1D"/>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3F48"/>
    <w:rsid w:val="00254FC3"/>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0D42"/>
    <w:rsid w:val="00301294"/>
    <w:rsid w:val="003017EC"/>
    <w:rsid w:val="00302165"/>
    <w:rsid w:val="00303BB4"/>
    <w:rsid w:val="00304771"/>
    <w:rsid w:val="00304F9C"/>
    <w:rsid w:val="003052D4"/>
    <w:rsid w:val="00305863"/>
    <w:rsid w:val="003060D6"/>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375E0"/>
    <w:rsid w:val="00340BF3"/>
    <w:rsid w:val="00341C6C"/>
    <w:rsid w:val="00341D26"/>
    <w:rsid w:val="00341F05"/>
    <w:rsid w:val="0034335E"/>
    <w:rsid w:val="00344668"/>
    <w:rsid w:val="00344940"/>
    <w:rsid w:val="0034506D"/>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B2D"/>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32DB"/>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5EBF"/>
    <w:rsid w:val="003D6920"/>
    <w:rsid w:val="003E0249"/>
    <w:rsid w:val="003E08A4"/>
    <w:rsid w:val="003E105C"/>
    <w:rsid w:val="003E1EF8"/>
    <w:rsid w:val="003E2DFB"/>
    <w:rsid w:val="003E4466"/>
    <w:rsid w:val="003E4C91"/>
    <w:rsid w:val="003E52D8"/>
    <w:rsid w:val="003E62F1"/>
    <w:rsid w:val="003E6ED5"/>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0D2A"/>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6AEE"/>
    <w:rsid w:val="0047735C"/>
    <w:rsid w:val="004776BC"/>
    <w:rsid w:val="00477820"/>
    <w:rsid w:val="00477B96"/>
    <w:rsid w:val="00480802"/>
    <w:rsid w:val="00480BAE"/>
    <w:rsid w:val="00480D7F"/>
    <w:rsid w:val="0048139F"/>
    <w:rsid w:val="00481E40"/>
    <w:rsid w:val="00482405"/>
    <w:rsid w:val="004826A7"/>
    <w:rsid w:val="004828DA"/>
    <w:rsid w:val="0048368C"/>
    <w:rsid w:val="0048372F"/>
    <w:rsid w:val="0048399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389"/>
    <w:rsid w:val="004A0498"/>
    <w:rsid w:val="004A06B0"/>
    <w:rsid w:val="004A0D0E"/>
    <w:rsid w:val="004A14E4"/>
    <w:rsid w:val="004A204E"/>
    <w:rsid w:val="004A26A5"/>
    <w:rsid w:val="004A27F0"/>
    <w:rsid w:val="004A3212"/>
    <w:rsid w:val="004A37CD"/>
    <w:rsid w:val="004A3BE4"/>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91D"/>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CE4"/>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085C"/>
    <w:rsid w:val="004E12DF"/>
    <w:rsid w:val="004E186A"/>
    <w:rsid w:val="004E1A40"/>
    <w:rsid w:val="004E1DB2"/>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01B"/>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32B"/>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68"/>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0C"/>
    <w:rsid w:val="005A0463"/>
    <w:rsid w:val="005A05DF"/>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1705"/>
    <w:rsid w:val="005B26B0"/>
    <w:rsid w:val="005B41C9"/>
    <w:rsid w:val="005B44E6"/>
    <w:rsid w:val="005B4853"/>
    <w:rsid w:val="005B591B"/>
    <w:rsid w:val="005B6CA1"/>
    <w:rsid w:val="005B770C"/>
    <w:rsid w:val="005C06ED"/>
    <w:rsid w:val="005C0CE1"/>
    <w:rsid w:val="005C11B8"/>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5B60"/>
    <w:rsid w:val="005D66E6"/>
    <w:rsid w:val="005D7119"/>
    <w:rsid w:val="005D76C8"/>
    <w:rsid w:val="005D7890"/>
    <w:rsid w:val="005D7AAF"/>
    <w:rsid w:val="005E19C1"/>
    <w:rsid w:val="005E2194"/>
    <w:rsid w:val="005E24F0"/>
    <w:rsid w:val="005E3113"/>
    <w:rsid w:val="005E36FE"/>
    <w:rsid w:val="005E3F66"/>
    <w:rsid w:val="005E490F"/>
    <w:rsid w:val="005E4BC9"/>
    <w:rsid w:val="005E5314"/>
    <w:rsid w:val="005E764D"/>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07E1D"/>
    <w:rsid w:val="006104FB"/>
    <w:rsid w:val="006116FF"/>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415E"/>
    <w:rsid w:val="00625A84"/>
    <w:rsid w:val="00626079"/>
    <w:rsid w:val="006275B5"/>
    <w:rsid w:val="00631698"/>
    <w:rsid w:val="00631E44"/>
    <w:rsid w:val="00634C57"/>
    <w:rsid w:val="00634CE7"/>
    <w:rsid w:val="006350D5"/>
    <w:rsid w:val="00635EBE"/>
    <w:rsid w:val="0063642C"/>
    <w:rsid w:val="006376B3"/>
    <w:rsid w:val="00637858"/>
    <w:rsid w:val="006404A7"/>
    <w:rsid w:val="00640A38"/>
    <w:rsid w:val="00640E6B"/>
    <w:rsid w:val="00641787"/>
    <w:rsid w:val="0064179B"/>
    <w:rsid w:val="00642338"/>
    <w:rsid w:val="00642489"/>
    <w:rsid w:val="00644055"/>
    <w:rsid w:val="00644137"/>
    <w:rsid w:val="0064478C"/>
    <w:rsid w:val="00644938"/>
    <w:rsid w:val="00645160"/>
    <w:rsid w:val="006451E4"/>
    <w:rsid w:val="0064574B"/>
    <w:rsid w:val="00645B33"/>
    <w:rsid w:val="0065153D"/>
    <w:rsid w:val="006516CB"/>
    <w:rsid w:val="00652444"/>
    <w:rsid w:val="00652E30"/>
    <w:rsid w:val="00653BD0"/>
    <w:rsid w:val="00654110"/>
    <w:rsid w:val="00656C5D"/>
    <w:rsid w:val="00656CFB"/>
    <w:rsid w:val="00656D25"/>
    <w:rsid w:val="00657E87"/>
    <w:rsid w:val="00660D2D"/>
    <w:rsid w:val="0066110B"/>
    <w:rsid w:val="00661C41"/>
    <w:rsid w:val="00661EC9"/>
    <w:rsid w:val="00662469"/>
    <w:rsid w:val="0066411C"/>
    <w:rsid w:val="00664205"/>
    <w:rsid w:val="00664647"/>
    <w:rsid w:val="00664803"/>
    <w:rsid w:val="0066502F"/>
    <w:rsid w:val="006653CC"/>
    <w:rsid w:val="00665501"/>
    <w:rsid w:val="00665982"/>
    <w:rsid w:val="00665BA4"/>
    <w:rsid w:val="00666BF3"/>
    <w:rsid w:val="00667856"/>
    <w:rsid w:val="00667AF2"/>
    <w:rsid w:val="00670489"/>
    <w:rsid w:val="006710C9"/>
    <w:rsid w:val="00671D85"/>
    <w:rsid w:val="00672586"/>
    <w:rsid w:val="006727BC"/>
    <w:rsid w:val="006741CD"/>
    <w:rsid w:val="006745DF"/>
    <w:rsid w:val="00674BAC"/>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9F8"/>
    <w:rsid w:val="00684B9B"/>
    <w:rsid w:val="00684D59"/>
    <w:rsid w:val="00684E25"/>
    <w:rsid w:val="006858A4"/>
    <w:rsid w:val="00685C08"/>
    <w:rsid w:val="00685C8C"/>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3CAF"/>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5D3"/>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18A4"/>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1F2A"/>
    <w:rsid w:val="007434E5"/>
    <w:rsid w:val="00743884"/>
    <w:rsid w:val="0074499B"/>
    <w:rsid w:val="007449D6"/>
    <w:rsid w:val="0074501E"/>
    <w:rsid w:val="007450BF"/>
    <w:rsid w:val="0074599A"/>
    <w:rsid w:val="00746EE5"/>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A88"/>
    <w:rsid w:val="00763B85"/>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BF0"/>
    <w:rsid w:val="00780EF1"/>
    <w:rsid w:val="00781A91"/>
    <w:rsid w:val="00781AD3"/>
    <w:rsid w:val="00781F36"/>
    <w:rsid w:val="00783576"/>
    <w:rsid w:val="00784980"/>
    <w:rsid w:val="007853FD"/>
    <w:rsid w:val="00785778"/>
    <w:rsid w:val="00786C87"/>
    <w:rsid w:val="0078755E"/>
    <w:rsid w:val="007877C9"/>
    <w:rsid w:val="00790764"/>
    <w:rsid w:val="0079085F"/>
    <w:rsid w:val="00790E96"/>
    <w:rsid w:val="00791005"/>
    <w:rsid w:val="00793D78"/>
    <w:rsid w:val="0079420B"/>
    <w:rsid w:val="0079453C"/>
    <w:rsid w:val="00794677"/>
    <w:rsid w:val="00795759"/>
    <w:rsid w:val="007A0B5E"/>
    <w:rsid w:val="007A170B"/>
    <w:rsid w:val="007A20EB"/>
    <w:rsid w:val="007A282C"/>
    <w:rsid w:val="007A293C"/>
    <w:rsid w:val="007A2A3A"/>
    <w:rsid w:val="007A33E2"/>
    <w:rsid w:val="007A3CAF"/>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A03"/>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E0535"/>
    <w:rsid w:val="007E07F2"/>
    <w:rsid w:val="007E0D4A"/>
    <w:rsid w:val="007E1788"/>
    <w:rsid w:val="007E1EE3"/>
    <w:rsid w:val="007E29B4"/>
    <w:rsid w:val="007E2F12"/>
    <w:rsid w:val="007E3627"/>
    <w:rsid w:val="007E435A"/>
    <w:rsid w:val="007E445C"/>
    <w:rsid w:val="007E49F7"/>
    <w:rsid w:val="007E4C70"/>
    <w:rsid w:val="007E5149"/>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1B1"/>
    <w:rsid w:val="0080734C"/>
    <w:rsid w:val="00807C82"/>
    <w:rsid w:val="008107EE"/>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3CE"/>
    <w:rsid w:val="0083471A"/>
    <w:rsid w:val="00834FAA"/>
    <w:rsid w:val="00835495"/>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2A5"/>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2254"/>
    <w:rsid w:val="008A37E2"/>
    <w:rsid w:val="008A388E"/>
    <w:rsid w:val="008A394E"/>
    <w:rsid w:val="008A3CBA"/>
    <w:rsid w:val="008A4B59"/>
    <w:rsid w:val="008A63E1"/>
    <w:rsid w:val="008A66B7"/>
    <w:rsid w:val="008A68BB"/>
    <w:rsid w:val="008A6AA5"/>
    <w:rsid w:val="008A7127"/>
    <w:rsid w:val="008B0CBA"/>
    <w:rsid w:val="008B1850"/>
    <w:rsid w:val="008B2639"/>
    <w:rsid w:val="008B3537"/>
    <w:rsid w:val="008B35C1"/>
    <w:rsid w:val="008B3690"/>
    <w:rsid w:val="008B3A80"/>
    <w:rsid w:val="008B3AEC"/>
    <w:rsid w:val="008B3C07"/>
    <w:rsid w:val="008B3C6E"/>
    <w:rsid w:val="008B3F7B"/>
    <w:rsid w:val="008B43CA"/>
    <w:rsid w:val="008B5324"/>
    <w:rsid w:val="008B5C99"/>
    <w:rsid w:val="008B6106"/>
    <w:rsid w:val="008B7C02"/>
    <w:rsid w:val="008B7D2B"/>
    <w:rsid w:val="008B7EF9"/>
    <w:rsid w:val="008C0049"/>
    <w:rsid w:val="008C025A"/>
    <w:rsid w:val="008C0314"/>
    <w:rsid w:val="008C0E88"/>
    <w:rsid w:val="008C0EBE"/>
    <w:rsid w:val="008C1717"/>
    <w:rsid w:val="008C17F0"/>
    <w:rsid w:val="008C3A32"/>
    <w:rsid w:val="008C3B05"/>
    <w:rsid w:val="008C4B50"/>
    <w:rsid w:val="008C5A37"/>
    <w:rsid w:val="008C7569"/>
    <w:rsid w:val="008C79C3"/>
    <w:rsid w:val="008D006F"/>
    <w:rsid w:val="008D033D"/>
    <w:rsid w:val="008D06A2"/>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D7F47"/>
    <w:rsid w:val="008E0001"/>
    <w:rsid w:val="008E039E"/>
    <w:rsid w:val="008E292B"/>
    <w:rsid w:val="008E2C57"/>
    <w:rsid w:val="008E31FF"/>
    <w:rsid w:val="008E3287"/>
    <w:rsid w:val="008E38E4"/>
    <w:rsid w:val="008E3DFA"/>
    <w:rsid w:val="008E419B"/>
    <w:rsid w:val="008E51EB"/>
    <w:rsid w:val="008E5746"/>
    <w:rsid w:val="008E64D7"/>
    <w:rsid w:val="008E6DCB"/>
    <w:rsid w:val="008E6E5D"/>
    <w:rsid w:val="008E6F06"/>
    <w:rsid w:val="008E7000"/>
    <w:rsid w:val="008E723E"/>
    <w:rsid w:val="008E7B8E"/>
    <w:rsid w:val="008E7FC9"/>
    <w:rsid w:val="008F0107"/>
    <w:rsid w:val="008F029B"/>
    <w:rsid w:val="008F0589"/>
    <w:rsid w:val="008F130B"/>
    <w:rsid w:val="008F2A5D"/>
    <w:rsid w:val="008F2BC7"/>
    <w:rsid w:val="008F2E83"/>
    <w:rsid w:val="008F3636"/>
    <w:rsid w:val="008F3FC9"/>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0FA"/>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6B8B"/>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3ECA"/>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7C8"/>
    <w:rsid w:val="009B0CAF"/>
    <w:rsid w:val="009B1324"/>
    <w:rsid w:val="009B2558"/>
    <w:rsid w:val="009B284F"/>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D78C3"/>
    <w:rsid w:val="009E1120"/>
    <w:rsid w:val="009E1393"/>
    <w:rsid w:val="009E1922"/>
    <w:rsid w:val="009E1A3D"/>
    <w:rsid w:val="009E4715"/>
    <w:rsid w:val="009E4A58"/>
    <w:rsid w:val="009E5273"/>
    <w:rsid w:val="009E57A8"/>
    <w:rsid w:val="009E5B85"/>
    <w:rsid w:val="009E5DDB"/>
    <w:rsid w:val="009F032E"/>
    <w:rsid w:val="009F1CA6"/>
    <w:rsid w:val="009F2921"/>
    <w:rsid w:val="009F42CF"/>
    <w:rsid w:val="009F4982"/>
    <w:rsid w:val="009F4CA7"/>
    <w:rsid w:val="009F4F6A"/>
    <w:rsid w:val="009F55BA"/>
    <w:rsid w:val="009F7D36"/>
    <w:rsid w:val="009F7D61"/>
    <w:rsid w:val="00A00470"/>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5FC3"/>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09AD"/>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1EAD"/>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49E1"/>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22A"/>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160"/>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3FE8"/>
    <w:rsid w:val="00B748BD"/>
    <w:rsid w:val="00B74964"/>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E47"/>
    <w:rsid w:val="00BB4F98"/>
    <w:rsid w:val="00BB50C0"/>
    <w:rsid w:val="00BB5AB2"/>
    <w:rsid w:val="00BB5ABF"/>
    <w:rsid w:val="00BB5F94"/>
    <w:rsid w:val="00BB6EA2"/>
    <w:rsid w:val="00BB7142"/>
    <w:rsid w:val="00BB76F3"/>
    <w:rsid w:val="00BB7B5B"/>
    <w:rsid w:val="00BB7EB1"/>
    <w:rsid w:val="00BC003F"/>
    <w:rsid w:val="00BC0930"/>
    <w:rsid w:val="00BC223A"/>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6086"/>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27AD"/>
    <w:rsid w:val="00C5390B"/>
    <w:rsid w:val="00C54257"/>
    <w:rsid w:val="00C54697"/>
    <w:rsid w:val="00C550CE"/>
    <w:rsid w:val="00C553A5"/>
    <w:rsid w:val="00C55402"/>
    <w:rsid w:val="00C5603B"/>
    <w:rsid w:val="00C6020C"/>
    <w:rsid w:val="00C60AE3"/>
    <w:rsid w:val="00C61F47"/>
    <w:rsid w:val="00C62828"/>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9FE"/>
    <w:rsid w:val="00C92EB6"/>
    <w:rsid w:val="00C93389"/>
    <w:rsid w:val="00C948E6"/>
    <w:rsid w:val="00C94CDD"/>
    <w:rsid w:val="00C95123"/>
    <w:rsid w:val="00C97588"/>
    <w:rsid w:val="00CA0346"/>
    <w:rsid w:val="00CA0BD5"/>
    <w:rsid w:val="00CA0DA1"/>
    <w:rsid w:val="00CA1BD6"/>
    <w:rsid w:val="00CA37FF"/>
    <w:rsid w:val="00CA423A"/>
    <w:rsid w:val="00CA47BC"/>
    <w:rsid w:val="00CA5EAD"/>
    <w:rsid w:val="00CA6AB4"/>
    <w:rsid w:val="00CA7255"/>
    <w:rsid w:val="00CA79E2"/>
    <w:rsid w:val="00CB111E"/>
    <w:rsid w:val="00CB1BEE"/>
    <w:rsid w:val="00CB2351"/>
    <w:rsid w:val="00CB3605"/>
    <w:rsid w:val="00CB4022"/>
    <w:rsid w:val="00CB4257"/>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0E03"/>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07CC2"/>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133"/>
    <w:rsid w:val="00D269B9"/>
    <w:rsid w:val="00D27973"/>
    <w:rsid w:val="00D27F07"/>
    <w:rsid w:val="00D27F3A"/>
    <w:rsid w:val="00D31537"/>
    <w:rsid w:val="00D31E1E"/>
    <w:rsid w:val="00D322A0"/>
    <w:rsid w:val="00D32824"/>
    <w:rsid w:val="00D33297"/>
    <w:rsid w:val="00D334E2"/>
    <w:rsid w:val="00D335E5"/>
    <w:rsid w:val="00D350B1"/>
    <w:rsid w:val="00D35AD6"/>
    <w:rsid w:val="00D35BBB"/>
    <w:rsid w:val="00D35E1A"/>
    <w:rsid w:val="00D36B0A"/>
    <w:rsid w:val="00D36DFB"/>
    <w:rsid w:val="00D36E1C"/>
    <w:rsid w:val="00D373AF"/>
    <w:rsid w:val="00D40556"/>
    <w:rsid w:val="00D418E9"/>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2EB"/>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2CD7"/>
    <w:rsid w:val="00D932B8"/>
    <w:rsid w:val="00D932F0"/>
    <w:rsid w:val="00D95302"/>
    <w:rsid w:val="00D95889"/>
    <w:rsid w:val="00D95C5D"/>
    <w:rsid w:val="00D95CBE"/>
    <w:rsid w:val="00D95E7F"/>
    <w:rsid w:val="00D97D00"/>
    <w:rsid w:val="00DA0121"/>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27CD"/>
    <w:rsid w:val="00DE3231"/>
    <w:rsid w:val="00DE3E22"/>
    <w:rsid w:val="00DE3E5D"/>
    <w:rsid w:val="00DE450F"/>
    <w:rsid w:val="00DE4865"/>
    <w:rsid w:val="00DE5CA6"/>
    <w:rsid w:val="00DE5E55"/>
    <w:rsid w:val="00DE6209"/>
    <w:rsid w:val="00DE63AE"/>
    <w:rsid w:val="00DE7156"/>
    <w:rsid w:val="00DE7AC8"/>
    <w:rsid w:val="00DF0830"/>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59C6"/>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D22"/>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87D5B"/>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473"/>
    <w:rsid w:val="00EB6DA6"/>
    <w:rsid w:val="00EB6FAC"/>
    <w:rsid w:val="00EB7BAC"/>
    <w:rsid w:val="00EB7CC9"/>
    <w:rsid w:val="00EC03D7"/>
    <w:rsid w:val="00EC13A7"/>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A09"/>
    <w:rsid w:val="00EE6E06"/>
    <w:rsid w:val="00EE7179"/>
    <w:rsid w:val="00EF0D90"/>
    <w:rsid w:val="00EF150D"/>
    <w:rsid w:val="00EF1F5A"/>
    <w:rsid w:val="00EF23B5"/>
    <w:rsid w:val="00EF326A"/>
    <w:rsid w:val="00EF3898"/>
    <w:rsid w:val="00EF47BF"/>
    <w:rsid w:val="00EF52F7"/>
    <w:rsid w:val="00EF54CF"/>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6002"/>
    <w:rsid w:val="00F067B8"/>
    <w:rsid w:val="00F0730A"/>
    <w:rsid w:val="00F073ED"/>
    <w:rsid w:val="00F07C4C"/>
    <w:rsid w:val="00F07E45"/>
    <w:rsid w:val="00F10F11"/>
    <w:rsid w:val="00F11159"/>
    <w:rsid w:val="00F1152E"/>
    <w:rsid w:val="00F115E4"/>
    <w:rsid w:val="00F11AC4"/>
    <w:rsid w:val="00F11FDC"/>
    <w:rsid w:val="00F120A5"/>
    <w:rsid w:val="00F12CFB"/>
    <w:rsid w:val="00F13E60"/>
    <w:rsid w:val="00F13FDB"/>
    <w:rsid w:val="00F15AAA"/>
    <w:rsid w:val="00F15BEF"/>
    <w:rsid w:val="00F1770C"/>
    <w:rsid w:val="00F17898"/>
    <w:rsid w:val="00F204BF"/>
    <w:rsid w:val="00F207C2"/>
    <w:rsid w:val="00F21337"/>
    <w:rsid w:val="00F219A1"/>
    <w:rsid w:val="00F23927"/>
    <w:rsid w:val="00F23E20"/>
    <w:rsid w:val="00F24407"/>
    <w:rsid w:val="00F249CE"/>
    <w:rsid w:val="00F24FAA"/>
    <w:rsid w:val="00F25040"/>
    <w:rsid w:val="00F269D7"/>
    <w:rsid w:val="00F26FB5"/>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54A"/>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2C07"/>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1BA4"/>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372"/>
    <w:rsid w:val="00FD4916"/>
    <w:rsid w:val="00FD4D12"/>
    <w:rsid w:val="00FD4F73"/>
    <w:rsid w:val="00FD595E"/>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56A"/>
    <w:rsid w:val="00FF5B8C"/>
    <w:rsid w:val="00FF63E6"/>
    <w:rsid w:val="00FF72DC"/>
    <w:rsid w:val="00FF7B96"/>
    <w:rsid w:val="019CB78C"/>
    <w:rsid w:val="0523CDF2"/>
    <w:rsid w:val="06B1A837"/>
    <w:rsid w:val="08A648BF"/>
    <w:rsid w:val="0EBE9DEC"/>
    <w:rsid w:val="0FBB85B6"/>
    <w:rsid w:val="12650F4E"/>
    <w:rsid w:val="1394E51D"/>
    <w:rsid w:val="17513AF8"/>
    <w:rsid w:val="1B53A8C8"/>
    <w:rsid w:val="1BEE6986"/>
    <w:rsid w:val="20D21749"/>
    <w:rsid w:val="224482AD"/>
    <w:rsid w:val="23E0530E"/>
    <w:rsid w:val="24FC0D77"/>
    <w:rsid w:val="2A0E9F3A"/>
    <w:rsid w:val="2A2A6298"/>
    <w:rsid w:val="37D604A5"/>
    <w:rsid w:val="38C72AFC"/>
    <w:rsid w:val="3C7646FC"/>
    <w:rsid w:val="3E4A9713"/>
    <w:rsid w:val="3E77F3B4"/>
    <w:rsid w:val="40C3BF09"/>
    <w:rsid w:val="47207A7B"/>
    <w:rsid w:val="48038D4B"/>
    <w:rsid w:val="49E8263C"/>
    <w:rsid w:val="4A567F3C"/>
    <w:rsid w:val="50A35788"/>
    <w:rsid w:val="52944939"/>
    <w:rsid w:val="53942896"/>
    <w:rsid w:val="5536E42E"/>
    <w:rsid w:val="58FD3BB8"/>
    <w:rsid w:val="5CF587E8"/>
    <w:rsid w:val="5DD689BF"/>
    <w:rsid w:val="60B2C930"/>
    <w:rsid w:val="67F8BB57"/>
    <w:rsid w:val="6AEA4E8B"/>
    <w:rsid w:val="6AEC8A78"/>
    <w:rsid w:val="6D951AA9"/>
    <w:rsid w:val="7059F910"/>
    <w:rsid w:val="74EA3077"/>
    <w:rsid w:val="75B5B795"/>
    <w:rsid w:val="78058569"/>
    <w:rsid w:val="785B85D1"/>
    <w:rsid w:val="78E73CD1"/>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oter" Target="footer4.xml"/><Relationship Id="rId21" Type="http://schemas.openxmlformats.org/officeDocument/2006/relationships/chart" Target="charts/chart5.xml"/><Relationship Id="rId34" Type="http://schemas.openxmlformats.org/officeDocument/2006/relationships/chart" Target="charts/chart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metodicka-poznamka-k-indexu-spotrebitelskych-cen-imputovane-najemne" TargetMode="External"/><Relationship Id="rId1" Type="http://schemas.openxmlformats.org/officeDocument/2006/relationships/hyperlink" Target="https://www.czso.cz/csu/czso/aktualizace-metody-propoctu-zahranicni-obchod-se-zbozi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3Q2\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bojnikova31519\Documents\Anal&#253;za\Q\2023Q2\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zabojnikova31519\Documents\Anal&#253;za\Q\2023Q2\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zabojnikova31519\Documents\Anal&#253;za\Q\2023Q2\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amenicky3604\JKAM%20CSU\PUBLIKACE\PUBLIKACE\2023\Qmakro\2q%202023\Trh%20pr&#225;ce\Grafy-Trh%20pr&#225;ce%20celorok-2q-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amenicky3604\JKAM%20CSU\PUBLIKACE\PUBLIKACE\2023\Qmakro\2q%202023\Trh%20pr&#225;ce\Grafy-Trh%20pr&#225;ce%20celorok-2q-202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amenicky3604\JKAM%20CSU\PUBLIKACE\PUBLIKACE\2023\Qmakro\2q%202023\Trh%20pr&#225;ce\Grafy-Trh%20pr&#225;ce%20celorok-2q-202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zabojnikova31519\Documents\Anal&#253;za\Q\2023Q2\Makroanal&#253;za%20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amenicky3604\JKAM%20CSU\PUBLIKACE\PUBLIKACE\2023\Qmakro\2q%202023\St&#225;tn&#237;%20rozpo&#269;et\Grafy-st&#225;tn&#237;%20rozpo&#269;et-2q-202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amenicky3604\JKAM%20CSU\PUBLIKACE\PUBLIKACE\2023\Qmakro\2q%202023\St&#225;tn&#237;%20rozpo&#269;et\Grafy-st&#225;tn&#237;%20rozpo&#269;et-2q-202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amenicky3604\JKAM%20CSU\PUBLIKACE\PUBLIKACE\2023\Qmakro\2q%202023\St&#225;tn&#237;%20rozpo&#269;et\Grafy-st&#225;tn&#237;%20rozpo&#269;et-2q-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3Q2\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3Q2\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menicky3604\JKAM%20CSU\PUBLIKACE\PUBLIKACE\2023\Qmakro\2q%202023\Odv&#283;tv&#237;\Odv&#283;tv&#237;_grafy-2q-2023-ak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menicky3604\JKAM%20CSU\PUBLIKACE\PUBLIKACE\2023\Qmakro\2q%202023\Odv&#283;tv&#237;\Odv&#283;tv&#237;_grafy-2q-2023-ak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menicky3604\JKAM%20CSU\PUBLIKACE\PUBLIKACE\2023\Qmakro\2q%202023\Odv&#283;tv&#237;\Odv&#283;tv&#237;_grafy-2q-2023-ak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QMakro-2023\2q%202023\Odv&#283;tv&#237;\Odv&#283;tv&#237;_grafy-2q-2023-ak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QMakro-2023\2q%202023\Odv&#283;tv&#237;\Odv&#283;tv&#237;_grafy-2q-2023-ak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zabojnikova31519\Documents\Anal&#253;za\Q\2023Q2\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8E-2"/>
          <c:y val="2.3046636085626956E-2"/>
          <c:w val="0.92008633063154344"/>
          <c:h val="0.74192840256671655"/>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1'!$A$29:$B$50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1'!$C$29:$C$50</c:f>
              <c:numCache>
                <c:formatCode>General</c:formatCode>
                <c:ptCount val="22"/>
                <c:pt idx="0">
                  <c:v>4.7409690869492085</c:v>
                </c:pt>
                <c:pt idx="1">
                  <c:v>2.8084745992628513</c:v>
                </c:pt>
                <c:pt idx="2">
                  <c:v>2.6946757492296172</c:v>
                </c:pt>
                <c:pt idx="3">
                  <c:v>2.6327282626460686</c:v>
                </c:pt>
                <c:pt idx="4">
                  <c:v>2.9925598229108195</c:v>
                </c:pt>
                <c:pt idx="5">
                  <c:v>3.0577797411869359</c:v>
                </c:pt>
                <c:pt idx="6">
                  <c:v>3.0222821330284813</c:v>
                </c:pt>
                <c:pt idx="7">
                  <c:v>2.7919398416799637</c:v>
                </c:pt>
                <c:pt idx="8">
                  <c:v>-1.4737630559722414</c:v>
                </c:pt>
                <c:pt idx="9">
                  <c:v>-10.802828827516109</c:v>
                </c:pt>
                <c:pt idx="10">
                  <c:v>-5.2166971565464166</c:v>
                </c:pt>
                <c:pt idx="11">
                  <c:v>-4.5664791785978451</c:v>
                </c:pt>
                <c:pt idx="12">
                  <c:v>-1.9186413648622109</c:v>
                </c:pt>
                <c:pt idx="13">
                  <c:v>9.179288410047473</c:v>
                </c:pt>
                <c:pt idx="14">
                  <c:v>3.8208995035486302</c:v>
                </c:pt>
                <c:pt idx="15">
                  <c:v>3.4133294018282068</c:v>
                </c:pt>
                <c:pt idx="16">
                  <c:v>4.6827760503125955</c:v>
                </c:pt>
                <c:pt idx="17">
                  <c:v>3.3595353964859953</c:v>
                </c:pt>
                <c:pt idx="18">
                  <c:v>1.3500170189121978</c:v>
                </c:pt>
                <c:pt idx="19">
                  <c:v>0.12011038697296783</c:v>
                </c:pt>
                <c:pt idx="20">
                  <c:v>-0.42287981073889136</c:v>
                </c:pt>
                <c:pt idx="21">
                  <c:v>-0.43494743667122293</c:v>
                </c:pt>
              </c:numCache>
            </c:numRef>
          </c:val>
          <c:extLst>
            <c:ext xmlns:c16="http://schemas.microsoft.com/office/drawing/2014/chart" uri="{C3380CC4-5D6E-409C-BE32-E72D297353CC}">
              <c16:uniqueId val="{00000000-2C12-4A63-8F02-918BE59C4F8D}"/>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1'!$A$29:$B$50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1'!$D$29:$D$50</c:f>
              <c:numCache>
                <c:formatCode>#\ ##0.##########</c:formatCode>
                <c:ptCount val="22"/>
                <c:pt idx="0">
                  <c:v>2.6</c:v>
                </c:pt>
                <c:pt idx="1">
                  <c:v>2.4</c:v>
                </c:pt>
                <c:pt idx="2">
                  <c:v>1.7000000000000002</c:v>
                </c:pt>
                <c:pt idx="3">
                  <c:v>1.6</c:v>
                </c:pt>
                <c:pt idx="4">
                  <c:v>2.1</c:v>
                </c:pt>
                <c:pt idx="5">
                  <c:v>1.8</c:v>
                </c:pt>
                <c:pt idx="6" formatCode="#\ ##0.0">
                  <c:v>2</c:v>
                </c:pt>
                <c:pt idx="7">
                  <c:v>1.4</c:v>
                </c:pt>
                <c:pt idx="8">
                  <c:v>-2.2000000000000002</c:v>
                </c:pt>
                <c:pt idx="9">
                  <c:v>-13.3</c:v>
                </c:pt>
                <c:pt idx="10">
                  <c:v>-3.8</c:v>
                </c:pt>
                <c:pt idx="11">
                  <c:v>-3.8</c:v>
                </c:pt>
                <c:pt idx="12">
                  <c:v>-0.6000000000000002</c:v>
                </c:pt>
                <c:pt idx="13">
                  <c:v>13.9</c:v>
                </c:pt>
                <c:pt idx="14">
                  <c:v>4.5</c:v>
                </c:pt>
                <c:pt idx="15">
                  <c:v>5.2</c:v>
                </c:pt>
                <c:pt idx="16">
                  <c:v>5.6</c:v>
                </c:pt>
                <c:pt idx="17">
                  <c:v>4.3</c:v>
                </c:pt>
                <c:pt idx="18">
                  <c:v>2.5</c:v>
                </c:pt>
                <c:pt idx="19">
                  <c:v>1.6</c:v>
                </c:pt>
                <c:pt idx="20">
                  <c:v>1.1000000000000001</c:v>
                </c:pt>
                <c:pt idx="21">
                  <c:v>0.5</c:v>
                </c:pt>
              </c:numCache>
            </c:numRef>
          </c:val>
          <c:extLst>
            <c:ext xmlns:c16="http://schemas.microsoft.com/office/drawing/2014/chart" uri="{C3380CC4-5D6E-409C-BE32-E72D297353CC}">
              <c16:uniqueId val="{00000001-2C12-4A63-8F02-918BE59C4F8D}"/>
            </c:ext>
          </c:extLst>
        </c:ser>
        <c:dLbls>
          <c:showLegendKey val="0"/>
          <c:showVal val="0"/>
          <c:showCatName val="0"/>
          <c:showSerName val="0"/>
          <c:showPercent val="0"/>
          <c:showBubbleSize val="0"/>
        </c:dLbls>
        <c:gapWidth val="80"/>
        <c:axId val="103117568"/>
        <c:axId val="103119104"/>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1'!$A$29:$B$50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1'!$E$29:$E$50</c:f>
              <c:numCache>
                <c:formatCode>General</c:formatCode>
                <c:ptCount val="22"/>
                <c:pt idx="0">
                  <c:v>0.51859772519729541</c:v>
                </c:pt>
                <c:pt idx="1">
                  <c:v>0.59123747503038249</c:v>
                </c:pt>
                <c:pt idx="2">
                  <c:v>0.73257343037091971</c:v>
                </c:pt>
                <c:pt idx="3">
                  <c:v>0.76492186562109099</c:v>
                </c:pt>
                <c:pt idx="4">
                  <c:v>0.87101711877043897</c:v>
                </c:pt>
                <c:pt idx="5">
                  <c:v>0.65493675873298662</c:v>
                </c:pt>
                <c:pt idx="6">
                  <c:v>0.69787672499455777</c:v>
                </c:pt>
                <c:pt idx="7">
                  <c:v>0.53962669151388853</c:v>
                </c:pt>
                <c:pt idx="8">
                  <c:v>-3.3149705245738503</c:v>
                </c:pt>
                <c:pt idx="9">
                  <c:v>-8.8756873103285372</c:v>
                </c:pt>
                <c:pt idx="10">
                  <c:v>7.0042605595799046</c:v>
                </c:pt>
                <c:pt idx="11">
                  <c:v>1.2293333255930037</c:v>
                </c:pt>
                <c:pt idx="12">
                  <c:v>-0.63240914714887753</c:v>
                </c:pt>
                <c:pt idx="13">
                  <c:v>1.4350510102822791</c:v>
                </c:pt>
                <c:pt idx="14">
                  <c:v>1.7526194188431676</c:v>
                </c:pt>
                <c:pt idx="15">
                  <c:v>0.83193694511574257</c:v>
                </c:pt>
                <c:pt idx="16">
                  <c:v>0.58737418161310029</c:v>
                </c:pt>
                <c:pt idx="17">
                  <c:v>0.15286316349390466</c:v>
                </c:pt>
                <c:pt idx="18">
                  <c:v>-0.22565726268484806</c:v>
                </c:pt>
                <c:pt idx="19">
                  <c:v>-0.39168266154831621</c:v>
                </c:pt>
                <c:pt idx="20">
                  <c:v>4.1849831079645121E-2</c:v>
                </c:pt>
                <c:pt idx="21">
                  <c:v>0.14072576399479431</c:v>
                </c:pt>
              </c:numCache>
            </c:numRef>
          </c:val>
          <c:smooth val="0"/>
          <c:extLst>
            <c:ext xmlns:c16="http://schemas.microsoft.com/office/drawing/2014/chart" uri="{C3380CC4-5D6E-409C-BE32-E72D297353CC}">
              <c16:uniqueId val="{00000002-2C12-4A63-8F02-918BE59C4F8D}"/>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1'!$A$29:$B$50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1'!$F$29:$F$50</c:f>
              <c:numCache>
                <c:formatCode>#\ ##0.##########</c:formatCode>
                <c:ptCount val="22"/>
                <c:pt idx="0">
                  <c:v>0.2</c:v>
                </c:pt>
                <c:pt idx="1">
                  <c:v>0.6000000000000002</c:v>
                </c:pt>
                <c:pt idx="2">
                  <c:v>0.1</c:v>
                </c:pt>
                <c:pt idx="3">
                  <c:v>0.70000000000000018</c:v>
                </c:pt>
                <c:pt idx="4">
                  <c:v>0.70000000000000018</c:v>
                </c:pt>
                <c:pt idx="5">
                  <c:v>0.4</c:v>
                </c:pt>
                <c:pt idx="6">
                  <c:v>0.3000000000000001</c:v>
                </c:pt>
                <c:pt idx="7">
                  <c:v>0.1</c:v>
                </c:pt>
                <c:pt idx="8">
                  <c:v>-2.9</c:v>
                </c:pt>
                <c:pt idx="9" formatCode="#\ ##0.0">
                  <c:v>-11</c:v>
                </c:pt>
                <c:pt idx="10">
                  <c:v>11.3</c:v>
                </c:pt>
                <c:pt idx="11">
                  <c:v>0.1</c:v>
                </c:pt>
                <c:pt idx="12">
                  <c:v>0.4</c:v>
                </c:pt>
                <c:pt idx="13">
                  <c:v>1.9000000000000001</c:v>
                </c:pt>
                <c:pt idx="14">
                  <c:v>2.1</c:v>
                </c:pt>
                <c:pt idx="15">
                  <c:v>0.70000000000000018</c:v>
                </c:pt>
                <c:pt idx="16">
                  <c:v>0.70000000000000018</c:v>
                </c:pt>
                <c:pt idx="17">
                  <c:v>0.6000000000000002</c:v>
                </c:pt>
                <c:pt idx="18">
                  <c:v>0.4</c:v>
                </c:pt>
                <c:pt idx="19">
                  <c:v>-0.1</c:v>
                </c:pt>
                <c:pt idx="20">
                  <c:v>0.2</c:v>
                </c:pt>
                <c:pt idx="21" formatCode="#\ ##0.0">
                  <c:v>0</c:v>
                </c:pt>
              </c:numCache>
            </c:numRef>
          </c:val>
          <c:smooth val="0"/>
          <c:extLst>
            <c:ext xmlns:c16="http://schemas.microsoft.com/office/drawing/2014/chart" uri="{C3380CC4-5D6E-409C-BE32-E72D297353CC}">
              <c16:uniqueId val="{00000003-2C12-4A63-8F02-918BE59C4F8D}"/>
            </c:ext>
          </c:extLst>
        </c:ser>
        <c:dLbls>
          <c:showLegendKey val="0"/>
          <c:showVal val="0"/>
          <c:showCatName val="0"/>
          <c:showSerName val="0"/>
          <c:showPercent val="0"/>
          <c:showBubbleSize val="0"/>
        </c:dLbls>
        <c:marker val="1"/>
        <c:smooth val="0"/>
        <c:axId val="103117568"/>
        <c:axId val="103119104"/>
      </c:lineChart>
      <c:catAx>
        <c:axId val="103117568"/>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03119104"/>
        <c:crosses val="autoZero"/>
        <c:auto val="1"/>
        <c:lblAlgn val="ctr"/>
        <c:lblOffset val="100"/>
        <c:noMultiLvlLbl val="0"/>
      </c:catAx>
      <c:valAx>
        <c:axId val="103119104"/>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03117568"/>
        <c:crosses val="autoZero"/>
        <c:crossBetween val="between"/>
        <c:majorUnit val="3"/>
      </c:valAx>
      <c:spPr>
        <a:ln>
          <a:solidFill>
            <a:schemeClr val="tx1"/>
          </a:solidFill>
        </a:ln>
      </c:spPr>
    </c:plotArea>
    <c:legend>
      <c:legendPos val="b"/>
      <c:layout>
        <c:manualLayout>
          <c:xMode val="edge"/>
          <c:yMode val="edge"/>
          <c:x val="5.8431906450523499E-2"/>
          <c:y val="0.89437255125718007"/>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327E-2"/>
          <c:w val="0.92237743255066085"/>
          <c:h val="0.7147157521300419"/>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2'!$C$30:$C$51</c:f>
              <c:numCache>
                <c:formatCode>0.0</c:formatCode>
                <c:ptCount val="22"/>
                <c:pt idx="0">
                  <c:v>1.9000000000000001</c:v>
                </c:pt>
                <c:pt idx="1">
                  <c:v>2.2999999999999998</c:v>
                </c:pt>
                <c:pt idx="2">
                  <c:v>2.4</c:v>
                </c:pt>
                <c:pt idx="3">
                  <c:v>2.1</c:v>
                </c:pt>
                <c:pt idx="4">
                  <c:v>2.7</c:v>
                </c:pt>
                <c:pt idx="5">
                  <c:v>2.8</c:v>
                </c:pt>
                <c:pt idx="6">
                  <c:v>2.8</c:v>
                </c:pt>
                <c:pt idx="7">
                  <c:v>3</c:v>
                </c:pt>
                <c:pt idx="8">
                  <c:v>3.6</c:v>
                </c:pt>
                <c:pt idx="9">
                  <c:v>3.1</c:v>
                </c:pt>
                <c:pt idx="10">
                  <c:v>3.3</c:v>
                </c:pt>
                <c:pt idx="11">
                  <c:v>2.6</c:v>
                </c:pt>
                <c:pt idx="12">
                  <c:v>2.2000000000000002</c:v>
                </c:pt>
                <c:pt idx="13">
                  <c:v>2.9</c:v>
                </c:pt>
                <c:pt idx="14">
                  <c:v>4.0999999999999996</c:v>
                </c:pt>
                <c:pt idx="15">
                  <c:v>6.1</c:v>
                </c:pt>
                <c:pt idx="16">
                  <c:v>11.2</c:v>
                </c:pt>
                <c:pt idx="17">
                  <c:v>15.8</c:v>
                </c:pt>
                <c:pt idx="18">
                  <c:v>17.600000000000001</c:v>
                </c:pt>
                <c:pt idx="19">
                  <c:v>15.7</c:v>
                </c:pt>
                <c:pt idx="20">
                  <c:v>16.399999999999999</c:v>
                </c:pt>
                <c:pt idx="21">
                  <c:v>11.1</c:v>
                </c:pt>
              </c:numCache>
            </c:numRef>
          </c:val>
          <c:extLst>
            <c:ext xmlns:c16="http://schemas.microsoft.com/office/drawing/2014/chart" uri="{C3380CC4-5D6E-409C-BE32-E72D297353CC}">
              <c16:uniqueId val="{00000000-E5A0-4B5C-9394-F7ABCDA53535}"/>
            </c:ext>
          </c:extLst>
        </c:ser>
        <c:dLbls>
          <c:showLegendKey val="0"/>
          <c:showVal val="0"/>
          <c:showCatName val="0"/>
          <c:showSerName val="0"/>
          <c:showPercent val="0"/>
          <c:showBubbleSize val="0"/>
        </c:dLbls>
        <c:gapWidth val="95"/>
        <c:axId val="44422656"/>
        <c:axId val="44424192"/>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2'!$D$30:$D$51</c:f>
              <c:numCache>
                <c:formatCode>#\ ##0.0_ ;\-#\ ##0.0\ </c:formatCode>
                <c:ptCount val="22"/>
                <c:pt idx="0" formatCode="0.0">
                  <c:v>2.9</c:v>
                </c:pt>
                <c:pt idx="1">
                  <c:v>2.2999999999999998</c:v>
                </c:pt>
                <c:pt idx="2" formatCode="0.0">
                  <c:v>0.6000000000000002</c:v>
                </c:pt>
                <c:pt idx="3" formatCode="0.0">
                  <c:v>-0.5</c:v>
                </c:pt>
                <c:pt idx="4" formatCode="0.0">
                  <c:v>1</c:v>
                </c:pt>
                <c:pt idx="5" formatCode="0.0">
                  <c:v>2.5</c:v>
                </c:pt>
                <c:pt idx="6" formatCode="0.0">
                  <c:v>3.5</c:v>
                </c:pt>
                <c:pt idx="7" formatCode="0.0">
                  <c:v>4.3</c:v>
                </c:pt>
                <c:pt idx="8" formatCode="0.0">
                  <c:v>6.1</c:v>
                </c:pt>
                <c:pt idx="9" formatCode="0.0">
                  <c:v>6.5</c:v>
                </c:pt>
                <c:pt idx="10" formatCode="0.0">
                  <c:v>4</c:v>
                </c:pt>
                <c:pt idx="11" formatCode="0.0">
                  <c:v>1.7000000000000002</c:v>
                </c:pt>
                <c:pt idx="12" formatCode="0.0">
                  <c:v>0.3000000000000001</c:v>
                </c:pt>
                <c:pt idx="13" formatCode="0.0">
                  <c:v>-0.8</c:v>
                </c:pt>
                <c:pt idx="14" formatCode="0.0">
                  <c:v>1.4</c:v>
                </c:pt>
                <c:pt idx="15" formatCode="0.0">
                  <c:v>2.2999999999999998</c:v>
                </c:pt>
                <c:pt idx="16" formatCode="0.0">
                  <c:v>6.7</c:v>
                </c:pt>
                <c:pt idx="17" formatCode="0.0">
                  <c:v>14.6</c:v>
                </c:pt>
                <c:pt idx="18" formatCode="0.0">
                  <c:v>20</c:v>
                </c:pt>
                <c:pt idx="19" formatCode="0.0">
                  <c:v>25.5</c:v>
                </c:pt>
                <c:pt idx="20" formatCode="0.0">
                  <c:v>24.1</c:v>
                </c:pt>
                <c:pt idx="21" formatCode="0.0">
                  <c:v>14.6</c:v>
                </c:pt>
              </c:numCache>
            </c:numRef>
          </c:val>
          <c:smooth val="0"/>
          <c:extLst>
            <c:ext xmlns:c16="http://schemas.microsoft.com/office/drawing/2014/chart" uri="{C3380CC4-5D6E-409C-BE32-E72D297353CC}">
              <c16:uniqueId val="{00000001-E5A0-4B5C-9394-F7ABCDA53535}"/>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2'!$F$30:$F$51</c:f>
              <c:numCache>
                <c:formatCode>0.0</c:formatCode>
                <c:ptCount val="22"/>
                <c:pt idx="0">
                  <c:v>2.2999999999999998</c:v>
                </c:pt>
                <c:pt idx="1">
                  <c:v>2.6</c:v>
                </c:pt>
                <c:pt idx="2">
                  <c:v>3.2</c:v>
                </c:pt>
                <c:pt idx="3">
                  <c:v>3.8</c:v>
                </c:pt>
                <c:pt idx="4">
                  <c:v>5.4</c:v>
                </c:pt>
                <c:pt idx="5">
                  <c:v>5.7</c:v>
                </c:pt>
                <c:pt idx="6">
                  <c:v>5.2</c:v>
                </c:pt>
                <c:pt idx="7">
                  <c:v>5</c:v>
                </c:pt>
                <c:pt idx="8">
                  <c:v>4.2</c:v>
                </c:pt>
                <c:pt idx="9">
                  <c:v>3.2</c:v>
                </c:pt>
                <c:pt idx="10">
                  <c:v>2.7</c:v>
                </c:pt>
                <c:pt idx="11">
                  <c:v>1.4</c:v>
                </c:pt>
                <c:pt idx="12">
                  <c:v>0.6000000000000002</c:v>
                </c:pt>
                <c:pt idx="13">
                  <c:v>1.3</c:v>
                </c:pt>
                <c:pt idx="14">
                  <c:v>3.6</c:v>
                </c:pt>
                <c:pt idx="15">
                  <c:v>5.6</c:v>
                </c:pt>
                <c:pt idx="16">
                  <c:v>16</c:v>
                </c:pt>
                <c:pt idx="17">
                  <c:v>21.4</c:v>
                </c:pt>
                <c:pt idx="18">
                  <c:v>23.6</c:v>
                </c:pt>
                <c:pt idx="19">
                  <c:v>14.9</c:v>
                </c:pt>
                <c:pt idx="20">
                  <c:v>22.2</c:v>
                </c:pt>
                <c:pt idx="21">
                  <c:v>16</c:v>
                </c:pt>
              </c:numCache>
            </c:numRef>
          </c:val>
          <c:smooth val="0"/>
          <c:extLst>
            <c:ext xmlns:c16="http://schemas.microsoft.com/office/drawing/2014/chart" uri="{C3380CC4-5D6E-409C-BE32-E72D297353CC}">
              <c16:uniqueId val="{00000002-E5A0-4B5C-9394-F7ABCDA53535}"/>
            </c:ext>
          </c:extLst>
        </c:ser>
        <c:ser>
          <c:idx val="4"/>
          <c:order val="3"/>
          <c:tx>
            <c:strRef>
              <c:f>'Ceny 2'!$G$5</c:f>
              <c:strCache>
                <c:ptCount val="1"/>
                <c:pt idx="0">
                  <c:v>Doprava</c:v>
                </c:pt>
              </c:strCache>
            </c:strRef>
          </c:tx>
          <c:spPr>
            <a:ln w="19050">
              <a:solidFill>
                <a:srgbClr val="FFC000"/>
              </a:solidFill>
            </a:ln>
          </c:spPr>
          <c:marker>
            <c:symbol val="none"/>
          </c:marker>
          <c:cat>
            <c:multiLvlStrRef>
              <c:f>'Ceny 2'!$A$30:$B$51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2'!$G$30:$G$51</c:f>
              <c:numCache>
                <c:formatCode>0.0</c:formatCode>
                <c:ptCount val="22"/>
                <c:pt idx="0">
                  <c:v>1</c:v>
                </c:pt>
                <c:pt idx="1">
                  <c:v>3</c:v>
                </c:pt>
                <c:pt idx="2">
                  <c:v>4.5</c:v>
                </c:pt>
                <c:pt idx="3">
                  <c:v>2.6</c:v>
                </c:pt>
                <c:pt idx="4">
                  <c:v>0.6000000000000002</c:v>
                </c:pt>
                <c:pt idx="5">
                  <c:v>0.8</c:v>
                </c:pt>
                <c:pt idx="6">
                  <c:v>-0.2</c:v>
                </c:pt>
                <c:pt idx="7">
                  <c:v>0.5</c:v>
                </c:pt>
                <c:pt idx="8" formatCode="General">
                  <c:v>1.7000000000000002</c:v>
                </c:pt>
                <c:pt idx="9">
                  <c:v>-3.4</c:v>
                </c:pt>
                <c:pt idx="10">
                  <c:v>-0.2</c:v>
                </c:pt>
                <c:pt idx="11">
                  <c:v>0.6000000000000002</c:v>
                </c:pt>
                <c:pt idx="12">
                  <c:v>2.4</c:v>
                </c:pt>
                <c:pt idx="13">
                  <c:v>9.1</c:v>
                </c:pt>
                <c:pt idx="14">
                  <c:v>8.8000000000000007</c:v>
                </c:pt>
                <c:pt idx="15">
                  <c:v>13.1</c:v>
                </c:pt>
                <c:pt idx="16">
                  <c:v>17.2</c:v>
                </c:pt>
                <c:pt idx="17">
                  <c:v>22.7</c:v>
                </c:pt>
                <c:pt idx="18">
                  <c:v>19.7</c:v>
                </c:pt>
                <c:pt idx="19">
                  <c:v>13.1</c:v>
                </c:pt>
                <c:pt idx="20">
                  <c:v>4.5</c:v>
                </c:pt>
                <c:pt idx="21">
                  <c:v>-4</c:v>
                </c:pt>
              </c:numCache>
            </c:numRef>
          </c:val>
          <c:smooth val="0"/>
          <c:extLst>
            <c:ext xmlns:c16="http://schemas.microsoft.com/office/drawing/2014/chart" uri="{C3380CC4-5D6E-409C-BE32-E72D297353CC}">
              <c16:uniqueId val="{00000003-E5A0-4B5C-9394-F7ABCDA53535}"/>
            </c:ext>
          </c:extLst>
        </c:ser>
        <c:ser>
          <c:idx val="5"/>
          <c:order val="5"/>
          <c:tx>
            <c:strRef>
              <c:f>'Ceny 2'!$H$5</c:f>
              <c:strCache>
                <c:ptCount val="1"/>
                <c:pt idx="0">
                  <c:v>Stravování a ubytování</c:v>
                </c:pt>
              </c:strCache>
            </c:strRef>
          </c:tx>
          <c:spPr>
            <a:ln w="19050">
              <a:solidFill>
                <a:srgbClr val="7030A0"/>
              </a:solidFill>
            </a:ln>
          </c:spPr>
          <c:marker>
            <c:symbol val="none"/>
          </c:marker>
          <c:cat>
            <c:multiLvlStrRef>
              <c:f>'Ceny 2'!$A$30:$B$51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2'!$H$30:$H$51</c:f>
              <c:numCache>
                <c:formatCode>0.0</c:formatCode>
                <c:ptCount val="22"/>
                <c:pt idx="0">
                  <c:v>3.5</c:v>
                </c:pt>
                <c:pt idx="1">
                  <c:v>3.6</c:v>
                </c:pt>
                <c:pt idx="2">
                  <c:v>3.5</c:v>
                </c:pt>
                <c:pt idx="3">
                  <c:v>3.7</c:v>
                </c:pt>
                <c:pt idx="4">
                  <c:v>3.8</c:v>
                </c:pt>
                <c:pt idx="5">
                  <c:v>4</c:v>
                </c:pt>
                <c:pt idx="6">
                  <c:v>4.5</c:v>
                </c:pt>
                <c:pt idx="7">
                  <c:v>4.5999999999999996</c:v>
                </c:pt>
                <c:pt idx="8">
                  <c:v>5.5</c:v>
                </c:pt>
                <c:pt idx="9">
                  <c:v>5.0999999999999996</c:v>
                </c:pt>
                <c:pt idx="10">
                  <c:v>4.9000000000000004</c:v>
                </c:pt>
                <c:pt idx="11">
                  <c:v>4.3</c:v>
                </c:pt>
                <c:pt idx="12">
                  <c:v>3</c:v>
                </c:pt>
                <c:pt idx="13">
                  <c:v>2.9</c:v>
                </c:pt>
                <c:pt idx="14">
                  <c:v>4.5999999999999996</c:v>
                </c:pt>
                <c:pt idx="15">
                  <c:v>6.8</c:v>
                </c:pt>
                <c:pt idx="16">
                  <c:v>12.3</c:v>
                </c:pt>
                <c:pt idx="17">
                  <c:v>21.4</c:v>
                </c:pt>
                <c:pt idx="18">
                  <c:v>24.3</c:v>
                </c:pt>
                <c:pt idx="19">
                  <c:v>25.6</c:v>
                </c:pt>
                <c:pt idx="20">
                  <c:v>22.4</c:v>
                </c:pt>
                <c:pt idx="21">
                  <c:v>15.4</c:v>
                </c:pt>
              </c:numCache>
            </c:numRef>
          </c:val>
          <c:smooth val="0"/>
          <c:extLst>
            <c:ext xmlns:c16="http://schemas.microsoft.com/office/drawing/2014/chart" uri="{C3380CC4-5D6E-409C-BE32-E72D297353CC}">
              <c16:uniqueId val="{00000004-E5A0-4B5C-9394-F7ABCDA53535}"/>
            </c:ext>
          </c:extLst>
        </c:ser>
        <c:ser>
          <c:idx val="6"/>
          <c:order val="6"/>
          <c:tx>
            <c:strRef>
              <c:f>'Ceny 2'!$I$5</c:f>
              <c:strCache>
                <c:ptCount val="1"/>
                <c:pt idx="0">
                  <c:v>Rekreace a kultura</c:v>
                </c:pt>
              </c:strCache>
            </c:strRef>
          </c:tx>
          <c:spPr>
            <a:ln w="19050">
              <a:solidFill>
                <a:srgbClr val="FF0000"/>
              </a:solidFill>
            </a:ln>
          </c:spPr>
          <c:marker>
            <c:symbol val="none"/>
          </c:marker>
          <c:cat>
            <c:multiLvlStrRef>
              <c:f>'Ceny 2'!$A$30:$B$51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2'!$I$30:$I$51</c:f>
              <c:numCache>
                <c:formatCode>General</c:formatCode>
                <c:ptCount val="22"/>
                <c:pt idx="0">
                  <c:v>0.5</c:v>
                </c:pt>
                <c:pt idx="1">
                  <c:v>0.59999999999999443</c:v>
                </c:pt>
                <c:pt idx="2">
                  <c:v>2.2000000000000037</c:v>
                </c:pt>
                <c:pt idx="3">
                  <c:v>0.5</c:v>
                </c:pt>
                <c:pt idx="4">
                  <c:v>1.7000000000000031</c:v>
                </c:pt>
                <c:pt idx="5">
                  <c:v>1</c:v>
                </c:pt>
                <c:pt idx="6">
                  <c:v>1.7000000000000031</c:v>
                </c:pt>
                <c:pt idx="7">
                  <c:v>2.0999999999999943</c:v>
                </c:pt>
                <c:pt idx="8">
                  <c:v>2.0999999999999943</c:v>
                </c:pt>
                <c:pt idx="9">
                  <c:v>2</c:v>
                </c:pt>
                <c:pt idx="10">
                  <c:v>2.2000000000000037</c:v>
                </c:pt>
                <c:pt idx="11">
                  <c:v>2.5</c:v>
                </c:pt>
                <c:pt idx="12">
                  <c:v>1.4000000000000057</c:v>
                </c:pt>
                <c:pt idx="13">
                  <c:v>2</c:v>
                </c:pt>
                <c:pt idx="14">
                  <c:v>3.0999999999999943</c:v>
                </c:pt>
                <c:pt idx="15">
                  <c:v>5.2999999999999972</c:v>
                </c:pt>
                <c:pt idx="16">
                  <c:v>8.5</c:v>
                </c:pt>
                <c:pt idx="17">
                  <c:v>11.3</c:v>
                </c:pt>
                <c:pt idx="18">
                  <c:v>12.599999999999998</c:v>
                </c:pt>
                <c:pt idx="19" formatCode="0.0">
                  <c:v>13.2</c:v>
                </c:pt>
                <c:pt idx="20" formatCode="0.0">
                  <c:v>14</c:v>
                </c:pt>
                <c:pt idx="21" formatCode="0.0">
                  <c:v>11.7</c:v>
                </c:pt>
              </c:numCache>
            </c:numRef>
          </c:val>
          <c:smooth val="0"/>
          <c:extLst>
            <c:ext xmlns:c16="http://schemas.microsoft.com/office/drawing/2014/chart" uri="{C3380CC4-5D6E-409C-BE32-E72D297353CC}">
              <c16:uniqueId val="{00000005-E5A0-4B5C-9394-F7ABCDA53535}"/>
            </c:ext>
          </c:extLst>
        </c:ser>
        <c:dLbls>
          <c:showLegendKey val="0"/>
          <c:showVal val="0"/>
          <c:showCatName val="0"/>
          <c:showSerName val="0"/>
          <c:showPercent val="0"/>
          <c:showBubbleSize val="0"/>
        </c:dLbls>
        <c:marker val="1"/>
        <c:smooth val="0"/>
        <c:axId val="44422656"/>
        <c:axId val="44424192"/>
        <c:extLst>
          <c:ext xmlns:c15="http://schemas.microsoft.com/office/drawing/2012/chart" uri="{02D57815-91ED-43cb-92C2-25804820EDAC}">
            <c15:filteredLineSeries>
              <c15:ser>
                <c:idx val="2"/>
                <c:order val="4"/>
                <c:tx>
                  <c:strRef>
                    <c:extLst>
                      <c:ext uri="{02D57815-91ED-43cb-92C2-25804820EDAC}">
                        <c15:formulaRef>
                          <c15:sqref>'Ceny 2'!$E$5</c15:sqref>
                        </c15:formulaRef>
                      </c:ext>
                    </c:extLst>
                    <c:strCache>
                      <c:ptCount val="1"/>
                      <c:pt idx="0">
                        <c:v>Alkoholické nápoje a tabák</c:v>
                      </c:pt>
                    </c:strCache>
                  </c:strRef>
                </c:tx>
                <c:spPr>
                  <a:ln w="19050">
                    <a:solidFill>
                      <a:schemeClr val="accent2"/>
                    </a:solidFill>
                  </a:ln>
                </c:spPr>
                <c:marker>
                  <c:symbol val="none"/>
                </c:marker>
                <c:cat>
                  <c:multiLvlStrRef>
                    <c:extLst>
                      <c:ext uri="{02D57815-91ED-43cb-92C2-25804820EDAC}">
                        <c15:formulaRef>
                          <c15:sqref>'Ceny 2'!$A$30:$B$51</c15:sqref>
                        </c15:formulaRef>
                      </c:ext>
                    </c:extLst>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extLst>
                      <c:ext uri="{02D57815-91ED-43cb-92C2-25804820EDAC}">
                        <c15:formulaRef>
                          <c15:sqref>'Ceny 2'!$E$26:$E$48</c15:sqref>
                        </c15:formulaRef>
                      </c:ext>
                    </c:extLst>
                    <c:numCache>
                      <c:formatCode>General</c:formatCode>
                      <c:ptCount val="23"/>
                      <c:pt idx="0">
                        <c:v>3.4000000000000057</c:v>
                      </c:pt>
                      <c:pt idx="1">
                        <c:v>0.79999999999999716</c:v>
                      </c:pt>
                      <c:pt idx="2" formatCode="0.0">
                        <c:v>1.3</c:v>
                      </c:pt>
                      <c:pt idx="3" formatCode="0.0">
                        <c:v>1.5</c:v>
                      </c:pt>
                      <c:pt idx="4" formatCode="0.0">
                        <c:v>2.5</c:v>
                      </c:pt>
                      <c:pt idx="5" formatCode="0.0">
                        <c:v>3.6</c:v>
                      </c:pt>
                      <c:pt idx="6" formatCode="0.0">
                        <c:v>2.8</c:v>
                      </c:pt>
                      <c:pt idx="7" formatCode="0.0">
                        <c:v>3.1</c:v>
                      </c:pt>
                      <c:pt idx="8" formatCode="0.0">
                        <c:v>3.3</c:v>
                      </c:pt>
                      <c:pt idx="9" formatCode="0.0">
                        <c:v>1.7</c:v>
                      </c:pt>
                      <c:pt idx="10" formatCode="0.0">
                        <c:v>1.9</c:v>
                      </c:pt>
                      <c:pt idx="11" formatCode="0.0">
                        <c:v>1.8</c:v>
                      </c:pt>
                      <c:pt idx="12">
                        <c:v>3.5</c:v>
                      </c:pt>
                      <c:pt idx="13" formatCode="0.0">
                        <c:v>6.6</c:v>
                      </c:pt>
                      <c:pt idx="14" formatCode="0.0">
                        <c:v>10.3</c:v>
                      </c:pt>
                      <c:pt idx="15" formatCode="0.0">
                        <c:v>9.9</c:v>
                      </c:pt>
                      <c:pt idx="16" formatCode="0.0">
                        <c:v>9.9</c:v>
                      </c:pt>
                      <c:pt idx="17" formatCode="0.0">
                        <c:v>9.8000000000000007</c:v>
                      </c:pt>
                      <c:pt idx="18" formatCode="0.0">
                        <c:v>6.5</c:v>
                      </c:pt>
                      <c:pt idx="19" formatCode="0.0">
                        <c:v>7.7</c:v>
                      </c:pt>
                      <c:pt idx="20" formatCode="0.0">
                        <c:v>7.1</c:v>
                      </c:pt>
                      <c:pt idx="21" formatCode="0.0">
                        <c:v>5.6</c:v>
                      </c:pt>
                      <c:pt idx="22" formatCode="0.0">
                        <c:v>6.3</c:v>
                      </c:pt>
                    </c:numCache>
                  </c:numRef>
                </c:val>
                <c:smooth val="0"/>
                <c:extLst>
                  <c:ext xmlns:c16="http://schemas.microsoft.com/office/drawing/2014/chart" uri="{C3380CC4-5D6E-409C-BE32-E72D297353CC}">
                    <c16:uniqueId val="{00000006-E5A0-4B5C-9394-F7ABCDA53535}"/>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'Ceny 2'!$J$5</c15:sqref>
                        </c15:formulaRef>
                      </c:ext>
                    </c:extLst>
                    <c:strCache>
                      <c:ptCount val="1"/>
                      <c:pt idx="0">
                        <c:v>Odívání a obuv</c:v>
                      </c:pt>
                    </c:strCache>
                  </c:strRef>
                </c:tx>
                <c:spPr>
                  <a:ln w="19050">
                    <a:solidFill>
                      <a:srgbClr val="E8AFB2"/>
                    </a:solidFill>
                  </a:ln>
                </c:spPr>
                <c:marker>
                  <c:symbol val="none"/>
                </c:marker>
                <c:cat>
                  <c:multiLvlStrRef>
                    <c:extLst xmlns:c15="http://schemas.microsoft.com/office/drawing/2012/chart">
                      <c:ext xmlns:c15="http://schemas.microsoft.com/office/drawing/2012/chart" uri="{02D57815-91ED-43cb-92C2-25804820EDAC}">
                        <c15:formulaRef>
                          <c15:sqref>'Ceny 2'!$A$30:$B$51</c15:sqref>
                        </c15:formulaRef>
                      </c:ext>
                    </c:extLst>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extLst xmlns:c15="http://schemas.microsoft.com/office/drawing/2012/chart">
                      <c:ext xmlns:c15="http://schemas.microsoft.com/office/drawing/2012/chart" uri="{02D57815-91ED-43cb-92C2-25804820EDAC}">
                        <c15:formulaRef>
                          <c15:sqref>'Ceny 2'!$J$26:$J$48</c15:sqref>
                        </c15:formulaRef>
                      </c:ext>
                    </c:extLst>
                    <c:numCache>
                      <c:formatCode>General</c:formatCode>
                      <c:ptCount val="23"/>
                      <c:pt idx="0">
                        <c:v>0.5</c:v>
                      </c:pt>
                      <c:pt idx="1">
                        <c:v>1</c:v>
                      </c:pt>
                      <c:pt idx="2" formatCode="0.0">
                        <c:v>0.5</c:v>
                      </c:pt>
                      <c:pt idx="3" formatCode="0.0">
                        <c:v>-0.8</c:v>
                      </c:pt>
                      <c:pt idx="4">
                        <c:v>-0.29999999999999716</c:v>
                      </c:pt>
                      <c:pt idx="5">
                        <c:v>-1</c:v>
                      </c:pt>
                      <c:pt idx="6">
                        <c:v>-1.4000000000000057</c:v>
                      </c:pt>
                      <c:pt idx="7">
                        <c:v>-1.7000000000000028</c:v>
                      </c:pt>
                      <c:pt idx="8">
                        <c:v>-1.0999999999999943</c:v>
                      </c:pt>
                      <c:pt idx="9">
                        <c:v>-1.9000000000000057</c:v>
                      </c:pt>
                      <c:pt idx="10">
                        <c:v>-1.5</c:v>
                      </c:pt>
                      <c:pt idx="11">
                        <c:v>-0.29999999999999716</c:v>
                      </c:pt>
                      <c:pt idx="12">
                        <c:v>3.5</c:v>
                      </c:pt>
                      <c:pt idx="13">
                        <c:v>3.4000000000000057</c:v>
                      </c:pt>
                      <c:pt idx="14">
                        <c:v>4.5</c:v>
                      </c:pt>
                      <c:pt idx="15">
                        <c:v>3.4000000000000057</c:v>
                      </c:pt>
                      <c:pt idx="16">
                        <c:v>2.7000000000000028</c:v>
                      </c:pt>
                      <c:pt idx="17">
                        <c:v>2.9000000000000057</c:v>
                      </c:pt>
                      <c:pt idx="18">
                        <c:v>7.7999999999999972</c:v>
                      </c:pt>
                      <c:pt idx="19">
                        <c:v>12.599999999999994</c:v>
                      </c:pt>
                      <c:pt idx="20">
                        <c:v>16.900000000000006</c:v>
                      </c:pt>
                      <c:pt idx="21">
                        <c:v>20</c:v>
                      </c:pt>
                      <c:pt idx="22">
                        <c:v>19</c:v>
                      </c:pt>
                    </c:numCache>
                  </c:numRef>
                </c:val>
                <c:smooth val="0"/>
                <c:extLst xmlns:c15="http://schemas.microsoft.com/office/drawing/2012/chart">
                  <c:ext xmlns:c16="http://schemas.microsoft.com/office/drawing/2014/chart" uri="{C3380CC4-5D6E-409C-BE32-E72D297353CC}">
                    <c16:uniqueId val="{00000007-E5A0-4B5C-9394-F7ABCDA53535}"/>
                  </c:ext>
                </c:extLst>
              </c15:ser>
            </c15:filteredLineSeries>
          </c:ext>
        </c:extLst>
      </c:lineChart>
      <c:catAx>
        <c:axId val="444226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44424192"/>
        <c:crosses val="autoZero"/>
        <c:auto val="1"/>
        <c:lblAlgn val="ctr"/>
        <c:lblOffset val="100"/>
        <c:noMultiLvlLbl val="0"/>
      </c:catAx>
      <c:valAx>
        <c:axId val="44424192"/>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44422656"/>
        <c:crosses val="autoZero"/>
        <c:crossBetween val="between"/>
        <c:majorUnit val="4"/>
      </c:valAx>
      <c:spPr>
        <a:ln>
          <a:solidFill>
            <a:schemeClr val="tx1"/>
          </a:solidFill>
        </a:ln>
      </c:spPr>
    </c:plotArea>
    <c:legend>
      <c:legendPos val="b"/>
      <c:layout>
        <c:manualLayout>
          <c:xMode val="edge"/>
          <c:yMode val="edge"/>
          <c:x val="5.3882134414049342E-2"/>
          <c:y val="0.85802375323651958"/>
          <c:w val="0.92470364741641364"/>
          <c:h val="0.131253517955645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919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1'!$C$30:$C$51</c:f>
              <c:numCache>
                <c:formatCode>General</c:formatCode>
                <c:ptCount val="22"/>
                <c:pt idx="0">
                  <c:v>9.2000000000000011</c:v>
                </c:pt>
                <c:pt idx="1">
                  <c:v>8</c:v>
                </c:pt>
                <c:pt idx="2">
                  <c:v>9.4000000000000057</c:v>
                </c:pt>
                <c:pt idx="3">
                  <c:v>11.400000000000006</c:v>
                </c:pt>
                <c:pt idx="4">
                  <c:v>11.3</c:v>
                </c:pt>
                <c:pt idx="5">
                  <c:v>10.599999999999998</c:v>
                </c:pt>
                <c:pt idx="6">
                  <c:v>9.5</c:v>
                </c:pt>
                <c:pt idx="7">
                  <c:v>9.4000000000000057</c:v>
                </c:pt>
                <c:pt idx="8">
                  <c:v>10.599999999999998</c:v>
                </c:pt>
                <c:pt idx="9">
                  <c:v>10.200000000000003</c:v>
                </c:pt>
                <c:pt idx="10">
                  <c:v>11.200000000000003</c:v>
                </c:pt>
                <c:pt idx="11">
                  <c:v>13.3</c:v>
                </c:pt>
                <c:pt idx="12">
                  <c:v>15.200000000000003</c:v>
                </c:pt>
                <c:pt idx="13">
                  <c:v>17.900000000000006</c:v>
                </c:pt>
                <c:pt idx="14">
                  <c:v>21.29999999999999</c:v>
                </c:pt>
                <c:pt idx="15">
                  <c:v>25.200000000000003</c:v>
                </c:pt>
                <c:pt idx="16">
                  <c:v>27.29999999999999</c:v>
                </c:pt>
                <c:pt idx="17">
                  <c:v>27.599999999999987</c:v>
                </c:pt>
                <c:pt idx="18">
                  <c:v>23.400000000000006</c:v>
                </c:pt>
                <c:pt idx="19">
                  <c:v>13.8</c:v>
                </c:pt>
                <c:pt idx="20">
                  <c:v>3.7000000000000037</c:v>
                </c:pt>
                <c:pt idx="21">
                  <c:v>-4.0999999999999943</c:v>
                </c:pt>
              </c:numCache>
            </c:numRef>
          </c:val>
          <c:extLst>
            <c:ext xmlns:c16="http://schemas.microsoft.com/office/drawing/2014/chart" uri="{C3380CC4-5D6E-409C-BE32-E72D297353CC}">
              <c16:uniqueId val="{00000000-173D-44E1-8D75-9701FAE9C92A}"/>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1'!$D$30:$D$51</c:f>
              <c:numCache>
                <c:formatCode>General</c:formatCode>
                <c:ptCount val="22"/>
                <c:pt idx="0">
                  <c:v>8.3000000000000025</c:v>
                </c:pt>
                <c:pt idx="1">
                  <c:v>4</c:v>
                </c:pt>
                <c:pt idx="2">
                  <c:v>6</c:v>
                </c:pt>
                <c:pt idx="3">
                  <c:v>8.7000000000000011</c:v>
                </c:pt>
                <c:pt idx="4">
                  <c:v>9.4000000000000057</c:v>
                </c:pt>
                <c:pt idx="5">
                  <c:v>8.7000000000000011</c:v>
                </c:pt>
                <c:pt idx="6">
                  <c:v>6.5</c:v>
                </c:pt>
                <c:pt idx="7">
                  <c:v>7.0999999999999943</c:v>
                </c:pt>
                <c:pt idx="8">
                  <c:v>6.2000000000000028</c:v>
                </c:pt>
                <c:pt idx="9">
                  <c:v>8</c:v>
                </c:pt>
                <c:pt idx="10">
                  <c:v>9.4000000000000057</c:v>
                </c:pt>
                <c:pt idx="11">
                  <c:v>10.599999999999998</c:v>
                </c:pt>
                <c:pt idx="12">
                  <c:v>14.3</c:v>
                </c:pt>
                <c:pt idx="13">
                  <c:v>15.8</c:v>
                </c:pt>
                <c:pt idx="14">
                  <c:v>16.599999999999987</c:v>
                </c:pt>
                <c:pt idx="15">
                  <c:v>20</c:v>
                </c:pt>
                <c:pt idx="16">
                  <c:v>19</c:v>
                </c:pt>
                <c:pt idx="17">
                  <c:v>16.700000000000003</c:v>
                </c:pt>
                <c:pt idx="18">
                  <c:v>15.599999999999998</c:v>
                </c:pt>
                <c:pt idx="19">
                  <c:v>8.4000000000000057</c:v>
                </c:pt>
                <c:pt idx="20">
                  <c:v>1.2000000000000028</c:v>
                </c:pt>
                <c:pt idx="21">
                  <c:v>-3.5999999999999943</c:v>
                </c:pt>
              </c:numCache>
            </c:numRef>
          </c:val>
          <c:extLst>
            <c:ext xmlns:c16="http://schemas.microsoft.com/office/drawing/2014/chart" uri="{C3380CC4-5D6E-409C-BE32-E72D297353CC}">
              <c16:uniqueId val="{00000001-173D-44E1-8D75-9701FAE9C92A}"/>
            </c:ext>
          </c:extLst>
        </c:ser>
        <c:dLbls>
          <c:showLegendKey val="0"/>
          <c:showVal val="0"/>
          <c:showCatName val="0"/>
          <c:showSerName val="0"/>
          <c:showPercent val="0"/>
          <c:showBubbleSize val="0"/>
        </c:dLbls>
        <c:gapWidth val="95"/>
        <c:axId val="90709376"/>
        <c:axId val="90752128"/>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1'!$E$30:$E$51</c:f>
              <c:numCache>
                <c:formatCode>0.0</c:formatCode>
                <c:ptCount val="22"/>
                <c:pt idx="0">
                  <c:v>12.801932367149751</c:v>
                </c:pt>
                <c:pt idx="1">
                  <c:v>12.22570532915358</c:v>
                </c:pt>
                <c:pt idx="2">
                  <c:v>9.4988780852655257</c:v>
                </c:pt>
                <c:pt idx="3">
                  <c:v>8.4609773887673203</c:v>
                </c:pt>
                <c:pt idx="4">
                  <c:v>7.4232690935046488</c:v>
                </c:pt>
                <c:pt idx="5">
                  <c:v>5.7262569832402352</c:v>
                </c:pt>
                <c:pt idx="6">
                  <c:v>5.1912568306010893</c:v>
                </c:pt>
                <c:pt idx="7">
                  <c:v>5.5144586415601955</c:v>
                </c:pt>
                <c:pt idx="8">
                  <c:v>6.0465116279069644</c:v>
                </c:pt>
                <c:pt idx="9">
                  <c:v>7.1334214002641847</c:v>
                </c:pt>
                <c:pt idx="10">
                  <c:v>7.9870129870129887</c:v>
                </c:pt>
                <c:pt idx="11">
                  <c:v>7.6481835564053533</c:v>
                </c:pt>
                <c:pt idx="12">
                  <c:v>7.6441102756892256</c:v>
                </c:pt>
                <c:pt idx="13">
                  <c:v>7.9531442663378558</c:v>
                </c:pt>
                <c:pt idx="14">
                  <c:v>9.3205051112447475</c:v>
                </c:pt>
                <c:pt idx="15">
                  <c:v>12.433392539964474</c:v>
                </c:pt>
                <c:pt idx="16">
                  <c:v>16.8800931315483</c:v>
                </c:pt>
                <c:pt idx="17">
                  <c:v>24.671616219303267</c:v>
                </c:pt>
                <c:pt idx="18">
                  <c:v>22.937293729372925</c:v>
                </c:pt>
                <c:pt idx="19">
                  <c:v>18.325434439178501</c:v>
                </c:pt>
                <c:pt idx="20">
                  <c:v>9.8107569721115624</c:v>
                </c:pt>
                <c:pt idx="21" formatCode="General">
                  <c:v>-0.7329363261566757</c:v>
                </c:pt>
              </c:numCache>
            </c:numRef>
          </c:val>
          <c:smooth val="0"/>
          <c:extLst>
            <c:ext xmlns:c16="http://schemas.microsoft.com/office/drawing/2014/chart" uri="{C3380CC4-5D6E-409C-BE32-E72D297353CC}">
              <c16:uniqueId val="{00000002-173D-44E1-8D75-9701FAE9C92A}"/>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1'!$F$30:$F$51</c:f>
              <c:numCache>
                <c:formatCode>0.0</c:formatCode>
                <c:ptCount val="22"/>
                <c:pt idx="0">
                  <c:v>15.071428571428555</c:v>
                </c:pt>
                <c:pt idx="1">
                  <c:v>14.246386785960068</c:v>
                </c:pt>
                <c:pt idx="2">
                  <c:v>10.732984293193699</c:v>
                </c:pt>
                <c:pt idx="3">
                  <c:v>8.7531486146095574</c:v>
                </c:pt>
                <c:pt idx="4">
                  <c:v>8.3178150217256377</c:v>
                </c:pt>
                <c:pt idx="5">
                  <c:v>4.9397590361445687</c:v>
                </c:pt>
                <c:pt idx="6">
                  <c:v>3.3096926713947985</c:v>
                </c:pt>
                <c:pt idx="7">
                  <c:v>2.9530978575564593</c:v>
                </c:pt>
                <c:pt idx="8">
                  <c:v>3.5530085959885289</c:v>
                </c:pt>
                <c:pt idx="9">
                  <c:v>5.2812858783008068</c:v>
                </c:pt>
                <c:pt idx="10">
                  <c:v>6.2356979405034298</c:v>
                </c:pt>
                <c:pt idx="11">
                  <c:v>5.1743532058492718</c:v>
                </c:pt>
                <c:pt idx="12">
                  <c:v>4.7592695074709628</c:v>
                </c:pt>
                <c:pt idx="13">
                  <c:v>4.5256270447110012</c:v>
                </c:pt>
                <c:pt idx="14">
                  <c:v>6.2466343564889808</c:v>
                </c:pt>
                <c:pt idx="15">
                  <c:v>9.1443850267379485</c:v>
                </c:pt>
                <c:pt idx="16">
                  <c:v>12.255678816693077</c:v>
                </c:pt>
                <c:pt idx="17">
                  <c:v>19.718309859154935</c:v>
                </c:pt>
                <c:pt idx="18">
                  <c:v>18.49974657881398</c:v>
                </c:pt>
                <c:pt idx="19">
                  <c:v>16.903478686918177</c:v>
                </c:pt>
                <c:pt idx="20">
                  <c:v>10.305882352941186</c:v>
                </c:pt>
                <c:pt idx="21" formatCode="General">
                  <c:v>0.30501089324617692</c:v>
                </c:pt>
              </c:numCache>
            </c:numRef>
          </c:val>
          <c:smooth val="0"/>
          <c:extLst>
            <c:ext xmlns:c16="http://schemas.microsoft.com/office/drawing/2014/chart" uri="{C3380CC4-5D6E-409C-BE32-E72D297353CC}">
              <c16:uniqueId val="{00000003-173D-44E1-8D75-9701FAE9C92A}"/>
            </c:ext>
          </c:extLst>
        </c:ser>
        <c:dLbls>
          <c:showLegendKey val="0"/>
          <c:showVal val="0"/>
          <c:showCatName val="0"/>
          <c:showSerName val="0"/>
          <c:showPercent val="0"/>
          <c:showBubbleSize val="0"/>
        </c:dLbls>
        <c:marker val="1"/>
        <c:smooth val="0"/>
        <c:axId val="90709376"/>
        <c:axId val="90752128"/>
      </c:lineChart>
      <c:catAx>
        <c:axId val="9070937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90752128"/>
        <c:crosses val="autoZero"/>
        <c:auto val="1"/>
        <c:lblAlgn val="ctr"/>
        <c:lblOffset val="100"/>
        <c:noMultiLvlLbl val="0"/>
      </c:catAx>
      <c:valAx>
        <c:axId val="90752128"/>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90709376"/>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314"/>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86E-2"/>
          <c:y val="2.1811315924220448E-2"/>
          <c:w val="0.90860161263086836"/>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4'!$A$6:$B$27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4'!$C$6:$C$27</c:f>
              <c:numCache>
                <c:formatCode>General</c:formatCode>
                <c:ptCount val="22"/>
                <c:pt idx="0">
                  <c:v>9.9999999999994357E-2</c:v>
                </c:pt>
                <c:pt idx="1">
                  <c:v>1.5</c:v>
                </c:pt>
                <c:pt idx="2">
                  <c:v>3.2999999999999972</c:v>
                </c:pt>
                <c:pt idx="3">
                  <c:v>3.4000000000000057</c:v>
                </c:pt>
                <c:pt idx="4">
                  <c:v>3.5</c:v>
                </c:pt>
                <c:pt idx="5">
                  <c:v>3.5</c:v>
                </c:pt>
                <c:pt idx="6">
                  <c:v>2</c:v>
                </c:pt>
                <c:pt idx="7">
                  <c:v>1.2999999999999965</c:v>
                </c:pt>
                <c:pt idx="8">
                  <c:v>1.4000000000000057</c:v>
                </c:pt>
                <c:pt idx="9">
                  <c:v>-0.59999999999999432</c:v>
                </c:pt>
                <c:pt idx="10">
                  <c:v>-0.29999999999999738</c:v>
                </c:pt>
                <c:pt idx="11">
                  <c:v>9.9999999999994357E-2</c:v>
                </c:pt>
                <c:pt idx="12">
                  <c:v>1.5</c:v>
                </c:pt>
                <c:pt idx="13">
                  <c:v>5.2999999999999972</c:v>
                </c:pt>
                <c:pt idx="14">
                  <c:v>9</c:v>
                </c:pt>
                <c:pt idx="15">
                  <c:v>12.8</c:v>
                </c:pt>
                <c:pt idx="16">
                  <c:v>21.79999999999999</c:v>
                </c:pt>
                <c:pt idx="17">
                  <c:v>27.700000000000003</c:v>
                </c:pt>
                <c:pt idx="18">
                  <c:v>25.900000000000006</c:v>
                </c:pt>
                <c:pt idx="19">
                  <c:v>21.79999999999999</c:v>
                </c:pt>
                <c:pt idx="20">
                  <c:v>15</c:v>
                </c:pt>
                <c:pt idx="21">
                  <c:v>3.9000000000000057</c:v>
                </c:pt>
              </c:numCache>
            </c:numRef>
          </c:val>
          <c:extLst>
            <c:ext xmlns:c16="http://schemas.microsoft.com/office/drawing/2014/chart" uri="{C3380CC4-5D6E-409C-BE32-E72D297353CC}">
              <c16:uniqueId val="{00000000-8D40-4908-B64E-C4382EB8C940}"/>
            </c:ext>
          </c:extLst>
        </c:ser>
        <c:dLbls>
          <c:showLegendKey val="0"/>
          <c:showVal val="0"/>
          <c:showCatName val="0"/>
          <c:showSerName val="0"/>
          <c:showPercent val="0"/>
          <c:showBubbleSize val="0"/>
        </c:dLbls>
        <c:gapWidth val="96"/>
        <c:axId val="96346496"/>
        <c:axId val="96348032"/>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4'!$A$6:$B$27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4'!$D$6:$D$27</c:f>
              <c:numCache>
                <c:formatCode>General</c:formatCode>
                <c:ptCount val="22"/>
                <c:pt idx="0">
                  <c:v>5.4000000000000075</c:v>
                </c:pt>
                <c:pt idx="1">
                  <c:v>6.7000000000000028</c:v>
                </c:pt>
                <c:pt idx="2">
                  <c:v>9.4000000000000057</c:v>
                </c:pt>
                <c:pt idx="3">
                  <c:v>8.8000000000000025</c:v>
                </c:pt>
                <c:pt idx="4">
                  <c:v>7.7000000000000028</c:v>
                </c:pt>
                <c:pt idx="5">
                  <c:v>7.7000000000000028</c:v>
                </c:pt>
                <c:pt idx="6">
                  <c:v>6.7000000000000028</c:v>
                </c:pt>
                <c:pt idx="7">
                  <c:v>3.7000000000000037</c:v>
                </c:pt>
                <c:pt idx="8">
                  <c:v>-2.0999999999999943</c:v>
                </c:pt>
                <c:pt idx="9">
                  <c:v>-3.5</c:v>
                </c:pt>
                <c:pt idx="10">
                  <c:v>-3.5999999999999943</c:v>
                </c:pt>
                <c:pt idx="11">
                  <c:v>-2</c:v>
                </c:pt>
                <c:pt idx="12">
                  <c:v>-0.5</c:v>
                </c:pt>
                <c:pt idx="13">
                  <c:v>0.79999999999999738</c:v>
                </c:pt>
                <c:pt idx="14">
                  <c:v>3.2999999999999972</c:v>
                </c:pt>
                <c:pt idx="15">
                  <c:v>13.8</c:v>
                </c:pt>
                <c:pt idx="16">
                  <c:v>25.200000000000003</c:v>
                </c:pt>
                <c:pt idx="17">
                  <c:v>31.900000000000006</c:v>
                </c:pt>
                <c:pt idx="18">
                  <c:v>30.199999999999992</c:v>
                </c:pt>
                <c:pt idx="19">
                  <c:v>23.29999999999999</c:v>
                </c:pt>
                <c:pt idx="20">
                  <c:v>54</c:v>
                </c:pt>
                <c:pt idx="21">
                  <c:v>47.600000000000009</c:v>
                </c:pt>
              </c:numCache>
            </c:numRef>
          </c:val>
          <c:smooth val="0"/>
          <c:extLst>
            <c:ext xmlns:c16="http://schemas.microsoft.com/office/drawing/2014/chart" uri="{C3380CC4-5D6E-409C-BE32-E72D297353CC}">
              <c16:uniqueId val="{00000001-8D40-4908-B64E-C4382EB8C940}"/>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4'!$A$6:$B$27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4'!$E$6:$E$27</c:f>
              <c:numCache>
                <c:formatCode>General</c:formatCode>
                <c:ptCount val="22"/>
                <c:pt idx="0">
                  <c:v>-0.40000000000000568</c:v>
                </c:pt>
                <c:pt idx="1">
                  <c:v>1.2000000000000028</c:v>
                </c:pt>
                <c:pt idx="2">
                  <c:v>3.2000000000000037</c:v>
                </c:pt>
                <c:pt idx="3">
                  <c:v>3.2999999999999972</c:v>
                </c:pt>
                <c:pt idx="4">
                  <c:v>2.5999999999999943</c:v>
                </c:pt>
                <c:pt idx="5">
                  <c:v>2.5999999999999943</c:v>
                </c:pt>
                <c:pt idx="6">
                  <c:v>0.79999999999999738</c:v>
                </c:pt>
                <c:pt idx="7">
                  <c:v>-9.9999999999994357E-2</c:v>
                </c:pt>
                <c:pt idx="8">
                  <c:v>0</c:v>
                </c:pt>
                <c:pt idx="9">
                  <c:v>-2.2999999999999972</c:v>
                </c:pt>
                <c:pt idx="10">
                  <c:v>-1.7999999999999965</c:v>
                </c:pt>
                <c:pt idx="11">
                  <c:v>-1.2000000000000028</c:v>
                </c:pt>
                <c:pt idx="12">
                  <c:v>1.7999999999999965</c:v>
                </c:pt>
                <c:pt idx="13">
                  <c:v>6.5</c:v>
                </c:pt>
                <c:pt idx="14">
                  <c:v>11</c:v>
                </c:pt>
                <c:pt idx="15">
                  <c:v>14.5</c:v>
                </c:pt>
                <c:pt idx="16">
                  <c:v>17.5</c:v>
                </c:pt>
                <c:pt idx="17">
                  <c:v>24.200000000000003</c:v>
                </c:pt>
                <c:pt idx="18">
                  <c:v>20.5</c:v>
                </c:pt>
                <c:pt idx="19">
                  <c:v>16</c:v>
                </c:pt>
                <c:pt idx="20">
                  <c:v>10.3</c:v>
                </c:pt>
                <c:pt idx="21">
                  <c:v>-0.90000000000000568</c:v>
                </c:pt>
              </c:numCache>
            </c:numRef>
          </c:val>
          <c:smooth val="0"/>
          <c:extLst>
            <c:ext xmlns:c16="http://schemas.microsoft.com/office/drawing/2014/chart" uri="{C3380CC4-5D6E-409C-BE32-E72D297353CC}">
              <c16:uniqueId val="{00000002-8D40-4908-B64E-C4382EB8C940}"/>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4'!$A$6:$B$27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4'!$F$6:$F$27</c:f>
              <c:numCache>
                <c:formatCode>General</c:formatCode>
                <c:ptCount val="22"/>
                <c:pt idx="0">
                  <c:v>1.5</c:v>
                </c:pt>
                <c:pt idx="1">
                  <c:v>1.9000000000000061</c:v>
                </c:pt>
                <c:pt idx="2">
                  <c:v>2.5999999999999943</c:v>
                </c:pt>
                <c:pt idx="3">
                  <c:v>2.7999999999999972</c:v>
                </c:pt>
                <c:pt idx="4">
                  <c:v>7.7000000000000028</c:v>
                </c:pt>
                <c:pt idx="5">
                  <c:v>8.3000000000000025</c:v>
                </c:pt>
                <c:pt idx="6">
                  <c:v>7.7999999999999972</c:v>
                </c:pt>
                <c:pt idx="7">
                  <c:v>8.3000000000000025</c:v>
                </c:pt>
                <c:pt idx="8">
                  <c:v>8.9000000000000057</c:v>
                </c:pt>
                <c:pt idx="9">
                  <c:v>8.2000000000000011</c:v>
                </c:pt>
                <c:pt idx="10">
                  <c:v>7.7999999999999972</c:v>
                </c:pt>
                <c:pt idx="11">
                  <c:v>6.0999999999999943</c:v>
                </c:pt>
                <c:pt idx="12">
                  <c:v>0.29999999999999738</c:v>
                </c:pt>
                <c:pt idx="13">
                  <c:v>9.9999999999994357E-2</c:v>
                </c:pt>
                <c:pt idx="14">
                  <c:v>0.79999999999999738</c:v>
                </c:pt>
                <c:pt idx="15">
                  <c:v>5.5</c:v>
                </c:pt>
                <c:pt idx="16">
                  <c:v>45</c:v>
                </c:pt>
                <c:pt idx="17">
                  <c:v>47.20000000000001</c:v>
                </c:pt>
                <c:pt idx="18">
                  <c:v>56</c:v>
                </c:pt>
                <c:pt idx="19">
                  <c:v>54.300000000000004</c:v>
                </c:pt>
                <c:pt idx="20">
                  <c:v>28.400000000000006</c:v>
                </c:pt>
                <c:pt idx="21">
                  <c:v>18.400000000000006</c:v>
                </c:pt>
              </c:numCache>
            </c:numRef>
          </c:val>
          <c:smooth val="0"/>
          <c:extLst>
            <c:ext xmlns:c16="http://schemas.microsoft.com/office/drawing/2014/chart" uri="{C3380CC4-5D6E-409C-BE32-E72D297353CC}">
              <c16:uniqueId val="{00000003-8D40-4908-B64E-C4382EB8C940}"/>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4'!$A$6:$B$27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4'!$G$6:$G$27</c:f>
              <c:numCache>
                <c:formatCode>General</c:formatCode>
                <c:ptCount val="22"/>
                <c:pt idx="0">
                  <c:v>1.9000000000000061</c:v>
                </c:pt>
                <c:pt idx="1">
                  <c:v>1.9000000000000061</c:v>
                </c:pt>
                <c:pt idx="2">
                  <c:v>1.9000000000000061</c:v>
                </c:pt>
                <c:pt idx="3">
                  <c:v>1.9000000000000061</c:v>
                </c:pt>
                <c:pt idx="4">
                  <c:v>2.9000000000000057</c:v>
                </c:pt>
                <c:pt idx="5">
                  <c:v>2.9000000000000057</c:v>
                </c:pt>
                <c:pt idx="6">
                  <c:v>2.9000000000000057</c:v>
                </c:pt>
                <c:pt idx="7">
                  <c:v>2.9000000000000057</c:v>
                </c:pt>
                <c:pt idx="8">
                  <c:v>5.4000000000000075</c:v>
                </c:pt>
                <c:pt idx="9">
                  <c:v>6.0999999999999943</c:v>
                </c:pt>
                <c:pt idx="10">
                  <c:v>6.4000000000000075</c:v>
                </c:pt>
                <c:pt idx="11">
                  <c:v>6.4000000000000075</c:v>
                </c:pt>
                <c:pt idx="12">
                  <c:v>6.9000000000000075</c:v>
                </c:pt>
                <c:pt idx="13">
                  <c:v>6.2000000000000028</c:v>
                </c:pt>
                <c:pt idx="14">
                  <c:v>5.9000000000000075</c:v>
                </c:pt>
                <c:pt idx="15">
                  <c:v>5.9000000000000075</c:v>
                </c:pt>
                <c:pt idx="16">
                  <c:v>5.2999999999999972</c:v>
                </c:pt>
                <c:pt idx="17">
                  <c:v>5.2999999999999972</c:v>
                </c:pt>
                <c:pt idx="18">
                  <c:v>5.2999999999999972</c:v>
                </c:pt>
                <c:pt idx="19">
                  <c:v>5.2999999999999972</c:v>
                </c:pt>
                <c:pt idx="20">
                  <c:v>16.29999999999999</c:v>
                </c:pt>
                <c:pt idx="21">
                  <c:v>16.29999999999999</c:v>
                </c:pt>
              </c:numCache>
            </c:numRef>
          </c:val>
          <c:smooth val="0"/>
          <c:extLst>
            <c:ext xmlns:c16="http://schemas.microsoft.com/office/drawing/2014/chart" uri="{C3380CC4-5D6E-409C-BE32-E72D297353CC}">
              <c16:uniqueId val="{00000004-8D40-4908-B64E-C4382EB8C940}"/>
            </c:ext>
          </c:extLst>
        </c:ser>
        <c:dLbls>
          <c:showLegendKey val="0"/>
          <c:showVal val="0"/>
          <c:showCatName val="0"/>
          <c:showSerName val="0"/>
          <c:showPercent val="0"/>
          <c:showBubbleSize val="0"/>
        </c:dLbls>
        <c:marker val="1"/>
        <c:smooth val="0"/>
        <c:axId val="96346496"/>
        <c:axId val="96348032"/>
      </c:lineChart>
      <c:catAx>
        <c:axId val="96346496"/>
        <c:scaling>
          <c:orientation val="minMax"/>
        </c:scaling>
        <c:delete val="0"/>
        <c:axPos val="b"/>
        <c:numFmt formatCode="General" sourceLinked="0"/>
        <c:majorTickMark val="out"/>
        <c:minorTickMark val="none"/>
        <c:tickLblPos val="low"/>
        <c:spPr>
          <a:ln>
            <a:solidFill>
              <a:schemeClr val="tx1"/>
            </a:solidFill>
          </a:ln>
        </c:spPr>
        <c:crossAx val="96348032"/>
        <c:crosses val="autoZero"/>
        <c:auto val="1"/>
        <c:lblAlgn val="ctr"/>
        <c:lblOffset val="100"/>
        <c:noMultiLvlLbl val="0"/>
      </c:catAx>
      <c:valAx>
        <c:axId val="96348032"/>
        <c:scaling>
          <c:orientation val="minMax"/>
          <c:min val="-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96346496"/>
        <c:crosses val="autoZero"/>
        <c:crossBetween val="between"/>
        <c:majorUnit val="5"/>
      </c:valAx>
      <c:spPr>
        <a:ln>
          <a:solidFill>
            <a:schemeClr val="tx1"/>
          </a:solidFill>
        </a:ln>
      </c:spPr>
    </c:plotArea>
    <c:legend>
      <c:legendPos val="b"/>
      <c:layout>
        <c:manualLayout>
          <c:xMode val="edge"/>
          <c:yMode val="edge"/>
          <c:x val="6.1319022289766968E-2"/>
          <c:y val="0.86223931272106069"/>
          <c:w val="0.90901046943600139"/>
          <c:h val="0.12109402425765231"/>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1993E-2"/>
          <c:y val="1.4522051060224654E-2"/>
          <c:w val="0.8449512157496093"/>
          <c:h val="0.67557130739459603"/>
        </c:manualLayout>
      </c:layout>
      <c:barChart>
        <c:barDir val="col"/>
        <c:grouping val="stacked"/>
        <c:varyColors val="0"/>
        <c:ser>
          <c:idx val="0"/>
          <c:order val="0"/>
          <c:tx>
            <c:strRef>
              <c:f>Zaměstnanost!$D$7</c:f>
              <c:strCache>
                <c:ptCount val="1"/>
                <c:pt idx="0">
                  <c:v>Zemědělství, lesnictví a rybářství</c:v>
                </c:pt>
              </c:strCache>
            </c:strRef>
          </c:tx>
          <c:spPr>
            <a:solidFill>
              <a:srgbClr val="7DBB2D"/>
            </a:solidFill>
            <a:ln>
              <a:noFill/>
            </a:ln>
          </c:spPr>
          <c:invertIfNegative val="0"/>
          <c:cat>
            <c:multiLvlStrRef>
              <c:f>Zaměstnanost!$B$28:$C$62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Zaměstnanost!$D$28:$D$62</c:f>
              <c:numCache>
                <c:formatCode>#\ ##0.0</c:formatCode>
                <c:ptCount val="35"/>
                <c:pt idx="0">
                  <c:v>-5.6828505791380511E-2</c:v>
                </c:pt>
                <c:pt idx="1">
                  <c:v>-5.3414002474862207E-2</c:v>
                </c:pt>
                <c:pt idx="2">
                  <c:v>-6.9742710596297469E-2</c:v>
                </c:pt>
                <c:pt idx="3">
                  <c:v>-0.13971969588081995</c:v>
                </c:pt>
                <c:pt idx="4">
                  <c:v>-0.12487960810120249</c:v>
                </c:pt>
                <c:pt idx="5">
                  <c:v>-3.2190093204688588E-2</c:v>
                </c:pt>
                <c:pt idx="6">
                  <c:v>-4.495117850766725E-2</c:v>
                </c:pt>
                <c:pt idx="7">
                  <c:v>5.8087184963969869E-2</c:v>
                </c:pt>
                <c:pt idx="8">
                  <c:v>9.8469969335167412E-2</c:v>
                </c:pt>
                <c:pt idx="9">
                  <c:v>3.5256896381977224E-2</c:v>
                </c:pt>
                <c:pt idx="10">
                  <c:v>1.9943614652896621E-2</c:v>
                </c:pt>
                <c:pt idx="11">
                  <c:v>-9.3018884588644865E-2</c:v>
                </c:pt>
                <c:pt idx="12">
                  <c:v>2.84017071158707E-2</c:v>
                </c:pt>
                <c:pt idx="13">
                  <c:v>3.0424969757692683E-2</c:v>
                </c:pt>
                <c:pt idx="14">
                  <c:v>1.7213942100793987E-2</c:v>
                </c:pt>
                <c:pt idx="15">
                  <c:v>8.3528120512972592E-2</c:v>
                </c:pt>
                <c:pt idx="16">
                  <c:v>-3.1494865390982861E-2</c:v>
                </c:pt>
                <c:pt idx="17">
                  <c:v>-9.3480094872355923E-2</c:v>
                </c:pt>
                <c:pt idx="18">
                  <c:v>-0.12508397994816237</c:v>
                </c:pt>
                <c:pt idx="19">
                  <c:v>-0.13226896814548544</c:v>
                </c:pt>
                <c:pt idx="20">
                  <c:v>-7.8919822387198829E-2</c:v>
                </c:pt>
                <c:pt idx="21">
                  <c:v>-1.5977001932115308E-3</c:v>
                </c:pt>
                <c:pt idx="22">
                  <c:v>9.3748963565408905E-2</c:v>
                </c:pt>
                <c:pt idx="23">
                  <c:v>7.7721007097125983E-2</c:v>
                </c:pt>
                <c:pt idx="24">
                  <c:v>4.0304610198826911E-2</c:v>
                </c:pt>
                <c:pt idx="25">
                  <c:v>-4.2078229095876017E-2</c:v>
                </c:pt>
                <c:pt idx="26">
                  <c:v>-6.3204140368347289E-2</c:v>
                </c:pt>
                <c:pt idx="27">
                  <c:v>-1.9871976866903441E-2</c:v>
                </c:pt>
                <c:pt idx="28">
                  <c:v>-6.7914600586185772E-2</c:v>
                </c:pt>
                <c:pt idx="29">
                  <c:v>3.2113631816370815E-2</c:v>
                </c:pt>
                <c:pt idx="30">
                  <c:v>-1.5508012938219832E-2</c:v>
                </c:pt>
                <c:pt idx="31">
                  <c:v>-0.10816507912439971</c:v>
                </c:pt>
                <c:pt idx="32">
                  <c:v>4.5996374884010864E-2</c:v>
                </c:pt>
                <c:pt idx="33">
                  <c:v>2.1780607651521896E-2</c:v>
                </c:pt>
              </c:numCache>
            </c:numRef>
          </c:val>
          <c:extLst>
            <c:ext xmlns:c16="http://schemas.microsoft.com/office/drawing/2014/chart" uri="{C3380CC4-5D6E-409C-BE32-E72D297353CC}">
              <c16:uniqueId val="{00000000-DAF4-4B6F-AFC2-992B217A4EB2}"/>
            </c:ext>
          </c:extLst>
        </c:ser>
        <c:ser>
          <c:idx val="1"/>
          <c:order val="1"/>
          <c:tx>
            <c:strRef>
              <c:f>Zaměstnanost!$E$7</c:f>
              <c:strCache>
                <c:ptCount val="1"/>
                <c:pt idx="0">
                  <c:v>Zpracovatelský průmysl</c:v>
                </c:pt>
              </c:strCache>
            </c:strRef>
          </c:tx>
          <c:spPr>
            <a:solidFill>
              <a:srgbClr val="A6CDE8"/>
            </a:solidFill>
            <a:ln>
              <a:noFill/>
            </a:ln>
          </c:spPr>
          <c:invertIfNegative val="0"/>
          <c:cat>
            <c:multiLvlStrRef>
              <c:f>Zaměstnanost!$B$28:$C$62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Zaměstnanost!$E$28:$E$62</c:f>
              <c:numCache>
                <c:formatCode>#\ ##0.0</c:formatCode>
                <c:ptCount val="35"/>
                <c:pt idx="0">
                  <c:v>0.8994932971631896</c:v>
                </c:pt>
                <c:pt idx="1">
                  <c:v>0.93127175953417052</c:v>
                </c:pt>
                <c:pt idx="2">
                  <c:v>0.78437575581487662</c:v>
                </c:pt>
                <c:pt idx="3">
                  <c:v>0.92631003282458269</c:v>
                </c:pt>
                <c:pt idx="4">
                  <c:v>0.87287644021507194</c:v>
                </c:pt>
                <c:pt idx="5">
                  <c:v>0.63654993177204455</c:v>
                </c:pt>
                <c:pt idx="6">
                  <c:v>0.66873314812908002</c:v>
                </c:pt>
                <c:pt idx="7">
                  <c:v>0.51800010991025425</c:v>
                </c:pt>
                <c:pt idx="8">
                  <c:v>0.25448906088853906</c:v>
                </c:pt>
                <c:pt idx="9">
                  <c:v>0.40500765768385588</c:v>
                </c:pt>
                <c:pt idx="10">
                  <c:v>0.49291118462601918</c:v>
                </c:pt>
                <c:pt idx="11">
                  <c:v>0.47964454670419909</c:v>
                </c:pt>
                <c:pt idx="12">
                  <c:v>0.34488863442030782</c:v>
                </c:pt>
                <c:pt idx="13">
                  <c:v>0.29136030152194387</c:v>
                </c:pt>
                <c:pt idx="14">
                  <c:v>9.886838823475512E-2</c:v>
                </c:pt>
                <c:pt idx="15">
                  <c:v>9.055089068099012E-2</c:v>
                </c:pt>
                <c:pt idx="16">
                  <c:v>0.14484299401542131</c:v>
                </c:pt>
                <c:pt idx="17">
                  <c:v>-1.8858080604667558E-2</c:v>
                </c:pt>
                <c:pt idx="18">
                  <c:v>-0.16365938471305239</c:v>
                </c:pt>
                <c:pt idx="19">
                  <c:v>-0.54941077591471055</c:v>
                </c:pt>
                <c:pt idx="20">
                  <c:v>-0.82546861976528951</c:v>
                </c:pt>
                <c:pt idx="21">
                  <c:v>-1.0955999520322603</c:v>
                </c:pt>
                <c:pt idx="22">
                  <c:v>-1.080397843479032</c:v>
                </c:pt>
                <c:pt idx="23">
                  <c:v>-0.90789746373281621</c:v>
                </c:pt>
                <c:pt idx="24">
                  <c:v>-0.49316165113626675</c:v>
                </c:pt>
                <c:pt idx="25">
                  <c:v>-7.4509620655944617E-2</c:v>
                </c:pt>
                <c:pt idx="26">
                  <c:v>0.18158292508911653</c:v>
                </c:pt>
                <c:pt idx="27">
                  <c:v>0.32233404301981028</c:v>
                </c:pt>
                <c:pt idx="28">
                  <c:v>3.8187860960837004E-2</c:v>
                </c:pt>
                <c:pt idx="29">
                  <c:v>0.35388512361693558</c:v>
                </c:pt>
                <c:pt idx="30">
                  <c:v>0.17345173223946594</c:v>
                </c:pt>
                <c:pt idx="31">
                  <c:v>8.8579785635803723E-2</c:v>
                </c:pt>
                <c:pt idx="32">
                  <c:v>4.8503242308048582E-2</c:v>
                </c:pt>
                <c:pt idx="33">
                  <c:v>-0.20014019323111298</c:v>
                </c:pt>
              </c:numCache>
            </c:numRef>
          </c:val>
          <c:extLst>
            <c:ext xmlns:c16="http://schemas.microsoft.com/office/drawing/2014/chart" uri="{C3380CC4-5D6E-409C-BE32-E72D297353CC}">
              <c16:uniqueId val="{00000001-DAF4-4B6F-AFC2-992B217A4EB2}"/>
            </c:ext>
          </c:extLst>
        </c:ser>
        <c:ser>
          <c:idx val="2"/>
          <c:order val="2"/>
          <c:tx>
            <c:strRef>
              <c:f>Zaměstnanost!$F$7</c:f>
              <c:strCache>
                <c:ptCount val="1"/>
                <c:pt idx="0">
                  <c:v>Stavebnictví</c:v>
                </c:pt>
              </c:strCache>
            </c:strRef>
          </c:tx>
          <c:spPr>
            <a:solidFill>
              <a:srgbClr val="48AEE7"/>
            </a:solidFill>
            <a:ln w="19050">
              <a:noFill/>
            </a:ln>
          </c:spPr>
          <c:invertIfNegative val="0"/>
          <c:cat>
            <c:multiLvlStrRef>
              <c:f>Zaměstnanost!$B$28:$C$62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Zaměstnanost!$F$28:$F$62</c:f>
              <c:numCache>
                <c:formatCode>#\ ##0.0</c:formatCode>
                <c:ptCount val="35"/>
                <c:pt idx="0">
                  <c:v>-0.11446239310279099</c:v>
                </c:pt>
                <c:pt idx="1">
                  <c:v>-0.10158864467757592</c:v>
                </c:pt>
                <c:pt idx="2">
                  <c:v>-0.15723882215178694</c:v>
                </c:pt>
                <c:pt idx="3">
                  <c:v>-0.18194332296049903</c:v>
                </c:pt>
                <c:pt idx="4">
                  <c:v>-0.11325522810856535</c:v>
                </c:pt>
                <c:pt idx="5">
                  <c:v>-0.12563587006311649</c:v>
                </c:pt>
                <c:pt idx="6">
                  <c:v>-2.3912252831191499E-2</c:v>
                </c:pt>
                <c:pt idx="7">
                  <c:v>9.7996904835013689E-3</c:v>
                </c:pt>
                <c:pt idx="8">
                  <c:v>-1.3015925682695845E-2</c:v>
                </c:pt>
                <c:pt idx="9">
                  <c:v>1.6630611500932653E-2</c:v>
                </c:pt>
                <c:pt idx="10">
                  <c:v>7.5842717437158313E-2</c:v>
                </c:pt>
                <c:pt idx="11">
                  <c:v>-7.0108572985760911E-2</c:v>
                </c:pt>
                <c:pt idx="12">
                  <c:v>0.10624272535850569</c:v>
                </c:pt>
                <c:pt idx="13">
                  <c:v>6.6114358543656077E-2</c:v>
                </c:pt>
                <c:pt idx="14">
                  <c:v>6.2149037714554919E-2</c:v>
                </c:pt>
                <c:pt idx="15">
                  <c:v>0.1139663339202422</c:v>
                </c:pt>
                <c:pt idx="16">
                  <c:v>4.082461644614447E-2</c:v>
                </c:pt>
                <c:pt idx="17">
                  <c:v>7.0404728663714888E-2</c:v>
                </c:pt>
                <c:pt idx="18">
                  <c:v>9.9779252707653254E-2</c:v>
                </c:pt>
                <c:pt idx="19">
                  <c:v>0.13486608895157276</c:v>
                </c:pt>
                <c:pt idx="20">
                  <c:v>2.9339864088043188E-2</c:v>
                </c:pt>
                <c:pt idx="21">
                  <c:v>-0.22182322567588589</c:v>
                </c:pt>
                <c:pt idx="22">
                  <c:v>-0.10380928866499867</c:v>
                </c:pt>
                <c:pt idx="23">
                  <c:v>-5.729243601189192E-2</c:v>
                </c:pt>
                <c:pt idx="24">
                  <c:v>-7.0787867107824712E-2</c:v>
                </c:pt>
                <c:pt idx="25">
                  <c:v>0.14276944189666776</c:v>
                </c:pt>
                <c:pt idx="26">
                  <c:v>-1.9848613983292209E-2</c:v>
                </c:pt>
                <c:pt idx="27">
                  <c:v>5.8388099330416887E-2</c:v>
                </c:pt>
                <c:pt idx="28">
                  <c:v>0.2321167619702279</c:v>
                </c:pt>
                <c:pt idx="29">
                  <c:v>0.27758956088391745</c:v>
                </c:pt>
                <c:pt idx="30">
                  <c:v>0.27910704340848874</c:v>
                </c:pt>
                <c:pt idx="31">
                  <c:v>0.25014916598053055</c:v>
                </c:pt>
                <c:pt idx="32">
                  <c:v>0.25347215065270406</c:v>
                </c:pt>
                <c:pt idx="33">
                  <c:v>0.20527902677441914</c:v>
                </c:pt>
              </c:numCache>
            </c:numRef>
          </c:val>
          <c:extLst>
            <c:ext xmlns:c16="http://schemas.microsoft.com/office/drawing/2014/chart" uri="{C3380CC4-5D6E-409C-BE32-E72D297353CC}">
              <c16:uniqueId val="{00000002-DAF4-4B6F-AFC2-992B217A4EB2}"/>
            </c:ext>
          </c:extLst>
        </c:ser>
        <c:ser>
          <c:idx val="3"/>
          <c:order val="3"/>
          <c:tx>
            <c:strRef>
              <c:f>Zaměstnanost!$G$7</c:f>
              <c:strCache>
                <c:ptCount val="1"/>
                <c:pt idx="0">
                  <c:v>Obchod, doprava, ubytování a pohost.</c:v>
                </c:pt>
              </c:strCache>
            </c:strRef>
          </c:tx>
          <c:spPr>
            <a:solidFill>
              <a:srgbClr val="FDDEB3"/>
            </a:solidFill>
            <a:ln w="19050">
              <a:noFill/>
            </a:ln>
          </c:spPr>
          <c:invertIfNegative val="0"/>
          <c:cat>
            <c:multiLvlStrRef>
              <c:f>Zaměstnanost!$B$28:$C$62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Zaměstnanost!$G$28:$G$62</c:f>
              <c:numCache>
                <c:formatCode>#\ ##0.0</c:formatCode>
                <c:ptCount val="35"/>
                <c:pt idx="0">
                  <c:v>0.22921943798120287</c:v>
                </c:pt>
                <c:pt idx="1">
                  <c:v>0.48955640475490925</c:v>
                </c:pt>
                <c:pt idx="2">
                  <c:v>0.32927866250413396</c:v>
                </c:pt>
                <c:pt idx="3">
                  <c:v>0.16612893864836822</c:v>
                </c:pt>
                <c:pt idx="4">
                  <c:v>8.137065994846028E-2</c:v>
                </c:pt>
                <c:pt idx="5">
                  <c:v>0.23250543653835895</c:v>
                </c:pt>
                <c:pt idx="6">
                  <c:v>-6.9229828761272144E-3</c:v>
                </c:pt>
                <c:pt idx="7">
                  <c:v>7.0307975449277457E-2</c:v>
                </c:pt>
                <c:pt idx="8">
                  <c:v>0.16752509340503541</c:v>
                </c:pt>
                <c:pt idx="9">
                  <c:v>4.8846481779882189E-3</c:v>
                </c:pt>
                <c:pt idx="10">
                  <c:v>0.35735158674247341</c:v>
                </c:pt>
                <c:pt idx="11">
                  <c:v>0.1841883371039103</c:v>
                </c:pt>
                <c:pt idx="12">
                  <c:v>0.15244258448001158</c:v>
                </c:pt>
                <c:pt idx="13">
                  <c:v>0.40230652744870238</c:v>
                </c:pt>
                <c:pt idx="14">
                  <c:v>0.21159735322599374</c:v>
                </c:pt>
                <c:pt idx="15">
                  <c:v>0.22968370337309343</c:v>
                </c:pt>
                <c:pt idx="16">
                  <c:v>0.4361055801370961</c:v>
                </c:pt>
                <c:pt idx="17">
                  <c:v>0.11493484477903342</c:v>
                </c:pt>
                <c:pt idx="18">
                  <c:v>-1.6666789714208458E-2</c:v>
                </c:pt>
                <c:pt idx="19">
                  <c:v>-4.3580055512076082E-2</c:v>
                </c:pt>
                <c:pt idx="20">
                  <c:v>-0.11338864767860297</c:v>
                </c:pt>
                <c:pt idx="21">
                  <c:v>-0.5701218677959996</c:v>
                </c:pt>
                <c:pt idx="22">
                  <c:v>-0.4175956191522065</c:v>
                </c:pt>
                <c:pt idx="23">
                  <c:v>-0.99268065558519991</c:v>
                </c:pt>
                <c:pt idx="24">
                  <c:v>-0.85371650200457705</c:v>
                </c:pt>
                <c:pt idx="25">
                  <c:v>-0.15752122069655988</c:v>
                </c:pt>
                <c:pt idx="26">
                  <c:v>0.24002189726109691</c:v>
                </c:pt>
                <c:pt idx="27">
                  <c:v>0.74079782964767316</c:v>
                </c:pt>
                <c:pt idx="28">
                  <c:v>0.53464885594357514</c:v>
                </c:pt>
                <c:pt idx="29">
                  <c:v>0.98634993172818264</c:v>
                </c:pt>
                <c:pt idx="30">
                  <c:v>0.46427346168042311</c:v>
                </c:pt>
                <c:pt idx="31">
                  <c:v>0.26116821630191334</c:v>
                </c:pt>
                <c:pt idx="32">
                  <c:v>8.5753435290416721E-2</c:v>
                </c:pt>
                <c:pt idx="33">
                  <c:v>5.1479773752337636E-2</c:v>
                </c:pt>
              </c:numCache>
            </c:numRef>
          </c:val>
          <c:extLst>
            <c:ext xmlns:c16="http://schemas.microsoft.com/office/drawing/2014/chart" uri="{C3380CC4-5D6E-409C-BE32-E72D297353CC}">
              <c16:uniqueId val="{00000003-DAF4-4B6F-AFC2-992B217A4EB2}"/>
            </c:ext>
          </c:extLst>
        </c:ser>
        <c:ser>
          <c:idx val="4"/>
          <c:order val="4"/>
          <c:tx>
            <c:strRef>
              <c:f>Zaměstnanost!$H$7</c:f>
              <c:strCache>
                <c:ptCount val="1"/>
                <c:pt idx="0">
                  <c:v>Informační a komunikač. čin.</c:v>
                </c:pt>
              </c:strCache>
            </c:strRef>
          </c:tx>
          <c:spPr>
            <a:solidFill>
              <a:srgbClr val="F8A124"/>
            </a:solidFill>
            <a:ln w="19050">
              <a:noFill/>
            </a:ln>
          </c:spPr>
          <c:invertIfNegative val="0"/>
          <c:cat>
            <c:multiLvlStrRef>
              <c:f>Zaměstnanost!$B$28:$C$62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Zaměstnanost!$H$28:$H$62</c:f>
              <c:numCache>
                <c:formatCode>#\ ##0.0</c:formatCode>
                <c:ptCount val="35"/>
                <c:pt idx="0">
                  <c:v>1.6421925627927467E-2</c:v>
                </c:pt>
                <c:pt idx="1">
                  <c:v>5.8810347324453373E-2</c:v>
                </c:pt>
                <c:pt idx="2">
                  <c:v>6.8432712948427593E-2</c:v>
                </c:pt>
                <c:pt idx="3">
                  <c:v>9.700917273241759E-2</c:v>
                </c:pt>
                <c:pt idx="4">
                  <c:v>0.12024149989045073</c:v>
                </c:pt>
                <c:pt idx="5">
                  <c:v>0.11261710858129223</c:v>
                </c:pt>
                <c:pt idx="6">
                  <c:v>0.1296468353097584</c:v>
                </c:pt>
                <c:pt idx="7">
                  <c:v>0.16713276044214684</c:v>
                </c:pt>
                <c:pt idx="8">
                  <c:v>0.12903159219365579</c:v>
                </c:pt>
                <c:pt idx="9">
                  <c:v>0.13380514853321818</c:v>
                </c:pt>
                <c:pt idx="10">
                  <c:v>0.13863661271570699</c:v>
                </c:pt>
                <c:pt idx="11">
                  <c:v>0.12829019627380961</c:v>
                </c:pt>
                <c:pt idx="12">
                  <c:v>0.11921936740282588</c:v>
                </c:pt>
                <c:pt idx="13">
                  <c:v>0.14348820404813323</c:v>
                </c:pt>
                <c:pt idx="14">
                  <c:v>0.12461478215607256</c:v>
                </c:pt>
                <c:pt idx="15">
                  <c:v>0.14222506693054082</c:v>
                </c:pt>
                <c:pt idx="16">
                  <c:v>0.15100100067608449</c:v>
                </c:pt>
                <c:pt idx="17">
                  <c:v>8.7586944683397366E-2</c:v>
                </c:pt>
                <c:pt idx="18">
                  <c:v>0.13348197476539925</c:v>
                </c:pt>
                <c:pt idx="19">
                  <c:v>0.1358423116659177</c:v>
                </c:pt>
                <c:pt idx="20">
                  <c:v>0.12945571610776943</c:v>
                </c:pt>
                <c:pt idx="21">
                  <c:v>8.7230757675342149E-2</c:v>
                </c:pt>
                <c:pt idx="22">
                  <c:v>0.10732855989947059</c:v>
                </c:pt>
                <c:pt idx="23">
                  <c:v>7.317310801389737E-2</c:v>
                </c:pt>
                <c:pt idx="24">
                  <c:v>6.8471510199846139E-2</c:v>
                </c:pt>
                <c:pt idx="25">
                  <c:v>0.13165868738071818</c:v>
                </c:pt>
                <c:pt idx="26">
                  <c:v>0.10412080114108863</c:v>
                </c:pt>
                <c:pt idx="27">
                  <c:v>3.9101703530884144E-2</c:v>
                </c:pt>
                <c:pt idx="28">
                  <c:v>9.9089132084495782E-2</c:v>
                </c:pt>
                <c:pt idx="29">
                  <c:v>0.10416847644449309</c:v>
                </c:pt>
                <c:pt idx="30">
                  <c:v>0.11043415928068061</c:v>
                </c:pt>
                <c:pt idx="31">
                  <c:v>0.19349303709369087</c:v>
                </c:pt>
                <c:pt idx="32">
                  <c:v>0.16942709908829837</c:v>
                </c:pt>
                <c:pt idx="33">
                  <c:v>8.6994416959101276E-2</c:v>
                </c:pt>
              </c:numCache>
            </c:numRef>
          </c:val>
          <c:extLst>
            <c:ext xmlns:c16="http://schemas.microsoft.com/office/drawing/2014/chart" uri="{C3380CC4-5D6E-409C-BE32-E72D297353CC}">
              <c16:uniqueId val="{00000004-DAF4-4B6F-AFC2-992B217A4EB2}"/>
            </c:ext>
          </c:extLst>
        </c:ser>
        <c:ser>
          <c:idx val="5"/>
          <c:order val="5"/>
          <c:tx>
            <c:strRef>
              <c:f>Zaměstnanost!$I$7</c:f>
              <c:strCache>
                <c:ptCount val="1"/>
                <c:pt idx="0">
                  <c:v>Profesní, vědec., techn. a admin. čin.</c:v>
                </c:pt>
              </c:strCache>
            </c:strRef>
          </c:tx>
          <c:spPr>
            <a:solidFill>
              <a:srgbClr val="E8C0BE"/>
            </a:solidFill>
            <a:ln w="19050">
              <a:noFill/>
            </a:ln>
          </c:spPr>
          <c:invertIfNegative val="0"/>
          <c:cat>
            <c:multiLvlStrRef>
              <c:f>Zaměstnanost!$B$28:$C$62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Zaměstnanost!$I$28:$I$62</c:f>
              <c:numCache>
                <c:formatCode>#\ ##0.0</c:formatCode>
                <c:ptCount val="35"/>
                <c:pt idx="0">
                  <c:v>0.10308883456383168</c:v>
                </c:pt>
                <c:pt idx="1">
                  <c:v>0.12282080877669459</c:v>
                </c:pt>
                <c:pt idx="2">
                  <c:v>0.25097208668743326</c:v>
                </c:pt>
                <c:pt idx="3">
                  <c:v>0.35868659590703389</c:v>
                </c:pt>
                <c:pt idx="4">
                  <c:v>0.23811542989926263</c:v>
                </c:pt>
                <c:pt idx="5">
                  <c:v>0.24004667467079344</c:v>
                </c:pt>
                <c:pt idx="6">
                  <c:v>0.25800163760363787</c:v>
                </c:pt>
                <c:pt idx="7">
                  <c:v>0.26365010416494561</c:v>
                </c:pt>
                <c:pt idx="8">
                  <c:v>0.41654784776603981</c:v>
                </c:pt>
                <c:pt idx="9">
                  <c:v>0.35593309894624658</c:v>
                </c:pt>
                <c:pt idx="10">
                  <c:v>0.30977182035627721</c:v>
                </c:pt>
                <c:pt idx="11">
                  <c:v>0.13772607419921484</c:v>
                </c:pt>
                <c:pt idx="12">
                  <c:v>0.14343992134911879</c:v>
                </c:pt>
                <c:pt idx="13">
                  <c:v>0.13539486233919026</c:v>
                </c:pt>
                <c:pt idx="14">
                  <c:v>0.10628305160717502</c:v>
                </c:pt>
                <c:pt idx="15">
                  <c:v>0.21824608829839129</c:v>
                </c:pt>
                <c:pt idx="16">
                  <c:v>-9.1442689268283559E-3</c:v>
                </c:pt>
                <c:pt idx="17">
                  <c:v>-3.3296298567616157E-2</c:v>
                </c:pt>
                <c:pt idx="18">
                  <c:v>-2.6633640706093906E-2</c:v>
                </c:pt>
                <c:pt idx="19">
                  <c:v>-0.20614876639524751</c:v>
                </c:pt>
                <c:pt idx="20">
                  <c:v>-0.13657008164791523</c:v>
                </c:pt>
                <c:pt idx="21">
                  <c:v>-0.2735372916998362</c:v>
                </c:pt>
                <c:pt idx="22">
                  <c:v>-0.4369423981898794</c:v>
                </c:pt>
                <c:pt idx="23">
                  <c:v>-0.20909243346063158</c:v>
                </c:pt>
                <c:pt idx="24">
                  <c:v>-0.1713918803351494</c:v>
                </c:pt>
                <c:pt idx="25">
                  <c:v>0.10134809862521425</c:v>
                </c:pt>
                <c:pt idx="26">
                  <c:v>0.19100069845358969</c:v>
                </c:pt>
                <c:pt idx="27">
                  <c:v>7.1176434253319557E-2</c:v>
                </c:pt>
                <c:pt idx="28">
                  <c:v>-1.6170142996710895E-3</c:v>
                </c:pt>
                <c:pt idx="29">
                  <c:v>-4.5041283484159388E-2</c:v>
                </c:pt>
                <c:pt idx="30">
                  <c:v>1.7925329103649787E-2</c:v>
                </c:pt>
                <c:pt idx="31">
                  <c:v>5.9183263530529655E-2</c:v>
                </c:pt>
                <c:pt idx="32">
                  <c:v>0.17239820122049127</c:v>
                </c:pt>
                <c:pt idx="33">
                  <c:v>0.13830960173674228</c:v>
                </c:pt>
              </c:numCache>
            </c:numRef>
          </c:val>
          <c:extLst>
            <c:ext xmlns:c16="http://schemas.microsoft.com/office/drawing/2014/chart" uri="{C3380CC4-5D6E-409C-BE32-E72D297353CC}">
              <c16:uniqueId val="{00000005-DAF4-4B6F-AFC2-992B217A4EB2}"/>
            </c:ext>
          </c:extLst>
        </c:ser>
        <c:ser>
          <c:idx val="6"/>
          <c:order val="6"/>
          <c:tx>
            <c:strRef>
              <c:f>Zaměstnanost!$J$7</c:f>
              <c:strCache>
                <c:ptCount val="1"/>
                <c:pt idx="0">
                  <c:v>Veř.spr.,obrana, vzděl.,zdrav.a soc.péče</c:v>
                </c:pt>
              </c:strCache>
            </c:strRef>
          </c:tx>
          <c:spPr>
            <a:solidFill>
              <a:srgbClr val="D58D8B"/>
            </a:solidFill>
            <a:ln>
              <a:noFill/>
            </a:ln>
          </c:spPr>
          <c:invertIfNegative val="0"/>
          <c:cat>
            <c:multiLvlStrRef>
              <c:f>Zaměstnanost!$B$28:$C$62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Zaměstnanost!$J$28:$J$62</c:f>
              <c:numCache>
                <c:formatCode>#\ ##0.0</c:formatCode>
                <c:ptCount val="35"/>
                <c:pt idx="0">
                  <c:v>0.2031525775646241</c:v>
                </c:pt>
                <c:pt idx="1">
                  <c:v>0.21991576992497466</c:v>
                </c:pt>
                <c:pt idx="2">
                  <c:v>0.13142991326837997</c:v>
                </c:pt>
                <c:pt idx="3">
                  <c:v>0.14149199757097253</c:v>
                </c:pt>
                <c:pt idx="4">
                  <c:v>0.325463233483336</c:v>
                </c:pt>
                <c:pt idx="5">
                  <c:v>0.34066723563476026</c:v>
                </c:pt>
                <c:pt idx="6">
                  <c:v>0.44607921975090487</c:v>
                </c:pt>
                <c:pt idx="7">
                  <c:v>0.55251039247568279</c:v>
                </c:pt>
                <c:pt idx="8">
                  <c:v>0.46255274221280795</c:v>
                </c:pt>
                <c:pt idx="9">
                  <c:v>0.4923041132538945</c:v>
                </c:pt>
                <c:pt idx="10">
                  <c:v>0.52626450589314888</c:v>
                </c:pt>
                <c:pt idx="11">
                  <c:v>0.51878456833877995</c:v>
                </c:pt>
                <c:pt idx="12">
                  <c:v>0.44244887504378932</c:v>
                </c:pt>
                <c:pt idx="13">
                  <c:v>0.45935334574437608</c:v>
                </c:pt>
                <c:pt idx="14">
                  <c:v>0.30172836175807322</c:v>
                </c:pt>
                <c:pt idx="15">
                  <c:v>0.24009677638084359</c:v>
                </c:pt>
                <c:pt idx="16">
                  <c:v>0.20061747000522426</c:v>
                </c:pt>
                <c:pt idx="17">
                  <c:v>0.13283528847799531</c:v>
                </c:pt>
                <c:pt idx="18">
                  <c:v>0.1514407636822595</c:v>
                </c:pt>
                <c:pt idx="19">
                  <c:v>0.17428338345531033</c:v>
                </c:pt>
                <c:pt idx="20">
                  <c:v>0.34198589701119497</c:v>
                </c:pt>
                <c:pt idx="21">
                  <c:v>0.27678778519636987</c:v>
                </c:pt>
                <c:pt idx="22">
                  <c:v>0.3781834664268901</c:v>
                </c:pt>
                <c:pt idx="23">
                  <c:v>0.32123696939097574</c:v>
                </c:pt>
                <c:pt idx="24">
                  <c:v>0.17763677855905952</c:v>
                </c:pt>
                <c:pt idx="25">
                  <c:v>0.30954336863438131</c:v>
                </c:pt>
                <c:pt idx="26">
                  <c:v>0.28418412534868676</c:v>
                </c:pt>
                <c:pt idx="27">
                  <c:v>0.35355873670896537</c:v>
                </c:pt>
                <c:pt idx="28">
                  <c:v>0.43905698734441434</c:v>
                </c:pt>
                <c:pt idx="29">
                  <c:v>0.41338594812836138</c:v>
                </c:pt>
                <c:pt idx="30">
                  <c:v>0.41596432785129234</c:v>
                </c:pt>
                <c:pt idx="31">
                  <c:v>0.50273255724285049</c:v>
                </c:pt>
                <c:pt idx="32">
                  <c:v>0.52272828138268268</c:v>
                </c:pt>
                <c:pt idx="33">
                  <c:v>0.41937270752703631</c:v>
                </c:pt>
              </c:numCache>
            </c:numRef>
          </c:val>
          <c:extLst>
            <c:ext xmlns:c16="http://schemas.microsoft.com/office/drawing/2014/chart" uri="{C3380CC4-5D6E-409C-BE32-E72D297353CC}">
              <c16:uniqueId val="{00000006-DAF4-4B6F-AFC2-992B217A4EB2}"/>
            </c:ext>
          </c:extLst>
        </c:ser>
        <c:ser>
          <c:idx val="7"/>
          <c:order val="7"/>
          <c:tx>
            <c:strRef>
              <c:f>Zaměstnanost!$K$7</c:f>
              <c:strCache>
                <c:ptCount val="1"/>
                <c:pt idx="0">
                  <c:v>Ostatní odvětví*</c:v>
                </c:pt>
              </c:strCache>
            </c:strRef>
          </c:tx>
          <c:spPr>
            <a:solidFill>
              <a:schemeClr val="bg1">
                <a:lumMod val="85000"/>
              </a:schemeClr>
            </a:solidFill>
            <a:ln>
              <a:noFill/>
            </a:ln>
          </c:spPr>
          <c:invertIfNegative val="0"/>
          <c:cat>
            <c:multiLvlStrRef>
              <c:f>Zaměstnanost!$B$28:$C$62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Zaměstnanost!$K$28:$K$62</c:f>
              <c:numCache>
                <c:formatCode>#\ ##0.0</c:formatCode>
                <c:ptCount val="35"/>
                <c:pt idx="0">
                  <c:v>-5.8105330152403635E-2</c:v>
                </c:pt>
                <c:pt idx="1">
                  <c:v>7.4822774223603852E-2</c:v>
                </c:pt>
                <c:pt idx="2">
                  <c:v>5.2908263210984283E-2</c:v>
                </c:pt>
                <c:pt idx="3">
                  <c:v>-1.0886996096651559E-2</c:v>
                </c:pt>
                <c:pt idx="4">
                  <c:v>0.13489326432190499</c:v>
                </c:pt>
                <c:pt idx="5">
                  <c:v>7.1998572758000326E-2</c:v>
                </c:pt>
                <c:pt idx="6">
                  <c:v>0.10095213191232862</c:v>
                </c:pt>
                <c:pt idx="7">
                  <c:v>0.1797570675944222</c:v>
                </c:pt>
                <c:pt idx="8">
                  <c:v>-3.4575344434650199E-2</c:v>
                </c:pt>
                <c:pt idx="9">
                  <c:v>7.1083985158272188E-3</c:v>
                </c:pt>
                <c:pt idx="10">
                  <c:v>3.3733199641470854E-2</c:v>
                </c:pt>
                <c:pt idx="11">
                  <c:v>2.2834824579480682E-2</c:v>
                </c:pt>
                <c:pt idx="12">
                  <c:v>0.20382180000527356</c:v>
                </c:pt>
                <c:pt idx="13">
                  <c:v>0.20098465243874819</c:v>
                </c:pt>
                <c:pt idx="14">
                  <c:v>1.3096754650279419E-2</c:v>
                </c:pt>
                <c:pt idx="15">
                  <c:v>1.4976942215082497E-2</c:v>
                </c:pt>
                <c:pt idx="16">
                  <c:v>-3.6076273960813719E-2</c:v>
                </c:pt>
                <c:pt idx="17">
                  <c:v>2.1528414284039409E-2</c:v>
                </c:pt>
                <c:pt idx="18">
                  <c:v>0.11899312656423246</c:v>
                </c:pt>
                <c:pt idx="19">
                  <c:v>0.11806769054624169</c:v>
                </c:pt>
                <c:pt idx="20">
                  <c:v>-0.14230569417640496</c:v>
                </c:pt>
                <c:pt idx="21">
                  <c:v>-0.35283464151923138</c:v>
                </c:pt>
                <c:pt idx="22">
                  <c:v>-0.32618669457516386</c:v>
                </c:pt>
                <c:pt idx="23">
                  <c:v>-0.43498990865563225</c:v>
                </c:pt>
                <c:pt idx="24">
                  <c:v>-0.14203900559724525</c:v>
                </c:pt>
                <c:pt idx="25">
                  <c:v>5.2288111624045737E-2</c:v>
                </c:pt>
                <c:pt idx="26">
                  <c:v>-2.6396030127119222E-2</c:v>
                </c:pt>
                <c:pt idx="27">
                  <c:v>9.1180639103177613E-2</c:v>
                </c:pt>
                <c:pt idx="28">
                  <c:v>-1.8257219592797962E-2</c:v>
                </c:pt>
                <c:pt idx="29">
                  <c:v>3.1534502912177985E-2</c:v>
                </c:pt>
                <c:pt idx="30">
                  <c:v>-8.1389175816053011E-2</c:v>
                </c:pt>
                <c:pt idx="31">
                  <c:v>-4.9706508616692867E-2</c:v>
                </c:pt>
                <c:pt idx="32">
                  <c:v>3.0156686641757597E-2</c:v>
                </c:pt>
                <c:pt idx="33">
                  <c:v>0.1046054372516417</c:v>
                </c:pt>
              </c:numCache>
            </c:numRef>
          </c:val>
          <c:extLst>
            <c:ext xmlns:c16="http://schemas.microsoft.com/office/drawing/2014/chart" uri="{C3380CC4-5D6E-409C-BE32-E72D297353CC}">
              <c16:uniqueId val="{00000007-DAF4-4B6F-AFC2-992B217A4EB2}"/>
            </c:ext>
          </c:extLst>
        </c:ser>
        <c:dLbls>
          <c:showLegendKey val="0"/>
          <c:showVal val="0"/>
          <c:showCatName val="0"/>
          <c:showSerName val="0"/>
          <c:showPercent val="0"/>
          <c:showBubbleSize val="0"/>
        </c:dLbls>
        <c:gapWidth val="47"/>
        <c:overlap val="100"/>
        <c:axId val="96541696"/>
        <c:axId val="96552064"/>
      </c:barChart>
      <c:lineChart>
        <c:grouping val="standard"/>
        <c:varyColors val="0"/>
        <c:ser>
          <c:idx val="8"/>
          <c:order val="8"/>
          <c:tx>
            <c:strRef>
              <c:f>Zaměstnanost!$L$7</c:f>
              <c:strCache>
                <c:ptCount val="1"/>
                <c:pt idx="0">
                  <c:v>Zaměstnanost celkem</c:v>
                </c:pt>
              </c:strCache>
            </c:strRef>
          </c:tx>
          <c:spPr>
            <a:ln w="19050">
              <a:solidFill>
                <a:schemeClr val="tx1">
                  <a:lumMod val="95000"/>
                  <a:lumOff val="5000"/>
                </a:schemeClr>
              </a:solidFill>
            </a:ln>
          </c:spPr>
          <c:marker>
            <c:symbol val="none"/>
          </c:marker>
          <c:cat>
            <c:multiLvlStrRef>
              <c:f>Zaměstnanost!$B$28:$C$62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Zaměstnanost!$L$28:$L$62</c:f>
              <c:numCache>
                <c:formatCode>#\ ##0.0</c:formatCode>
                <c:ptCount val="35"/>
                <c:pt idx="0">
                  <c:v>1.2219798438541996</c:v>
                </c:pt>
                <c:pt idx="1">
                  <c:v>1.7421952173863671</c:v>
                </c:pt>
                <c:pt idx="2">
                  <c:v>1.3904158616861517</c:v>
                </c:pt>
                <c:pt idx="3">
                  <c:v>1.3570767227454039</c:v>
                </c:pt>
                <c:pt idx="4">
                  <c:v>1.5348256915487184</c:v>
                </c:pt>
                <c:pt idx="5">
                  <c:v>1.4765589966874444</c:v>
                </c:pt>
                <c:pt idx="6">
                  <c:v>1.5276265584907236</c:v>
                </c:pt>
                <c:pt idx="7">
                  <c:v>1.8192452854841998</c:v>
                </c:pt>
                <c:pt idx="8">
                  <c:v>1.4810250356838992</c:v>
                </c:pt>
                <c:pt idx="9">
                  <c:v>1.4509305729939399</c:v>
                </c:pt>
                <c:pt idx="10">
                  <c:v>1.9544552420651511</c:v>
                </c:pt>
                <c:pt idx="11">
                  <c:v>1.3083410896249883</c:v>
                </c:pt>
                <c:pt idx="12">
                  <c:v>1.5409056151757028</c:v>
                </c:pt>
                <c:pt idx="13">
                  <c:v>1.7294272218424422</c:v>
                </c:pt>
                <c:pt idx="14">
                  <c:v>0.93555167144769769</c:v>
                </c:pt>
                <c:pt idx="15">
                  <c:v>1.1332739223121564</c:v>
                </c:pt>
                <c:pt idx="16">
                  <c:v>0.89667625300134568</c:v>
                </c:pt>
                <c:pt idx="17">
                  <c:v>0.28165574684354056</c:v>
                </c:pt>
                <c:pt idx="18">
                  <c:v>0.17165132263802718</c:v>
                </c:pt>
                <c:pt idx="19">
                  <c:v>-0.36834909134847771</c:v>
                </c:pt>
                <c:pt idx="20">
                  <c:v>-0.79587138844840433</c:v>
                </c:pt>
                <c:pt idx="21">
                  <c:v>-2.1514961360447127</c:v>
                </c:pt>
                <c:pt idx="22">
                  <c:v>-1.7856708541695099</c:v>
                </c:pt>
                <c:pt idx="23">
                  <c:v>-2.1298218129441731</c:v>
                </c:pt>
                <c:pt idx="24">
                  <c:v>-1.4446840072233298</c:v>
                </c:pt>
                <c:pt idx="25">
                  <c:v>0.46349863771264688</c:v>
                </c:pt>
                <c:pt idx="26">
                  <c:v>0.89146166281481953</c:v>
                </c:pt>
                <c:pt idx="27">
                  <c:v>1.6566655087273436</c:v>
                </c:pt>
                <c:pt idx="28">
                  <c:v>1.2553107638248946</c:v>
                </c:pt>
                <c:pt idx="29">
                  <c:v>2.1539858920462791</c:v>
                </c:pt>
                <c:pt idx="30">
                  <c:v>1.3642588648097285</c:v>
                </c:pt>
                <c:pt idx="31">
                  <c:v>1.1974344380442259</c:v>
                </c:pt>
                <c:pt idx="32">
                  <c:v>1.3284354714684101</c:v>
                </c:pt>
                <c:pt idx="33">
                  <c:v>0.82768137842168721</c:v>
                </c:pt>
              </c:numCache>
            </c:numRef>
          </c:val>
          <c:smooth val="0"/>
          <c:extLst>
            <c:ext xmlns:c16="http://schemas.microsoft.com/office/drawing/2014/chart" uri="{C3380CC4-5D6E-409C-BE32-E72D297353CC}">
              <c16:uniqueId val="{00000008-DAF4-4B6F-AFC2-992B217A4EB2}"/>
            </c:ext>
          </c:extLst>
        </c:ser>
        <c:dLbls>
          <c:showLegendKey val="0"/>
          <c:showVal val="0"/>
          <c:showCatName val="0"/>
          <c:showSerName val="0"/>
          <c:showPercent val="0"/>
          <c:showBubbleSize val="0"/>
        </c:dLbls>
        <c:marker val="1"/>
        <c:smooth val="0"/>
        <c:axId val="96541696"/>
        <c:axId val="96552064"/>
      </c:lineChart>
      <c:lineChart>
        <c:grouping val="standard"/>
        <c:varyColors val="0"/>
        <c:ser>
          <c:idx val="9"/>
          <c:order val="9"/>
          <c:tx>
            <c:strRef>
              <c:f>Zaměstnanost!$M$7</c:f>
              <c:strCache>
                <c:ptCount val="1"/>
              </c:strCache>
            </c:strRef>
          </c:tx>
          <c:spPr>
            <a:ln>
              <a:noFill/>
            </a:ln>
          </c:spPr>
          <c:marker>
            <c:symbol val="none"/>
          </c:marker>
          <c:cat>
            <c:multiLvlStrRef>
              <c:f>Zaměstnanost!$B$28:$C$62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Zaměstnanost!$M$28:$M$62</c:f>
              <c:numCache>
                <c:formatCode>General</c:formatCode>
                <c:ptCount val="35"/>
              </c:numCache>
            </c:numRef>
          </c:val>
          <c:smooth val="0"/>
          <c:extLst>
            <c:ext xmlns:c16="http://schemas.microsoft.com/office/drawing/2014/chart" uri="{C3380CC4-5D6E-409C-BE32-E72D297353CC}">
              <c16:uniqueId val="{00000009-DAF4-4B6F-AFC2-992B217A4EB2}"/>
            </c:ext>
          </c:extLst>
        </c:ser>
        <c:ser>
          <c:idx val="10"/>
          <c:order val="10"/>
          <c:tx>
            <c:strRef>
              <c:f>Zaměstnanost!$N$7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Zaměstnanost!$B$28:$C$62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Zaměstnanost!$N$28:$N$62</c:f>
              <c:numCache>
                <c:formatCode>#\ ##0.0</c:formatCode>
                <c:ptCount val="35"/>
                <c:pt idx="0">
                  <c:v>-3</c:v>
                </c:pt>
                <c:pt idx="1">
                  <c:v>4.3</c:v>
                </c:pt>
                <c:pt idx="2">
                  <c:v>5.5</c:v>
                </c:pt>
                <c:pt idx="3">
                  <c:v>7.8</c:v>
                </c:pt>
                <c:pt idx="4">
                  <c:v>8.2000000000000011</c:v>
                </c:pt>
                <c:pt idx="5">
                  <c:v>9.9</c:v>
                </c:pt>
                <c:pt idx="6">
                  <c:v>3.8</c:v>
                </c:pt>
                <c:pt idx="7">
                  <c:v>9.5</c:v>
                </c:pt>
                <c:pt idx="8">
                  <c:v>11.1</c:v>
                </c:pt>
                <c:pt idx="9">
                  <c:v>5.7</c:v>
                </c:pt>
                <c:pt idx="10">
                  <c:v>8.2000000000000011</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pt idx="31">
                  <c:v>-9.9</c:v>
                </c:pt>
                <c:pt idx="32">
                  <c:v>-13.6</c:v>
                </c:pt>
                <c:pt idx="33">
                  <c:v>-5.8</c:v>
                </c:pt>
                <c:pt idx="34">
                  <c:v>-4.3</c:v>
                </c:pt>
              </c:numCache>
            </c:numRef>
          </c:val>
          <c:smooth val="0"/>
          <c:extLst>
            <c:ext xmlns:c16="http://schemas.microsoft.com/office/drawing/2014/chart" uri="{C3380CC4-5D6E-409C-BE32-E72D297353CC}">
              <c16:uniqueId val="{0000000A-DAF4-4B6F-AFC2-992B217A4EB2}"/>
            </c:ext>
          </c:extLst>
        </c:ser>
        <c:ser>
          <c:idx val="11"/>
          <c:order val="11"/>
          <c:tx>
            <c:strRef>
              <c:f>Zaměstnanost!$O$7</c:f>
              <c:strCache>
                <c:ptCount val="1"/>
                <c:pt idx="0">
                  <c:v>Očekávání zaměstnanosti (stavebnictví)</c:v>
                </c:pt>
              </c:strCache>
            </c:strRef>
          </c:tx>
          <c:spPr>
            <a:ln w="15875">
              <a:solidFill>
                <a:srgbClr val="00B0F0"/>
              </a:solidFill>
              <a:prstDash val="sysDot"/>
            </a:ln>
          </c:spPr>
          <c:marker>
            <c:symbol val="none"/>
          </c:marker>
          <c:cat>
            <c:multiLvlStrRef>
              <c:f>Zaměstnanost!$B$28:$C$62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Zaměstnanost!$O$28:$O$62</c:f>
              <c:numCache>
                <c:formatCode>#\ ##0.0</c:formatCode>
                <c:ptCount val="35"/>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5.7</c:v>
                </c:pt>
                <c:pt idx="21">
                  <c:v>-4.2</c:v>
                </c:pt>
                <c:pt idx="22">
                  <c:v>1.5</c:v>
                </c:pt>
                <c:pt idx="23">
                  <c:v>-1.5</c:v>
                </c:pt>
                <c:pt idx="24">
                  <c:v>3.9</c:v>
                </c:pt>
                <c:pt idx="25">
                  <c:v>4.4000000000000004</c:v>
                </c:pt>
                <c:pt idx="26">
                  <c:v>4.0999999999999996</c:v>
                </c:pt>
                <c:pt idx="27">
                  <c:v>8.3000000000000007</c:v>
                </c:pt>
                <c:pt idx="28">
                  <c:v>10.1</c:v>
                </c:pt>
                <c:pt idx="29">
                  <c:v>7.8</c:v>
                </c:pt>
                <c:pt idx="30">
                  <c:v>0.6000000000000002</c:v>
                </c:pt>
                <c:pt idx="31">
                  <c:v>-0.3000000000000001</c:v>
                </c:pt>
                <c:pt idx="32">
                  <c:v>-11.6</c:v>
                </c:pt>
                <c:pt idx="33">
                  <c:v>-13.7</c:v>
                </c:pt>
                <c:pt idx="34">
                  <c:v>-9.5</c:v>
                </c:pt>
              </c:numCache>
            </c:numRef>
          </c:val>
          <c:smooth val="0"/>
          <c:extLst>
            <c:ext xmlns:c16="http://schemas.microsoft.com/office/drawing/2014/chart" uri="{C3380CC4-5D6E-409C-BE32-E72D297353CC}">
              <c16:uniqueId val="{0000000B-DAF4-4B6F-AFC2-992B217A4EB2}"/>
            </c:ext>
          </c:extLst>
        </c:ser>
        <c:ser>
          <c:idx val="12"/>
          <c:order val="12"/>
          <c:tx>
            <c:strRef>
              <c:f>Zaměstnanost!$P$7</c:f>
              <c:strCache>
                <c:ptCount val="1"/>
                <c:pt idx="0">
                  <c:v>Očekávání zaměstnanosti (obchod)</c:v>
                </c:pt>
              </c:strCache>
            </c:strRef>
          </c:tx>
          <c:spPr>
            <a:ln w="15875">
              <a:solidFill>
                <a:schemeClr val="accent6">
                  <a:lumMod val="75000"/>
                </a:schemeClr>
              </a:solidFill>
              <a:prstDash val="sysDot"/>
            </a:ln>
          </c:spPr>
          <c:marker>
            <c:symbol val="none"/>
          </c:marker>
          <c:cat>
            <c:multiLvlStrRef>
              <c:f>Zaměstnanost!$B$28:$C$62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Zaměstnanost!$P$28:$P$62</c:f>
              <c:numCache>
                <c:formatCode>#\ ##0.0</c:formatCode>
                <c:ptCount val="35"/>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0.70000000000000018</c:v>
                </c:pt>
                <c:pt idx="24">
                  <c:v>5.3</c:v>
                </c:pt>
                <c:pt idx="25">
                  <c:v>13.1</c:v>
                </c:pt>
                <c:pt idx="26">
                  <c:v>10.8</c:v>
                </c:pt>
                <c:pt idx="27">
                  <c:v>8.5</c:v>
                </c:pt>
                <c:pt idx="28">
                  <c:v>9.7000000000000011</c:v>
                </c:pt>
                <c:pt idx="29">
                  <c:v>3.2</c:v>
                </c:pt>
                <c:pt idx="30">
                  <c:v>5.0999999999999996</c:v>
                </c:pt>
                <c:pt idx="31">
                  <c:v>12.6</c:v>
                </c:pt>
                <c:pt idx="32">
                  <c:v>10.3</c:v>
                </c:pt>
                <c:pt idx="33">
                  <c:v>9.2000000000000011</c:v>
                </c:pt>
                <c:pt idx="34">
                  <c:v>10.7</c:v>
                </c:pt>
              </c:numCache>
            </c:numRef>
          </c:val>
          <c:smooth val="0"/>
          <c:extLst>
            <c:ext xmlns:c16="http://schemas.microsoft.com/office/drawing/2014/chart" uri="{C3380CC4-5D6E-409C-BE32-E72D297353CC}">
              <c16:uniqueId val="{0000000C-DAF4-4B6F-AFC2-992B217A4EB2}"/>
            </c:ext>
          </c:extLst>
        </c:ser>
        <c:ser>
          <c:idx val="13"/>
          <c:order val="13"/>
          <c:tx>
            <c:strRef>
              <c:f>Zaměstnanost!$Q$7</c:f>
              <c:strCache>
                <c:ptCount val="1"/>
                <c:pt idx="0">
                  <c:v>Očekávání zaměstnanosti (vybr. služby)</c:v>
                </c:pt>
              </c:strCache>
            </c:strRef>
          </c:tx>
          <c:spPr>
            <a:ln w="15875">
              <a:solidFill>
                <a:srgbClr val="C00000"/>
              </a:solidFill>
              <a:prstDash val="sysDot"/>
            </a:ln>
          </c:spPr>
          <c:marker>
            <c:symbol val="none"/>
          </c:marker>
          <c:cat>
            <c:multiLvlStrRef>
              <c:f>Zaměstnanost!$B$28:$C$62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Zaměstnanost!$Q$28:$Q$62</c:f>
              <c:numCache>
                <c:formatCode>#\ ##0.0</c:formatCode>
                <c:ptCount val="35"/>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-32.300000000000004</c:v>
                </c:pt>
                <c:pt idx="22">
                  <c:v>-28.6</c:v>
                </c:pt>
                <c:pt idx="23">
                  <c:v>-30.1</c:v>
                </c:pt>
                <c:pt idx="24">
                  <c:v>-27</c:v>
                </c:pt>
                <c:pt idx="25">
                  <c:v>-27.7</c:v>
                </c:pt>
                <c:pt idx="26">
                  <c:v>-12.1</c:v>
                </c:pt>
                <c:pt idx="27">
                  <c:v>-15.8</c:v>
                </c:pt>
                <c:pt idx="28">
                  <c:v>-6.8</c:v>
                </c:pt>
                <c:pt idx="29">
                  <c:v>-3.5</c:v>
                </c:pt>
                <c:pt idx="30">
                  <c:v>-6.1</c:v>
                </c:pt>
                <c:pt idx="31">
                  <c:v>-6.4</c:v>
                </c:pt>
                <c:pt idx="32">
                  <c:v>-10.7</c:v>
                </c:pt>
                <c:pt idx="33">
                  <c:v>-16.7</c:v>
                </c:pt>
                <c:pt idx="34">
                  <c:v>-14.5</c:v>
                </c:pt>
              </c:numCache>
            </c:numRef>
          </c:val>
          <c:smooth val="0"/>
          <c:extLst>
            <c:ext xmlns:c16="http://schemas.microsoft.com/office/drawing/2014/chart" uri="{C3380CC4-5D6E-409C-BE32-E72D297353CC}">
              <c16:uniqueId val="{0000000D-DAF4-4B6F-AFC2-992B217A4EB2}"/>
            </c:ext>
          </c:extLst>
        </c:ser>
        <c:dLbls>
          <c:showLegendKey val="0"/>
          <c:showVal val="0"/>
          <c:showCatName val="0"/>
          <c:showSerName val="0"/>
          <c:showPercent val="0"/>
          <c:showBubbleSize val="0"/>
        </c:dLbls>
        <c:marker val="1"/>
        <c:smooth val="0"/>
        <c:axId val="96556160"/>
        <c:axId val="96553984"/>
      </c:lineChart>
      <c:catAx>
        <c:axId val="96541696"/>
        <c:scaling>
          <c:orientation val="minMax"/>
        </c:scaling>
        <c:delete val="0"/>
        <c:axPos val="b"/>
        <c:numFmt formatCode="General" sourceLinked="1"/>
        <c:majorTickMark val="out"/>
        <c:minorTickMark val="none"/>
        <c:tickLblPos val="low"/>
        <c:spPr>
          <a:ln>
            <a:solidFill>
              <a:schemeClr val="tx1"/>
            </a:solidFill>
          </a:ln>
        </c:spPr>
        <c:crossAx val="96552064"/>
        <c:crosses val="autoZero"/>
        <c:auto val="1"/>
        <c:lblAlgn val="ctr"/>
        <c:lblOffset val="10"/>
        <c:noMultiLvlLbl val="0"/>
      </c:catAx>
      <c:valAx>
        <c:axId val="96552064"/>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Příspěvek k růstu zaměstnanosti</a:t>
                </a:r>
              </a:p>
            </c:rich>
          </c:tx>
          <c:overlay val="0"/>
        </c:title>
        <c:numFmt formatCode="0.0" sourceLinked="0"/>
        <c:majorTickMark val="out"/>
        <c:minorTickMark val="none"/>
        <c:tickLblPos val="nextTo"/>
        <c:spPr>
          <a:ln>
            <a:solidFill>
              <a:schemeClr val="tx1"/>
            </a:solidFill>
          </a:ln>
        </c:spPr>
        <c:crossAx val="96541696"/>
        <c:crosses val="autoZero"/>
        <c:crossBetween val="between"/>
        <c:majorUnit val="0.5"/>
      </c:valAx>
      <c:valAx>
        <c:axId val="96553984"/>
        <c:scaling>
          <c:orientation val="minMax"/>
          <c:max val="100"/>
          <c:min val="-40"/>
        </c:scaling>
        <c:delete val="0"/>
        <c:axPos val="r"/>
        <c:title>
          <c:tx>
            <c:rich>
              <a:bodyPr/>
              <a:lstStyle/>
              <a:p>
                <a:pPr>
                  <a:defRPr sz="700" b="0" i="1"/>
                </a:pPr>
                <a:r>
                  <a:rPr lang="cs-CZ" sz="700" b="0" i="1"/>
                  <a:t>Očekávání vývoje zaměstnanosti</a:t>
                </a:r>
              </a:p>
            </c:rich>
          </c:tx>
          <c:overlay val="0"/>
        </c:title>
        <c:numFmt formatCode="#,##0" sourceLinked="0"/>
        <c:majorTickMark val="out"/>
        <c:minorTickMark val="none"/>
        <c:tickLblPos val="nextTo"/>
        <c:crossAx val="96556160"/>
        <c:crosses val="max"/>
        <c:crossBetween val="between"/>
        <c:majorUnit val="10"/>
      </c:valAx>
      <c:catAx>
        <c:axId val="96556160"/>
        <c:scaling>
          <c:orientation val="minMax"/>
        </c:scaling>
        <c:delete val="1"/>
        <c:axPos val="b"/>
        <c:numFmt formatCode="General" sourceLinked="1"/>
        <c:majorTickMark val="out"/>
        <c:minorTickMark val="none"/>
        <c:tickLblPos val="none"/>
        <c:crossAx val="96553984"/>
        <c:crosses val="autoZero"/>
        <c:auto val="1"/>
        <c:lblAlgn val="ctr"/>
        <c:lblOffset val="100"/>
        <c:noMultiLvlLbl val="0"/>
      </c:catAx>
      <c:spPr>
        <a:ln>
          <a:solidFill>
            <a:schemeClr val="tx1"/>
          </a:solidFill>
        </a:ln>
      </c:spPr>
    </c:plotArea>
    <c:legend>
      <c:legendPos val="b"/>
      <c:layout>
        <c:manualLayout>
          <c:xMode val="edge"/>
          <c:yMode val="edge"/>
          <c:x val="1.5472441370721636E-2"/>
          <c:y val="0.77992823117070775"/>
          <c:w val="0.96005692595618608"/>
          <c:h val="0.2119461831534996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919E-2"/>
          <c:y val="1.6081916099773243E-2"/>
          <c:w val="0.83584199323559016"/>
          <c:h val="0.75413005601973671"/>
        </c:manualLayout>
      </c:layout>
      <c:barChart>
        <c:barDir val="col"/>
        <c:grouping val="clustered"/>
        <c:varyColors val="0"/>
        <c:ser>
          <c:idx val="0"/>
          <c:order val="0"/>
          <c:tx>
            <c:strRef>
              <c:f>Nezaměstnanost!$A$36</c:f>
              <c:strCache>
                <c:ptCount val="1"/>
                <c:pt idx="0">
                  <c:v>Míra nezaměstnanosti mužů</c:v>
                </c:pt>
              </c:strCache>
            </c:strRef>
          </c:tx>
          <c:spPr>
            <a:solidFill>
              <a:srgbClr val="BCBCBC"/>
            </a:solidFill>
          </c:spPr>
          <c:invertIfNegative val="0"/>
          <c:cat>
            <c:multiLvlStrRef>
              <c:f>Nezaměstnanost!$B$34:$AJ$35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Nezaměstnanost!$B$36:$AJ$36</c:f>
              <c:numCache>
                <c:formatCode>0.0</c:formatCode>
                <c:ptCount val="35"/>
                <c:pt idx="0">
                  <c:v>5.0179703567993261</c:v>
                </c:pt>
                <c:pt idx="1">
                  <c:v>4.3397037857057343</c:v>
                </c:pt>
                <c:pt idx="2">
                  <c:v>4.0783637914253674</c:v>
                </c:pt>
                <c:pt idx="3">
                  <c:v>3.7766265778372001</c:v>
                </c:pt>
                <c:pt idx="4">
                  <c:v>3.6410218058510369</c:v>
                </c:pt>
                <c:pt idx="5">
                  <c:v>3.5617055995244464</c:v>
                </c:pt>
                <c:pt idx="6">
                  <c:v>3.3832737899339094</c:v>
                </c:pt>
                <c:pt idx="7">
                  <c:v>3.162483015246973</c:v>
                </c:pt>
                <c:pt idx="8">
                  <c:v>2.7030133381290353</c:v>
                </c:pt>
                <c:pt idx="9">
                  <c:v>2.4612076398961942</c:v>
                </c:pt>
                <c:pt idx="10">
                  <c:v>2.2569337257329658</c:v>
                </c:pt>
                <c:pt idx="11">
                  <c:v>2.0533565705585919</c:v>
                </c:pt>
                <c:pt idx="12">
                  <c:v>1.8939606859689573</c:v>
                </c:pt>
                <c:pt idx="13">
                  <c:v>1.8444391535153297</c:v>
                </c:pt>
                <c:pt idx="14">
                  <c:v>1.8906657579743842</c:v>
                </c:pt>
                <c:pt idx="15">
                  <c:v>1.6613164713888831</c:v>
                </c:pt>
                <c:pt idx="16">
                  <c:v>1.8002424728293283</c:v>
                </c:pt>
                <c:pt idx="17">
                  <c:v>1.6837047772888498</c:v>
                </c:pt>
                <c:pt idx="18">
                  <c:v>1.7665785210090021</c:v>
                </c:pt>
                <c:pt idx="19">
                  <c:v>1.8635330355029034</c:v>
                </c:pt>
                <c:pt idx="20">
                  <c:v>1.8345903586695378</c:v>
                </c:pt>
                <c:pt idx="21">
                  <c:v>2.2579728634053917</c:v>
                </c:pt>
                <c:pt idx="22">
                  <c:v>2.5264092526326722</c:v>
                </c:pt>
                <c:pt idx="23">
                  <c:v>2.5328753255200662</c:v>
                </c:pt>
                <c:pt idx="24">
                  <c:v>2.6687894843566373</c:v>
                </c:pt>
                <c:pt idx="25">
                  <c:v>2.5658471946484767</c:v>
                </c:pt>
                <c:pt idx="26">
                  <c:v>2.2750405964284734</c:v>
                </c:pt>
                <c:pt idx="27">
                  <c:v>1.9616597792922665</c:v>
                </c:pt>
                <c:pt idx="28">
                  <c:v>1.9699114886182219</c:v>
                </c:pt>
                <c:pt idx="29">
                  <c:v>1.909949777619125</c:v>
                </c:pt>
                <c:pt idx="30">
                  <c:v>1.9242876293040059</c:v>
                </c:pt>
                <c:pt idx="31">
                  <c:v>2.0833254788649755</c:v>
                </c:pt>
                <c:pt idx="32">
                  <c:v>2.1575272319502319</c:v>
                </c:pt>
                <c:pt idx="33">
                  <c:v>2.2590238099041642</c:v>
                </c:pt>
              </c:numCache>
            </c:numRef>
          </c:val>
          <c:extLst>
            <c:ext xmlns:c16="http://schemas.microsoft.com/office/drawing/2014/chart" uri="{C3380CC4-5D6E-409C-BE32-E72D297353CC}">
              <c16:uniqueId val="{00000000-FBED-4011-BE27-EA748F5394AE}"/>
            </c:ext>
          </c:extLst>
        </c:ser>
        <c:ser>
          <c:idx val="1"/>
          <c:order val="1"/>
          <c:tx>
            <c:strRef>
              <c:f>Nezaměstnanost!$A$37</c:f>
              <c:strCache>
                <c:ptCount val="1"/>
                <c:pt idx="0">
                  <c:v>Míra nezaměstnanosti žen</c:v>
                </c:pt>
              </c:strCache>
            </c:strRef>
          </c:tx>
          <c:spPr>
            <a:solidFill>
              <a:schemeClr val="bg1">
                <a:lumMod val="95000"/>
              </a:schemeClr>
            </a:solidFill>
            <a:ln>
              <a:solidFill>
                <a:schemeClr val="bg1">
                  <a:lumMod val="65000"/>
                </a:schemeClr>
              </a:solidFill>
            </a:ln>
          </c:spPr>
          <c:invertIfNegative val="0"/>
          <c:cat>
            <c:multiLvlStrRef>
              <c:f>Nezaměstnanost!$B$34:$AJ$35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Nezaměstnanost!$B$37:$AJ$37</c:f>
              <c:numCache>
                <c:formatCode>0.0</c:formatCode>
                <c:ptCount val="35"/>
                <c:pt idx="0">
                  <c:v>6.9247844222757067</c:v>
                </c:pt>
                <c:pt idx="1">
                  <c:v>6.1548239649972318</c:v>
                </c:pt>
                <c:pt idx="2">
                  <c:v>5.9772351628082871</c:v>
                </c:pt>
                <c:pt idx="3">
                  <c:v>5.6631509856934299</c:v>
                </c:pt>
                <c:pt idx="4">
                  <c:v>5.0702807689938432</c:v>
                </c:pt>
                <c:pt idx="5">
                  <c:v>4.8011933347794091</c:v>
                </c:pt>
                <c:pt idx="6">
                  <c:v>4.8094480130904822</c:v>
                </c:pt>
                <c:pt idx="7">
                  <c:v>4.3666253677207658</c:v>
                </c:pt>
                <c:pt idx="8">
                  <c:v>4.2695537029006596</c:v>
                </c:pt>
                <c:pt idx="9">
                  <c:v>3.892380756609807</c:v>
                </c:pt>
                <c:pt idx="10">
                  <c:v>3.4090462990584376</c:v>
                </c:pt>
                <c:pt idx="11">
                  <c:v>3.026876621358348</c:v>
                </c:pt>
                <c:pt idx="12">
                  <c:v>2.9413108440125391</c:v>
                </c:pt>
                <c:pt idx="13">
                  <c:v>2.8900483618547939</c:v>
                </c:pt>
                <c:pt idx="14">
                  <c:v>2.8576069830594322</c:v>
                </c:pt>
                <c:pt idx="15">
                  <c:v>2.6813009357194431</c:v>
                </c:pt>
                <c:pt idx="16">
                  <c:v>2.246845177503797</c:v>
                </c:pt>
                <c:pt idx="17">
                  <c:v>2.470067644693811</c:v>
                </c:pt>
                <c:pt idx="18">
                  <c:v>2.5650647654236116</c:v>
                </c:pt>
                <c:pt idx="19">
                  <c:v>2.4357961684995288</c:v>
                </c:pt>
                <c:pt idx="20">
                  <c:v>2.0459633496495333</c:v>
                </c:pt>
                <c:pt idx="21">
                  <c:v>2.8097346782288031</c:v>
                </c:pt>
                <c:pt idx="22">
                  <c:v>3.3694736693486282</c:v>
                </c:pt>
                <c:pt idx="23">
                  <c:v>3.8967034720032179</c:v>
                </c:pt>
                <c:pt idx="24">
                  <c:v>4.1524898825665657</c:v>
                </c:pt>
                <c:pt idx="25">
                  <c:v>3.9048818536061245</c:v>
                </c:pt>
                <c:pt idx="26">
                  <c:v>3.2609428473346527</c:v>
                </c:pt>
                <c:pt idx="27">
                  <c:v>2.7351509961910576</c:v>
                </c:pt>
                <c:pt idx="28">
                  <c:v>2.9959040802138639</c:v>
                </c:pt>
                <c:pt idx="29">
                  <c:v>3.2096578909940594</c:v>
                </c:pt>
                <c:pt idx="30">
                  <c:v>2.8962648073926571</c:v>
                </c:pt>
                <c:pt idx="31">
                  <c:v>2.7939457161105916</c:v>
                </c:pt>
                <c:pt idx="32">
                  <c:v>3.027523206943596</c:v>
                </c:pt>
                <c:pt idx="33">
                  <c:v>3.1718716331444257</c:v>
                </c:pt>
              </c:numCache>
            </c:numRef>
          </c:val>
          <c:extLst>
            <c:ext xmlns:c16="http://schemas.microsoft.com/office/drawing/2014/chart" uri="{C3380CC4-5D6E-409C-BE32-E72D297353CC}">
              <c16:uniqueId val="{00000001-FBED-4011-BE27-EA748F5394AE}"/>
            </c:ext>
          </c:extLst>
        </c:ser>
        <c:dLbls>
          <c:showLegendKey val="0"/>
          <c:showVal val="0"/>
          <c:showCatName val="0"/>
          <c:showSerName val="0"/>
          <c:showPercent val="0"/>
          <c:showBubbleSize val="0"/>
        </c:dLbls>
        <c:gapWidth val="68"/>
        <c:axId val="93685632"/>
        <c:axId val="93687168"/>
      </c:barChart>
      <c:lineChart>
        <c:grouping val="standard"/>
        <c:varyColors val="0"/>
        <c:ser>
          <c:idx val="4"/>
          <c:order val="2"/>
          <c:tx>
            <c:strRef>
              <c:f>Nezaměstnanost!$A$40</c:f>
              <c:strCache>
                <c:ptCount val="1"/>
                <c:pt idx="0">
                  <c:v>Ekon. neaktivní chtějící pracovat</c:v>
                </c:pt>
              </c:strCache>
            </c:strRef>
          </c:tx>
          <c:spPr>
            <a:ln w="19050">
              <a:solidFill>
                <a:schemeClr val="bg2">
                  <a:lumMod val="75000"/>
                </a:schemeClr>
              </a:solidFill>
              <a:prstDash val="sysDash"/>
            </a:ln>
          </c:spPr>
          <c:marker>
            <c:symbol val="none"/>
          </c:marker>
          <c:cat>
            <c:multiLvlStrRef>
              <c:f>Nezaměstnanost!$B$34:$AJ$35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Nezaměstnanost!$B$40:$AJ$40</c:f>
              <c:numCache>
                <c:formatCode>0.0</c:formatCode>
                <c:ptCount val="35"/>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113.7</c:v>
                </c:pt>
                <c:pt idx="26">
                  <c:v>64.599999999999994</c:v>
                </c:pt>
                <c:pt idx="27">
                  <c:v>63.3</c:v>
                </c:pt>
                <c:pt idx="28">
                  <c:v>67</c:v>
                </c:pt>
                <c:pt idx="29">
                  <c:v>58.7</c:v>
                </c:pt>
                <c:pt idx="30">
                  <c:v>56.6</c:v>
                </c:pt>
                <c:pt idx="31">
                  <c:v>50</c:v>
                </c:pt>
                <c:pt idx="32">
                  <c:v>74</c:v>
                </c:pt>
                <c:pt idx="33">
                  <c:v>87.4</c:v>
                </c:pt>
              </c:numCache>
            </c:numRef>
          </c:val>
          <c:smooth val="0"/>
          <c:extLst>
            <c:ext xmlns:c16="http://schemas.microsoft.com/office/drawing/2014/chart" uri="{C3380CC4-5D6E-409C-BE32-E72D297353CC}">
              <c16:uniqueId val="{00000002-FBED-4011-BE27-EA748F5394AE}"/>
            </c:ext>
          </c:extLst>
        </c:ser>
        <c:ser>
          <c:idx val="5"/>
          <c:order val="3"/>
          <c:tx>
            <c:strRef>
              <c:f>Nezaměstnanost!$A$41</c:f>
              <c:strCache>
                <c:ptCount val="1"/>
                <c:pt idx="0">
                  <c:v>Očekávání vývoje nezaměstnanosti</c:v>
                </c:pt>
              </c:strCache>
            </c:strRef>
          </c:tx>
          <c:spPr>
            <a:ln w="19050">
              <a:solidFill>
                <a:schemeClr val="accent6">
                  <a:lumMod val="75000"/>
                </a:schemeClr>
              </a:solidFill>
              <a:prstDash val="dash"/>
            </a:ln>
          </c:spPr>
          <c:marker>
            <c:symbol val="none"/>
          </c:marker>
          <c:cat>
            <c:multiLvlStrRef>
              <c:f>Nezaměstnanost!$B$34:$AJ$35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Nezaměstnanost!$B$41:$AJ$41</c:f>
              <c:numCache>
                <c:formatCode>0.0</c:formatCode>
                <c:ptCount val="35"/>
                <c:pt idx="0">
                  <c:v>6</c:v>
                </c:pt>
                <c:pt idx="1">
                  <c:v>9</c:v>
                </c:pt>
                <c:pt idx="2">
                  <c:v>10</c:v>
                </c:pt>
                <c:pt idx="3">
                  <c:v>4</c:v>
                </c:pt>
                <c:pt idx="4">
                  <c:v>2</c:v>
                </c:pt>
                <c:pt idx="5">
                  <c:v>10</c:v>
                </c:pt>
                <c:pt idx="6">
                  <c:v>5</c:v>
                </c:pt>
                <c:pt idx="7">
                  <c:v>4</c:v>
                </c:pt>
                <c:pt idx="8">
                  <c:v>1</c:v>
                </c:pt>
                <c:pt idx="9">
                  <c:v>-3</c:v>
                </c:pt>
                <c:pt idx="10">
                  <c:v>0</c:v>
                </c:pt>
                <c:pt idx="11">
                  <c:v>-1</c:v>
                </c:pt>
                <c:pt idx="12">
                  <c:v>-1</c:v>
                </c:pt>
                <c:pt idx="13">
                  <c:v>-2</c:v>
                </c:pt>
                <c:pt idx="14">
                  <c:v>-2</c:v>
                </c:pt>
                <c:pt idx="15">
                  <c:v>4</c:v>
                </c:pt>
                <c:pt idx="16">
                  <c:v>8</c:v>
                </c:pt>
                <c:pt idx="17">
                  <c:v>8</c:v>
                </c:pt>
                <c:pt idx="18">
                  <c:v>11</c:v>
                </c:pt>
                <c:pt idx="19">
                  <c:v>12</c:v>
                </c:pt>
                <c:pt idx="20">
                  <c:v>18</c:v>
                </c:pt>
                <c:pt idx="21">
                  <c:v>49</c:v>
                </c:pt>
                <c:pt idx="22">
                  <c:v>46</c:v>
                </c:pt>
                <c:pt idx="23">
                  <c:v>60</c:v>
                </c:pt>
                <c:pt idx="24">
                  <c:v>57</c:v>
                </c:pt>
                <c:pt idx="25">
                  <c:v>24</c:v>
                </c:pt>
                <c:pt idx="26">
                  <c:v>16</c:v>
                </c:pt>
                <c:pt idx="27">
                  <c:v>20</c:v>
                </c:pt>
                <c:pt idx="28">
                  <c:v>14</c:v>
                </c:pt>
                <c:pt idx="29">
                  <c:v>20</c:v>
                </c:pt>
                <c:pt idx="30">
                  <c:v>26</c:v>
                </c:pt>
                <c:pt idx="31">
                  <c:v>40</c:v>
                </c:pt>
                <c:pt idx="32">
                  <c:v>35</c:v>
                </c:pt>
                <c:pt idx="33">
                  <c:v>29</c:v>
                </c:pt>
                <c:pt idx="34">
                  <c:v>25</c:v>
                </c:pt>
              </c:numCache>
            </c:numRef>
          </c:val>
          <c:smooth val="0"/>
          <c:extLst>
            <c:ext xmlns:c16="http://schemas.microsoft.com/office/drawing/2014/chart" uri="{C3380CC4-5D6E-409C-BE32-E72D297353CC}">
              <c16:uniqueId val="{00000003-FBED-4011-BE27-EA748F5394AE}"/>
            </c:ext>
          </c:extLst>
        </c:ser>
        <c:ser>
          <c:idx val="6"/>
          <c:order val="4"/>
          <c:tx>
            <c:strRef>
              <c:f>Nezaměstnanost!$A$42</c:f>
              <c:strCache>
                <c:ptCount val="1"/>
                <c:pt idx="0">
                  <c:v>VPM pro vyučené a SŠ bez mat.</c:v>
                </c:pt>
              </c:strCache>
            </c:strRef>
          </c:tx>
          <c:spPr>
            <a:ln>
              <a:noFill/>
            </a:ln>
          </c:spPr>
          <c:marker>
            <c:symbol val="circle"/>
            <c:size val="4"/>
            <c:spPr>
              <a:solidFill>
                <a:srgbClr val="8EB149"/>
              </a:solidFill>
              <a:ln>
                <a:noFill/>
              </a:ln>
            </c:spPr>
          </c:marker>
          <c:cat>
            <c:multiLvlStrRef>
              <c:f>Nezaměstnanost!$B$34:$AJ$35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Nezaměstnanost!$B$42:$AJ$42</c:f>
              <c:numCache>
                <c:formatCode>0.0</c:formatCode>
                <c:ptCount val="35"/>
                <c:pt idx="0">
                  <c:v>31.7</c:v>
                </c:pt>
                <c:pt idx="1">
                  <c:v>39.700000000000003</c:v>
                </c:pt>
                <c:pt idx="2">
                  <c:v>44.4</c:v>
                </c:pt>
                <c:pt idx="3">
                  <c:v>41.2</c:v>
                </c:pt>
                <c:pt idx="4">
                  <c:v>45.3</c:v>
                </c:pt>
                <c:pt idx="5">
                  <c:v>51.4</c:v>
                </c:pt>
                <c:pt idx="6">
                  <c:v>52.8</c:v>
                </c:pt>
                <c:pt idx="7">
                  <c:v>47.2</c:v>
                </c:pt>
                <c:pt idx="8">
                  <c:v>51.5</c:v>
                </c:pt>
                <c:pt idx="9">
                  <c:v>59.1</c:v>
                </c:pt>
                <c:pt idx="10">
                  <c:v>63.1</c:v>
                </c:pt>
                <c:pt idx="11">
                  <c:v>60.9</c:v>
                </c:pt>
                <c:pt idx="12">
                  <c:v>65.3</c:v>
                </c:pt>
                <c:pt idx="13">
                  <c:v>73.3</c:v>
                </c:pt>
                <c:pt idx="14">
                  <c:v>74.2</c:v>
                </c:pt>
                <c:pt idx="15">
                  <c:v>70.400000000000006</c:v>
                </c:pt>
                <c:pt idx="16">
                  <c:v>70.2</c:v>
                </c:pt>
                <c:pt idx="17">
                  <c:v>68</c:v>
                </c:pt>
                <c:pt idx="18">
                  <c:v>65.8</c:v>
                </c:pt>
                <c:pt idx="19">
                  <c:v>59.1</c:v>
                </c:pt>
                <c:pt idx="20">
                  <c:v>57.7</c:v>
                </c:pt>
                <c:pt idx="21">
                  <c:v>54.3</c:v>
                </c:pt>
                <c:pt idx="22">
                  <c:v>49.1</c:v>
                </c:pt>
                <c:pt idx="23">
                  <c:v>46.6</c:v>
                </c:pt>
                <c:pt idx="24">
                  <c:v>47.9</c:v>
                </c:pt>
                <c:pt idx="25">
                  <c:v>53.9</c:v>
                </c:pt>
                <c:pt idx="26">
                  <c:v>55.5</c:v>
                </c:pt>
                <c:pt idx="27">
                  <c:v>48.9</c:v>
                </c:pt>
                <c:pt idx="28">
                  <c:v>53.7</c:v>
                </c:pt>
                <c:pt idx="29">
                  <c:v>51.3</c:v>
                </c:pt>
                <c:pt idx="30">
                  <c:v>48.2</c:v>
                </c:pt>
                <c:pt idx="31">
                  <c:v>43.886999999999993</c:v>
                </c:pt>
                <c:pt idx="32">
                  <c:v>43.122000000000014</c:v>
                </c:pt>
                <c:pt idx="33">
                  <c:v>42.853999999999999</c:v>
                </c:pt>
              </c:numCache>
            </c:numRef>
          </c:val>
          <c:smooth val="0"/>
          <c:extLst>
            <c:ext xmlns:c16="http://schemas.microsoft.com/office/drawing/2014/chart" uri="{C3380CC4-5D6E-409C-BE32-E72D297353CC}">
              <c16:uniqueId val="{00000004-FBED-4011-BE27-EA748F5394AE}"/>
            </c:ext>
          </c:extLst>
        </c:ser>
        <c:ser>
          <c:idx val="7"/>
          <c:order val="5"/>
          <c:tx>
            <c:strRef>
              <c:f>Nezaměstnanost!$A$43</c:f>
              <c:strCache>
                <c:ptCount val="1"/>
                <c:pt idx="0">
                  <c:v>VPM pro SŠ s mat., VOŠ a VŠ</c:v>
                </c:pt>
              </c:strCache>
            </c:strRef>
          </c:tx>
          <c:spPr>
            <a:ln>
              <a:noFill/>
            </a:ln>
          </c:spPr>
          <c:marker>
            <c:symbol val="diamond"/>
            <c:size val="5"/>
            <c:spPr>
              <a:solidFill>
                <a:srgbClr val="00B050"/>
              </a:solidFill>
              <a:ln>
                <a:noFill/>
              </a:ln>
            </c:spPr>
          </c:marker>
          <c:cat>
            <c:multiLvlStrRef>
              <c:f>Nezaměstnanost!$B$34:$AJ$35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Nezaměstnanost!$B$43:$AJ$43</c:f>
              <c:numCache>
                <c:formatCode>0.0</c:formatCode>
                <c:ptCount val="35"/>
                <c:pt idx="0">
                  <c:v>16.600000000000001</c:v>
                </c:pt>
                <c:pt idx="1">
                  <c:v>19.3</c:v>
                </c:pt>
                <c:pt idx="2">
                  <c:v>20</c:v>
                </c:pt>
                <c:pt idx="3">
                  <c:v>19.600000000000001</c:v>
                </c:pt>
                <c:pt idx="4">
                  <c:v>23.4</c:v>
                </c:pt>
                <c:pt idx="5">
                  <c:v>24.8</c:v>
                </c:pt>
                <c:pt idx="6">
                  <c:v>25.2</c:v>
                </c:pt>
                <c:pt idx="7">
                  <c:v>23.5</c:v>
                </c:pt>
                <c:pt idx="8">
                  <c:v>25.9</c:v>
                </c:pt>
                <c:pt idx="9">
                  <c:v>30.3</c:v>
                </c:pt>
                <c:pt idx="10">
                  <c:v>31.4</c:v>
                </c:pt>
                <c:pt idx="11">
                  <c:v>31.8</c:v>
                </c:pt>
                <c:pt idx="12">
                  <c:v>34.300000000000004</c:v>
                </c:pt>
                <c:pt idx="13">
                  <c:v>38</c:v>
                </c:pt>
                <c:pt idx="14">
                  <c:v>37.200000000000003</c:v>
                </c:pt>
                <c:pt idx="15">
                  <c:v>36.6</c:v>
                </c:pt>
                <c:pt idx="16">
                  <c:v>37.300000000000004</c:v>
                </c:pt>
                <c:pt idx="17">
                  <c:v>38.300000000000004</c:v>
                </c:pt>
                <c:pt idx="18">
                  <c:v>38.6</c:v>
                </c:pt>
                <c:pt idx="19">
                  <c:v>36.300000000000004</c:v>
                </c:pt>
                <c:pt idx="20">
                  <c:v>37.700000000000003</c:v>
                </c:pt>
                <c:pt idx="21">
                  <c:v>38.1</c:v>
                </c:pt>
                <c:pt idx="22">
                  <c:v>34.4</c:v>
                </c:pt>
                <c:pt idx="23">
                  <c:v>34.1</c:v>
                </c:pt>
                <c:pt idx="24">
                  <c:v>36.300000000000004</c:v>
                </c:pt>
                <c:pt idx="25">
                  <c:v>39.6</c:v>
                </c:pt>
                <c:pt idx="26">
                  <c:v>40.300000000000004</c:v>
                </c:pt>
                <c:pt idx="27">
                  <c:v>39.200000000000003</c:v>
                </c:pt>
                <c:pt idx="28">
                  <c:v>42.5</c:v>
                </c:pt>
                <c:pt idx="29">
                  <c:v>41</c:v>
                </c:pt>
                <c:pt idx="30">
                  <c:v>38.5</c:v>
                </c:pt>
                <c:pt idx="31">
                  <c:v>36.56</c:v>
                </c:pt>
                <c:pt idx="32">
                  <c:v>37.613</c:v>
                </c:pt>
                <c:pt idx="33">
                  <c:v>38.130000000000003</c:v>
                </c:pt>
              </c:numCache>
            </c:numRef>
          </c:val>
          <c:smooth val="0"/>
          <c:extLst>
            <c:ext xmlns:c16="http://schemas.microsoft.com/office/drawing/2014/chart" uri="{C3380CC4-5D6E-409C-BE32-E72D297353CC}">
              <c16:uniqueId val="{00000005-FBED-4011-BE27-EA748F5394AE}"/>
            </c:ext>
          </c:extLst>
        </c:ser>
        <c:dLbls>
          <c:showLegendKey val="0"/>
          <c:showVal val="0"/>
          <c:showCatName val="0"/>
          <c:showSerName val="0"/>
          <c:showPercent val="0"/>
          <c:showBubbleSize val="0"/>
        </c:dLbls>
        <c:marker val="1"/>
        <c:smooth val="0"/>
        <c:axId val="96415104"/>
        <c:axId val="96413184"/>
      </c:lineChart>
      <c:catAx>
        <c:axId val="93685632"/>
        <c:scaling>
          <c:orientation val="minMax"/>
        </c:scaling>
        <c:delete val="0"/>
        <c:axPos val="b"/>
        <c:numFmt formatCode="General" sourceLinked="0"/>
        <c:majorTickMark val="out"/>
        <c:minorTickMark val="none"/>
        <c:tickLblPos val="low"/>
        <c:spPr>
          <a:ln>
            <a:solidFill>
              <a:schemeClr val="tx1"/>
            </a:solidFill>
          </a:ln>
        </c:spPr>
        <c:crossAx val="93687168"/>
        <c:crossesAt val="-50"/>
        <c:auto val="1"/>
        <c:lblAlgn val="ctr"/>
        <c:lblOffset val="0"/>
        <c:noMultiLvlLbl val="0"/>
      </c:catAx>
      <c:valAx>
        <c:axId val="9368716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 nezaměstnanosti</a:t>
                </a:r>
              </a:p>
            </c:rich>
          </c:tx>
          <c:overlay val="0"/>
        </c:title>
        <c:numFmt formatCode="0.0" sourceLinked="0"/>
        <c:majorTickMark val="out"/>
        <c:minorTickMark val="none"/>
        <c:tickLblPos val="nextTo"/>
        <c:spPr>
          <a:ln>
            <a:solidFill>
              <a:schemeClr val="tx1"/>
            </a:solidFill>
          </a:ln>
        </c:spPr>
        <c:crossAx val="93685632"/>
        <c:crosses val="autoZero"/>
        <c:crossBetween val="between"/>
        <c:majorUnit val="0.5"/>
      </c:valAx>
      <c:valAx>
        <c:axId val="96413184"/>
        <c:scaling>
          <c:orientation val="minMax"/>
          <c:max val="142"/>
          <c:min val="-10"/>
        </c:scaling>
        <c:delete val="0"/>
        <c:axPos val="r"/>
        <c:title>
          <c:tx>
            <c:rich>
              <a:bodyPr/>
              <a:lstStyle/>
              <a:p>
                <a:pPr>
                  <a:defRPr sz="700" b="0" i="1"/>
                </a:pPr>
                <a:r>
                  <a:rPr lang="cs-CZ" sz="700" b="0" i="1"/>
                  <a:t>Míra</a:t>
                </a:r>
                <a:r>
                  <a:rPr lang="cs-CZ" sz="700" b="0" i="1" baseline="0"/>
                  <a:t> ekonomické aktivity, e</a:t>
                </a:r>
                <a:r>
                  <a:rPr lang="cs-CZ" sz="700" b="0" i="1"/>
                  <a:t>kon. neaktivní, očekávání nezam.</a:t>
                </a:r>
              </a:p>
            </c:rich>
          </c:tx>
          <c:overlay val="0"/>
        </c:title>
        <c:numFmt formatCode="#,##0" sourceLinked="0"/>
        <c:majorTickMark val="out"/>
        <c:minorTickMark val="none"/>
        <c:tickLblPos val="nextTo"/>
        <c:crossAx val="96415104"/>
        <c:crosses val="max"/>
        <c:crossBetween val="between"/>
        <c:majorUnit val="10"/>
      </c:valAx>
      <c:catAx>
        <c:axId val="96415104"/>
        <c:scaling>
          <c:orientation val="minMax"/>
        </c:scaling>
        <c:delete val="1"/>
        <c:axPos val="b"/>
        <c:numFmt formatCode="General" sourceLinked="1"/>
        <c:majorTickMark val="out"/>
        <c:minorTickMark val="none"/>
        <c:tickLblPos val="none"/>
        <c:crossAx val="96413184"/>
        <c:crosses val="autoZero"/>
        <c:auto val="1"/>
        <c:lblAlgn val="ctr"/>
        <c:lblOffset val="100"/>
        <c:noMultiLvlLbl val="0"/>
      </c:catAx>
      <c:spPr>
        <a:ln>
          <a:solidFill>
            <a:schemeClr val="tx1"/>
          </a:solidFill>
        </a:ln>
      </c:spPr>
    </c:plotArea>
    <c:legend>
      <c:legendPos val="b"/>
      <c:layout>
        <c:manualLayout>
          <c:xMode val="edge"/>
          <c:yMode val="edge"/>
          <c:x val="7.7707750087519969E-2"/>
          <c:y val="0.86344941601778213"/>
          <c:w val="0.877259098105868"/>
          <c:h val="0.12604380165618714"/>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25E-2"/>
          <c:y val="1.6620151538667773E-2"/>
          <c:w val="0.94100987714831741"/>
          <c:h val="0.76753601512564729"/>
        </c:manualLayout>
      </c:layout>
      <c:barChart>
        <c:barDir val="col"/>
        <c:grouping val="clustered"/>
        <c:varyColors val="0"/>
        <c:ser>
          <c:idx val="4"/>
          <c:order val="1"/>
          <c:tx>
            <c:strRef>
              <c:f>'Trh práce 3'!$D$93</c:f>
              <c:strCache>
                <c:ptCount val="1"/>
                <c:pt idx="0">
                  <c:v>Průměrná mzda celkem (reálně)</c:v>
                </c:pt>
              </c:strCache>
            </c:strRef>
          </c:tx>
          <c:spPr>
            <a:solidFill>
              <a:srgbClr val="DBDBDB"/>
            </a:solidFill>
            <a:ln w="19050">
              <a:noFill/>
            </a:ln>
          </c:spPr>
          <c:invertIfNegative val="0"/>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3'!$D$94:$D$125</c:f>
              <c:numCache>
                <c:formatCode>0.0</c:formatCode>
                <c:ptCount val="32"/>
                <c:pt idx="0">
                  <c:v>1.3999999999999981</c:v>
                </c:pt>
                <c:pt idx="1">
                  <c:v>1.5</c:v>
                </c:pt>
                <c:pt idx="2">
                  <c:v>0.59999999999999432</c:v>
                </c:pt>
                <c:pt idx="3">
                  <c:v>4.1000000000000005</c:v>
                </c:pt>
                <c:pt idx="4">
                  <c:v>2</c:v>
                </c:pt>
                <c:pt idx="5">
                  <c:v>-0.55000000000000449</c:v>
                </c:pt>
                <c:pt idx="6">
                  <c:v>0.94999999999999574</c:v>
                </c:pt>
                <c:pt idx="7">
                  <c:v>0.14999999999999869</c:v>
                </c:pt>
                <c:pt idx="8">
                  <c:v>-0.89999999999999869</c:v>
                </c:pt>
                <c:pt idx="9">
                  <c:v>-0.69999999999999574</c:v>
                </c:pt>
                <c:pt idx="10">
                  <c:v>-1.4500000000000028</c:v>
                </c:pt>
                <c:pt idx="11">
                  <c:v>-1.5499999999999965</c:v>
                </c:pt>
                <c:pt idx="12">
                  <c:v>3.1499999999999986</c:v>
                </c:pt>
                <c:pt idx="13">
                  <c:v>1.9499999999999953</c:v>
                </c:pt>
                <c:pt idx="14">
                  <c:v>2.4000000000000057</c:v>
                </c:pt>
                <c:pt idx="15">
                  <c:v>3.3499999999999943</c:v>
                </c:pt>
                <c:pt idx="16">
                  <c:v>4</c:v>
                </c:pt>
                <c:pt idx="17">
                  <c:v>3.5999999999999943</c:v>
                </c:pt>
                <c:pt idx="18">
                  <c:v>3.75</c:v>
                </c:pt>
                <c:pt idx="19">
                  <c:v>4.5999999999999943</c:v>
                </c:pt>
                <c:pt idx="20">
                  <c:v>6.4000000000000075</c:v>
                </c:pt>
                <c:pt idx="21">
                  <c:v>5.4000000000000075</c:v>
                </c:pt>
                <c:pt idx="22">
                  <c:v>5.2999999999999972</c:v>
                </c:pt>
                <c:pt idx="23">
                  <c:v>4.6500000000000057</c:v>
                </c:pt>
                <c:pt idx="24">
                  <c:v>-0.15000000000000571</c:v>
                </c:pt>
                <c:pt idx="25">
                  <c:v>3</c:v>
                </c:pt>
                <c:pt idx="26">
                  <c:v>4.4499999999999904</c:v>
                </c:pt>
                <c:pt idx="27">
                  <c:v>-0.44999999999998885</c:v>
                </c:pt>
                <c:pt idx="28">
                  <c:v>-7.6500000000000057</c:v>
                </c:pt>
                <c:pt idx="29">
                  <c:v>-9.2000000000000011</c:v>
                </c:pt>
                <c:pt idx="30" formatCode="General">
                  <c:v>-4.7999999999999972</c:v>
                </c:pt>
              </c:numCache>
            </c:numRef>
          </c:val>
          <c:extLst>
            <c:ext xmlns:c16="http://schemas.microsoft.com/office/drawing/2014/chart" uri="{C3380CC4-5D6E-409C-BE32-E72D297353CC}">
              <c16:uniqueId val="{00000000-55D1-4B8D-B679-5077D1DAC34E}"/>
            </c:ext>
          </c:extLst>
        </c:ser>
        <c:dLbls>
          <c:showLegendKey val="0"/>
          <c:showVal val="0"/>
          <c:showCatName val="0"/>
          <c:showSerName val="0"/>
          <c:showPercent val="0"/>
          <c:showBubbleSize val="0"/>
        </c:dLbls>
        <c:gapWidth val="37"/>
        <c:axId val="114102272"/>
        <c:axId val="114103808"/>
      </c:barChart>
      <c:lineChart>
        <c:grouping val="standard"/>
        <c:varyColors val="0"/>
        <c:ser>
          <c:idx val="0"/>
          <c:order val="0"/>
          <c:tx>
            <c:strRef>
              <c:f>'Trh práce 3'!$C$93</c:f>
              <c:strCache>
                <c:ptCount val="1"/>
                <c:pt idx="0">
                  <c:v>Průměrná mzda celkem (nominálně)</c:v>
                </c:pt>
              </c:strCache>
            </c:strRef>
          </c:tx>
          <c:spPr>
            <a:ln w="19050">
              <a:solidFill>
                <a:schemeClr val="tx1">
                  <a:lumMod val="95000"/>
                  <a:lumOff val="5000"/>
                </a:schemeClr>
              </a:solidFill>
              <a:prstDash val="sysDash"/>
            </a:ln>
          </c:spPr>
          <c:marker>
            <c:symbol val="none"/>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3'!$C$94:$C$125</c:f>
              <c:numCache>
                <c:formatCode>0.0</c:formatCode>
                <c:ptCount val="32"/>
                <c:pt idx="0">
                  <c:v>8.6000000000000014</c:v>
                </c:pt>
                <c:pt idx="1">
                  <c:v>7.2000000000000028</c:v>
                </c:pt>
                <c:pt idx="2">
                  <c:v>2.3500000000000005</c:v>
                </c:pt>
                <c:pt idx="3">
                  <c:v>4.3499999999999943</c:v>
                </c:pt>
                <c:pt idx="4">
                  <c:v>2.9499999999999957</c:v>
                </c:pt>
                <c:pt idx="5">
                  <c:v>1.4500000000000028</c:v>
                </c:pt>
                <c:pt idx="6">
                  <c:v>2.6999999999999957</c:v>
                </c:pt>
                <c:pt idx="7">
                  <c:v>2.25</c:v>
                </c:pt>
                <c:pt idx="8">
                  <c:v>2.6499999999999986</c:v>
                </c:pt>
                <c:pt idx="9">
                  <c:v>2.3000000000000043</c:v>
                </c:pt>
                <c:pt idx="10">
                  <c:v>0.20000000000000284</c:v>
                </c:pt>
                <c:pt idx="11">
                  <c:v>-0.39999999999999886</c:v>
                </c:pt>
                <c:pt idx="12">
                  <c:v>3.3500000000000005</c:v>
                </c:pt>
                <c:pt idx="13">
                  <c:v>2.5</c:v>
                </c:pt>
                <c:pt idx="14">
                  <c:v>2.7999999999999972</c:v>
                </c:pt>
                <c:pt idx="15">
                  <c:v>3.5999999999999943</c:v>
                </c:pt>
                <c:pt idx="16">
                  <c:v>4.3499999999999943</c:v>
                </c:pt>
                <c:pt idx="17">
                  <c:v>4.5500000000000105</c:v>
                </c:pt>
                <c:pt idx="18">
                  <c:v>6.1500000000000057</c:v>
                </c:pt>
                <c:pt idx="19">
                  <c:v>7.25</c:v>
                </c:pt>
                <c:pt idx="20">
                  <c:v>8.5999999999999979</c:v>
                </c:pt>
                <c:pt idx="21">
                  <c:v>7.75</c:v>
                </c:pt>
                <c:pt idx="22">
                  <c:v>8.1500000000000057</c:v>
                </c:pt>
                <c:pt idx="23">
                  <c:v>7.6500000000000057</c:v>
                </c:pt>
                <c:pt idx="24">
                  <c:v>3.2000000000000037</c:v>
                </c:pt>
                <c:pt idx="25">
                  <c:v>6.0500000000000105</c:v>
                </c:pt>
                <c:pt idx="26">
                  <c:v>7.0999999999999943</c:v>
                </c:pt>
                <c:pt idx="27">
                  <c:v>4.5999999999999943</c:v>
                </c:pt>
                <c:pt idx="28">
                  <c:v>4.75</c:v>
                </c:pt>
                <c:pt idx="29">
                  <c:v>5.9000000000000075</c:v>
                </c:pt>
                <c:pt idx="30" formatCode="General">
                  <c:v>8.2000000000000011</c:v>
                </c:pt>
              </c:numCache>
            </c:numRef>
          </c:val>
          <c:smooth val="0"/>
          <c:extLst>
            <c:ext xmlns:c16="http://schemas.microsoft.com/office/drawing/2014/chart" uri="{C3380CC4-5D6E-409C-BE32-E72D297353CC}">
              <c16:uniqueId val="{00000001-55D1-4B8D-B679-5077D1DAC34E}"/>
            </c:ext>
          </c:extLst>
        </c:ser>
        <c:ser>
          <c:idx val="5"/>
          <c:order val="2"/>
          <c:tx>
            <c:strRef>
              <c:f>'Trh práce 3'!$E$93</c:f>
              <c:strCache>
                <c:ptCount val="1"/>
                <c:pt idx="0">
                  <c:v>Prům. mzda v průmyslu (nominálně)</c:v>
                </c:pt>
              </c:strCache>
            </c:strRef>
          </c:tx>
          <c:spPr>
            <a:ln w="9525">
              <a:solidFill>
                <a:srgbClr val="C00000"/>
              </a:solidFill>
              <a:prstDash val="solid"/>
            </a:ln>
          </c:spPr>
          <c:marker>
            <c:symbol val="none"/>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3'!$E$94:$E$125</c:f>
              <c:numCache>
                <c:formatCode>0.0</c:formatCode>
                <c:ptCount val="32"/>
                <c:pt idx="0">
                  <c:v>10.965779626599348</c:v>
                </c:pt>
                <c:pt idx="1">
                  <c:v>7.2045848058037167</c:v>
                </c:pt>
                <c:pt idx="2">
                  <c:v>-0.10207158875207512</c:v>
                </c:pt>
                <c:pt idx="3">
                  <c:v>4.7756787985471796</c:v>
                </c:pt>
                <c:pt idx="4" formatCode="#\ ##0.0">
                  <c:v>5.2931970910429857</c:v>
                </c:pt>
                <c:pt idx="5" formatCode="#\ ##0.0">
                  <c:v>3.4322578877170637</c:v>
                </c:pt>
                <c:pt idx="6" formatCode="#\ ##0.0">
                  <c:v>4.078510229061024</c:v>
                </c:pt>
                <c:pt idx="7" formatCode="#\ ##0.0">
                  <c:v>2.4423868557449282</c:v>
                </c:pt>
                <c:pt idx="8" formatCode="#\ ##0.0">
                  <c:v>3.3306732748120425</c:v>
                </c:pt>
                <c:pt idx="9" formatCode="#\ ##0.0">
                  <c:v>2.7243464773580337</c:v>
                </c:pt>
                <c:pt idx="10" formatCode="#\ ##0.0">
                  <c:v>0.83733029834974104</c:v>
                </c:pt>
                <c:pt idx="11" formatCode="#\ ##0.0">
                  <c:v>0.83258081439371545</c:v>
                </c:pt>
                <c:pt idx="12" formatCode="#\ ##0.0">
                  <c:v>3.8052241212512143</c:v>
                </c:pt>
                <c:pt idx="13" formatCode="#\ ##0.0">
                  <c:v>2.8172030641298553</c:v>
                </c:pt>
                <c:pt idx="14" formatCode="#\ ##0.0">
                  <c:v>2.1784715750232948</c:v>
                </c:pt>
                <c:pt idx="15" formatCode="#\ ##0.0">
                  <c:v>2.9944452782884237</c:v>
                </c:pt>
                <c:pt idx="16" formatCode="#\ ##0.0">
                  <c:v>4.2868544065670875</c:v>
                </c:pt>
                <c:pt idx="17" formatCode="#\ ##0.0">
                  <c:v>4.275871439841552</c:v>
                </c:pt>
                <c:pt idx="18" formatCode="#\ ##0.0">
                  <c:v>6.654276447651327</c:v>
                </c:pt>
                <c:pt idx="19" formatCode="#\ ##0.0">
                  <c:v>6.957870030534707</c:v>
                </c:pt>
                <c:pt idx="20" formatCode="#\ ##0.0">
                  <c:v>8.0500222093142391</c:v>
                </c:pt>
                <c:pt idx="21" formatCode="#\ ##0.0">
                  <c:v>7.4868067232467439</c:v>
                </c:pt>
                <c:pt idx="22" formatCode="#\ ##0.0">
                  <c:v>7.1340480030357565</c:v>
                </c:pt>
                <c:pt idx="23" formatCode="#\ ##0.0">
                  <c:v>6.1891260339134462</c:v>
                </c:pt>
                <c:pt idx="24" formatCode="#\ ##0.0">
                  <c:v>0.54310930074676356</c:v>
                </c:pt>
                <c:pt idx="25" formatCode="#\ ##0.0">
                  <c:v>3.4815846936054058</c:v>
                </c:pt>
                <c:pt idx="26" formatCode="#\ ##0.0">
                  <c:v>6.0094530722484762</c:v>
                </c:pt>
                <c:pt idx="27" formatCode="#\ ##0.0">
                  <c:v>4.2384595160887315</c:v>
                </c:pt>
                <c:pt idx="28" formatCode="#\ ##0.0">
                  <c:v>6.1617280531708634</c:v>
                </c:pt>
                <c:pt idx="29" formatCode="#\ ##0.0">
                  <c:v>7.298350972611118</c:v>
                </c:pt>
                <c:pt idx="30" formatCode="#\ ##0.0">
                  <c:v>9.9047867484022483</c:v>
                </c:pt>
              </c:numCache>
            </c:numRef>
          </c:val>
          <c:smooth val="0"/>
          <c:extLst>
            <c:ext xmlns:c16="http://schemas.microsoft.com/office/drawing/2014/chart" uri="{C3380CC4-5D6E-409C-BE32-E72D297353CC}">
              <c16:uniqueId val="{00000002-55D1-4B8D-B679-5077D1DAC34E}"/>
            </c:ext>
          </c:extLst>
        </c:ser>
        <c:ser>
          <c:idx val="1"/>
          <c:order val="3"/>
          <c:tx>
            <c:strRef>
              <c:f>'Trh práce 3'!$F$93</c:f>
              <c:strCache>
                <c:ptCount val="1"/>
                <c:pt idx="0">
                  <c:v>Prům. mzda v obchodu (nominálně)</c:v>
                </c:pt>
              </c:strCache>
            </c:strRef>
          </c:tx>
          <c:spPr>
            <a:ln w="9525">
              <a:solidFill>
                <a:srgbClr val="0070C0"/>
              </a:solidFill>
              <a:prstDash val="solid"/>
            </a:ln>
          </c:spPr>
          <c:marker>
            <c:symbol val="none"/>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3'!$F$94:$F$125</c:f>
              <c:numCache>
                <c:formatCode>0.0</c:formatCode>
                <c:ptCount val="32"/>
                <c:pt idx="0">
                  <c:v>9.523628167059341</c:v>
                </c:pt>
                <c:pt idx="1">
                  <c:v>6.1173932151438422</c:v>
                </c:pt>
                <c:pt idx="2">
                  <c:v>-0.56987922579376971</c:v>
                </c:pt>
                <c:pt idx="3">
                  <c:v>0.86090696307550751</c:v>
                </c:pt>
                <c:pt idx="4" formatCode="#\ ##0.0">
                  <c:v>3.1352815947358148</c:v>
                </c:pt>
                <c:pt idx="5" formatCode="#\ ##0.0">
                  <c:v>3.1449702537917483</c:v>
                </c:pt>
                <c:pt idx="6" formatCode="#\ ##0.0">
                  <c:v>3.5044098329892961</c:v>
                </c:pt>
                <c:pt idx="7" formatCode="#\ ##0.0">
                  <c:v>3.5017847929104722</c:v>
                </c:pt>
                <c:pt idx="8" formatCode="#\ ##0.0">
                  <c:v>2.3750169967819517</c:v>
                </c:pt>
                <c:pt idx="9" formatCode="#\ ##0.0">
                  <c:v>2.0776709847314265</c:v>
                </c:pt>
                <c:pt idx="10" formatCode="#\ ##0.0">
                  <c:v>0.23464824899276954</c:v>
                </c:pt>
                <c:pt idx="11" formatCode="#\ ##0.0">
                  <c:v>-1.6674125328935225</c:v>
                </c:pt>
                <c:pt idx="12" formatCode="#\ ##0.0">
                  <c:v>3.8206713780918742</c:v>
                </c:pt>
                <c:pt idx="13" formatCode="#\ ##0.0">
                  <c:v>2.8255381000689113</c:v>
                </c:pt>
                <c:pt idx="14" formatCode="#\ ##0.0">
                  <c:v>3.5184003403531108</c:v>
                </c:pt>
                <c:pt idx="15" formatCode="#\ ##0.0">
                  <c:v>4.8703883325637864</c:v>
                </c:pt>
                <c:pt idx="16" formatCode="#\ ##0.0">
                  <c:v>4.783823771165558</c:v>
                </c:pt>
                <c:pt idx="17" formatCode="#\ ##0.0">
                  <c:v>4.7464148837768363</c:v>
                </c:pt>
                <c:pt idx="18" formatCode="#\ ##0.0">
                  <c:v>6.789300282397237</c:v>
                </c:pt>
                <c:pt idx="19" formatCode="#\ ##0.0">
                  <c:v>8.0429381053703288</c:v>
                </c:pt>
                <c:pt idx="20" formatCode="#\ ##0.0">
                  <c:v>7.1362985271972548</c:v>
                </c:pt>
                <c:pt idx="21" formatCode="#\ ##0.0">
                  <c:v>6.7676237129747063</c:v>
                </c:pt>
                <c:pt idx="22" formatCode="#\ ##0.0">
                  <c:v>8.457319163524172</c:v>
                </c:pt>
                <c:pt idx="23" formatCode="#\ ##0.0">
                  <c:v>7.2323783679736398</c:v>
                </c:pt>
                <c:pt idx="24" formatCode="#\ ##0.0">
                  <c:v>3.6349843537629889</c:v>
                </c:pt>
                <c:pt idx="25" formatCode="#\ ##0.0">
                  <c:v>3.5929532276403506</c:v>
                </c:pt>
                <c:pt idx="26" formatCode="#\ ##0.0">
                  <c:v>5.9749290877481958</c:v>
                </c:pt>
                <c:pt idx="27" formatCode="#\ ##0.0">
                  <c:v>7.6602746826361425</c:v>
                </c:pt>
                <c:pt idx="28" formatCode="#\ ##0.0">
                  <c:v>6.6540033385137747</c:v>
                </c:pt>
                <c:pt idx="29" formatCode="#\ ##0.0">
                  <c:v>4.8825560638771455</c:v>
                </c:pt>
                <c:pt idx="30" formatCode="#\ ##0.0">
                  <c:v>8.2573263532840446</c:v>
                </c:pt>
              </c:numCache>
            </c:numRef>
          </c:val>
          <c:smooth val="0"/>
          <c:extLst>
            <c:ext xmlns:c16="http://schemas.microsoft.com/office/drawing/2014/chart" uri="{C3380CC4-5D6E-409C-BE32-E72D297353CC}">
              <c16:uniqueId val="{00000003-55D1-4B8D-B679-5077D1DAC34E}"/>
            </c:ext>
          </c:extLst>
        </c:ser>
        <c:ser>
          <c:idx val="2"/>
          <c:order val="4"/>
          <c:tx>
            <c:strRef>
              <c:f>'Trh práce 3'!$G$93</c:f>
              <c:strCache>
                <c:ptCount val="1"/>
                <c:pt idx="0">
                  <c:v>Prům. mzda ve veř. službách (nominálně)*</c:v>
                </c:pt>
              </c:strCache>
            </c:strRef>
          </c:tx>
          <c:spPr>
            <a:ln w="9525">
              <a:solidFill>
                <a:srgbClr val="00B050"/>
              </a:solidFill>
              <a:prstDash val="solid"/>
            </a:ln>
          </c:spPr>
          <c:marker>
            <c:symbol val="none"/>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3'!$G$94:$G$125</c:f>
              <c:numCache>
                <c:formatCode>0.0</c:formatCode>
                <c:ptCount val="32"/>
                <c:pt idx="0">
                  <c:v>3.5657045736146955</c:v>
                </c:pt>
                <c:pt idx="1">
                  <c:v>5.2706415907605848</c:v>
                </c:pt>
                <c:pt idx="2">
                  <c:v>4.9793477923024518</c:v>
                </c:pt>
                <c:pt idx="3">
                  <c:v>6.1469428778748973</c:v>
                </c:pt>
                <c:pt idx="4" formatCode="#\ ##0.0">
                  <c:v>2.7914399976036748</c:v>
                </c:pt>
                <c:pt idx="5" formatCode="#\ ##0.0">
                  <c:v>-2.1753764637075372</c:v>
                </c:pt>
                <c:pt idx="6" formatCode="#\ ##0.0">
                  <c:v>0.19673255957748387</c:v>
                </c:pt>
                <c:pt idx="7" formatCode="#\ ##0.0">
                  <c:v>2.4787428508100575</c:v>
                </c:pt>
                <c:pt idx="8" formatCode="#\ ##0.0">
                  <c:v>2.4724260713358595</c:v>
                </c:pt>
                <c:pt idx="9" formatCode="#\ ##0.0">
                  <c:v>1.4759480783641117</c:v>
                </c:pt>
                <c:pt idx="10" formatCode="#\ ##0.0">
                  <c:v>0.83401298066449669</c:v>
                </c:pt>
                <c:pt idx="11" formatCode="#\ ##0.0">
                  <c:v>0.40922312282597778</c:v>
                </c:pt>
                <c:pt idx="12" formatCode="#\ ##0.0">
                  <c:v>2.0215921131322427</c:v>
                </c:pt>
                <c:pt idx="13" formatCode="#\ ##0.0">
                  <c:v>3.0167538052527467</c:v>
                </c:pt>
                <c:pt idx="14" formatCode="#\ ##0.0">
                  <c:v>3.8195496456968798</c:v>
                </c:pt>
                <c:pt idx="15" formatCode="#\ ##0.0">
                  <c:v>3.7263593007908247</c:v>
                </c:pt>
                <c:pt idx="16" formatCode="#\ ##0.0">
                  <c:v>4.2075654139398324</c:v>
                </c:pt>
                <c:pt idx="17" formatCode="#\ ##0.0">
                  <c:v>5.4939178255430079</c:v>
                </c:pt>
                <c:pt idx="18" formatCode="#\ ##0.0">
                  <c:v>6.4136990396482805</c:v>
                </c:pt>
                <c:pt idx="19" formatCode="#\ ##0.0">
                  <c:v>9.2411219451734024</c:v>
                </c:pt>
                <c:pt idx="20" formatCode="#\ ##0.0">
                  <c:v>12.026170361451317</c:v>
                </c:pt>
                <c:pt idx="21" formatCode="#\ ##0.0">
                  <c:v>8.7447651066878613</c:v>
                </c:pt>
                <c:pt idx="22" formatCode="#\ ##0.0">
                  <c:v>9.359256081286123</c:v>
                </c:pt>
                <c:pt idx="23" formatCode="#\ ##0.0">
                  <c:v>9.7167924346275427</c:v>
                </c:pt>
                <c:pt idx="24" formatCode="#\ ##0.0">
                  <c:v>5.0911039087648806</c:v>
                </c:pt>
                <c:pt idx="25" formatCode="#\ ##0.0">
                  <c:v>11.379812548838135</c:v>
                </c:pt>
                <c:pt idx="26" formatCode="#\ ##0.0">
                  <c:v>11.376746357961203</c:v>
                </c:pt>
                <c:pt idx="27" formatCode="#\ ##0.0">
                  <c:v>2.5296257137618738</c:v>
                </c:pt>
                <c:pt idx="28" formatCode="#\ ##0.0">
                  <c:v>-2.7747780527849812</c:v>
                </c:pt>
                <c:pt idx="29" formatCode="#\ ##0.0">
                  <c:v>1.868067696383136</c:v>
                </c:pt>
                <c:pt idx="30" formatCode="#\ ##0.0">
                  <c:v>6.6803827680378447</c:v>
                </c:pt>
              </c:numCache>
            </c:numRef>
          </c:val>
          <c:smooth val="0"/>
          <c:extLst>
            <c:ext xmlns:c16="http://schemas.microsoft.com/office/drawing/2014/chart" uri="{C3380CC4-5D6E-409C-BE32-E72D297353CC}">
              <c16:uniqueId val="{00000004-55D1-4B8D-B679-5077D1DAC34E}"/>
            </c:ext>
          </c:extLst>
        </c:ser>
        <c:ser>
          <c:idx val="3"/>
          <c:order val="5"/>
          <c:tx>
            <c:strRef>
              <c:f>'Trh práce 3'!$H$93</c:f>
              <c:strCache>
                <c:ptCount val="1"/>
                <c:pt idx="0">
                  <c:v>Produktivita práce v NH (reálně)**</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3'!$H$94:$H$125</c:f>
              <c:numCache>
                <c:formatCode>0.0</c:formatCode>
                <c:ptCount val="32"/>
                <c:pt idx="0">
                  <c:v>1.8694416733975738</c:v>
                </c:pt>
                <c:pt idx="1">
                  <c:v>-0.78114518495465268</c:v>
                </c:pt>
                <c:pt idx="2">
                  <c:v>-4.2843066737200672</c:v>
                </c:pt>
                <c:pt idx="3">
                  <c:v>-1.524806145072219</c:v>
                </c:pt>
                <c:pt idx="4">
                  <c:v>4.0615369196965201</c:v>
                </c:pt>
                <c:pt idx="5">
                  <c:v>2.9277605590762912</c:v>
                </c:pt>
                <c:pt idx="6">
                  <c:v>2.6280581110593451</c:v>
                </c:pt>
                <c:pt idx="7">
                  <c:v>1.4974051448464398</c:v>
                </c:pt>
                <c:pt idx="8">
                  <c:v>-0.572557166375816</c:v>
                </c:pt>
                <c:pt idx="9">
                  <c:v>-1.8085245571257498</c:v>
                </c:pt>
                <c:pt idx="10">
                  <c:v>-1.843026567799555</c:v>
                </c:pt>
                <c:pt idx="11">
                  <c:v>1.065425731716644</c:v>
                </c:pt>
                <c:pt idx="12">
                  <c:v>1.8529618448319951</c:v>
                </c:pt>
                <c:pt idx="13">
                  <c:v>1.5468353664986414</c:v>
                </c:pt>
                <c:pt idx="14">
                  <c:v>3.9405022601187483</c:v>
                </c:pt>
                <c:pt idx="15">
                  <c:v>3.8758077448309791</c:v>
                </c:pt>
                <c:pt idx="16">
                  <c:v>1.664068357249505</c:v>
                </c:pt>
                <c:pt idx="17">
                  <c:v>0.24266923535105894</c:v>
                </c:pt>
                <c:pt idx="18">
                  <c:v>3.1792497209527397</c:v>
                </c:pt>
                <c:pt idx="19">
                  <c:v>3.9256607298481034</c:v>
                </c:pt>
                <c:pt idx="20">
                  <c:v>1.99000649092686</c:v>
                </c:pt>
                <c:pt idx="21">
                  <c:v>1.7520848172692496</c:v>
                </c:pt>
                <c:pt idx="22">
                  <c:v>2.2734760457503294</c:v>
                </c:pt>
                <c:pt idx="23">
                  <c:v>3.2766293291678323</c:v>
                </c:pt>
                <c:pt idx="24">
                  <c:v>-4.6336037619941122</c:v>
                </c:pt>
                <c:pt idx="25">
                  <c:v>-3.0998190811865807</c:v>
                </c:pt>
                <c:pt idx="26">
                  <c:v>4.0714801300102152</c:v>
                </c:pt>
                <c:pt idx="27">
                  <c:v>2.2591335568000392</c:v>
                </c:pt>
                <c:pt idx="28">
                  <c:v>2.3600043511901991</c:v>
                </c:pt>
                <c:pt idx="29">
                  <c:v>-0.56579316382624256</c:v>
                </c:pt>
                <c:pt idx="30">
                  <c:v>-1.6421901641920447</c:v>
                </c:pt>
              </c:numCache>
            </c:numRef>
          </c:val>
          <c:smooth val="0"/>
          <c:extLst>
            <c:ext xmlns:c16="http://schemas.microsoft.com/office/drawing/2014/chart" uri="{C3380CC4-5D6E-409C-BE32-E72D297353CC}">
              <c16:uniqueId val="{00000005-55D1-4B8D-B679-5077D1DAC34E}"/>
            </c:ext>
          </c:extLst>
        </c:ser>
        <c:dLbls>
          <c:showLegendKey val="0"/>
          <c:showVal val="0"/>
          <c:showCatName val="0"/>
          <c:showSerName val="0"/>
          <c:showPercent val="0"/>
          <c:showBubbleSize val="0"/>
        </c:dLbls>
        <c:marker val="1"/>
        <c:smooth val="0"/>
        <c:axId val="114102272"/>
        <c:axId val="114103808"/>
      </c:lineChart>
      <c:catAx>
        <c:axId val="114102272"/>
        <c:scaling>
          <c:orientation val="minMax"/>
        </c:scaling>
        <c:delete val="0"/>
        <c:axPos val="b"/>
        <c:numFmt formatCode="General" sourceLinked="1"/>
        <c:majorTickMark val="none"/>
        <c:minorTickMark val="none"/>
        <c:tickLblPos val="low"/>
        <c:spPr>
          <a:ln>
            <a:solidFill>
              <a:schemeClr val="tx1"/>
            </a:solidFill>
          </a:ln>
        </c:spPr>
        <c:txPr>
          <a:bodyPr rot="0" vert="horz"/>
          <a:lstStyle/>
          <a:p>
            <a:pPr>
              <a:defRPr/>
            </a:pPr>
            <a:endParaRPr lang="cs-CZ"/>
          </a:p>
        </c:txPr>
        <c:crossAx val="114103808"/>
        <c:crosses val="autoZero"/>
        <c:auto val="1"/>
        <c:lblAlgn val="ctr"/>
        <c:lblOffset val="0"/>
        <c:tickMarkSkip val="1"/>
        <c:noMultiLvlLbl val="0"/>
      </c:catAx>
      <c:valAx>
        <c:axId val="114103808"/>
        <c:scaling>
          <c:orientation val="minMax"/>
          <c:max val="14"/>
          <c:min val="-10"/>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14102272"/>
        <c:crosses val="autoZero"/>
        <c:crossBetween val="midCat"/>
        <c:majorUnit val="2"/>
      </c:valAx>
      <c:spPr>
        <a:ln>
          <a:solidFill>
            <a:schemeClr val="tx1"/>
          </a:solidFill>
        </a:ln>
      </c:spPr>
    </c:plotArea>
    <c:legend>
      <c:legendPos val="b"/>
      <c:layout>
        <c:manualLayout>
          <c:xMode val="edge"/>
          <c:yMode val="edge"/>
          <c:x val="1.6219167864768593E-2"/>
          <c:y val="0.87578175045503959"/>
          <c:w val="0.97293440311163759"/>
          <c:h val="0.11341893424036278"/>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26E-2"/>
          <c:y val="2.1711264016309895E-2"/>
          <c:w val="0.93508633063154345"/>
          <c:h val="0.73130361364405039"/>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1'!$A$78:$B$143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2018</c:v>
                  </c:pt>
                  <c:pt idx="12">
                    <c:v>2019</c:v>
                  </c:pt>
                  <c:pt idx="24">
                    <c:v>2020</c:v>
                  </c:pt>
                  <c:pt idx="36">
                    <c:v>2021</c:v>
                  </c:pt>
                  <c:pt idx="48">
                    <c:v>2022</c:v>
                  </c:pt>
                  <c:pt idx="60">
                    <c:v>2023</c:v>
                  </c:pt>
                </c:lvl>
              </c:multiLvlStrCache>
            </c:multiLvlStrRef>
          </c:cat>
          <c:val>
            <c:numRef>
              <c:f>'Měnové podmínky 1'!$C$78:$C$143</c:f>
              <c:numCache>
                <c:formatCode>General</c:formatCode>
                <c:ptCount val="66"/>
                <c:pt idx="0">
                  <c:v>0.5</c:v>
                </c:pt>
                <c:pt idx="1">
                  <c:v>0.75000000000000022</c:v>
                </c:pt>
                <c:pt idx="2">
                  <c:v>0.75000000000000022</c:v>
                </c:pt>
                <c:pt idx="3">
                  <c:v>0.75000000000000022</c:v>
                </c:pt>
                <c:pt idx="4">
                  <c:v>0.75000000000000022</c:v>
                </c:pt>
                <c:pt idx="5">
                  <c:v>1</c:v>
                </c:pt>
                <c:pt idx="6">
                  <c:v>1</c:v>
                </c:pt>
                <c:pt idx="7">
                  <c:v>1.25</c:v>
                </c:pt>
                <c:pt idx="8">
                  <c:v>1.5</c:v>
                </c:pt>
                <c:pt idx="9">
                  <c:v>1.5</c:v>
                </c:pt>
                <c:pt idx="10">
                  <c:v>1.7500000000000002</c:v>
                </c:pt>
                <c:pt idx="11">
                  <c:v>1.7500000000000002</c:v>
                </c:pt>
                <c:pt idx="12">
                  <c:v>1.7500000000000002</c:v>
                </c:pt>
                <c:pt idx="13">
                  <c:v>1.7500000000000002</c:v>
                </c:pt>
                <c:pt idx="14">
                  <c:v>1.7500000000000002</c:v>
                </c:pt>
                <c:pt idx="15">
                  <c:v>1.7500000000000002</c:v>
                </c:pt>
                <c:pt idx="16">
                  <c:v>2</c:v>
                </c:pt>
                <c:pt idx="17">
                  <c:v>2</c:v>
                </c:pt>
                <c:pt idx="18">
                  <c:v>2</c:v>
                </c:pt>
                <c:pt idx="19">
                  <c:v>2</c:v>
                </c:pt>
                <c:pt idx="20">
                  <c:v>2</c:v>
                </c:pt>
                <c:pt idx="21">
                  <c:v>2</c:v>
                </c:pt>
                <c:pt idx="22">
                  <c:v>2</c:v>
                </c:pt>
                <c:pt idx="23">
                  <c:v>2</c:v>
                </c:pt>
                <c:pt idx="24">
                  <c:v>2</c:v>
                </c:pt>
                <c:pt idx="25">
                  <c:v>2.25</c:v>
                </c:pt>
                <c:pt idx="26">
                  <c:v>1</c:v>
                </c:pt>
                <c:pt idx="27">
                  <c:v>1</c:v>
                </c:pt>
                <c:pt idx="28">
                  <c:v>0.25</c:v>
                </c:pt>
                <c:pt idx="29">
                  <c:v>0.25</c:v>
                </c:pt>
                <c:pt idx="30">
                  <c:v>0.25</c:v>
                </c:pt>
                <c:pt idx="31">
                  <c:v>0.25</c:v>
                </c:pt>
                <c:pt idx="32">
                  <c:v>0.25</c:v>
                </c:pt>
                <c:pt idx="33">
                  <c:v>0.25</c:v>
                </c:pt>
                <c:pt idx="34">
                  <c:v>0.25</c:v>
                </c:pt>
                <c:pt idx="35">
                  <c:v>0.25</c:v>
                </c:pt>
                <c:pt idx="36">
                  <c:v>0.25</c:v>
                </c:pt>
                <c:pt idx="37">
                  <c:v>0.25</c:v>
                </c:pt>
                <c:pt idx="38">
                  <c:v>0.25</c:v>
                </c:pt>
                <c:pt idx="39">
                  <c:v>0.25</c:v>
                </c:pt>
                <c:pt idx="40">
                  <c:v>0.25</c:v>
                </c:pt>
                <c:pt idx="41">
                  <c:v>0.5</c:v>
                </c:pt>
                <c:pt idx="42">
                  <c:v>0.5</c:v>
                </c:pt>
                <c:pt idx="43">
                  <c:v>0.75000000000000022</c:v>
                </c:pt>
                <c:pt idx="44">
                  <c:v>0.75000000000000022</c:v>
                </c:pt>
                <c:pt idx="45">
                  <c:v>1.5</c:v>
                </c:pt>
                <c:pt idx="46">
                  <c:v>2.75</c:v>
                </c:pt>
                <c:pt idx="47">
                  <c:v>3.75</c:v>
                </c:pt>
                <c:pt idx="48">
                  <c:v>3.75</c:v>
                </c:pt>
                <c:pt idx="49">
                  <c:v>4.5</c:v>
                </c:pt>
                <c:pt idx="50">
                  <c:v>4.5</c:v>
                </c:pt>
                <c:pt idx="51">
                  <c:v>5</c:v>
                </c:pt>
                <c:pt idx="52">
                  <c:v>5.75</c:v>
                </c:pt>
                <c:pt idx="53">
                  <c:v>7</c:v>
                </c:pt>
                <c:pt idx="54">
                  <c:v>7</c:v>
                </c:pt>
                <c:pt idx="55">
                  <c:v>7</c:v>
                </c:pt>
                <c:pt idx="56">
                  <c:v>7</c:v>
                </c:pt>
                <c:pt idx="57">
                  <c:v>7</c:v>
                </c:pt>
                <c:pt idx="58">
                  <c:v>7</c:v>
                </c:pt>
                <c:pt idx="59">
                  <c:v>7</c:v>
                </c:pt>
                <c:pt idx="60">
                  <c:v>7</c:v>
                </c:pt>
                <c:pt idx="61">
                  <c:v>7</c:v>
                </c:pt>
                <c:pt idx="62">
                  <c:v>7</c:v>
                </c:pt>
                <c:pt idx="63" formatCode="###\ ###\ ###\ ###\ ##0.00;\-###\ ###\ ###\ ###\ ##0.00">
                  <c:v>7</c:v>
                </c:pt>
                <c:pt idx="64" formatCode="###\ ###\ ###\ ###\ ##0.00;\-###\ ###\ ###\ ###\ ##0.00">
                  <c:v>7</c:v>
                </c:pt>
                <c:pt idx="65" formatCode="###\ ###\ ###\ ###\ ##0.00;\-###\ ###\ ###\ ###\ ##0.00">
                  <c:v>7</c:v>
                </c:pt>
              </c:numCache>
            </c:numRef>
          </c:val>
          <c:extLst>
            <c:ext xmlns:c16="http://schemas.microsoft.com/office/drawing/2014/chart" uri="{C3380CC4-5D6E-409C-BE32-E72D297353CC}">
              <c16:uniqueId val="{00000000-3111-4EDD-9144-758FC1636948}"/>
            </c:ext>
          </c:extLst>
        </c:ser>
        <c:dLbls>
          <c:showLegendKey val="0"/>
          <c:showVal val="0"/>
          <c:showCatName val="0"/>
          <c:showSerName val="0"/>
          <c:showPercent val="0"/>
          <c:showBubbleSize val="0"/>
        </c:dLbls>
        <c:gapWidth val="31"/>
        <c:axId val="40285696"/>
        <c:axId val="40287232"/>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1'!$A$78:$B$143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2018</c:v>
                  </c:pt>
                  <c:pt idx="12">
                    <c:v>2019</c:v>
                  </c:pt>
                  <c:pt idx="24">
                    <c:v>2020</c:v>
                  </c:pt>
                  <c:pt idx="36">
                    <c:v>2021</c:v>
                  </c:pt>
                  <c:pt idx="48">
                    <c:v>2022</c:v>
                  </c:pt>
                  <c:pt idx="60">
                    <c:v>2023</c:v>
                  </c:pt>
                </c:lvl>
              </c:multiLvlStrCache>
            </c:multiLvlStrRef>
          </c:cat>
          <c:val>
            <c:numRef>
              <c:f>'Měnové podmínky 1'!$F$78:$F$143</c:f>
              <c:numCache>
                <c:formatCode>General</c:formatCode>
                <c:ptCount val="66"/>
                <c:pt idx="0">
                  <c:v>0.46</c:v>
                </c:pt>
                <c:pt idx="1">
                  <c:v>0.55000000000000004</c:v>
                </c:pt>
                <c:pt idx="2">
                  <c:v>0.62000000000000022</c:v>
                </c:pt>
                <c:pt idx="3">
                  <c:v>0.6000000000000002</c:v>
                </c:pt>
                <c:pt idx="4">
                  <c:v>0.70000000000000018</c:v>
                </c:pt>
                <c:pt idx="5">
                  <c:v>0.89000000000000012</c:v>
                </c:pt>
                <c:pt idx="6">
                  <c:v>1.0900000000000001</c:v>
                </c:pt>
                <c:pt idx="7">
                  <c:v>1.26</c:v>
                </c:pt>
                <c:pt idx="8">
                  <c:v>1.34</c:v>
                </c:pt>
                <c:pt idx="9">
                  <c:v>1.44</c:v>
                </c:pt>
                <c:pt idx="10">
                  <c:v>1.49</c:v>
                </c:pt>
                <c:pt idx="11">
                  <c:v>1.52</c:v>
                </c:pt>
                <c:pt idx="12">
                  <c:v>1.6600000000000001</c:v>
                </c:pt>
                <c:pt idx="13">
                  <c:v>1.7400000000000002</c:v>
                </c:pt>
                <c:pt idx="14">
                  <c:v>1.7100000000000002</c:v>
                </c:pt>
                <c:pt idx="15">
                  <c:v>1.6300000000000001</c:v>
                </c:pt>
                <c:pt idx="16">
                  <c:v>1.62</c:v>
                </c:pt>
                <c:pt idx="17">
                  <c:v>1.52</c:v>
                </c:pt>
                <c:pt idx="18">
                  <c:v>1.35</c:v>
                </c:pt>
                <c:pt idx="19">
                  <c:v>0.8500000000000002</c:v>
                </c:pt>
                <c:pt idx="20">
                  <c:v>1.07</c:v>
                </c:pt>
                <c:pt idx="21">
                  <c:v>1.1700000000000004</c:v>
                </c:pt>
                <c:pt idx="22">
                  <c:v>1.33</c:v>
                </c:pt>
                <c:pt idx="23">
                  <c:v>1.36</c:v>
                </c:pt>
                <c:pt idx="24">
                  <c:v>1.55</c:v>
                </c:pt>
                <c:pt idx="25">
                  <c:v>1.57</c:v>
                </c:pt>
                <c:pt idx="26">
                  <c:v>1.27</c:v>
                </c:pt>
                <c:pt idx="27">
                  <c:v>0.71000000000000019</c:v>
                </c:pt>
                <c:pt idx="28">
                  <c:v>0.13</c:v>
                </c:pt>
                <c:pt idx="29">
                  <c:v>8.0000000000000029E-2</c:v>
                </c:pt>
                <c:pt idx="30">
                  <c:v>2.0000000000000007E-2</c:v>
                </c:pt>
                <c:pt idx="31">
                  <c:v>4.0000000000000015E-2</c:v>
                </c:pt>
                <c:pt idx="32">
                  <c:v>5.0000000000000017E-2</c:v>
                </c:pt>
                <c:pt idx="33">
                  <c:v>0</c:v>
                </c:pt>
                <c:pt idx="34">
                  <c:v>6.0000000000000019E-2</c:v>
                </c:pt>
                <c:pt idx="35">
                  <c:v>0.16000000000000003</c:v>
                </c:pt>
                <c:pt idx="36">
                  <c:v>0.26</c:v>
                </c:pt>
                <c:pt idx="37">
                  <c:v>0.45</c:v>
                </c:pt>
                <c:pt idx="38">
                  <c:v>0.75000000000000022</c:v>
                </c:pt>
                <c:pt idx="39">
                  <c:v>0.76000000000000023</c:v>
                </c:pt>
                <c:pt idx="40">
                  <c:v>0.76000000000000023</c:v>
                </c:pt>
                <c:pt idx="41">
                  <c:v>0.69000000000000028</c:v>
                </c:pt>
                <c:pt idx="42">
                  <c:v>0.84000000000000019</c:v>
                </c:pt>
                <c:pt idx="43">
                  <c:v>1.24</c:v>
                </c:pt>
                <c:pt idx="44">
                  <c:v>1.6</c:v>
                </c:pt>
                <c:pt idx="45">
                  <c:v>2.29</c:v>
                </c:pt>
                <c:pt idx="46">
                  <c:v>3</c:v>
                </c:pt>
                <c:pt idx="47">
                  <c:v>3.07</c:v>
                </c:pt>
                <c:pt idx="48">
                  <c:v>3.8099999999999992</c:v>
                </c:pt>
                <c:pt idx="49">
                  <c:v>3.77</c:v>
                </c:pt>
                <c:pt idx="50">
                  <c:v>4.54</c:v>
                </c:pt>
                <c:pt idx="51">
                  <c:v>5.13</c:v>
                </c:pt>
                <c:pt idx="52">
                  <c:v>5.6499999999999995</c:v>
                </c:pt>
                <c:pt idx="53">
                  <c:v>6.26</c:v>
                </c:pt>
                <c:pt idx="54">
                  <c:v>6.38</c:v>
                </c:pt>
                <c:pt idx="55">
                  <c:v>5.8599999999999985</c:v>
                </c:pt>
                <c:pt idx="56">
                  <c:v>5.9</c:v>
                </c:pt>
                <c:pt idx="57">
                  <c:v>6.18</c:v>
                </c:pt>
                <c:pt idx="58">
                  <c:v>5.68</c:v>
                </c:pt>
                <c:pt idx="59">
                  <c:v>5.1899999999999995</c:v>
                </c:pt>
                <c:pt idx="60" formatCode="###\ ###\ ###\ ###\ ##0.00;\-###\ ###\ ###\ ###\ ##0.00">
                  <c:v>5.3820143358172787</c:v>
                </c:pt>
                <c:pt idx="61" formatCode="###\ ###\ ###\ ###\ ##0.00;\-###\ ###\ ###\ ###\ ##0.00">
                  <c:v>5.5102623550618519</c:v>
                </c:pt>
                <c:pt idx="62" formatCode="###\ ###\ ###\ ###\ ##0.00;\-###\ ###\ ###\ ###\ ##0.00">
                  <c:v>5.2897725027112017</c:v>
                </c:pt>
                <c:pt idx="63" formatCode="###\ ###\ ###\ ###\ ##0.00;\-###\ ###\ ###\ ###\ ##0.00">
                  <c:v>5.4232360381175866</c:v>
                </c:pt>
                <c:pt idx="64" formatCode="###\ ###\ ###\ ###\ ##0.00;\-###\ ###\ ###\ ###\ ##0.00">
                  <c:v>5.4162815888395794</c:v>
                </c:pt>
                <c:pt idx="65" formatCode="###\ ###\ ###\ ###\ ##0.00;\-###\ ###\ ###\ ###\ ##0.00">
                  <c:v>5.3664752553650814</c:v>
                </c:pt>
              </c:numCache>
            </c:numRef>
          </c:val>
          <c:smooth val="0"/>
          <c:extLst>
            <c:ext xmlns:c16="http://schemas.microsoft.com/office/drawing/2014/chart" uri="{C3380CC4-5D6E-409C-BE32-E72D297353CC}">
              <c16:uniqueId val="{00000001-3111-4EDD-9144-758FC1636948}"/>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1'!$A$78:$B$143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2018</c:v>
                  </c:pt>
                  <c:pt idx="12">
                    <c:v>2019</c:v>
                  </c:pt>
                  <c:pt idx="24">
                    <c:v>2020</c:v>
                  </c:pt>
                  <c:pt idx="36">
                    <c:v>2021</c:v>
                  </c:pt>
                  <c:pt idx="48">
                    <c:v>2022</c:v>
                  </c:pt>
                  <c:pt idx="60">
                    <c:v>2023</c:v>
                  </c:pt>
                </c:lvl>
              </c:multiLvlStrCache>
            </c:multiLvlStrRef>
          </c:cat>
          <c:val>
            <c:numRef>
              <c:f>'Měnové podmínky 1'!$D$78:$D$143</c:f>
              <c:numCache>
                <c:formatCode>General</c:formatCode>
                <c:ptCount val="66"/>
                <c:pt idx="0">
                  <c:v>0.77000000000000013</c:v>
                </c:pt>
                <c:pt idx="1">
                  <c:v>0.9</c:v>
                </c:pt>
                <c:pt idx="2">
                  <c:v>0.9</c:v>
                </c:pt>
                <c:pt idx="3">
                  <c:v>0.9</c:v>
                </c:pt>
                <c:pt idx="4">
                  <c:v>0.9</c:v>
                </c:pt>
                <c:pt idx="5">
                  <c:v>0.93</c:v>
                </c:pt>
                <c:pt idx="6">
                  <c:v>1.1800000000000004</c:v>
                </c:pt>
                <c:pt idx="7">
                  <c:v>1.45</c:v>
                </c:pt>
                <c:pt idx="8">
                  <c:v>1.54</c:v>
                </c:pt>
                <c:pt idx="9">
                  <c:v>1.7600000000000002</c:v>
                </c:pt>
                <c:pt idx="10">
                  <c:v>1.9900000000000002</c:v>
                </c:pt>
                <c:pt idx="11">
                  <c:v>2.0099999999999998</c:v>
                </c:pt>
                <c:pt idx="12">
                  <c:v>2.0099999999999998</c:v>
                </c:pt>
                <c:pt idx="13">
                  <c:v>2.0099999999999998</c:v>
                </c:pt>
                <c:pt idx="14">
                  <c:v>2.0299999999999998</c:v>
                </c:pt>
                <c:pt idx="15">
                  <c:v>2.02</c:v>
                </c:pt>
                <c:pt idx="16">
                  <c:v>2.19</c:v>
                </c:pt>
                <c:pt idx="17">
                  <c:v>2.17</c:v>
                </c:pt>
                <c:pt idx="18">
                  <c:v>2.16</c:v>
                </c:pt>
                <c:pt idx="19">
                  <c:v>2.14</c:v>
                </c:pt>
                <c:pt idx="20">
                  <c:v>2.14</c:v>
                </c:pt>
                <c:pt idx="21">
                  <c:v>2.17</c:v>
                </c:pt>
                <c:pt idx="22">
                  <c:v>2.1800000000000002</c:v>
                </c:pt>
                <c:pt idx="23">
                  <c:v>2.1800000000000002</c:v>
                </c:pt>
                <c:pt idx="24">
                  <c:v>2.17</c:v>
                </c:pt>
                <c:pt idx="25">
                  <c:v>2.34</c:v>
                </c:pt>
                <c:pt idx="26">
                  <c:v>2</c:v>
                </c:pt>
                <c:pt idx="27">
                  <c:v>0.97000000000000008</c:v>
                </c:pt>
                <c:pt idx="28">
                  <c:v>0.46</c:v>
                </c:pt>
                <c:pt idx="29">
                  <c:v>0.34000000000000008</c:v>
                </c:pt>
                <c:pt idx="30">
                  <c:v>0.34000000000000008</c:v>
                </c:pt>
                <c:pt idx="31">
                  <c:v>0.34000000000000008</c:v>
                </c:pt>
                <c:pt idx="32">
                  <c:v>0.34000000000000008</c:v>
                </c:pt>
                <c:pt idx="33">
                  <c:v>0.35000000000000009</c:v>
                </c:pt>
                <c:pt idx="34">
                  <c:v>0.35000000000000009</c:v>
                </c:pt>
                <c:pt idx="35">
                  <c:v>0.35000000000000009</c:v>
                </c:pt>
                <c:pt idx="36">
                  <c:v>0.3600000000000001</c:v>
                </c:pt>
                <c:pt idx="37">
                  <c:v>0.3600000000000001</c:v>
                </c:pt>
                <c:pt idx="38">
                  <c:v>0.3600000000000001</c:v>
                </c:pt>
                <c:pt idx="39">
                  <c:v>0.3600000000000001</c:v>
                </c:pt>
                <c:pt idx="40">
                  <c:v>0.37000000000000011</c:v>
                </c:pt>
                <c:pt idx="41">
                  <c:v>0.48000000000000009</c:v>
                </c:pt>
                <c:pt idx="42">
                  <c:v>0.69000000000000028</c:v>
                </c:pt>
                <c:pt idx="43">
                  <c:v>0.94000000000000017</c:v>
                </c:pt>
                <c:pt idx="44">
                  <c:v>1.1100000000000001</c:v>
                </c:pt>
                <c:pt idx="45">
                  <c:v>2.02</c:v>
                </c:pt>
                <c:pt idx="46">
                  <c:v>2.9699999999999998</c:v>
                </c:pt>
                <c:pt idx="47">
                  <c:v>3.5</c:v>
                </c:pt>
                <c:pt idx="48">
                  <c:v>4.21</c:v>
                </c:pt>
                <c:pt idx="49">
                  <c:v>4.6899999999999995</c:v>
                </c:pt>
                <c:pt idx="50">
                  <c:v>4.8599999999999985</c:v>
                </c:pt>
                <c:pt idx="51">
                  <c:v>5.3599999999999985</c:v>
                </c:pt>
                <c:pt idx="52">
                  <c:v>5.9700000000000015</c:v>
                </c:pt>
                <c:pt idx="53">
                  <c:v>6.64</c:v>
                </c:pt>
                <c:pt idx="54">
                  <c:v>7.3</c:v>
                </c:pt>
                <c:pt idx="55">
                  <c:v>7.2700000000000014</c:v>
                </c:pt>
                <c:pt idx="56">
                  <c:v>7.25</c:v>
                </c:pt>
                <c:pt idx="57">
                  <c:v>7.28</c:v>
                </c:pt>
                <c:pt idx="58">
                  <c:v>7.2700000000000014</c:v>
                </c:pt>
                <c:pt idx="59">
                  <c:v>7.26</c:v>
                </c:pt>
                <c:pt idx="60" formatCode="###\ ###\ ###\ ###\ ##0.00;\-###\ ###\ ###\ ###\ ##0.00">
                  <c:v>7.2161904761904765</c:v>
                </c:pt>
                <c:pt idx="61" formatCode="###\ ###\ ###\ ###\ ##0.00;\-###\ ###\ ###\ ###\ ##0.00">
                  <c:v>7.2010526315789471</c:v>
                </c:pt>
                <c:pt idx="62" formatCode="###\ ###\ ###\ ###\ ##0.00;\-###\ ###\ ###\ ###\ ##0.00">
                  <c:v>7.1931818181818157</c:v>
                </c:pt>
                <c:pt idx="63" formatCode="###\ ###\ ###\ ###\ ##0.00;\-###\ ###\ ###\ ###\ ##0.00">
                  <c:v>7.1788888888888875</c:v>
                </c:pt>
                <c:pt idx="64" formatCode="###\ ###\ ###\ ###\ ##0.00;\-###\ ###\ ###\ ###\ ##0.00">
                  <c:v>7.1790476190476191</c:v>
                </c:pt>
                <c:pt idx="65" formatCode="###\ ###\ ###\ ###\ ##0.00;\-###\ ###\ ###\ ###\ ##0.00">
                  <c:v>7.1472727272727274</c:v>
                </c:pt>
              </c:numCache>
            </c:numRef>
          </c:val>
          <c:smooth val="0"/>
          <c:extLst>
            <c:ext xmlns:c16="http://schemas.microsoft.com/office/drawing/2014/chart" uri="{C3380CC4-5D6E-409C-BE32-E72D297353CC}">
              <c16:uniqueId val="{00000002-3111-4EDD-9144-758FC1636948}"/>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1'!$A$78:$B$143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2018</c:v>
                  </c:pt>
                  <c:pt idx="12">
                    <c:v>2019</c:v>
                  </c:pt>
                  <c:pt idx="24">
                    <c:v>2020</c:v>
                  </c:pt>
                  <c:pt idx="36">
                    <c:v>2021</c:v>
                  </c:pt>
                  <c:pt idx="48">
                    <c:v>2022</c:v>
                  </c:pt>
                  <c:pt idx="60">
                    <c:v>2023</c:v>
                  </c:pt>
                </c:lvl>
              </c:multiLvlStrCache>
            </c:multiLvlStrRef>
          </c:cat>
          <c:val>
            <c:numRef>
              <c:f>'Měnové podmínky 1'!$G$78:$G$143</c:f>
              <c:numCache>
                <c:formatCode>General</c:formatCode>
                <c:ptCount val="66"/>
                <c:pt idx="0">
                  <c:v>0.99</c:v>
                </c:pt>
                <c:pt idx="1">
                  <c:v>1.07</c:v>
                </c:pt>
                <c:pt idx="2">
                  <c:v>1.0900000000000001</c:v>
                </c:pt>
                <c:pt idx="3">
                  <c:v>1.05</c:v>
                </c:pt>
                <c:pt idx="4">
                  <c:v>1.21</c:v>
                </c:pt>
                <c:pt idx="5">
                  <c:v>1.41</c:v>
                </c:pt>
                <c:pt idx="6">
                  <c:v>1.44</c:v>
                </c:pt>
                <c:pt idx="7">
                  <c:v>1.55</c:v>
                </c:pt>
                <c:pt idx="8">
                  <c:v>1.7000000000000002</c:v>
                </c:pt>
                <c:pt idx="9">
                  <c:v>1.81</c:v>
                </c:pt>
                <c:pt idx="10">
                  <c:v>1.7900000000000003</c:v>
                </c:pt>
                <c:pt idx="11">
                  <c:v>1.7100000000000002</c:v>
                </c:pt>
                <c:pt idx="12">
                  <c:v>1.6</c:v>
                </c:pt>
                <c:pt idx="13">
                  <c:v>1.61</c:v>
                </c:pt>
                <c:pt idx="14">
                  <c:v>1.7000000000000002</c:v>
                </c:pt>
                <c:pt idx="15">
                  <c:v>1.6300000000000001</c:v>
                </c:pt>
                <c:pt idx="16">
                  <c:v>1.57</c:v>
                </c:pt>
                <c:pt idx="17">
                  <c:v>1.43</c:v>
                </c:pt>
                <c:pt idx="18">
                  <c:v>1.31</c:v>
                </c:pt>
                <c:pt idx="19">
                  <c:v>0.89000000000000012</c:v>
                </c:pt>
                <c:pt idx="20">
                  <c:v>1.1299999999999994</c:v>
                </c:pt>
                <c:pt idx="21">
                  <c:v>1.23</c:v>
                </c:pt>
                <c:pt idx="22">
                  <c:v>1.32</c:v>
                </c:pt>
                <c:pt idx="23">
                  <c:v>1.31</c:v>
                </c:pt>
                <c:pt idx="24">
                  <c:v>1.51</c:v>
                </c:pt>
                <c:pt idx="25">
                  <c:v>1.52</c:v>
                </c:pt>
                <c:pt idx="26">
                  <c:v>1.23</c:v>
                </c:pt>
                <c:pt idx="27">
                  <c:v>1.06</c:v>
                </c:pt>
                <c:pt idx="28">
                  <c:v>0.56999999999999995</c:v>
                </c:pt>
                <c:pt idx="29">
                  <c:v>0.52</c:v>
                </c:pt>
                <c:pt idx="30">
                  <c:v>0.52</c:v>
                </c:pt>
                <c:pt idx="31">
                  <c:v>0.58000000000000007</c:v>
                </c:pt>
                <c:pt idx="32">
                  <c:v>0.58000000000000007</c:v>
                </c:pt>
                <c:pt idx="33">
                  <c:v>0.54</c:v>
                </c:pt>
                <c:pt idx="34">
                  <c:v>0.66000000000000025</c:v>
                </c:pt>
                <c:pt idx="35">
                  <c:v>0.8</c:v>
                </c:pt>
                <c:pt idx="36">
                  <c:v>0.82000000000000017</c:v>
                </c:pt>
                <c:pt idx="37">
                  <c:v>1.06</c:v>
                </c:pt>
                <c:pt idx="38">
                  <c:v>1.4</c:v>
                </c:pt>
                <c:pt idx="39">
                  <c:v>1.43</c:v>
                </c:pt>
                <c:pt idx="40">
                  <c:v>1.47</c:v>
                </c:pt>
                <c:pt idx="41">
                  <c:v>1.55</c:v>
                </c:pt>
                <c:pt idx="42">
                  <c:v>1.6300000000000001</c:v>
                </c:pt>
                <c:pt idx="43">
                  <c:v>1.6800000000000004</c:v>
                </c:pt>
                <c:pt idx="44">
                  <c:v>1.87</c:v>
                </c:pt>
                <c:pt idx="45">
                  <c:v>2.3699999999999997</c:v>
                </c:pt>
                <c:pt idx="46">
                  <c:v>2.84</c:v>
                </c:pt>
                <c:pt idx="47">
                  <c:v>2.84</c:v>
                </c:pt>
                <c:pt idx="48">
                  <c:v>3.36</c:v>
                </c:pt>
                <c:pt idx="49">
                  <c:v>3.2</c:v>
                </c:pt>
                <c:pt idx="50">
                  <c:v>3.8499999999999992</c:v>
                </c:pt>
                <c:pt idx="51">
                  <c:v>4.54</c:v>
                </c:pt>
                <c:pt idx="52">
                  <c:v>4.99</c:v>
                </c:pt>
                <c:pt idx="53">
                  <c:v>5.49</c:v>
                </c:pt>
                <c:pt idx="54">
                  <c:v>5.1199999999999983</c:v>
                </c:pt>
                <c:pt idx="55">
                  <c:v>4.67</c:v>
                </c:pt>
                <c:pt idx="56">
                  <c:v>5.0599999999999996</c:v>
                </c:pt>
                <c:pt idx="57">
                  <c:v>5.6899999999999995</c:v>
                </c:pt>
                <c:pt idx="58">
                  <c:v>5.31</c:v>
                </c:pt>
                <c:pt idx="59">
                  <c:v>4.9000000000000004</c:v>
                </c:pt>
                <c:pt idx="60" formatCode="###\ ###\ ###\ ###\ ##0.00;\-###\ ###\ ###\ ###\ ##0.00">
                  <c:v>4.7307064721228889</c:v>
                </c:pt>
                <c:pt idx="61" formatCode="###\ ###\ ###\ ###\ ##0.00;\-###\ ###\ ###\ ###\ ##0.00">
                  <c:v>4.8692742672767633</c:v>
                </c:pt>
                <c:pt idx="62" formatCode="###\ ###\ ###\ ###\ ##0.00;\-###\ ###\ ###\ ###\ ##0.00">
                  <c:v>4.8901662581800371</c:v>
                </c:pt>
                <c:pt idx="63" formatCode="###\ ###\ ###\ ###\ ##0.00;\-###\ ###\ ###\ ###\ ##0.00">
                  <c:v>4.9165403661897455</c:v>
                </c:pt>
                <c:pt idx="64" formatCode="###\ ###\ ###\ ###\ ##0.00;\-###\ ###\ ###\ ###\ ##0.00">
                  <c:v>4.8278684891401031</c:v>
                </c:pt>
                <c:pt idx="65" formatCode="###\ ###\ ###\ ###\ ##0.00;\-###\ ###\ ###\ ###\ ##0.00">
                  <c:v>4.6412520736000777</c:v>
                </c:pt>
              </c:numCache>
            </c:numRef>
          </c:val>
          <c:smooth val="0"/>
          <c:extLst>
            <c:ext xmlns:c16="http://schemas.microsoft.com/office/drawing/2014/chart" uri="{C3380CC4-5D6E-409C-BE32-E72D297353CC}">
              <c16:uniqueId val="{00000003-3111-4EDD-9144-758FC1636948}"/>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1'!$A$78:$B$143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2018</c:v>
                  </c:pt>
                  <c:pt idx="12">
                    <c:v>2019</c:v>
                  </c:pt>
                  <c:pt idx="24">
                    <c:v>2020</c:v>
                  </c:pt>
                  <c:pt idx="36">
                    <c:v>2021</c:v>
                  </c:pt>
                  <c:pt idx="48">
                    <c:v>2022</c:v>
                  </c:pt>
                  <c:pt idx="60">
                    <c:v>2023</c:v>
                  </c:pt>
                </c:lvl>
              </c:multiLvlStrCache>
            </c:multiLvlStrRef>
          </c:cat>
          <c:val>
            <c:numRef>
              <c:f>'Měnové podmínky 1'!$E$78:$E$143</c:f>
              <c:numCache>
                <c:formatCode>General</c:formatCode>
                <c:ptCount val="66"/>
                <c:pt idx="0">
                  <c:v>0.98</c:v>
                </c:pt>
                <c:pt idx="1">
                  <c:v>1.1100000000000001</c:v>
                </c:pt>
                <c:pt idx="2">
                  <c:v>1.1200000000000001</c:v>
                </c:pt>
                <c:pt idx="3">
                  <c:v>1.1200000000000001</c:v>
                </c:pt>
                <c:pt idx="4">
                  <c:v>1.1200000000000001</c:v>
                </c:pt>
                <c:pt idx="5">
                  <c:v>1.1499999999999995</c:v>
                </c:pt>
                <c:pt idx="6">
                  <c:v>1.3900000000000001</c:v>
                </c:pt>
                <c:pt idx="7">
                  <c:v>1.6700000000000004</c:v>
                </c:pt>
                <c:pt idx="8">
                  <c:v>1.7900000000000003</c:v>
                </c:pt>
                <c:pt idx="9">
                  <c:v>1.9500000000000002</c:v>
                </c:pt>
                <c:pt idx="10">
                  <c:v>2.1800000000000002</c:v>
                </c:pt>
                <c:pt idx="11">
                  <c:v>2.21</c:v>
                </c:pt>
                <c:pt idx="12">
                  <c:v>2.21</c:v>
                </c:pt>
                <c:pt idx="13">
                  <c:v>2.2000000000000002</c:v>
                </c:pt>
                <c:pt idx="14">
                  <c:v>2.2000000000000002</c:v>
                </c:pt>
                <c:pt idx="15">
                  <c:v>2.21</c:v>
                </c:pt>
                <c:pt idx="16">
                  <c:v>2.319999999999999</c:v>
                </c:pt>
                <c:pt idx="17">
                  <c:v>2.29</c:v>
                </c:pt>
                <c:pt idx="18">
                  <c:v>2.2799999999999998</c:v>
                </c:pt>
                <c:pt idx="19">
                  <c:v>2.2200000000000002</c:v>
                </c:pt>
                <c:pt idx="20">
                  <c:v>2.2000000000000002</c:v>
                </c:pt>
                <c:pt idx="21">
                  <c:v>2.2799999999999998</c:v>
                </c:pt>
                <c:pt idx="22">
                  <c:v>2.2799999999999998</c:v>
                </c:pt>
                <c:pt idx="23">
                  <c:v>2.27</c:v>
                </c:pt>
                <c:pt idx="24">
                  <c:v>2.27</c:v>
                </c:pt>
                <c:pt idx="25">
                  <c:v>2.42</c:v>
                </c:pt>
                <c:pt idx="26">
                  <c:v>2.0099999999999998</c:v>
                </c:pt>
                <c:pt idx="27">
                  <c:v>0.92</c:v>
                </c:pt>
                <c:pt idx="28">
                  <c:v>0.51</c:v>
                </c:pt>
                <c:pt idx="29">
                  <c:v>0.4300000000000001</c:v>
                </c:pt>
                <c:pt idx="30">
                  <c:v>0.4300000000000001</c:v>
                </c:pt>
                <c:pt idx="31">
                  <c:v>0.4300000000000001</c:v>
                </c:pt>
                <c:pt idx="32">
                  <c:v>0.44000000000000006</c:v>
                </c:pt>
                <c:pt idx="33">
                  <c:v>0.4300000000000001</c:v>
                </c:pt>
                <c:pt idx="34">
                  <c:v>0.44000000000000006</c:v>
                </c:pt>
                <c:pt idx="35">
                  <c:v>0.4900000000000001</c:v>
                </c:pt>
                <c:pt idx="36">
                  <c:v>0.4900000000000001</c:v>
                </c:pt>
                <c:pt idx="37">
                  <c:v>0.54</c:v>
                </c:pt>
                <c:pt idx="38">
                  <c:v>0.56000000000000005</c:v>
                </c:pt>
                <c:pt idx="39">
                  <c:v>0.56000000000000005</c:v>
                </c:pt>
                <c:pt idx="40">
                  <c:v>0.67000000000000026</c:v>
                </c:pt>
                <c:pt idx="41">
                  <c:v>0.78</c:v>
                </c:pt>
                <c:pt idx="42">
                  <c:v>1</c:v>
                </c:pt>
                <c:pt idx="43">
                  <c:v>1.3</c:v>
                </c:pt>
                <c:pt idx="44">
                  <c:v>1.52</c:v>
                </c:pt>
                <c:pt idx="45">
                  <c:v>2.44</c:v>
                </c:pt>
                <c:pt idx="46">
                  <c:v>3.5</c:v>
                </c:pt>
                <c:pt idx="47">
                  <c:v>3.96</c:v>
                </c:pt>
                <c:pt idx="48">
                  <c:v>4.55</c:v>
                </c:pt>
                <c:pt idx="49">
                  <c:v>4.87</c:v>
                </c:pt>
                <c:pt idx="50">
                  <c:v>5.1199999999999983</c:v>
                </c:pt>
                <c:pt idx="51">
                  <c:v>5.74</c:v>
                </c:pt>
                <c:pt idx="52">
                  <c:v>6.33</c:v>
                </c:pt>
                <c:pt idx="53">
                  <c:v>7.02</c:v>
                </c:pt>
                <c:pt idx="54">
                  <c:v>7.55</c:v>
                </c:pt>
                <c:pt idx="55">
                  <c:v>7.48</c:v>
                </c:pt>
                <c:pt idx="56">
                  <c:v>7.44</c:v>
                </c:pt>
                <c:pt idx="57">
                  <c:v>7.45</c:v>
                </c:pt>
                <c:pt idx="58">
                  <c:v>7.39</c:v>
                </c:pt>
                <c:pt idx="59">
                  <c:v>7.28</c:v>
                </c:pt>
                <c:pt idx="60" formatCode="###\ ###\ ###\ ###\ ##0.00;\-###\ ###\ ###\ ###\ ##0.00">
                  <c:v>7.2480952380952361</c:v>
                </c:pt>
                <c:pt idx="61" formatCode="###\ ###\ ###\ ###\ ##0.00;\-###\ ###\ ###\ ###\ ##0.00">
                  <c:v>7.2326315789473687</c:v>
                </c:pt>
                <c:pt idx="62" formatCode="###\ ###\ ###\ ###\ ##0.00;\-###\ ###\ ###\ ###\ ##0.00">
                  <c:v>7.2263636363636392</c:v>
                </c:pt>
                <c:pt idx="63" formatCode="###\ ###\ ###\ ###\ ##0.00;\-###\ ###\ ###\ ###\ ##0.00">
                  <c:v>7.2088888888888887</c:v>
                </c:pt>
                <c:pt idx="64" formatCode="###\ ###\ ###\ ###\ ##0.00;\-###\ ###\ ###\ ###\ ##0.00">
                  <c:v>7.1961904761904743</c:v>
                </c:pt>
                <c:pt idx="65" formatCode="###\ ###\ ###\ ###\ ##0.00;\-###\ ###\ ###\ ###\ ##0.00">
                  <c:v>7.1377272727272709</c:v>
                </c:pt>
              </c:numCache>
            </c:numRef>
          </c:val>
          <c:smooth val="0"/>
          <c:extLst>
            <c:ext xmlns:c16="http://schemas.microsoft.com/office/drawing/2014/chart" uri="{C3380CC4-5D6E-409C-BE32-E72D297353CC}">
              <c16:uniqueId val="{00000004-3111-4EDD-9144-758FC1636948}"/>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1'!$A$78:$B$143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2018</c:v>
                  </c:pt>
                  <c:pt idx="12">
                    <c:v>2019</c:v>
                  </c:pt>
                  <c:pt idx="24">
                    <c:v>2020</c:v>
                  </c:pt>
                  <c:pt idx="36">
                    <c:v>2021</c:v>
                  </c:pt>
                  <c:pt idx="48">
                    <c:v>2022</c:v>
                  </c:pt>
                  <c:pt idx="60">
                    <c:v>2023</c:v>
                  </c:pt>
                </c:lvl>
              </c:multiLvlStrCache>
            </c:multiLvlStrRef>
          </c:cat>
          <c:val>
            <c:numRef>
              <c:f>'Měnové podmínky 1'!$H$78:$H$143</c:f>
              <c:numCache>
                <c:formatCode>General</c:formatCode>
                <c:ptCount val="66"/>
                <c:pt idx="0">
                  <c:v>1.7700000000000002</c:v>
                </c:pt>
                <c:pt idx="1">
                  <c:v>1.82</c:v>
                </c:pt>
                <c:pt idx="2">
                  <c:v>1.81</c:v>
                </c:pt>
                <c:pt idx="3">
                  <c:v>1.7400000000000002</c:v>
                </c:pt>
                <c:pt idx="4">
                  <c:v>1.8900000000000001</c:v>
                </c:pt>
                <c:pt idx="5">
                  <c:v>2.14</c:v>
                </c:pt>
                <c:pt idx="6">
                  <c:v>2.11</c:v>
                </c:pt>
                <c:pt idx="7">
                  <c:v>2.14</c:v>
                </c:pt>
                <c:pt idx="8">
                  <c:v>2.14</c:v>
                </c:pt>
                <c:pt idx="9">
                  <c:v>2.14</c:v>
                </c:pt>
                <c:pt idx="10">
                  <c:v>2.0699999999999998</c:v>
                </c:pt>
                <c:pt idx="11">
                  <c:v>2.0099999999999998</c:v>
                </c:pt>
                <c:pt idx="12">
                  <c:v>1.85</c:v>
                </c:pt>
                <c:pt idx="13">
                  <c:v>1.7600000000000002</c:v>
                </c:pt>
                <c:pt idx="14">
                  <c:v>1.82</c:v>
                </c:pt>
                <c:pt idx="15">
                  <c:v>1.82</c:v>
                </c:pt>
                <c:pt idx="16">
                  <c:v>1.86</c:v>
                </c:pt>
                <c:pt idx="17">
                  <c:v>1.58</c:v>
                </c:pt>
                <c:pt idx="18">
                  <c:v>1.36</c:v>
                </c:pt>
                <c:pt idx="19">
                  <c:v>0.99</c:v>
                </c:pt>
                <c:pt idx="20">
                  <c:v>1.24</c:v>
                </c:pt>
                <c:pt idx="21">
                  <c:v>1.32</c:v>
                </c:pt>
                <c:pt idx="22">
                  <c:v>1.47</c:v>
                </c:pt>
                <c:pt idx="23">
                  <c:v>1.51</c:v>
                </c:pt>
                <c:pt idx="24">
                  <c:v>1.62</c:v>
                </c:pt>
                <c:pt idx="25">
                  <c:v>1.47</c:v>
                </c:pt>
                <c:pt idx="26">
                  <c:v>1.28</c:v>
                </c:pt>
                <c:pt idx="27">
                  <c:v>1.28</c:v>
                </c:pt>
                <c:pt idx="28">
                  <c:v>0.92</c:v>
                </c:pt>
                <c:pt idx="29">
                  <c:v>0.86000000000000021</c:v>
                </c:pt>
                <c:pt idx="30">
                  <c:v>0.86000000000000021</c:v>
                </c:pt>
                <c:pt idx="31">
                  <c:v>0.95000000000000018</c:v>
                </c:pt>
                <c:pt idx="32">
                  <c:v>0.98</c:v>
                </c:pt>
                <c:pt idx="33">
                  <c:v>0.94000000000000017</c:v>
                </c:pt>
                <c:pt idx="34">
                  <c:v>1.1200000000000001</c:v>
                </c:pt>
                <c:pt idx="35">
                  <c:v>1.26</c:v>
                </c:pt>
                <c:pt idx="36">
                  <c:v>1.28</c:v>
                </c:pt>
                <c:pt idx="37">
                  <c:v>1.49</c:v>
                </c:pt>
                <c:pt idx="38">
                  <c:v>1.87</c:v>
                </c:pt>
                <c:pt idx="39">
                  <c:v>1.86</c:v>
                </c:pt>
                <c:pt idx="40">
                  <c:v>1.7400000000000002</c:v>
                </c:pt>
                <c:pt idx="41">
                  <c:v>1.6700000000000004</c:v>
                </c:pt>
                <c:pt idx="42">
                  <c:v>1.7200000000000002</c:v>
                </c:pt>
                <c:pt idx="43">
                  <c:v>1.7400000000000002</c:v>
                </c:pt>
                <c:pt idx="44">
                  <c:v>1.9000000000000001</c:v>
                </c:pt>
                <c:pt idx="45">
                  <c:v>2.34</c:v>
                </c:pt>
                <c:pt idx="46">
                  <c:v>2.62</c:v>
                </c:pt>
                <c:pt idx="47">
                  <c:v>2.62</c:v>
                </c:pt>
                <c:pt idx="48">
                  <c:v>3.12</c:v>
                </c:pt>
                <c:pt idx="49">
                  <c:v>3.03</c:v>
                </c:pt>
                <c:pt idx="50">
                  <c:v>3.53</c:v>
                </c:pt>
                <c:pt idx="51">
                  <c:v>4.01</c:v>
                </c:pt>
                <c:pt idx="52">
                  <c:v>4.6099999999999985</c:v>
                </c:pt>
                <c:pt idx="53">
                  <c:v>5.1199999999999983</c:v>
                </c:pt>
                <c:pt idx="54">
                  <c:v>4.4000000000000004</c:v>
                </c:pt>
                <c:pt idx="55">
                  <c:v>4.1099999999999985</c:v>
                </c:pt>
                <c:pt idx="56">
                  <c:v>4.72</c:v>
                </c:pt>
                <c:pt idx="57">
                  <c:v>5.52</c:v>
                </c:pt>
                <c:pt idx="58">
                  <c:v>5.1099999999999985</c:v>
                </c:pt>
                <c:pt idx="59">
                  <c:v>4.71</c:v>
                </c:pt>
                <c:pt idx="60" formatCode="###\ ###\ ###\ ###\ ##0.00;\-###\ ###\ ###\ ###\ ##0.00">
                  <c:v>4.4683071740930753</c:v>
                </c:pt>
                <c:pt idx="61" formatCode="###\ ###\ ###\ ###\ ##0.00;\-###\ ###\ ###\ ###\ ##0.00">
                  <c:v>4.6124456250457762</c:v>
                </c:pt>
                <c:pt idx="62" formatCode="###\ ###\ ###\ ###\ ##0.00;\-###\ ###\ ###\ ###\ ##0.00">
                  <c:v>4.6664316498532488</c:v>
                </c:pt>
                <c:pt idx="63" formatCode="###\ ###\ ###\ ###\ ##0.00;\-###\ ###\ ###\ ###\ ##0.00">
                  <c:v>4.6464031535593699</c:v>
                </c:pt>
                <c:pt idx="64" formatCode="###\ ###\ ###\ ###\ ##0.00;\-###\ ###\ ###\ ###\ ##0.00">
                  <c:v>4.4999821517871714</c:v>
                </c:pt>
                <c:pt idx="65" formatCode="###\ ###\ ###\ ###\ ##0.00;\-###\ ###\ ###\ ###\ ##0.00">
                  <c:v>4.3475817201909148</c:v>
                </c:pt>
              </c:numCache>
            </c:numRef>
          </c:val>
          <c:smooth val="0"/>
          <c:extLst>
            <c:ext xmlns:c16="http://schemas.microsoft.com/office/drawing/2014/chart" uri="{C3380CC4-5D6E-409C-BE32-E72D297353CC}">
              <c16:uniqueId val="{00000005-3111-4EDD-9144-758FC1636948}"/>
            </c:ext>
          </c:extLst>
        </c:ser>
        <c:dLbls>
          <c:showLegendKey val="0"/>
          <c:showVal val="0"/>
          <c:showCatName val="0"/>
          <c:showSerName val="0"/>
          <c:showPercent val="0"/>
          <c:showBubbleSize val="0"/>
        </c:dLbls>
        <c:marker val="1"/>
        <c:smooth val="0"/>
        <c:axId val="40285696"/>
        <c:axId val="40287232"/>
      </c:lineChart>
      <c:catAx>
        <c:axId val="40285696"/>
        <c:scaling>
          <c:orientation val="minMax"/>
        </c:scaling>
        <c:delete val="0"/>
        <c:axPos val="b"/>
        <c:numFmt formatCode="General" sourceLinked="0"/>
        <c:majorTickMark val="out"/>
        <c:minorTickMark val="none"/>
        <c:tickLblPos val="low"/>
        <c:spPr>
          <a:ln>
            <a:solidFill>
              <a:schemeClr val="tx1"/>
            </a:solidFill>
          </a:ln>
        </c:spPr>
        <c:crossAx val="40287232"/>
        <c:crosses val="autoZero"/>
        <c:auto val="1"/>
        <c:lblAlgn val="ctr"/>
        <c:lblOffset val="100"/>
        <c:noMultiLvlLbl val="0"/>
      </c:catAx>
      <c:valAx>
        <c:axId val="4028723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40285696"/>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7E-2"/>
          <c:y val="1.7107238390107422E-2"/>
          <c:w val="0.84230585710151396"/>
          <c:h val="0.76669654531406162"/>
        </c:manualLayout>
      </c:layout>
      <c:barChart>
        <c:barDir val="col"/>
        <c:grouping val="stacked"/>
        <c:varyColors val="0"/>
        <c:ser>
          <c:idx val="1"/>
          <c:order val="1"/>
          <c:tx>
            <c:strRef>
              <c:f>'G1-SR-příjmy-příspěvky'!$A$30</c:f>
              <c:strCache>
                <c:ptCount val="1"/>
                <c:pt idx="0">
                  <c:v>Ostatní daně a poplatky</c:v>
                </c:pt>
              </c:strCache>
            </c:strRef>
          </c:tx>
          <c:spPr>
            <a:solidFill>
              <a:schemeClr val="bg1">
                <a:lumMod val="75000"/>
              </a:schemeClr>
            </a:solidFill>
            <a:ln w="12700">
              <a:noFill/>
              <a:prstDash val="solid"/>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'G1-SR-příjmy-příspěvky'!$E$30:$T$30</c:f>
              <c:numCache>
                <c:formatCode>0.0</c:formatCode>
                <c:ptCount val="16"/>
                <c:pt idx="0">
                  <c:v>0.46668473188209741</c:v>
                </c:pt>
                <c:pt idx="1">
                  <c:v>-0.46157268379491317</c:v>
                </c:pt>
                <c:pt idx="2">
                  <c:v>0.49531003312387017</c:v>
                </c:pt>
                <c:pt idx="3">
                  <c:v>1.0955064214410246</c:v>
                </c:pt>
                <c:pt idx="4">
                  <c:v>-0.43477551457132529</c:v>
                </c:pt>
                <c:pt idx="5">
                  <c:v>-8.2653412292815628E-2</c:v>
                </c:pt>
                <c:pt idx="6">
                  <c:v>0.17424975798643627</c:v>
                </c:pt>
                <c:pt idx="7">
                  <c:v>0.53125962426855433</c:v>
                </c:pt>
                <c:pt idx="8">
                  <c:v>0.4452267550217508</c:v>
                </c:pt>
                <c:pt idx="9">
                  <c:v>0.31769363901467662</c:v>
                </c:pt>
                <c:pt idx="10">
                  <c:v>0.37441716268589137</c:v>
                </c:pt>
                <c:pt idx="11">
                  <c:v>0.32332107581403829</c:v>
                </c:pt>
                <c:pt idx="12">
                  <c:v>0.37604522895516257</c:v>
                </c:pt>
                <c:pt idx="13">
                  <c:v>-0.57557094156431787</c:v>
                </c:pt>
                <c:pt idx="14">
                  <c:v>0.78502585428938476</c:v>
                </c:pt>
                <c:pt idx="15">
                  <c:v>2.1808038994090801</c:v>
                </c:pt>
              </c:numCache>
            </c:numRef>
          </c:val>
          <c:extLst>
            <c:ext xmlns:c16="http://schemas.microsoft.com/office/drawing/2014/chart" uri="{C3380CC4-5D6E-409C-BE32-E72D297353CC}">
              <c16:uniqueId val="{00000000-16FB-4D4B-84D9-E316447A3F10}"/>
            </c:ext>
          </c:extLst>
        </c:ser>
        <c:ser>
          <c:idx val="3"/>
          <c:order val="2"/>
          <c:tx>
            <c:strRef>
              <c:f>'G1-SR-příjmy-příspěvky'!$A$31</c:f>
              <c:strCache>
                <c:ptCount val="1"/>
                <c:pt idx="0">
                  <c:v>Daně z příjmů fyzických osob</c:v>
                </c:pt>
              </c:strCache>
            </c:strRef>
          </c:tx>
          <c:spPr>
            <a:solidFill>
              <a:srgbClr val="EA6C75"/>
            </a:solidFill>
            <a:ln w="19050">
              <a:noFill/>
              <a:prstDash val="sysDot"/>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'G1-SR-příjmy-příspěvky'!$E$31:$T$31</c:f>
              <c:numCache>
                <c:formatCode>0.0</c:formatCode>
                <c:ptCount val="16"/>
                <c:pt idx="0">
                  <c:v>-0.3763586547436259</c:v>
                </c:pt>
                <c:pt idx="1">
                  <c:v>-2.6470915359804263</c:v>
                </c:pt>
                <c:pt idx="2">
                  <c:v>0.47364021917469201</c:v>
                </c:pt>
                <c:pt idx="3">
                  <c:v>-0.13443551385830171</c:v>
                </c:pt>
                <c:pt idx="4">
                  <c:v>0.76868928621709276</c:v>
                </c:pt>
                <c:pt idx="5">
                  <c:v>0.58399074131873752</c:v>
                </c:pt>
                <c:pt idx="6">
                  <c:v>1.3331489420550413</c:v>
                </c:pt>
                <c:pt idx="7">
                  <c:v>-0.27717893440098468</c:v>
                </c:pt>
                <c:pt idx="8">
                  <c:v>2.7153655001035397</c:v>
                </c:pt>
                <c:pt idx="9">
                  <c:v>2.0958296782759192</c:v>
                </c:pt>
                <c:pt idx="10">
                  <c:v>2.6381964014740942</c:v>
                </c:pt>
                <c:pt idx="11">
                  <c:v>2.871775803257643</c:v>
                </c:pt>
                <c:pt idx="12">
                  <c:v>-3.7310659863948681</c:v>
                </c:pt>
                <c:pt idx="13">
                  <c:v>-4.8292639350837536</c:v>
                </c:pt>
                <c:pt idx="14">
                  <c:v>2.498181077988765</c:v>
                </c:pt>
                <c:pt idx="15">
                  <c:v>3.6561447845365653</c:v>
                </c:pt>
              </c:numCache>
            </c:numRef>
          </c:val>
          <c:extLst>
            <c:ext xmlns:c16="http://schemas.microsoft.com/office/drawing/2014/chart" uri="{C3380CC4-5D6E-409C-BE32-E72D297353CC}">
              <c16:uniqueId val="{00000001-16FB-4D4B-84D9-E316447A3F10}"/>
            </c:ext>
          </c:extLst>
        </c:ser>
        <c:ser>
          <c:idx val="4"/>
          <c:order val="3"/>
          <c:tx>
            <c:strRef>
              <c:f>'G1-SR-příjmy-příspěvky'!$A$32</c:f>
              <c:strCache>
                <c:ptCount val="1"/>
                <c:pt idx="0">
                  <c:v>Daně z příjmů právnických osob</c:v>
                </c:pt>
              </c:strCache>
            </c:strRef>
          </c:tx>
          <c:spPr>
            <a:solidFill>
              <a:schemeClr val="accent6">
                <a:lumMod val="60000"/>
                <a:lumOff val="40000"/>
              </a:schemeClr>
            </a:solidFill>
            <a:ln w="19050">
              <a:noFill/>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'G1-SR-příjmy-příspěvky'!$E$32:$T$32</c:f>
              <c:numCache>
                <c:formatCode>0.0</c:formatCode>
                <c:ptCount val="16"/>
                <c:pt idx="0">
                  <c:v>5.913347183331835</c:v>
                </c:pt>
                <c:pt idx="1">
                  <c:v>-5.8002446891335824</c:v>
                </c:pt>
                <c:pt idx="2">
                  <c:v>2.2877132154908217</c:v>
                </c:pt>
                <c:pt idx="3">
                  <c:v>-3.0948771488229756</c:v>
                </c:pt>
                <c:pt idx="4">
                  <c:v>-0.35196395889060872</c:v>
                </c:pt>
                <c:pt idx="5">
                  <c:v>-0.52038778929392226</c:v>
                </c:pt>
                <c:pt idx="6">
                  <c:v>1.5378232609597577</c:v>
                </c:pt>
                <c:pt idx="7">
                  <c:v>1.545015912124013</c:v>
                </c:pt>
                <c:pt idx="8">
                  <c:v>2.3012010768275002</c:v>
                </c:pt>
                <c:pt idx="9">
                  <c:v>1.5576471703928501</c:v>
                </c:pt>
                <c:pt idx="10">
                  <c:v>-1.5174506828525799E-2</c:v>
                </c:pt>
                <c:pt idx="11">
                  <c:v>1.196403404196051</c:v>
                </c:pt>
                <c:pt idx="12">
                  <c:v>-4.739051072241133</c:v>
                </c:pt>
                <c:pt idx="13">
                  <c:v>8.0545419061014698</c:v>
                </c:pt>
                <c:pt idx="14">
                  <c:v>3.4196071209305683</c:v>
                </c:pt>
                <c:pt idx="15">
                  <c:v>5.00899869514065</c:v>
                </c:pt>
              </c:numCache>
            </c:numRef>
          </c:val>
          <c:extLst>
            <c:ext xmlns:c16="http://schemas.microsoft.com/office/drawing/2014/chart" uri="{C3380CC4-5D6E-409C-BE32-E72D297353CC}">
              <c16:uniqueId val="{00000002-16FB-4D4B-84D9-E316447A3F10}"/>
            </c:ext>
          </c:extLst>
        </c:ser>
        <c:ser>
          <c:idx val="2"/>
          <c:order val="4"/>
          <c:tx>
            <c:strRef>
              <c:f>'G1-SR-příjmy-příspěvky'!$A$33</c:f>
              <c:strCache>
                <c:ptCount val="1"/>
                <c:pt idx="0">
                  <c:v>Spotřební daň</c:v>
                </c:pt>
              </c:strCache>
            </c:strRef>
          </c:tx>
          <c:spPr>
            <a:solidFill>
              <a:schemeClr val="accent5">
                <a:lumMod val="40000"/>
                <a:lumOff val="60000"/>
              </a:schemeClr>
            </a:solidFill>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'G1-SR-příjmy-příspěvky'!$E$33:$T$33</c:f>
              <c:numCache>
                <c:formatCode>0.0</c:formatCode>
                <c:ptCount val="16"/>
                <c:pt idx="0">
                  <c:v>0.59615210911390337</c:v>
                </c:pt>
                <c:pt idx="1">
                  <c:v>-0.7841174507841181</c:v>
                </c:pt>
                <c:pt idx="2">
                  <c:v>2.1855555211590265</c:v>
                </c:pt>
                <c:pt idx="3">
                  <c:v>1.2127799548067872</c:v>
                </c:pt>
                <c:pt idx="4">
                  <c:v>-0.51809094748697671</c:v>
                </c:pt>
                <c:pt idx="5">
                  <c:v>-0.60422804423572263</c:v>
                </c:pt>
                <c:pt idx="6">
                  <c:v>1.9416401604204101</c:v>
                </c:pt>
                <c:pt idx="7">
                  <c:v>-0.71604558053587786</c:v>
                </c:pt>
                <c:pt idx="8">
                  <c:v>1.4107475667840155</c:v>
                </c:pt>
                <c:pt idx="9">
                  <c:v>0.14462173119324545</c:v>
                </c:pt>
                <c:pt idx="10">
                  <c:v>0.15174506828528178</c:v>
                </c:pt>
                <c:pt idx="11">
                  <c:v>0.59514445319462672</c:v>
                </c:pt>
                <c:pt idx="12">
                  <c:v>-1.01914715114842</c:v>
                </c:pt>
                <c:pt idx="13">
                  <c:v>-1.7143225663620505</c:v>
                </c:pt>
                <c:pt idx="14">
                  <c:v>2.2001267292613389</c:v>
                </c:pt>
                <c:pt idx="15">
                  <c:v>-1.0170175871507843</c:v>
                </c:pt>
              </c:numCache>
            </c:numRef>
          </c:val>
          <c:extLst>
            <c:ext xmlns:c16="http://schemas.microsoft.com/office/drawing/2014/chart" uri="{C3380CC4-5D6E-409C-BE32-E72D297353CC}">
              <c16:uniqueId val="{00000003-16FB-4D4B-84D9-E316447A3F10}"/>
            </c:ext>
          </c:extLst>
        </c:ser>
        <c:ser>
          <c:idx val="5"/>
          <c:order val="5"/>
          <c:tx>
            <c:strRef>
              <c:f>'G1-SR-příjmy-příspěvky'!$A$34</c:f>
              <c:strCache>
                <c:ptCount val="1"/>
                <c:pt idx="0">
                  <c:v>DPH</c:v>
                </c:pt>
              </c:strCache>
            </c:strRef>
          </c:tx>
          <c:spPr>
            <a:solidFill>
              <a:srgbClr val="92D050"/>
            </a:solidFill>
            <a:ln>
              <a:noFill/>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'G1-SR-příjmy-příspěvky'!$E$34:$T$34</c:f>
              <c:numCache>
                <c:formatCode>0.0</c:formatCode>
                <c:ptCount val="16"/>
                <c:pt idx="0">
                  <c:v>1.6830759040134924</c:v>
                </c:pt>
                <c:pt idx="1">
                  <c:v>-0.48659770881993442</c:v>
                </c:pt>
                <c:pt idx="2">
                  <c:v>2.7861189363217047</c:v>
                </c:pt>
                <c:pt idx="3">
                  <c:v>2.5056491519121336</c:v>
                </c:pt>
                <c:pt idx="4">
                  <c:v>-2.0695480782767839</c:v>
                </c:pt>
                <c:pt idx="5">
                  <c:v>5.148948070735984</c:v>
                </c:pt>
                <c:pt idx="6">
                  <c:v>2.7824643894343817</c:v>
                </c:pt>
                <c:pt idx="7">
                  <c:v>-1.9351195975772466</c:v>
                </c:pt>
                <c:pt idx="8">
                  <c:v>2.3089666597639278</c:v>
                </c:pt>
                <c:pt idx="9">
                  <c:v>5.2514284359515502</c:v>
                </c:pt>
                <c:pt idx="10">
                  <c:v>3.210492087578587</c:v>
                </c:pt>
                <c:pt idx="11">
                  <c:v>1.1536019195484919</c:v>
                </c:pt>
                <c:pt idx="12">
                  <c:v>-2.336937549422708</c:v>
                </c:pt>
                <c:pt idx="13">
                  <c:v>3.7083912152981693</c:v>
                </c:pt>
                <c:pt idx="14">
                  <c:v>9.7528438385958296</c:v>
                </c:pt>
                <c:pt idx="15">
                  <c:v>2.6897010351263337</c:v>
                </c:pt>
              </c:numCache>
            </c:numRef>
          </c:val>
          <c:extLst>
            <c:ext xmlns:c16="http://schemas.microsoft.com/office/drawing/2014/chart" uri="{C3380CC4-5D6E-409C-BE32-E72D297353CC}">
              <c16:uniqueId val="{00000004-16FB-4D4B-84D9-E316447A3F10}"/>
            </c:ext>
          </c:extLst>
        </c:ser>
        <c:dLbls>
          <c:showLegendKey val="0"/>
          <c:showVal val="0"/>
          <c:showCatName val="0"/>
          <c:showSerName val="0"/>
          <c:showPercent val="0"/>
          <c:showBubbleSize val="0"/>
        </c:dLbls>
        <c:gapWidth val="105"/>
        <c:overlap val="100"/>
        <c:axId val="125014400"/>
        <c:axId val="125016320"/>
      </c:barChart>
      <c:lineChart>
        <c:grouping val="standard"/>
        <c:varyColors val="0"/>
        <c:ser>
          <c:idx val="0"/>
          <c:order val="0"/>
          <c:tx>
            <c:strRef>
              <c:f>'G1-SR-příjmy-příspěvky'!$A$29</c:f>
              <c:strCache>
                <c:ptCount val="1"/>
                <c:pt idx="0">
                  <c:v>Celkové daň. příjmy (bez pojistného na SZ)</c:v>
                </c:pt>
              </c:strCache>
            </c:strRef>
          </c:tx>
          <c:spPr>
            <a:ln w="19050">
              <a:noFill/>
            </a:ln>
          </c:spPr>
          <c:marker>
            <c:symbol val="circle"/>
            <c:size val="6"/>
            <c:spPr>
              <a:solidFill>
                <a:schemeClr val="bg1"/>
              </a:solidFill>
              <a:ln>
                <a:solidFill>
                  <a:schemeClr val="tx1">
                    <a:lumMod val="95000"/>
                    <a:lumOff val="5000"/>
                  </a:schemeClr>
                </a:solidFill>
              </a:ln>
            </c:spPr>
          </c:marker>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'G1-SR-příjmy-příspěvky'!$E$29:$T$29</c:f>
              <c:numCache>
                <c:formatCode>0.0</c:formatCode>
                <c:ptCount val="16"/>
                <c:pt idx="0">
                  <c:v>8.2829012735976733</c:v>
                </c:pt>
                <c:pt idx="1">
                  <c:v>-10.179624068512966</c:v>
                </c:pt>
                <c:pt idx="2">
                  <c:v>8.2283379252700986</c:v>
                </c:pt>
                <c:pt idx="3">
                  <c:v>1.5846228654786643</c:v>
                </c:pt>
                <c:pt idx="4">
                  <c:v>-2.6056892130086027</c:v>
                </c:pt>
                <c:pt idx="5">
                  <c:v>4.525669566232267</c:v>
                </c:pt>
                <c:pt idx="6">
                  <c:v>7.7693265108560166</c:v>
                </c:pt>
                <c:pt idx="7">
                  <c:v>-0.85206857612153941</c:v>
                </c:pt>
                <c:pt idx="8">
                  <c:v>9.1815075585007477</c:v>
                </c:pt>
                <c:pt idx="9">
                  <c:v>9.3672206548282375</c:v>
                </c:pt>
                <c:pt idx="10">
                  <c:v>6.3596762131953142</c:v>
                </c:pt>
                <c:pt idx="11">
                  <c:v>6.1402466560108495</c:v>
                </c:pt>
                <c:pt idx="12">
                  <c:v>-11.450156530251975</c:v>
                </c:pt>
                <c:pt idx="13">
                  <c:v>4.643775678389515</c:v>
                </c:pt>
                <c:pt idx="14">
                  <c:v>18.655784621065884</c:v>
                </c:pt>
                <c:pt idx="15">
                  <c:v>12.518630827061839</c:v>
                </c:pt>
              </c:numCache>
            </c:numRef>
          </c:val>
          <c:smooth val="0"/>
          <c:extLst>
            <c:ext xmlns:c16="http://schemas.microsoft.com/office/drawing/2014/chart" uri="{C3380CC4-5D6E-409C-BE32-E72D297353CC}">
              <c16:uniqueId val="{00000005-16FB-4D4B-84D9-E316447A3F10}"/>
            </c:ext>
          </c:extLst>
        </c:ser>
        <c:dLbls>
          <c:showLegendKey val="0"/>
          <c:showVal val="0"/>
          <c:showCatName val="0"/>
          <c:showSerName val="0"/>
          <c:showPercent val="0"/>
          <c:showBubbleSize val="0"/>
        </c:dLbls>
        <c:marker val="1"/>
        <c:smooth val="0"/>
        <c:axId val="125014400"/>
        <c:axId val="125016320"/>
      </c:lineChart>
      <c:lineChart>
        <c:grouping val="standard"/>
        <c:varyColors val="0"/>
        <c:ser>
          <c:idx val="6"/>
          <c:order val="6"/>
          <c:tx>
            <c:strRef>
              <c:f>'G1-SR-příjmy-příspěvky'!$A$35</c:f>
              <c:strCache>
                <c:ptCount val="1"/>
                <c:pt idx="0">
                  <c:v>Saldo státního rozpočtu (pravá osa)</c:v>
                </c:pt>
              </c:strCache>
            </c:strRef>
          </c:tx>
          <c:spPr>
            <a:ln w="19050">
              <a:solidFill>
                <a:schemeClr val="tx1">
                  <a:lumMod val="65000"/>
                  <a:lumOff val="35000"/>
                </a:schemeClr>
              </a:solidFill>
            </a:ln>
          </c:spPr>
          <c:marker>
            <c:symbol val="none"/>
          </c:marker>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'G1-SR-příjmy-příspěvky'!$E$35:$T$35</c:f>
              <c:numCache>
                <c:formatCode>#\ ##0.0</c:formatCode>
                <c:ptCount val="16"/>
                <c:pt idx="0">
                  <c:v>-5.6519999999999975</c:v>
                </c:pt>
                <c:pt idx="1">
                  <c:v>-68.259</c:v>
                </c:pt>
                <c:pt idx="2">
                  <c:v>-75.661999999999992</c:v>
                </c:pt>
                <c:pt idx="3">
                  <c:v>-62.856000000000002</c:v>
                </c:pt>
                <c:pt idx="4">
                  <c:v>-71.721999999999994</c:v>
                </c:pt>
                <c:pt idx="5">
                  <c:v>-31.52</c:v>
                </c:pt>
                <c:pt idx="6">
                  <c:v>1.45</c:v>
                </c:pt>
                <c:pt idx="7">
                  <c:v>22.650000000000013</c:v>
                </c:pt>
                <c:pt idx="8">
                  <c:v>40.65</c:v>
                </c:pt>
                <c:pt idx="9">
                  <c:v>4.6199999999999966</c:v>
                </c:pt>
                <c:pt idx="10">
                  <c:v>-5.88</c:v>
                </c:pt>
                <c:pt idx="11">
                  <c:v>-20.68</c:v>
                </c:pt>
                <c:pt idx="12">
                  <c:v>-195.24722774568033</c:v>
                </c:pt>
                <c:pt idx="13">
                  <c:v>-265.05468517271026</c:v>
                </c:pt>
                <c:pt idx="14">
                  <c:v>-182.95611616665985</c:v>
                </c:pt>
                <c:pt idx="15">
                  <c:v>-215.35088808858023</c:v>
                </c:pt>
              </c:numCache>
            </c:numRef>
          </c:val>
          <c:smooth val="0"/>
          <c:extLst>
            <c:ext xmlns:c16="http://schemas.microsoft.com/office/drawing/2014/chart" uri="{C3380CC4-5D6E-409C-BE32-E72D297353CC}">
              <c16:uniqueId val="{00000006-16FB-4D4B-84D9-E316447A3F10}"/>
            </c:ext>
          </c:extLst>
        </c:ser>
        <c:ser>
          <c:idx val="7"/>
          <c:order val="7"/>
          <c:tx>
            <c:strRef>
              <c:f>'G1-SR-příjmy-příspěvky'!$A$36</c:f>
              <c:strCache>
                <c:ptCount val="1"/>
                <c:pt idx="0">
                  <c:v>Saldo SR očištěné o vliv EU a FM* (pr. osa)</c:v>
                </c:pt>
              </c:strCache>
            </c:strRef>
          </c:tx>
          <c:spPr>
            <a:ln w="19050">
              <a:solidFill>
                <a:schemeClr val="bg1">
                  <a:lumMod val="50000"/>
                </a:schemeClr>
              </a:solidFill>
              <a:prstDash val="sysDash"/>
            </a:ln>
          </c:spPr>
          <c:marker>
            <c:symbol val="none"/>
          </c:marker>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'G1-SR-příjmy-příspěvky'!$E$36:$T$36</c:f>
              <c:numCache>
                <c:formatCode>General</c:formatCode>
                <c:ptCount val="16"/>
                <c:pt idx="5" formatCode="#\ ##0.0">
                  <c:v>-69.3</c:v>
                </c:pt>
                <c:pt idx="6" formatCode="#\ ##0.0">
                  <c:v>-42.6</c:v>
                </c:pt>
                <c:pt idx="7" formatCode="#\ ##0.0">
                  <c:v>-47.7</c:v>
                </c:pt>
                <c:pt idx="8" formatCode="#\ ##0.0">
                  <c:v>-30.8</c:v>
                </c:pt>
                <c:pt idx="9" formatCode="#\ ##0.0">
                  <c:v>-13.2</c:v>
                </c:pt>
                <c:pt idx="10" formatCode="#\ ##0.0">
                  <c:v>-28.4</c:v>
                </c:pt>
                <c:pt idx="11" formatCode="#\ ##0.0">
                  <c:v>-22.810324545670142</c:v>
                </c:pt>
                <c:pt idx="12" formatCode="#\ ##0.0">
                  <c:v>-195.76510804611019</c:v>
                </c:pt>
                <c:pt idx="13" formatCode="#\ ##0.0">
                  <c:v>-269.57233075196973</c:v>
                </c:pt>
                <c:pt idx="14" formatCode="#\ ##0.0">
                  <c:v>-182.84126075267989</c:v>
                </c:pt>
                <c:pt idx="15" formatCode="#\ ##0.0">
                  <c:v>-251.4076983125903</c:v>
                </c:pt>
              </c:numCache>
            </c:numRef>
          </c:val>
          <c:smooth val="0"/>
          <c:extLst>
            <c:ext xmlns:c16="http://schemas.microsoft.com/office/drawing/2014/chart" uri="{C3380CC4-5D6E-409C-BE32-E72D297353CC}">
              <c16:uniqueId val="{00000007-16FB-4D4B-84D9-E316447A3F10}"/>
            </c:ext>
          </c:extLst>
        </c:ser>
        <c:dLbls>
          <c:showLegendKey val="0"/>
          <c:showVal val="0"/>
          <c:showCatName val="0"/>
          <c:showSerName val="0"/>
          <c:showPercent val="0"/>
          <c:showBubbleSize val="0"/>
        </c:dLbls>
        <c:marker val="1"/>
        <c:smooth val="0"/>
        <c:axId val="125069952"/>
        <c:axId val="125068032"/>
      </c:lineChart>
      <c:catAx>
        <c:axId val="125014400"/>
        <c:scaling>
          <c:orientation val="minMax"/>
        </c:scaling>
        <c:delete val="0"/>
        <c:axPos val="b"/>
        <c:numFmt formatCode="General" sourceLinked="1"/>
        <c:majorTickMark val="out"/>
        <c:minorTickMark val="none"/>
        <c:tickLblPos val="low"/>
        <c:spPr>
          <a:ln w="6350">
            <a:solidFill>
              <a:schemeClr val="tx1"/>
            </a:solidFill>
          </a:ln>
        </c:spPr>
        <c:txPr>
          <a:bodyPr rot="-2220000"/>
          <a:lstStyle/>
          <a:p>
            <a:pPr>
              <a:defRPr sz="800" b="0" i="0"/>
            </a:pPr>
            <a:endParaRPr lang="cs-CZ"/>
          </a:p>
        </c:txPr>
        <c:crossAx val="125016320"/>
        <c:crosses val="autoZero"/>
        <c:auto val="1"/>
        <c:lblAlgn val="ctr"/>
        <c:lblOffset val="0"/>
        <c:noMultiLvlLbl val="0"/>
      </c:catAx>
      <c:valAx>
        <c:axId val="125016320"/>
        <c:scaling>
          <c:orientation val="minMax"/>
          <c:max val="20"/>
          <c:min val="-28"/>
        </c:scaling>
        <c:delete val="0"/>
        <c:axPos val="l"/>
        <c:majorGridlines>
          <c:spPr>
            <a:ln w="6350">
              <a:solidFill>
                <a:schemeClr val="bg1">
                  <a:lumMod val="75000"/>
                </a:schemeClr>
              </a:solidFill>
            </a:ln>
          </c:spPr>
        </c:majorGridlines>
        <c:title>
          <c:tx>
            <c:rich>
              <a:bodyPr/>
              <a:lstStyle/>
              <a:p>
                <a:pPr>
                  <a:defRPr b="0"/>
                </a:pPr>
                <a:r>
                  <a:rPr lang="cs-CZ" b="0"/>
                  <a:t>Příspěvek k růstu celkových daňových příjmů</a:t>
                </a:r>
              </a:p>
            </c:rich>
          </c:tx>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125014400"/>
        <c:crosses val="autoZero"/>
        <c:crossBetween val="between"/>
        <c:majorUnit val="4"/>
      </c:valAx>
      <c:valAx>
        <c:axId val="125068032"/>
        <c:scaling>
          <c:orientation val="minMax"/>
          <c:max val="200"/>
          <c:min val="-280"/>
        </c:scaling>
        <c:delete val="0"/>
        <c:axPos val="r"/>
        <c:title>
          <c:tx>
            <c:rich>
              <a:bodyPr/>
              <a:lstStyle/>
              <a:p>
                <a:pPr>
                  <a:defRPr b="0"/>
                </a:pPr>
                <a:r>
                  <a:rPr lang="cs-CZ" b="0"/>
                  <a:t>Saldo státního rozpočtu</a:t>
                </a:r>
              </a:p>
            </c:rich>
          </c:tx>
          <c:layout>
            <c:manualLayout>
              <c:xMode val="edge"/>
              <c:yMode val="edge"/>
              <c:x val="0.97036646544776517"/>
              <c:y val="0.20963215506367219"/>
            </c:manualLayout>
          </c:layout>
          <c:overlay val="0"/>
        </c:title>
        <c:numFmt formatCode="#,##0" sourceLinked="0"/>
        <c:majorTickMark val="out"/>
        <c:minorTickMark val="none"/>
        <c:tickLblPos val="nextTo"/>
        <c:txPr>
          <a:bodyPr/>
          <a:lstStyle/>
          <a:p>
            <a:pPr>
              <a:defRPr sz="800" b="0" i="0"/>
            </a:pPr>
            <a:endParaRPr lang="cs-CZ"/>
          </a:p>
        </c:txPr>
        <c:crossAx val="125069952"/>
        <c:crosses val="max"/>
        <c:crossBetween val="between"/>
        <c:majorUnit val="40"/>
      </c:valAx>
      <c:catAx>
        <c:axId val="125069952"/>
        <c:scaling>
          <c:orientation val="minMax"/>
        </c:scaling>
        <c:delete val="1"/>
        <c:axPos val="b"/>
        <c:numFmt formatCode="General" sourceLinked="1"/>
        <c:majorTickMark val="out"/>
        <c:minorTickMark val="none"/>
        <c:tickLblPos val="none"/>
        <c:crossAx val="125068032"/>
        <c:crosses val="autoZero"/>
        <c:auto val="1"/>
        <c:lblAlgn val="ctr"/>
        <c:lblOffset val="100"/>
        <c:noMultiLvlLbl val="0"/>
      </c:catAx>
      <c:spPr>
        <a:ln w="6350">
          <a:solidFill>
            <a:schemeClr val="tx1"/>
          </a:solidFill>
        </a:ln>
      </c:spPr>
    </c:plotArea>
    <c:legend>
      <c:legendPos val="b"/>
      <c:layout>
        <c:manualLayout>
          <c:xMode val="edge"/>
          <c:yMode val="edge"/>
          <c:x val="1.6002535606353459E-2"/>
          <c:y val="0.86475571084322012"/>
          <c:w val="0.96733761965525111"/>
          <c:h val="0.1242422828760682"/>
        </c:manualLayout>
      </c:layout>
      <c:overlay val="0"/>
      <c:spPr>
        <a:ln w="6350">
          <a:solidFill>
            <a:schemeClr val="tx1"/>
          </a:solidFill>
        </a:ln>
      </c:spPr>
      <c:txPr>
        <a:bodyPr/>
        <a:lstStyle/>
        <a:p>
          <a:pPr>
            <a:defRPr sz="75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88575647382449E-2"/>
          <c:y val="2.1433051007174374E-2"/>
          <c:w val="0.8431399757009802"/>
          <c:h val="0.70569386992454641"/>
        </c:manualLayout>
      </c:layout>
      <c:barChart>
        <c:barDir val="col"/>
        <c:grouping val="clustered"/>
        <c:varyColors val="0"/>
        <c:ser>
          <c:idx val="0"/>
          <c:order val="0"/>
          <c:tx>
            <c:strRef>
              <c:f>'G2-St.rozpočet-výdaje'!$B$31</c:f>
              <c:strCache>
                <c:ptCount val="1"/>
                <c:pt idx="0">
                  <c:v>Běžné výdaje celkem (pravá osa)</c:v>
                </c:pt>
              </c:strCache>
            </c:strRef>
          </c:tx>
          <c:spPr>
            <a:solidFill>
              <a:schemeClr val="bg1">
                <a:lumMod val="9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'G2-St.rozpočet-výdaje'!$B$35:$B$50</c:f>
              <c:numCache>
                <c:formatCode>0.0</c:formatCode>
                <c:ptCount val="16"/>
                <c:pt idx="0">
                  <c:v>488.71899999999965</c:v>
                </c:pt>
                <c:pt idx="1">
                  <c:v>523.79999999999995</c:v>
                </c:pt>
                <c:pt idx="2">
                  <c:v>527.73400000000004</c:v>
                </c:pt>
                <c:pt idx="3">
                  <c:v>523.22</c:v>
                </c:pt>
                <c:pt idx="4">
                  <c:v>534.4299999999995</c:v>
                </c:pt>
                <c:pt idx="5">
                  <c:v>544.65</c:v>
                </c:pt>
                <c:pt idx="6">
                  <c:v>552.71100000000001</c:v>
                </c:pt>
                <c:pt idx="7">
                  <c:v>564.13</c:v>
                </c:pt>
                <c:pt idx="8">
                  <c:v>575.57000000000005</c:v>
                </c:pt>
                <c:pt idx="9">
                  <c:v>609.53</c:v>
                </c:pt>
                <c:pt idx="10">
                  <c:v>660.76</c:v>
                </c:pt>
                <c:pt idx="11">
                  <c:v>718.74153402591969</c:v>
                </c:pt>
                <c:pt idx="12">
                  <c:v>829.93717826878003</c:v>
                </c:pt>
                <c:pt idx="13">
                  <c:v>918.12541435127969</c:v>
                </c:pt>
                <c:pt idx="14">
                  <c:v>901.89641601966002</c:v>
                </c:pt>
                <c:pt idx="15">
                  <c:v>1053.5517284801001</c:v>
                </c:pt>
              </c:numCache>
            </c:numRef>
          </c:val>
          <c:extLst>
            <c:ext xmlns:c16="http://schemas.microsoft.com/office/drawing/2014/chart" uri="{C3380CC4-5D6E-409C-BE32-E72D297353CC}">
              <c16:uniqueId val="{00000000-0020-4EA5-8D20-81D025182175}"/>
            </c:ext>
          </c:extLst>
        </c:ser>
        <c:ser>
          <c:idx val="1"/>
          <c:order val="1"/>
          <c:tx>
            <c:strRef>
              <c:f>'G2-St.rozpočet-výdaje'!$C$31</c:f>
              <c:strCache>
                <c:ptCount val="1"/>
                <c:pt idx="0">
                  <c:v>z toho výdaje na důchody (pr. osa)</c:v>
                </c:pt>
              </c:strCache>
            </c:strRef>
          </c:tx>
          <c:spPr>
            <a:solidFill>
              <a:schemeClr val="bg1">
                <a:lumMod val="7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'G2-St.rozpočet-výdaje'!$C$35:$C$50</c:f>
              <c:numCache>
                <c:formatCode>0.0</c:formatCode>
                <c:ptCount val="16"/>
                <c:pt idx="0">
                  <c:v>147.84300000000002</c:v>
                </c:pt>
                <c:pt idx="1">
                  <c:v>165.148</c:v>
                </c:pt>
                <c:pt idx="2">
                  <c:v>169.67399999999998</c:v>
                </c:pt>
                <c:pt idx="3">
                  <c:v>181.59700000000001</c:v>
                </c:pt>
                <c:pt idx="4">
                  <c:v>187.47399999999999</c:v>
                </c:pt>
                <c:pt idx="5">
                  <c:v>184.07900000000001</c:v>
                </c:pt>
                <c:pt idx="6">
                  <c:v>184.58800000000011</c:v>
                </c:pt>
                <c:pt idx="7">
                  <c:v>189.53800000000001</c:v>
                </c:pt>
                <c:pt idx="8">
                  <c:v>197.32600000000011</c:v>
                </c:pt>
                <c:pt idx="9">
                  <c:v>210.6</c:v>
                </c:pt>
                <c:pt idx="10">
                  <c:v>218.4</c:v>
                </c:pt>
                <c:pt idx="11">
                  <c:v>234.8</c:v>
                </c:pt>
                <c:pt idx="12">
                  <c:v>253.4</c:v>
                </c:pt>
                <c:pt idx="13">
                  <c:v>267.63183364663979</c:v>
                </c:pt>
                <c:pt idx="14">
                  <c:v>285.69003688876995</c:v>
                </c:pt>
                <c:pt idx="15">
                  <c:v>342.15011523327979</c:v>
                </c:pt>
              </c:numCache>
            </c:numRef>
          </c:val>
          <c:extLst>
            <c:ext xmlns:c16="http://schemas.microsoft.com/office/drawing/2014/chart" uri="{C3380CC4-5D6E-409C-BE32-E72D297353CC}">
              <c16:uniqueId val="{00000001-0020-4EA5-8D20-81D025182175}"/>
            </c:ext>
          </c:extLst>
        </c:ser>
        <c:dLbls>
          <c:showLegendKey val="0"/>
          <c:showVal val="0"/>
          <c:showCatName val="0"/>
          <c:showSerName val="0"/>
          <c:showPercent val="0"/>
          <c:showBubbleSize val="0"/>
        </c:dLbls>
        <c:gapWidth val="82"/>
        <c:overlap val="100"/>
        <c:axId val="85933440"/>
        <c:axId val="85931520"/>
      </c:barChart>
      <c:lineChart>
        <c:grouping val="standard"/>
        <c:varyColors val="0"/>
        <c:ser>
          <c:idx val="6"/>
          <c:order val="2"/>
          <c:tx>
            <c:strRef>
              <c:f>'G2-St.rozpočet-výdaje'!$D$31</c:f>
              <c:strCache>
                <c:ptCount val="1"/>
                <c:pt idx="0">
                  <c:v>Platy státních zaměstnanců*</c:v>
                </c:pt>
              </c:strCache>
            </c:strRef>
          </c:tx>
          <c:spPr>
            <a:ln w="15875">
              <a:solidFill>
                <a:schemeClr val="accent6">
                  <a:lumMod val="60000"/>
                  <a:lumOff val="40000"/>
                </a:schemeClr>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'G2-St.rozpočet-výdaje'!$D$35:$D$50</c:f>
              <c:numCache>
                <c:formatCode>0.0</c:formatCode>
                <c:ptCount val="16"/>
                <c:pt idx="0">
                  <c:v>37.730000000000011</c:v>
                </c:pt>
                <c:pt idx="1">
                  <c:v>38.980000000000004</c:v>
                </c:pt>
                <c:pt idx="2">
                  <c:v>39.36</c:v>
                </c:pt>
                <c:pt idx="3">
                  <c:v>35.700000000000003</c:v>
                </c:pt>
                <c:pt idx="4">
                  <c:v>36.300000000000004</c:v>
                </c:pt>
                <c:pt idx="5">
                  <c:v>36.880000000000003</c:v>
                </c:pt>
                <c:pt idx="6">
                  <c:v>38.090000000000003</c:v>
                </c:pt>
                <c:pt idx="7">
                  <c:v>41.88</c:v>
                </c:pt>
                <c:pt idx="8">
                  <c:v>43.220000000000013</c:v>
                </c:pt>
                <c:pt idx="9">
                  <c:v>46.52</c:v>
                </c:pt>
                <c:pt idx="10">
                  <c:v>53.13</c:v>
                </c:pt>
                <c:pt idx="11">
                  <c:v>57.572759809110011</c:v>
                </c:pt>
                <c:pt idx="12">
                  <c:v>60.066088983770015</c:v>
                </c:pt>
                <c:pt idx="13">
                  <c:v>60.729182157669982</c:v>
                </c:pt>
                <c:pt idx="14">
                  <c:v>60.913936425969993</c:v>
                </c:pt>
                <c:pt idx="15">
                  <c:v>67.069920296660001</c:v>
                </c:pt>
              </c:numCache>
            </c:numRef>
          </c:val>
          <c:smooth val="0"/>
          <c:extLst>
            <c:ext xmlns:c16="http://schemas.microsoft.com/office/drawing/2014/chart" uri="{C3380CC4-5D6E-409C-BE32-E72D297353CC}">
              <c16:uniqueId val="{00000002-0020-4EA5-8D20-81D025182175}"/>
            </c:ext>
          </c:extLst>
        </c:ser>
        <c:ser>
          <c:idx val="7"/>
          <c:order val="3"/>
          <c:tx>
            <c:strRef>
              <c:f>'G2-St.rozpočet-výdaje'!$E$31</c:f>
              <c:strCache>
                <c:ptCount val="1"/>
                <c:pt idx="0">
                  <c:v>Podpora v nezaměstnanosti</c:v>
                </c:pt>
              </c:strCache>
            </c:strRef>
          </c:tx>
          <c:spPr>
            <a:ln w="15875">
              <a:solidFill>
                <a:srgbClr val="996633"/>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'G2-St.rozpočet-výdaje'!$E$35:$E$50</c:f>
              <c:numCache>
                <c:formatCode>0.0</c:formatCode>
                <c:ptCount val="16"/>
                <c:pt idx="0">
                  <c:v>3.56</c:v>
                </c:pt>
                <c:pt idx="1">
                  <c:v>7.3049999999999962</c:v>
                </c:pt>
                <c:pt idx="2">
                  <c:v>7.7700000000000014</c:v>
                </c:pt>
                <c:pt idx="3">
                  <c:v>6.2279999999999962</c:v>
                </c:pt>
                <c:pt idx="4">
                  <c:v>4.8410000000000002</c:v>
                </c:pt>
                <c:pt idx="5">
                  <c:v>5.3579999999999961</c:v>
                </c:pt>
                <c:pt idx="6">
                  <c:v>5.2690000000000001</c:v>
                </c:pt>
                <c:pt idx="7">
                  <c:v>4.6149999999999958</c:v>
                </c:pt>
                <c:pt idx="8">
                  <c:v>4.4829999999999997</c:v>
                </c:pt>
                <c:pt idx="9">
                  <c:v>4.3310000000000004</c:v>
                </c:pt>
                <c:pt idx="10">
                  <c:v>3.98</c:v>
                </c:pt>
                <c:pt idx="11">
                  <c:v>4.2361097359900031</c:v>
                </c:pt>
                <c:pt idx="12">
                  <c:v>5.1359402661699924</c:v>
                </c:pt>
                <c:pt idx="13">
                  <c:v>5.4746733001600036</c:v>
                </c:pt>
                <c:pt idx="14">
                  <c:v>5.0541544272099905</c:v>
                </c:pt>
                <c:pt idx="15">
                  <c:v>5.391785374559996</c:v>
                </c:pt>
              </c:numCache>
            </c:numRef>
          </c:val>
          <c:smooth val="0"/>
          <c:extLst>
            <c:ext xmlns:c16="http://schemas.microsoft.com/office/drawing/2014/chart" uri="{C3380CC4-5D6E-409C-BE32-E72D297353CC}">
              <c16:uniqueId val="{00000003-0020-4EA5-8D20-81D025182175}"/>
            </c:ext>
          </c:extLst>
        </c:ser>
        <c:ser>
          <c:idx val="2"/>
          <c:order val="4"/>
          <c:tx>
            <c:strRef>
              <c:f>'G2-St.rozpočet-výdaje'!$F$31</c:f>
              <c:strCache>
                <c:ptCount val="1"/>
                <c:pt idx="0">
                  <c:v>Státní sociální podpora**</c:v>
                </c:pt>
              </c:strCache>
            </c:strRef>
          </c:tx>
          <c:spPr>
            <a:ln w="15875">
              <a:solidFill>
                <a:srgbClr val="D5D00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'G2-St.rozpočet-výdaje'!$F$35:$F$50</c:f>
              <c:numCache>
                <c:formatCode>0.0</c:formatCode>
                <c:ptCount val="16"/>
                <c:pt idx="0">
                  <c:v>21.52</c:v>
                </c:pt>
                <c:pt idx="1">
                  <c:v>20.594999999999999</c:v>
                </c:pt>
                <c:pt idx="2">
                  <c:v>20.64</c:v>
                </c:pt>
                <c:pt idx="3">
                  <c:v>18.405999999999981</c:v>
                </c:pt>
                <c:pt idx="4">
                  <c:v>17.881</c:v>
                </c:pt>
                <c:pt idx="5">
                  <c:v>18.681999999999999</c:v>
                </c:pt>
                <c:pt idx="6">
                  <c:v>18.91</c:v>
                </c:pt>
                <c:pt idx="7">
                  <c:v>18.873999999999999</c:v>
                </c:pt>
                <c:pt idx="8">
                  <c:v>18.963999999999981</c:v>
                </c:pt>
                <c:pt idx="9">
                  <c:v>18.741999999999987</c:v>
                </c:pt>
                <c:pt idx="10">
                  <c:v>19.53</c:v>
                </c:pt>
                <c:pt idx="11">
                  <c:v>19.019425010610014</c:v>
                </c:pt>
                <c:pt idx="12">
                  <c:v>25.639216971080003</c:v>
                </c:pt>
                <c:pt idx="13">
                  <c:v>24.537899226790014</c:v>
                </c:pt>
                <c:pt idx="14">
                  <c:v>24.157147190200014</c:v>
                </c:pt>
                <c:pt idx="15">
                  <c:v>29.487497482729971</c:v>
                </c:pt>
              </c:numCache>
            </c:numRef>
          </c:val>
          <c:smooth val="0"/>
          <c:extLst>
            <c:ext xmlns:c16="http://schemas.microsoft.com/office/drawing/2014/chart" uri="{C3380CC4-5D6E-409C-BE32-E72D297353CC}">
              <c16:uniqueId val="{00000004-0020-4EA5-8D20-81D025182175}"/>
            </c:ext>
          </c:extLst>
        </c:ser>
        <c:ser>
          <c:idx val="3"/>
          <c:order val="5"/>
          <c:tx>
            <c:strRef>
              <c:f>'G2-St.rozpočet-výdaje'!$G$31</c:f>
              <c:strCache>
                <c:ptCount val="1"/>
                <c:pt idx="0">
                  <c:v>Dávky nemocenského pojištění</c:v>
                </c:pt>
              </c:strCache>
            </c:strRef>
          </c:tx>
          <c:spPr>
            <a:ln w="15875">
              <a:solidFill>
                <a:srgbClr val="70BDD2"/>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'G2-St.rozpočet-výdaje'!$G$35:$G$50</c:f>
              <c:numCache>
                <c:formatCode>0.00</c:formatCode>
                <c:ptCount val="16"/>
                <c:pt idx="0">
                  <c:v>16.734000000000005</c:v>
                </c:pt>
                <c:pt idx="1">
                  <c:v>14.089</c:v>
                </c:pt>
                <c:pt idx="2">
                  <c:v>11.56</c:v>
                </c:pt>
                <c:pt idx="3">
                  <c:v>11.773</c:v>
                </c:pt>
                <c:pt idx="4">
                  <c:v>10.244</c:v>
                </c:pt>
                <c:pt idx="5">
                  <c:v>10.609</c:v>
                </c:pt>
                <c:pt idx="6">
                  <c:v>11.201000000000001</c:v>
                </c:pt>
                <c:pt idx="7">
                  <c:v>12.429</c:v>
                </c:pt>
                <c:pt idx="8">
                  <c:v>13.566000000000004</c:v>
                </c:pt>
                <c:pt idx="9">
                  <c:v>14.758000000000001</c:v>
                </c:pt>
                <c:pt idx="10">
                  <c:v>17.3</c:v>
                </c:pt>
                <c:pt idx="11">
                  <c:v>19.93</c:v>
                </c:pt>
                <c:pt idx="12">
                  <c:v>30.150000000000013</c:v>
                </c:pt>
                <c:pt idx="13">
                  <c:v>28.650000000000013</c:v>
                </c:pt>
                <c:pt idx="14">
                  <c:v>25.56</c:v>
                </c:pt>
                <c:pt idx="15">
                  <c:v>24.3</c:v>
                </c:pt>
              </c:numCache>
            </c:numRef>
          </c:val>
          <c:smooth val="0"/>
          <c:extLst>
            <c:ext xmlns:c16="http://schemas.microsoft.com/office/drawing/2014/chart" uri="{C3380CC4-5D6E-409C-BE32-E72D297353CC}">
              <c16:uniqueId val="{00000005-0020-4EA5-8D20-81D025182175}"/>
            </c:ext>
          </c:extLst>
        </c:ser>
        <c:ser>
          <c:idx val="4"/>
          <c:order val="6"/>
          <c:tx>
            <c:strRef>
              <c:f>'G2-St.rozpočet-výdaje'!$H$31</c:f>
              <c:strCache>
                <c:ptCount val="1"/>
                <c:pt idx="0">
                  <c:v>Dávky sociální péče***</c:v>
                </c:pt>
              </c:strCache>
            </c:strRef>
          </c:tx>
          <c:spPr>
            <a:ln w="15875">
              <a:solidFill>
                <a:srgbClr val="00B050"/>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'G2-St.rozpočet-výdaje'!$H$35:$H$50</c:f>
              <c:numCache>
                <c:formatCode>0.00</c:formatCode>
                <c:ptCount val="16"/>
                <c:pt idx="0">
                  <c:v>13.247</c:v>
                </c:pt>
                <c:pt idx="1">
                  <c:v>13.003</c:v>
                </c:pt>
                <c:pt idx="2">
                  <c:v>13.486000000000002</c:v>
                </c:pt>
                <c:pt idx="3">
                  <c:v>12.911000000000001</c:v>
                </c:pt>
                <c:pt idx="4">
                  <c:v>13.282</c:v>
                </c:pt>
                <c:pt idx="5">
                  <c:v>15.668000000000001</c:v>
                </c:pt>
                <c:pt idx="6">
                  <c:v>16.734999999999999</c:v>
                </c:pt>
                <c:pt idx="7">
                  <c:v>16.93</c:v>
                </c:pt>
                <c:pt idx="8">
                  <c:v>16.779999999999987</c:v>
                </c:pt>
                <c:pt idx="9">
                  <c:v>17.489999999999977</c:v>
                </c:pt>
                <c:pt idx="10">
                  <c:v>17.100000000000001</c:v>
                </c:pt>
                <c:pt idx="11">
                  <c:v>17.32</c:v>
                </c:pt>
                <c:pt idx="12">
                  <c:v>20.09</c:v>
                </c:pt>
                <c:pt idx="13">
                  <c:v>20.37</c:v>
                </c:pt>
                <c:pt idx="14">
                  <c:v>26.55</c:v>
                </c:pt>
                <c:pt idx="15">
                  <c:v>27.539400000000001</c:v>
                </c:pt>
              </c:numCache>
            </c:numRef>
          </c:val>
          <c:smooth val="0"/>
          <c:extLst>
            <c:ext xmlns:c16="http://schemas.microsoft.com/office/drawing/2014/chart" uri="{C3380CC4-5D6E-409C-BE32-E72D297353CC}">
              <c16:uniqueId val="{00000006-0020-4EA5-8D20-81D025182175}"/>
            </c:ext>
          </c:extLst>
        </c:ser>
        <c:ser>
          <c:idx val="5"/>
          <c:order val="7"/>
          <c:tx>
            <c:strRef>
              <c:f>'G2-St.rozpočet-výdaje'!$I$31</c:f>
              <c:strCache>
                <c:ptCount val="1"/>
                <c:pt idx="0">
                  <c:v>Neinv. nákupy a souvis. výdaje****</c:v>
                </c:pt>
              </c:strCache>
            </c:strRef>
          </c:tx>
          <c:spPr>
            <a:ln w="15875">
              <a:solidFill>
                <a:srgbClr val="EA6C75"/>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'G2-St.rozpočet-výdaje'!$I$35:$I$50</c:f>
              <c:numCache>
                <c:formatCode>0.0</c:formatCode>
                <c:ptCount val="16"/>
                <c:pt idx="0">
                  <c:v>31.934000000000005</c:v>
                </c:pt>
                <c:pt idx="1">
                  <c:v>32.002000000000002</c:v>
                </c:pt>
                <c:pt idx="2">
                  <c:v>31.84</c:v>
                </c:pt>
                <c:pt idx="3">
                  <c:v>29.076999999999988</c:v>
                </c:pt>
                <c:pt idx="4">
                  <c:v>26.950000000000003</c:v>
                </c:pt>
                <c:pt idx="5">
                  <c:v>23.5</c:v>
                </c:pt>
                <c:pt idx="6">
                  <c:v>22.14</c:v>
                </c:pt>
                <c:pt idx="7">
                  <c:v>25.509999999999987</c:v>
                </c:pt>
                <c:pt idx="8">
                  <c:v>25.499999999999989</c:v>
                </c:pt>
                <c:pt idx="9">
                  <c:v>29.889999999999986</c:v>
                </c:pt>
                <c:pt idx="10">
                  <c:v>30.75</c:v>
                </c:pt>
                <c:pt idx="11">
                  <c:v>27.947201055630007</c:v>
                </c:pt>
                <c:pt idx="12">
                  <c:v>35.631314475349974</c:v>
                </c:pt>
                <c:pt idx="13">
                  <c:v>32.201508781230004</c:v>
                </c:pt>
                <c:pt idx="14">
                  <c:v>39.429741521560004</c:v>
                </c:pt>
                <c:pt idx="15">
                  <c:v>33.935016863070011</c:v>
                </c:pt>
              </c:numCache>
            </c:numRef>
          </c:val>
          <c:smooth val="0"/>
          <c:extLst>
            <c:ext xmlns:c16="http://schemas.microsoft.com/office/drawing/2014/chart" uri="{C3380CC4-5D6E-409C-BE32-E72D297353CC}">
              <c16:uniqueId val="{00000007-0020-4EA5-8D20-81D025182175}"/>
            </c:ext>
          </c:extLst>
        </c:ser>
        <c:ser>
          <c:idx val="9"/>
          <c:order val="8"/>
          <c:tx>
            <c:strRef>
              <c:f>'G2-St.rozpočet-výdaje'!$J$31</c:f>
              <c:strCache>
                <c:ptCount val="1"/>
                <c:pt idx="0">
                  <c:v>Státní dluh (čisté výdaje)*****</c:v>
                </c:pt>
              </c:strCache>
            </c:strRef>
          </c:tx>
          <c:spPr>
            <a:ln w="3175">
              <a:solidFill>
                <a:srgbClr val="7030A0"/>
              </a:solidFill>
              <a:prstDash val="dash"/>
            </a:ln>
          </c:spPr>
          <c:marker>
            <c:symbol val="square"/>
            <c:size val="5"/>
            <c:spPr>
              <a:solidFill>
                <a:schemeClr val="bg1"/>
              </a:solidFill>
              <a:ln>
                <a:solidFill>
                  <a:srgbClr val="7030A0"/>
                </a:solid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'G2-St.rozpočet-výdaje'!$J$35:$J$50</c:f>
              <c:numCache>
                <c:formatCode>0.0</c:formatCode>
                <c:ptCount val="16"/>
                <c:pt idx="0">
                  <c:v>16.5</c:v>
                </c:pt>
                <c:pt idx="1">
                  <c:v>25.770000000000003</c:v>
                </c:pt>
                <c:pt idx="2">
                  <c:v>21.27</c:v>
                </c:pt>
                <c:pt idx="3">
                  <c:v>25.810000000000013</c:v>
                </c:pt>
                <c:pt idx="4">
                  <c:v>26.419999999999987</c:v>
                </c:pt>
                <c:pt idx="5">
                  <c:v>30.400000000000002</c:v>
                </c:pt>
                <c:pt idx="6">
                  <c:v>26.86</c:v>
                </c:pt>
                <c:pt idx="7">
                  <c:v>23.55</c:v>
                </c:pt>
                <c:pt idx="8">
                  <c:v>23.759999999999987</c:v>
                </c:pt>
                <c:pt idx="9">
                  <c:v>18.739999999999988</c:v>
                </c:pt>
                <c:pt idx="10">
                  <c:v>20.110000000000014</c:v>
                </c:pt>
                <c:pt idx="11">
                  <c:v>16.91954772339</c:v>
                </c:pt>
                <c:pt idx="12">
                  <c:v>12.518656263610001</c:v>
                </c:pt>
                <c:pt idx="13">
                  <c:v>18.616192468260014</c:v>
                </c:pt>
                <c:pt idx="14">
                  <c:v>23.000323000499989</c:v>
                </c:pt>
                <c:pt idx="15">
                  <c:v>37.545198524830013</c:v>
                </c:pt>
              </c:numCache>
            </c:numRef>
          </c:val>
          <c:smooth val="0"/>
          <c:extLst>
            <c:ext xmlns:c16="http://schemas.microsoft.com/office/drawing/2014/chart" uri="{C3380CC4-5D6E-409C-BE32-E72D297353CC}">
              <c16:uniqueId val="{00000008-0020-4EA5-8D20-81D025182175}"/>
            </c:ext>
          </c:extLst>
        </c:ser>
        <c:ser>
          <c:idx val="8"/>
          <c:order val="9"/>
          <c:tx>
            <c:strRef>
              <c:f>'G2-St.rozpočet-výdaje'!$K$31</c:f>
              <c:strCache>
                <c:ptCount val="1"/>
                <c:pt idx="0">
                  <c:v>Neinvestič. transfery podnikatelům</c:v>
                </c:pt>
              </c:strCache>
            </c:strRef>
          </c:tx>
          <c:spPr>
            <a:ln w="6350">
              <a:solidFill>
                <a:schemeClr val="accent6">
                  <a:lumMod val="75000"/>
                </a:schemeClr>
              </a:solidFill>
              <a:prstDash val="sysDot"/>
            </a:ln>
          </c:spPr>
          <c:marker>
            <c:symbol val="circle"/>
            <c:size val="4"/>
            <c:spPr>
              <a:solidFill>
                <a:schemeClr val="accent6">
                  <a:lumMod val="75000"/>
                </a:schemeClr>
              </a:solidFill>
              <a:ln>
                <a:no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'G2-St.rozpočet-výdaje'!$K$35:$K$50</c:f>
              <c:numCache>
                <c:formatCode>0.0</c:formatCode>
                <c:ptCount val="16"/>
                <c:pt idx="0">
                  <c:v>13.860000000000007</c:v>
                </c:pt>
                <c:pt idx="1">
                  <c:v>13.8</c:v>
                </c:pt>
                <c:pt idx="2">
                  <c:v>15.068</c:v>
                </c:pt>
                <c:pt idx="3">
                  <c:v>15.095000000000002</c:v>
                </c:pt>
                <c:pt idx="4">
                  <c:v>18.314000000000014</c:v>
                </c:pt>
                <c:pt idx="5">
                  <c:v>16.994999999999987</c:v>
                </c:pt>
                <c:pt idx="6">
                  <c:v>19.023</c:v>
                </c:pt>
                <c:pt idx="7">
                  <c:v>18.837000000000014</c:v>
                </c:pt>
                <c:pt idx="8">
                  <c:v>18.061999999999987</c:v>
                </c:pt>
                <c:pt idx="9">
                  <c:v>23.907999999999987</c:v>
                </c:pt>
                <c:pt idx="10">
                  <c:v>28.649000000000001</c:v>
                </c:pt>
                <c:pt idx="11">
                  <c:v>28.899000000000001</c:v>
                </c:pt>
                <c:pt idx="12">
                  <c:v>52.881999999999998</c:v>
                </c:pt>
                <c:pt idx="13">
                  <c:v>85.232597227749963</c:v>
                </c:pt>
                <c:pt idx="14">
                  <c:v>34.100961421429993</c:v>
                </c:pt>
                <c:pt idx="15">
                  <c:v>77.829618817299917</c:v>
                </c:pt>
              </c:numCache>
            </c:numRef>
          </c:val>
          <c:smooth val="0"/>
          <c:extLst>
            <c:ext xmlns:c16="http://schemas.microsoft.com/office/drawing/2014/chart" uri="{C3380CC4-5D6E-409C-BE32-E72D297353CC}">
              <c16:uniqueId val="{00000009-0020-4EA5-8D20-81D025182175}"/>
            </c:ext>
          </c:extLst>
        </c:ser>
        <c:ser>
          <c:idx val="10"/>
          <c:order val="10"/>
          <c:tx>
            <c:strRef>
              <c:f>'G2-St.rozpočet-výdaje'!$L$31</c:f>
              <c:strCache>
                <c:ptCount val="1"/>
                <c:pt idx="0">
                  <c:v>Kapitálové výdaje</c:v>
                </c:pt>
              </c:strCache>
            </c:strRef>
          </c:tx>
          <c:spPr>
            <a:ln w="15875">
              <a:solidFill>
                <a:srgbClr val="706840"/>
              </a:solidFill>
              <a:prstDash val="sysDash"/>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'G2-St.rozpočet-výdaje'!$L$35:$L$50</c:f>
              <c:numCache>
                <c:formatCode>0.0</c:formatCode>
                <c:ptCount val="16"/>
                <c:pt idx="0">
                  <c:v>53.505000000000003</c:v>
                </c:pt>
                <c:pt idx="1">
                  <c:v>51.149000000000001</c:v>
                </c:pt>
                <c:pt idx="2">
                  <c:v>55.873000000000005</c:v>
                </c:pt>
                <c:pt idx="3">
                  <c:v>47.277000000000001</c:v>
                </c:pt>
                <c:pt idx="4">
                  <c:v>41.93</c:v>
                </c:pt>
                <c:pt idx="5">
                  <c:v>36.779000000000003</c:v>
                </c:pt>
                <c:pt idx="6">
                  <c:v>34.894000000000005</c:v>
                </c:pt>
                <c:pt idx="7">
                  <c:v>54.02</c:v>
                </c:pt>
                <c:pt idx="8">
                  <c:v>39.090000000000003</c:v>
                </c:pt>
                <c:pt idx="9">
                  <c:v>20.309999999999999</c:v>
                </c:pt>
                <c:pt idx="10">
                  <c:v>33.25</c:v>
                </c:pt>
                <c:pt idx="11">
                  <c:v>45.820505926130046</c:v>
                </c:pt>
                <c:pt idx="12">
                  <c:v>64.97699930173998</c:v>
                </c:pt>
                <c:pt idx="13">
                  <c:v>59.7056835355</c:v>
                </c:pt>
                <c:pt idx="14">
                  <c:v>68.0711300369599</c:v>
                </c:pt>
                <c:pt idx="15">
                  <c:v>79.024935165610003</c:v>
                </c:pt>
              </c:numCache>
            </c:numRef>
          </c:val>
          <c:smooth val="0"/>
          <c:extLst>
            <c:ext xmlns:c16="http://schemas.microsoft.com/office/drawing/2014/chart" uri="{C3380CC4-5D6E-409C-BE32-E72D297353CC}">
              <c16:uniqueId val="{0000000A-0020-4EA5-8D20-81D025182175}"/>
            </c:ext>
          </c:extLst>
        </c:ser>
        <c:dLbls>
          <c:showLegendKey val="0"/>
          <c:showVal val="0"/>
          <c:showCatName val="0"/>
          <c:showSerName val="0"/>
          <c:showPercent val="0"/>
          <c:showBubbleSize val="0"/>
        </c:dLbls>
        <c:marker val="1"/>
        <c:smooth val="0"/>
        <c:axId val="85841792"/>
        <c:axId val="85843328"/>
      </c:lineChart>
      <c:catAx>
        <c:axId val="85841792"/>
        <c:scaling>
          <c:orientation val="minMax"/>
        </c:scaling>
        <c:delete val="0"/>
        <c:axPos val="b"/>
        <c:numFmt formatCode="General" sourceLinked="1"/>
        <c:majorTickMark val="out"/>
        <c:minorTickMark val="none"/>
        <c:tickLblPos val="low"/>
        <c:spPr>
          <a:ln w="6350">
            <a:solidFill>
              <a:schemeClr val="bg1">
                <a:lumMod val="50000"/>
              </a:schemeClr>
            </a:solidFill>
          </a:ln>
        </c:spPr>
        <c:txPr>
          <a:bodyPr rot="-2220000"/>
          <a:lstStyle/>
          <a:p>
            <a:pPr>
              <a:defRPr/>
            </a:pPr>
            <a:endParaRPr lang="cs-CZ"/>
          </a:p>
        </c:txPr>
        <c:crossAx val="85843328"/>
        <c:crosses val="autoZero"/>
        <c:auto val="1"/>
        <c:lblAlgn val="ctr"/>
        <c:lblOffset val="0"/>
        <c:noMultiLvlLbl val="0"/>
      </c:catAx>
      <c:valAx>
        <c:axId val="85843328"/>
        <c:scaling>
          <c:orientation val="minMax"/>
          <c:max val="88"/>
          <c:min val="0"/>
        </c:scaling>
        <c:delete val="0"/>
        <c:axPos val="l"/>
        <c:majorGridlines>
          <c:spPr>
            <a:ln w="6350">
              <a:solidFill>
                <a:schemeClr val="bg1">
                  <a:lumMod val="75000"/>
                </a:schemeClr>
              </a:solidFill>
            </a:ln>
          </c:spPr>
        </c:majorGridlines>
        <c:title>
          <c:tx>
            <c:rich>
              <a:bodyPr/>
              <a:lstStyle/>
              <a:p>
                <a:pPr>
                  <a:defRPr sz="700" b="0" i="1"/>
                </a:pPr>
                <a:r>
                  <a:rPr lang="cs-CZ" sz="700" b="0" i="1"/>
                  <a:t>Vybrané</a:t>
                </a:r>
                <a:r>
                  <a:rPr lang="cs-CZ" sz="700" b="0" i="1" baseline="0"/>
                  <a:t> </a:t>
                </a:r>
                <a:r>
                  <a:rPr lang="cs-CZ" sz="700" b="0" i="1"/>
                  <a:t>výdaje</a:t>
                </a:r>
              </a:p>
            </c:rich>
          </c:tx>
          <c:overlay val="0"/>
        </c:title>
        <c:numFmt formatCode="0" sourceLinked="0"/>
        <c:majorTickMark val="out"/>
        <c:minorTickMark val="none"/>
        <c:tickLblPos val="nextTo"/>
        <c:spPr>
          <a:ln w="6350">
            <a:solidFill>
              <a:schemeClr val="tx1"/>
            </a:solidFill>
          </a:ln>
        </c:spPr>
        <c:crossAx val="85841792"/>
        <c:crosses val="autoZero"/>
        <c:crossBetween val="between"/>
        <c:majorUnit val="8"/>
      </c:valAx>
      <c:valAx>
        <c:axId val="85931520"/>
        <c:scaling>
          <c:orientation val="minMax"/>
          <c:max val="1100"/>
          <c:min val="0"/>
        </c:scaling>
        <c:delete val="0"/>
        <c:axPos val="r"/>
        <c:title>
          <c:tx>
            <c:rich>
              <a:bodyPr/>
              <a:lstStyle/>
              <a:p>
                <a:pPr>
                  <a:defRPr sz="700" b="0" i="1"/>
                </a:pPr>
                <a:r>
                  <a:rPr lang="cs-CZ" sz="700" b="0" i="1"/>
                  <a:t>Běžné výdaje celkem, důchody</a:t>
                </a:r>
              </a:p>
            </c:rich>
          </c:tx>
          <c:layout>
            <c:manualLayout>
              <c:xMode val="edge"/>
              <c:yMode val="edge"/>
              <c:x val="0.96904913646362589"/>
              <c:y val="0.25018610067154745"/>
            </c:manualLayout>
          </c:layout>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85933440"/>
        <c:crosses val="max"/>
        <c:crossBetween val="between"/>
        <c:majorUnit val="100"/>
        <c:minorUnit val="10"/>
      </c:valAx>
      <c:catAx>
        <c:axId val="85933440"/>
        <c:scaling>
          <c:orientation val="minMax"/>
        </c:scaling>
        <c:delete val="1"/>
        <c:axPos val="b"/>
        <c:numFmt formatCode="General" sourceLinked="1"/>
        <c:majorTickMark val="out"/>
        <c:minorTickMark val="none"/>
        <c:tickLblPos val="none"/>
        <c:crossAx val="85931520"/>
        <c:crosses val="autoZero"/>
        <c:auto val="1"/>
        <c:lblAlgn val="ctr"/>
        <c:lblOffset val="100"/>
        <c:noMultiLvlLbl val="0"/>
      </c:catAx>
      <c:spPr>
        <a:ln w="6350">
          <a:solidFill>
            <a:schemeClr val="tx1"/>
          </a:solidFill>
        </a:ln>
      </c:spPr>
    </c:plotArea>
    <c:legend>
      <c:legendPos val="b"/>
      <c:layout>
        <c:manualLayout>
          <c:xMode val="edge"/>
          <c:yMode val="edge"/>
          <c:x val="6.8616025701456779E-2"/>
          <c:y val="0.80081760605019114"/>
          <c:w val="0.84292643243993381"/>
          <c:h val="0.1954483617154087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63760458694323E-2"/>
          <c:y val="2.1433051007174374E-2"/>
          <c:w val="0.92385424401342764"/>
          <c:h val="0.7803745146125618"/>
        </c:manualLayout>
      </c:layout>
      <c:barChart>
        <c:barDir val="col"/>
        <c:grouping val="clustered"/>
        <c:varyColors val="0"/>
        <c:ser>
          <c:idx val="0"/>
          <c:order val="0"/>
          <c:tx>
            <c:strRef>
              <c:f>'G3-Sektor vlád.institucí'!$Z$104</c:f>
              <c:strCache>
                <c:ptCount val="1"/>
                <c:pt idx="0">
                  <c:v>EU27</c:v>
                </c:pt>
              </c:strCache>
            </c:strRef>
          </c:tx>
          <c:spPr>
            <a:solidFill>
              <a:srgbClr val="E6E3D2"/>
            </a:solidFill>
            <a:ln w="6350">
              <a:solidFill>
                <a:schemeClr val="bg2">
                  <a:lumMod val="50000"/>
                </a:schemeClr>
              </a:solidFill>
            </a:ln>
          </c:spPr>
          <c:invertIfNegative val="0"/>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vlád.institucí'!$AA$104:$BC$104</c:f>
              <c:numCache>
                <c:formatCode>#\ ##0.##########</c:formatCode>
                <c:ptCount val="29"/>
                <c:pt idx="0">
                  <c:v>-1.6</c:v>
                </c:pt>
                <c:pt idx="1">
                  <c:v>-1.4</c:v>
                </c:pt>
                <c:pt idx="2">
                  <c:v>-1.6</c:v>
                </c:pt>
                <c:pt idx="3">
                  <c:v>-0.8</c:v>
                </c:pt>
                <c:pt idx="4">
                  <c:v>-0.9</c:v>
                </c:pt>
                <c:pt idx="5">
                  <c:v>-1.2</c:v>
                </c:pt>
                <c:pt idx="6">
                  <c:v>-0.7000000000000004</c:v>
                </c:pt>
                <c:pt idx="7">
                  <c:v>-0.30000000000000021</c:v>
                </c:pt>
                <c:pt idx="8">
                  <c:v>-0.2</c:v>
                </c:pt>
                <c:pt idx="9">
                  <c:v>-0.1</c:v>
                </c:pt>
                <c:pt idx="10">
                  <c:v>-0.5</c:v>
                </c:pt>
                <c:pt idx="11">
                  <c:v>-0.7000000000000004</c:v>
                </c:pt>
                <c:pt idx="12">
                  <c:v>-0.2</c:v>
                </c:pt>
                <c:pt idx="13">
                  <c:v>-0.2</c:v>
                </c:pt>
                <c:pt idx="14" formatCode="#\ ##0.0">
                  <c:v>-1</c:v>
                </c:pt>
                <c:pt idx="15">
                  <c:v>-0.8</c:v>
                </c:pt>
                <c:pt idx="16">
                  <c:v>-2.7</c:v>
                </c:pt>
                <c:pt idx="17">
                  <c:v>-11.7</c:v>
                </c:pt>
                <c:pt idx="18">
                  <c:v>-6.2</c:v>
                </c:pt>
                <c:pt idx="19">
                  <c:v>-6.8</c:v>
                </c:pt>
                <c:pt idx="20">
                  <c:v>-6.4</c:v>
                </c:pt>
                <c:pt idx="21" formatCode="#\ ##0.0">
                  <c:v>-6</c:v>
                </c:pt>
                <c:pt idx="22">
                  <c:v>-3.8</c:v>
                </c:pt>
                <c:pt idx="23">
                  <c:v>-3.1</c:v>
                </c:pt>
                <c:pt idx="24">
                  <c:v>-2.4</c:v>
                </c:pt>
                <c:pt idx="25">
                  <c:v>-2.2000000000000002</c:v>
                </c:pt>
                <c:pt idx="26">
                  <c:v>-4.3</c:v>
                </c:pt>
                <c:pt idx="27">
                  <c:v>-4.5</c:v>
                </c:pt>
                <c:pt idx="28" formatCode="#\ ##0.0">
                  <c:v>-3</c:v>
                </c:pt>
              </c:numCache>
            </c:numRef>
          </c:val>
          <c:extLst>
            <c:ext xmlns:c16="http://schemas.microsoft.com/office/drawing/2014/chart" uri="{C3380CC4-5D6E-409C-BE32-E72D297353CC}">
              <c16:uniqueId val="{00000000-272B-4DAE-A39D-FB4DCDFD4506}"/>
            </c:ext>
          </c:extLst>
        </c:ser>
        <c:ser>
          <c:idx val="1"/>
          <c:order val="1"/>
          <c:tx>
            <c:strRef>
              <c:f>'G3-Sektor vlád.institucí'!$Z$105</c:f>
              <c:strCache>
                <c:ptCount val="1"/>
                <c:pt idx="0">
                  <c:v>Česko</c:v>
                </c:pt>
              </c:strCache>
            </c:strRef>
          </c:tx>
          <c:spPr>
            <a:solidFill>
              <a:srgbClr val="BBB287"/>
            </a:solidFill>
            <a:ln w="6350">
              <a:noFill/>
            </a:ln>
          </c:spPr>
          <c:invertIfNegative val="0"/>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vlád.institucí'!$AA$105:$BC$105</c:f>
              <c:numCache>
                <c:formatCode>#\ ##0.##########</c:formatCode>
                <c:ptCount val="29"/>
                <c:pt idx="0">
                  <c:v>0.7000000000000004</c:v>
                </c:pt>
                <c:pt idx="1">
                  <c:v>0.8</c:v>
                </c:pt>
                <c:pt idx="2" formatCode="#\ ##0.0">
                  <c:v>1</c:v>
                </c:pt>
                <c:pt idx="3">
                  <c:v>0.4</c:v>
                </c:pt>
                <c:pt idx="4">
                  <c:v>0.9</c:v>
                </c:pt>
                <c:pt idx="5">
                  <c:v>1.7</c:v>
                </c:pt>
                <c:pt idx="6">
                  <c:v>1.7</c:v>
                </c:pt>
                <c:pt idx="7">
                  <c:v>1.7</c:v>
                </c:pt>
                <c:pt idx="8">
                  <c:v>1.1000000000000001</c:v>
                </c:pt>
                <c:pt idx="9">
                  <c:v>1.6</c:v>
                </c:pt>
                <c:pt idx="10">
                  <c:v>0.30000000000000021</c:v>
                </c:pt>
                <c:pt idx="11">
                  <c:v>0.60000000000000042</c:v>
                </c:pt>
                <c:pt idx="12">
                  <c:v>0.9</c:v>
                </c:pt>
                <c:pt idx="13">
                  <c:v>1.1000000000000001</c:v>
                </c:pt>
                <c:pt idx="14">
                  <c:v>-0.1</c:v>
                </c:pt>
                <c:pt idx="15">
                  <c:v>-0.7000000000000004</c:v>
                </c:pt>
                <c:pt idx="16">
                  <c:v>-2.6</c:v>
                </c:pt>
                <c:pt idx="17">
                  <c:v>-8.5</c:v>
                </c:pt>
                <c:pt idx="18" formatCode="#\ ##0.0">
                  <c:v>-5</c:v>
                </c:pt>
                <c:pt idx="19">
                  <c:v>-7.2</c:v>
                </c:pt>
                <c:pt idx="20">
                  <c:v>-7.5</c:v>
                </c:pt>
                <c:pt idx="21">
                  <c:v>-4.9000000000000004</c:v>
                </c:pt>
                <c:pt idx="22">
                  <c:v>-4.0999999999999996</c:v>
                </c:pt>
                <c:pt idx="23" formatCode="#\ ##0.0">
                  <c:v>-4</c:v>
                </c:pt>
                <c:pt idx="24">
                  <c:v>-2.9</c:v>
                </c:pt>
                <c:pt idx="25">
                  <c:v>-2.8</c:v>
                </c:pt>
                <c:pt idx="26">
                  <c:v>-4.5999999999999996</c:v>
                </c:pt>
                <c:pt idx="27">
                  <c:v>-4.2</c:v>
                </c:pt>
                <c:pt idx="28">
                  <c:v>-4.2</c:v>
                </c:pt>
              </c:numCache>
            </c:numRef>
          </c:val>
          <c:extLst>
            <c:ext xmlns:c16="http://schemas.microsoft.com/office/drawing/2014/chart" uri="{C3380CC4-5D6E-409C-BE32-E72D297353CC}">
              <c16:uniqueId val="{00000001-272B-4DAE-A39D-FB4DCDFD4506}"/>
            </c:ext>
          </c:extLst>
        </c:ser>
        <c:dLbls>
          <c:showLegendKey val="0"/>
          <c:showVal val="0"/>
          <c:showCatName val="0"/>
          <c:showSerName val="0"/>
          <c:showPercent val="0"/>
          <c:showBubbleSize val="0"/>
        </c:dLbls>
        <c:gapWidth val="120"/>
        <c:axId val="97374208"/>
        <c:axId val="97375744"/>
      </c:barChart>
      <c:lineChart>
        <c:grouping val="standard"/>
        <c:varyColors val="0"/>
        <c:ser>
          <c:idx val="6"/>
          <c:order val="2"/>
          <c:tx>
            <c:strRef>
              <c:f>'G3-Sektor vlád.institucí'!$Z$106</c:f>
              <c:strCache>
                <c:ptCount val="1"/>
                <c:pt idx="0">
                  <c:v>Slovensko</c:v>
                </c:pt>
              </c:strCache>
            </c:strRef>
          </c:tx>
          <c:spPr>
            <a:ln w="15875">
              <a:solidFill>
                <a:srgbClr val="00B05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vlád.institucí'!$AA$106:$BC$106</c:f>
              <c:numCache>
                <c:formatCode>#\ ##0.0</c:formatCode>
                <c:ptCount val="29"/>
                <c:pt idx="0" formatCode="#\ ##0.##########">
                  <c:v>-3.3</c:v>
                </c:pt>
                <c:pt idx="1">
                  <c:v>-3</c:v>
                </c:pt>
                <c:pt idx="2" formatCode="#\ ##0.##########">
                  <c:v>-2.2999999999999998</c:v>
                </c:pt>
                <c:pt idx="3" formatCode="#\ ##0.##########">
                  <c:v>-1.9000000000000001</c:v>
                </c:pt>
                <c:pt idx="4" formatCode="#\ ##0.##########">
                  <c:v>-2.1</c:v>
                </c:pt>
                <c:pt idx="5" formatCode="#\ ##0.##########">
                  <c:v>-1.2</c:v>
                </c:pt>
                <c:pt idx="6" formatCode="#\ ##0.##########">
                  <c:v>-1.4</c:v>
                </c:pt>
                <c:pt idx="7" formatCode="#\ ##0.##########">
                  <c:v>0.5</c:v>
                </c:pt>
                <c:pt idx="8" formatCode="#\ ##0.##########">
                  <c:v>-1.2</c:v>
                </c:pt>
                <c:pt idx="9">
                  <c:v>-1</c:v>
                </c:pt>
                <c:pt idx="10" formatCode="#\ ##0.##########">
                  <c:v>-1.4</c:v>
                </c:pt>
                <c:pt idx="11" formatCode="#\ ##0.##########">
                  <c:v>-0.30000000000000021</c:v>
                </c:pt>
                <c:pt idx="12" formatCode="#\ ##0.##########">
                  <c:v>-1.1000000000000001</c:v>
                </c:pt>
                <c:pt idx="13" formatCode="#\ ##0.##########">
                  <c:v>-1.2</c:v>
                </c:pt>
                <c:pt idx="14" formatCode="#\ ##0.##########">
                  <c:v>-1.9000000000000001</c:v>
                </c:pt>
                <c:pt idx="15" formatCode="#\ ##0.##########">
                  <c:v>-0.5</c:v>
                </c:pt>
                <c:pt idx="16" formatCode="#\ ##0.##########">
                  <c:v>-2.9</c:v>
                </c:pt>
                <c:pt idx="17" formatCode="#\ ##0.##########">
                  <c:v>-7.4</c:v>
                </c:pt>
                <c:pt idx="18" formatCode="#\ ##0.##########">
                  <c:v>-5.2</c:v>
                </c:pt>
                <c:pt idx="19" formatCode="#\ ##0.##########">
                  <c:v>-5.7</c:v>
                </c:pt>
                <c:pt idx="20" formatCode="#\ ##0.##########">
                  <c:v>-6.1</c:v>
                </c:pt>
                <c:pt idx="21" formatCode="#\ ##0.##########">
                  <c:v>-6.9</c:v>
                </c:pt>
                <c:pt idx="22" formatCode="#\ ##0.##########">
                  <c:v>-3.6</c:v>
                </c:pt>
                <c:pt idx="23" formatCode="#\ ##0.##########">
                  <c:v>-5.2</c:v>
                </c:pt>
                <c:pt idx="24" formatCode="#\ ##0.##########">
                  <c:v>-1.9000000000000001</c:v>
                </c:pt>
                <c:pt idx="25" formatCode="#\ ##0.##########">
                  <c:v>-1.9000000000000001</c:v>
                </c:pt>
                <c:pt idx="26" formatCode="#\ ##0.##########">
                  <c:v>-1.7</c:v>
                </c:pt>
                <c:pt idx="27" formatCode="#\ ##0.##########">
                  <c:v>-2.7</c:v>
                </c:pt>
                <c:pt idx="28" formatCode="#\ ##0.##########">
                  <c:v>-3.8</c:v>
                </c:pt>
              </c:numCache>
            </c:numRef>
          </c:val>
          <c:smooth val="0"/>
          <c:extLst>
            <c:ext xmlns:c16="http://schemas.microsoft.com/office/drawing/2014/chart" uri="{C3380CC4-5D6E-409C-BE32-E72D297353CC}">
              <c16:uniqueId val="{00000002-272B-4DAE-A39D-FB4DCDFD4506}"/>
            </c:ext>
          </c:extLst>
        </c:ser>
        <c:ser>
          <c:idx val="7"/>
          <c:order val="3"/>
          <c:tx>
            <c:strRef>
              <c:f>'G3-Sektor vlád.institucí'!$Z$107</c:f>
              <c:strCache>
                <c:ptCount val="1"/>
                <c:pt idx="0">
                  <c:v>Polsko</c:v>
                </c:pt>
              </c:strCache>
            </c:strRef>
          </c:tx>
          <c:spPr>
            <a:ln w="15875">
              <a:solidFill>
                <a:schemeClr val="accent6">
                  <a:lumMod val="75000"/>
                </a:schemeClr>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vlád.institucí'!$AA$107:$BC$107</c:f>
              <c:numCache>
                <c:formatCode>#\ ##0.##########</c:formatCode>
                <c:ptCount val="29"/>
                <c:pt idx="0">
                  <c:v>-2.2999999999999998</c:v>
                </c:pt>
                <c:pt idx="1">
                  <c:v>-2.2000000000000002</c:v>
                </c:pt>
                <c:pt idx="2">
                  <c:v>-2.4</c:v>
                </c:pt>
                <c:pt idx="3">
                  <c:v>-2.2000000000000002</c:v>
                </c:pt>
                <c:pt idx="4" formatCode="#\ ##0.0">
                  <c:v>-2</c:v>
                </c:pt>
                <c:pt idx="5">
                  <c:v>-1.3</c:v>
                </c:pt>
                <c:pt idx="6">
                  <c:v>-1.4</c:v>
                </c:pt>
                <c:pt idx="7" formatCode="#\ ##0.0">
                  <c:v>-1</c:v>
                </c:pt>
                <c:pt idx="8">
                  <c:v>-0.9</c:v>
                </c:pt>
                <c:pt idx="9">
                  <c:v>0.1</c:v>
                </c:pt>
                <c:pt idx="10">
                  <c:v>-0.30000000000000021</c:v>
                </c:pt>
                <c:pt idx="11">
                  <c:v>0.2</c:v>
                </c:pt>
                <c:pt idx="12">
                  <c:v>0.30000000000000021</c:v>
                </c:pt>
                <c:pt idx="13" formatCode="#\ ##0.0">
                  <c:v>-1</c:v>
                </c:pt>
                <c:pt idx="14">
                  <c:v>-0.7000000000000004</c:v>
                </c:pt>
                <c:pt idx="15">
                  <c:v>-1.6</c:v>
                </c:pt>
                <c:pt idx="16">
                  <c:v>-3.8</c:v>
                </c:pt>
                <c:pt idx="17">
                  <c:v>-16.899999999999999</c:v>
                </c:pt>
                <c:pt idx="18">
                  <c:v>-4.2</c:v>
                </c:pt>
                <c:pt idx="19">
                  <c:v>-2.9</c:v>
                </c:pt>
                <c:pt idx="20">
                  <c:v>-2.7</c:v>
                </c:pt>
                <c:pt idx="21">
                  <c:v>-1.5</c:v>
                </c:pt>
                <c:pt idx="22">
                  <c:v>-0.5</c:v>
                </c:pt>
                <c:pt idx="23">
                  <c:v>-2.8</c:v>
                </c:pt>
                <c:pt idx="24">
                  <c:v>-0.8</c:v>
                </c:pt>
                <c:pt idx="25">
                  <c:v>-1.3</c:v>
                </c:pt>
                <c:pt idx="26">
                  <c:v>-3.8</c:v>
                </c:pt>
                <c:pt idx="27">
                  <c:v>-8.4</c:v>
                </c:pt>
                <c:pt idx="28" formatCode="#\ ##0.0">
                  <c:v>-2</c:v>
                </c:pt>
              </c:numCache>
            </c:numRef>
          </c:val>
          <c:smooth val="0"/>
          <c:extLst>
            <c:ext xmlns:c16="http://schemas.microsoft.com/office/drawing/2014/chart" uri="{C3380CC4-5D6E-409C-BE32-E72D297353CC}">
              <c16:uniqueId val="{00000003-272B-4DAE-A39D-FB4DCDFD4506}"/>
            </c:ext>
          </c:extLst>
        </c:ser>
        <c:ser>
          <c:idx val="2"/>
          <c:order val="4"/>
          <c:tx>
            <c:strRef>
              <c:f>'G3-Sektor vlád.institucí'!$Z$108</c:f>
              <c:strCache>
                <c:ptCount val="1"/>
                <c:pt idx="0">
                  <c:v>Maďarsko</c:v>
                </c:pt>
              </c:strCache>
            </c:strRef>
          </c:tx>
          <c:spPr>
            <a:ln w="15875">
              <a:solidFill>
                <a:srgbClr val="D5D00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vlád.institucí'!$AA$108:$BC$108</c:f>
              <c:numCache>
                <c:formatCode>#\ ##0.##########</c:formatCode>
                <c:ptCount val="29"/>
                <c:pt idx="0">
                  <c:v>-2.5</c:v>
                </c:pt>
                <c:pt idx="1">
                  <c:v>-2.1</c:v>
                </c:pt>
                <c:pt idx="2">
                  <c:v>-0.5</c:v>
                </c:pt>
                <c:pt idx="3">
                  <c:v>-2.1</c:v>
                </c:pt>
                <c:pt idx="4">
                  <c:v>-0.60000000000000042</c:v>
                </c:pt>
                <c:pt idx="5">
                  <c:v>-2.7</c:v>
                </c:pt>
                <c:pt idx="6">
                  <c:v>-5.0999999999999996</c:v>
                </c:pt>
                <c:pt idx="7">
                  <c:v>-1.5</c:v>
                </c:pt>
                <c:pt idx="8">
                  <c:v>-3.5</c:v>
                </c:pt>
                <c:pt idx="9">
                  <c:v>-2.8</c:v>
                </c:pt>
                <c:pt idx="10">
                  <c:v>-1.7</c:v>
                </c:pt>
                <c:pt idx="11">
                  <c:v>-0.4</c:v>
                </c:pt>
                <c:pt idx="12">
                  <c:v>-1.5</c:v>
                </c:pt>
                <c:pt idx="13">
                  <c:v>-1.4</c:v>
                </c:pt>
                <c:pt idx="14">
                  <c:v>-4.5</c:v>
                </c:pt>
                <c:pt idx="15">
                  <c:v>-0.8</c:v>
                </c:pt>
                <c:pt idx="16">
                  <c:v>-3.3</c:v>
                </c:pt>
                <c:pt idx="17">
                  <c:v>-10.8</c:v>
                </c:pt>
                <c:pt idx="18">
                  <c:v>-5.6</c:v>
                </c:pt>
                <c:pt idx="19">
                  <c:v>-10.6</c:v>
                </c:pt>
                <c:pt idx="20">
                  <c:v>-8.9</c:v>
                </c:pt>
                <c:pt idx="21">
                  <c:v>-6.9</c:v>
                </c:pt>
                <c:pt idx="22">
                  <c:v>-6.4</c:v>
                </c:pt>
                <c:pt idx="23">
                  <c:v>-6.5</c:v>
                </c:pt>
                <c:pt idx="24">
                  <c:v>-4.5999999999999996</c:v>
                </c:pt>
                <c:pt idx="25">
                  <c:v>-3.6</c:v>
                </c:pt>
                <c:pt idx="26" formatCode="#\ ##0.0">
                  <c:v>-7</c:v>
                </c:pt>
                <c:pt idx="27">
                  <c:v>-9.4</c:v>
                </c:pt>
                <c:pt idx="28">
                  <c:v>-11.1</c:v>
                </c:pt>
              </c:numCache>
            </c:numRef>
          </c:val>
          <c:smooth val="0"/>
          <c:extLst>
            <c:ext xmlns:c16="http://schemas.microsoft.com/office/drawing/2014/chart" uri="{C3380CC4-5D6E-409C-BE32-E72D297353CC}">
              <c16:uniqueId val="{00000004-272B-4DAE-A39D-FB4DCDFD4506}"/>
            </c:ext>
          </c:extLst>
        </c:ser>
        <c:ser>
          <c:idx val="3"/>
          <c:order val="5"/>
          <c:tx>
            <c:strRef>
              <c:f>'G3-Sektor vlád.institucí'!$Z$109</c:f>
              <c:strCache>
                <c:ptCount val="1"/>
                <c:pt idx="0">
                  <c:v>Německo</c:v>
                </c:pt>
              </c:strCache>
            </c:strRef>
          </c:tx>
          <c:spPr>
            <a:ln w="15875">
              <a:solidFill>
                <a:srgbClr val="7030A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vlád.institucí'!$AA$109:$BC$109</c:f>
              <c:numCache>
                <c:formatCode>#\ ##0.##########</c:formatCode>
                <c:ptCount val="29"/>
                <c:pt idx="0">
                  <c:v>1.1000000000000001</c:v>
                </c:pt>
                <c:pt idx="1">
                  <c:v>0.9</c:v>
                </c:pt>
                <c:pt idx="2">
                  <c:v>0.5</c:v>
                </c:pt>
                <c:pt idx="3">
                  <c:v>2.1</c:v>
                </c:pt>
                <c:pt idx="4">
                  <c:v>1.6</c:v>
                </c:pt>
                <c:pt idx="5">
                  <c:v>0.4</c:v>
                </c:pt>
                <c:pt idx="6">
                  <c:v>1.5</c:v>
                </c:pt>
                <c:pt idx="7">
                  <c:v>1.8</c:v>
                </c:pt>
                <c:pt idx="8">
                  <c:v>2.5</c:v>
                </c:pt>
                <c:pt idx="9">
                  <c:v>2.6</c:v>
                </c:pt>
                <c:pt idx="10">
                  <c:v>1.6</c:v>
                </c:pt>
                <c:pt idx="11">
                  <c:v>1.1000000000000001</c:v>
                </c:pt>
                <c:pt idx="12">
                  <c:v>2.4</c:v>
                </c:pt>
                <c:pt idx="13">
                  <c:v>2.1</c:v>
                </c:pt>
                <c:pt idx="14">
                  <c:v>0.60000000000000042</c:v>
                </c:pt>
                <c:pt idx="15">
                  <c:v>1.1000000000000001</c:v>
                </c:pt>
                <c:pt idx="16">
                  <c:v>0.7000000000000004</c:v>
                </c:pt>
                <c:pt idx="17">
                  <c:v>-8.3000000000000007</c:v>
                </c:pt>
                <c:pt idx="18">
                  <c:v>-5.9</c:v>
                </c:pt>
                <c:pt idx="19">
                  <c:v>-4.2</c:v>
                </c:pt>
                <c:pt idx="20">
                  <c:v>-4.5999999999999996</c:v>
                </c:pt>
                <c:pt idx="21">
                  <c:v>-5.5</c:v>
                </c:pt>
                <c:pt idx="22">
                  <c:v>-3.2</c:v>
                </c:pt>
                <c:pt idx="23">
                  <c:v>-1.8</c:v>
                </c:pt>
                <c:pt idx="24">
                  <c:v>-0.9</c:v>
                </c:pt>
                <c:pt idx="25">
                  <c:v>-1.1000000000000001</c:v>
                </c:pt>
                <c:pt idx="26">
                  <c:v>-5.4</c:v>
                </c:pt>
                <c:pt idx="27">
                  <c:v>-3.5</c:v>
                </c:pt>
                <c:pt idx="28">
                  <c:v>-2.2000000000000002</c:v>
                </c:pt>
              </c:numCache>
            </c:numRef>
          </c:val>
          <c:smooth val="0"/>
          <c:extLst>
            <c:ext xmlns:c16="http://schemas.microsoft.com/office/drawing/2014/chart" uri="{C3380CC4-5D6E-409C-BE32-E72D297353CC}">
              <c16:uniqueId val="{00000005-272B-4DAE-A39D-FB4DCDFD4506}"/>
            </c:ext>
          </c:extLst>
        </c:ser>
        <c:ser>
          <c:idx val="4"/>
          <c:order val="6"/>
          <c:tx>
            <c:strRef>
              <c:f>'G3-Sektor vlád.institucí'!$Z$110</c:f>
              <c:strCache>
                <c:ptCount val="1"/>
                <c:pt idx="0">
                  <c:v>Rakousko</c:v>
                </c:pt>
              </c:strCache>
            </c:strRef>
          </c:tx>
          <c:spPr>
            <a:ln w="15875">
              <a:solidFill>
                <a:srgbClr val="00B0F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vlád.institucí'!$AA$110:$BC$110</c:f>
              <c:numCache>
                <c:formatCode>#\ ##0.##########</c:formatCode>
                <c:ptCount val="29"/>
                <c:pt idx="0">
                  <c:v>-1.6</c:v>
                </c:pt>
                <c:pt idx="1">
                  <c:v>-0.8</c:v>
                </c:pt>
                <c:pt idx="2">
                  <c:v>-1.2</c:v>
                </c:pt>
                <c:pt idx="3">
                  <c:v>-2.5</c:v>
                </c:pt>
                <c:pt idx="4">
                  <c:v>-0.2</c:v>
                </c:pt>
                <c:pt idx="5">
                  <c:v>-1.8</c:v>
                </c:pt>
                <c:pt idx="6">
                  <c:v>-0.5</c:v>
                </c:pt>
                <c:pt idx="7">
                  <c:v>-0.7000000000000004</c:v>
                </c:pt>
                <c:pt idx="8">
                  <c:v>0.7000000000000004</c:v>
                </c:pt>
                <c:pt idx="9">
                  <c:v>0.2</c:v>
                </c:pt>
                <c:pt idx="10" formatCode="#\ ##0.0">
                  <c:v>0</c:v>
                </c:pt>
                <c:pt idx="11">
                  <c:v>-0.2</c:v>
                </c:pt>
                <c:pt idx="12">
                  <c:v>-0.1</c:v>
                </c:pt>
                <c:pt idx="13">
                  <c:v>0.7000000000000004</c:v>
                </c:pt>
                <c:pt idx="14">
                  <c:v>0.4</c:v>
                </c:pt>
                <c:pt idx="15">
                  <c:v>1.2</c:v>
                </c:pt>
                <c:pt idx="16">
                  <c:v>-0.2</c:v>
                </c:pt>
                <c:pt idx="17">
                  <c:v>-13.7</c:v>
                </c:pt>
                <c:pt idx="18">
                  <c:v>-7.6</c:v>
                </c:pt>
                <c:pt idx="19">
                  <c:v>-11.1</c:v>
                </c:pt>
                <c:pt idx="20">
                  <c:v>-11.7</c:v>
                </c:pt>
                <c:pt idx="21">
                  <c:v>-7.6</c:v>
                </c:pt>
                <c:pt idx="22">
                  <c:v>-2.5</c:v>
                </c:pt>
                <c:pt idx="23">
                  <c:v>-1.9000000000000001</c:v>
                </c:pt>
                <c:pt idx="24">
                  <c:v>-2.4</c:v>
                </c:pt>
                <c:pt idx="25">
                  <c:v>-0.4</c:v>
                </c:pt>
                <c:pt idx="26">
                  <c:v>-5.2</c:v>
                </c:pt>
                <c:pt idx="27">
                  <c:v>-4.5999999999999996</c:v>
                </c:pt>
                <c:pt idx="28">
                  <c:v>-2.6</c:v>
                </c:pt>
              </c:numCache>
            </c:numRef>
          </c:val>
          <c:smooth val="0"/>
          <c:extLst>
            <c:ext xmlns:c16="http://schemas.microsoft.com/office/drawing/2014/chart" uri="{C3380CC4-5D6E-409C-BE32-E72D297353CC}">
              <c16:uniqueId val="{00000006-272B-4DAE-A39D-FB4DCDFD4506}"/>
            </c:ext>
          </c:extLst>
        </c:ser>
        <c:ser>
          <c:idx val="5"/>
          <c:order val="7"/>
          <c:tx>
            <c:strRef>
              <c:f>'G3-Sektor vlád.institucí'!$Z$111</c:f>
              <c:strCache>
                <c:ptCount val="1"/>
                <c:pt idx="0">
                  <c:v>Dánsko</c:v>
                </c:pt>
              </c:strCache>
            </c:strRef>
          </c:tx>
          <c:spPr>
            <a:ln w="15875">
              <a:solidFill>
                <a:schemeClr val="tx1">
                  <a:lumMod val="50000"/>
                  <a:lumOff val="50000"/>
                </a:schemeClr>
              </a:solidFill>
              <a:prstDash val="solid"/>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vlád.institucí'!$AA$111:$BC$111</c:f>
              <c:numCache>
                <c:formatCode>#\ ##0.##########</c:formatCode>
                <c:ptCount val="29"/>
                <c:pt idx="0">
                  <c:v>-0.4</c:v>
                </c:pt>
                <c:pt idx="1">
                  <c:v>-0.60000000000000042</c:v>
                </c:pt>
                <c:pt idx="2">
                  <c:v>-0.4</c:v>
                </c:pt>
                <c:pt idx="3">
                  <c:v>0.60000000000000042</c:v>
                </c:pt>
                <c:pt idx="4">
                  <c:v>2.2000000000000002</c:v>
                </c:pt>
                <c:pt idx="5">
                  <c:v>1.3</c:v>
                </c:pt>
                <c:pt idx="6">
                  <c:v>1.7</c:v>
                </c:pt>
                <c:pt idx="7" formatCode="#\ ##0.0">
                  <c:v>2</c:v>
                </c:pt>
                <c:pt idx="8">
                  <c:v>1.1000000000000001</c:v>
                </c:pt>
                <c:pt idx="9">
                  <c:v>1.2</c:v>
                </c:pt>
                <c:pt idx="10">
                  <c:v>1.7</c:v>
                </c:pt>
                <c:pt idx="11">
                  <c:v>-0.1</c:v>
                </c:pt>
                <c:pt idx="12">
                  <c:v>5.5</c:v>
                </c:pt>
                <c:pt idx="13">
                  <c:v>4.9000000000000004</c:v>
                </c:pt>
                <c:pt idx="14">
                  <c:v>3.3</c:v>
                </c:pt>
                <c:pt idx="15">
                  <c:v>3.1</c:v>
                </c:pt>
                <c:pt idx="16">
                  <c:v>1.8</c:v>
                </c:pt>
                <c:pt idx="17">
                  <c:v>-1.5</c:v>
                </c:pt>
                <c:pt idx="18">
                  <c:v>0.2</c:v>
                </c:pt>
                <c:pt idx="19">
                  <c:v>1.7</c:v>
                </c:pt>
                <c:pt idx="20">
                  <c:v>3.9</c:v>
                </c:pt>
                <c:pt idx="21">
                  <c:v>4.7</c:v>
                </c:pt>
                <c:pt idx="22">
                  <c:v>4.7</c:v>
                </c:pt>
                <c:pt idx="23">
                  <c:v>3.4</c:v>
                </c:pt>
                <c:pt idx="24">
                  <c:v>3.7</c:v>
                </c:pt>
                <c:pt idx="25">
                  <c:v>3.6</c:v>
                </c:pt>
                <c:pt idx="26">
                  <c:v>2.8</c:v>
                </c:pt>
                <c:pt idx="27">
                  <c:v>3.4</c:v>
                </c:pt>
                <c:pt idx="28" formatCode="#\ ##0.0">
                  <c:v>3</c:v>
                </c:pt>
              </c:numCache>
            </c:numRef>
          </c:val>
          <c:smooth val="0"/>
          <c:extLst>
            <c:ext xmlns:c16="http://schemas.microsoft.com/office/drawing/2014/chart" uri="{C3380CC4-5D6E-409C-BE32-E72D297353CC}">
              <c16:uniqueId val="{00000007-272B-4DAE-A39D-FB4DCDFD4506}"/>
            </c:ext>
          </c:extLst>
        </c:ser>
        <c:dLbls>
          <c:showLegendKey val="0"/>
          <c:showVal val="0"/>
          <c:showCatName val="0"/>
          <c:showSerName val="0"/>
          <c:showPercent val="0"/>
          <c:showBubbleSize val="0"/>
        </c:dLbls>
        <c:marker val="1"/>
        <c:smooth val="0"/>
        <c:axId val="97374208"/>
        <c:axId val="97375744"/>
      </c:lineChart>
      <c:catAx>
        <c:axId val="97374208"/>
        <c:scaling>
          <c:orientation val="minMax"/>
        </c:scaling>
        <c:delete val="0"/>
        <c:axPos val="b"/>
        <c:numFmt formatCode="General" sourceLinked="1"/>
        <c:majorTickMark val="out"/>
        <c:minorTickMark val="none"/>
        <c:tickLblPos val="low"/>
        <c:spPr>
          <a:ln w="6350">
            <a:solidFill>
              <a:schemeClr val="bg1">
                <a:lumMod val="50000"/>
              </a:schemeClr>
            </a:solidFill>
          </a:ln>
        </c:spPr>
        <c:txPr>
          <a:bodyPr rot="0"/>
          <a:lstStyle/>
          <a:p>
            <a:pPr>
              <a:defRPr/>
            </a:pPr>
            <a:endParaRPr lang="cs-CZ"/>
          </a:p>
        </c:txPr>
        <c:crossAx val="97375744"/>
        <c:crosses val="autoZero"/>
        <c:auto val="1"/>
        <c:lblAlgn val="ctr"/>
        <c:lblOffset val="0"/>
        <c:noMultiLvlLbl val="0"/>
      </c:catAx>
      <c:valAx>
        <c:axId val="97375744"/>
        <c:scaling>
          <c:orientation val="minMax"/>
          <c:max val="6"/>
          <c:min val="-18"/>
        </c:scaling>
        <c:delete val="0"/>
        <c:axPos val="l"/>
        <c:majorGridlines>
          <c:spPr>
            <a:ln w="6350">
              <a:solidFill>
                <a:schemeClr val="bg1">
                  <a:lumMod val="75000"/>
                </a:schemeClr>
              </a:solidFill>
            </a:ln>
          </c:spPr>
        </c:majorGridlines>
        <c:numFmt formatCode="0" sourceLinked="0"/>
        <c:majorTickMark val="out"/>
        <c:minorTickMark val="none"/>
        <c:tickLblPos val="nextTo"/>
        <c:spPr>
          <a:ln w="6350">
            <a:solidFill>
              <a:schemeClr val="tx1"/>
            </a:solidFill>
          </a:ln>
        </c:spPr>
        <c:crossAx val="97374208"/>
        <c:crosses val="autoZero"/>
        <c:crossBetween val="between"/>
        <c:majorUnit val="3"/>
      </c:valAx>
      <c:spPr>
        <a:ln w="6350">
          <a:solidFill>
            <a:schemeClr val="tx1"/>
          </a:solidFill>
        </a:ln>
      </c:spPr>
    </c:plotArea>
    <c:legend>
      <c:legendPos val="b"/>
      <c:layout>
        <c:manualLayout>
          <c:xMode val="edge"/>
          <c:yMode val="edge"/>
          <c:x val="4.9782696428552584E-2"/>
          <c:y val="0.89790244414461118"/>
          <c:w val="0.92600302307771343"/>
          <c:h val="9.4064682258848537E-2"/>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72E-2"/>
          <c:y val="2.8458510079622041E-2"/>
          <c:w val="0.93688386524822698"/>
          <c:h val="0.674766689181583"/>
        </c:manualLayout>
      </c:layout>
      <c:barChart>
        <c:barDir val="col"/>
        <c:grouping val="stacked"/>
        <c:varyColors val="0"/>
        <c:ser>
          <c:idx val="1"/>
          <c:order val="1"/>
          <c:tx>
            <c:strRef>
              <c:f>'souhrnná výkonnost 3'!$F$5</c:f>
              <c:strCache>
                <c:ptCount val="1"/>
                <c:pt idx="0">
                  <c:v>Bilance zahraničního obchodu</c:v>
                </c:pt>
              </c:strCache>
            </c:strRef>
          </c:tx>
          <c:spPr>
            <a:solidFill>
              <a:srgbClr val="7DBB2D"/>
            </a:solidFill>
            <a:ln>
              <a:noFill/>
            </a:ln>
          </c:spPr>
          <c:invertIfNegative val="0"/>
          <c:val>
            <c:numRef>
              <c:f>'souhrnná výkonnost 3'!$F$30:$F$51</c:f>
              <c:numCache>
                <c:formatCode>#\ ##0.0</c:formatCode>
                <c:ptCount val="22"/>
                <c:pt idx="0">
                  <c:v>-0.45416719953824236</c:v>
                </c:pt>
                <c:pt idx="1">
                  <c:v>-0.74378891592524266</c:v>
                </c:pt>
                <c:pt idx="2">
                  <c:v>-1.1266373010786321</c:v>
                </c:pt>
                <c:pt idx="3">
                  <c:v>0.26399371013949136</c:v>
                </c:pt>
                <c:pt idx="4">
                  <c:v>-0.10063574701283923</c:v>
                </c:pt>
                <c:pt idx="5">
                  <c:v>1.3529610725744314</c:v>
                </c:pt>
                <c:pt idx="6">
                  <c:v>1.4268251487477539</c:v>
                </c:pt>
                <c:pt idx="7">
                  <c:v>-1.1473798908006598</c:v>
                </c:pt>
                <c:pt idx="8">
                  <c:v>-2.0624772509655722</c:v>
                </c:pt>
                <c:pt idx="9">
                  <c:v>-9.0642749602481327</c:v>
                </c:pt>
                <c:pt idx="10">
                  <c:v>-1.0204260219992571</c:v>
                </c:pt>
                <c:pt idx="11">
                  <c:v>2.0095740720498352</c:v>
                </c:pt>
                <c:pt idx="12">
                  <c:v>-0.28507028363562337</c:v>
                </c:pt>
                <c:pt idx="13">
                  <c:v>4.4273326570028857</c:v>
                </c:pt>
                <c:pt idx="14">
                  <c:v>-5.8942461279131582</c:v>
                </c:pt>
                <c:pt idx="15">
                  <c:v>-6.442294612432077</c:v>
                </c:pt>
                <c:pt idx="16">
                  <c:v>-1.8391101984644989</c:v>
                </c:pt>
                <c:pt idx="17">
                  <c:v>0.40419610251387095</c:v>
                </c:pt>
                <c:pt idx="18">
                  <c:v>4.1503989386715165</c:v>
                </c:pt>
                <c:pt idx="19">
                  <c:v>2.8839143571693659</c:v>
                </c:pt>
                <c:pt idx="20">
                  <c:v>2.683559220088791</c:v>
                </c:pt>
                <c:pt idx="21">
                  <c:v>2.5150598944534233</c:v>
                </c:pt>
              </c:numCache>
            </c:numRef>
          </c:val>
          <c:extLst>
            <c:ext xmlns:c16="http://schemas.microsoft.com/office/drawing/2014/chart" uri="{C3380CC4-5D6E-409C-BE32-E72D297353CC}">
              <c16:uniqueId val="{00000000-C12F-48C1-8401-FB5303D86166}"/>
            </c:ext>
          </c:extLst>
        </c:ser>
        <c:ser>
          <c:idx val="2"/>
          <c:order val="2"/>
          <c:tx>
            <c:strRef>
              <c:f>'souhrnná výkonnost 3'!$H$5</c:f>
              <c:strCache>
                <c:ptCount val="1"/>
                <c:pt idx="0">
                  <c:v>Změna zásob</c:v>
                </c:pt>
              </c:strCache>
            </c:strRef>
          </c:tx>
          <c:spPr>
            <a:solidFill>
              <a:srgbClr val="E8AFB2"/>
            </a:solidFill>
            <a:ln>
              <a:noFill/>
            </a:ln>
          </c:spPr>
          <c:invertIfNegative val="0"/>
          <c:cat>
            <c:multiLvlStrRef>
              <c:f>'souhrnná výkonnost 3'!$A$30:$B$51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3'!$H$30:$H$51</c:f>
              <c:numCache>
                <c:formatCode>#\ ##0.0</c:formatCode>
                <c:ptCount val="22"/>
                <c:pt idx="0">
                  <c:v>1.0524813582033086</c:v>
                </c:pt>
                <c:pt idx="1">
                  <c:v>-0.47777606515227122</c:v>
                </c:pt>
                <c:pt idx="2">
                  <c:v>-0.35555734821242635</c:v>
                </c:pt>
                <c:pt idx="3">
                  <c:v>-1.4481535119733124</c:v>
                </c:pt>
                <c:pt idx="4">
                  <c:v>2.9922981882277922E-2</c:v>
                </c:pt>
                <c:pt idx="5">
                  <c:v>-1.2537553229299498</c:v>
                </c:pt>
                <c:pt idx="6">
                  <c:v>-0.57463433558824872</c:v>
                </c:pt>
                <c:pt idx="7">
                  <c:v>1.8085807340728097</c:v>
                </c:pt>
                <c:pt idx="8">
                  <c:v>0.91584880445412908</c:v>
                </c:pt>
                <c:pt idx="9">
                  <c:v>0.66860369572466505</c:v>
                </c:pt>
                <c:pt idx="10">
                  <c:v>-1.5736478906912501</c:v>
                </c:pt>
                <c:pt idx="11">
                  <c:v>-2.0771500306216089</c:v>
                </c:pt>
                <c:pt idx="12">
                  <c:v>2.4159623458993353</c:v>
                </c:pt>
                <c:pt idx="13">
                  <c:v>4.4035123965182708</c:v>
                </c:pt>
                <c:pt idx="14">
                  <c:v>6.5480200971506584</c:v>
                </c:pt>
                <c:pt idx="15">
                  <c:v>5.6378094597142576</c:v>
                </c:pt>
                <c:pt idx="16">
                  <c:v>1.7599138045171967</c:v>
                </c:pt>
                <c:pt idx="17">
                  <c:v>1.6830617792805977</c:v>
                </c:pt>
                <c:pt idx="18">
                  <c:v>-0.13522737694425827</c:v>
                </c:pt>
                <c:pt idx="19">
                  <c:v>6.8011691232444271E-2</c:v>
                </c:pt>
                <c:pt idx="20">
                  <c:v>-1.0556412101943085</c:v>
                </c:pt>
                <c:pt idx="21">
                  <c:v>-2.524619685124204</c:v>
                </c:pt>
              </c:numCache>
            </c:numRef>
          </c:val>
          <c:extLst>
            <c:ext xmlns:c16="http://schemas.microsoft.com/office/drawing/2014/chart" uri="{C3380CC4-5D6E-409C-BE32-E72D297353CC}">
              <c16:uniqueId val="{00000001-C12F-48C1-8401-FB5303D86166}"/>
            </c:ext>
          </c:extLst>
        </c:ser>
        <c:ser>
          <c:idx val="3"/>
          <c:order val="3"/>
          <c:tx>
            <c:strRef>
              <c:f>'souhrnná výkonnost 3'!$G$5</c:f>
              <c:strCache>
                <c:ptCount val="1"/>
                <c:pt idx="0">
                  <c:v>Tvorba hrubého fixního kapitálu</c:v>
                </c:pt>
              </c:strCache>
            </c:strRef>
          </c:tx>
          <c:spPr>
            <a:solidFill>
              <a:srgbClr val="BD1B21"/>
            </a:solidFill>
            <a:ln>
              <a:noFill/>
            </a:ln>
          </c:spPr>
          <c:invertIfNegative val="0"/>
          <c:val>
            <c:numRef>
              <c:f>'souhrnná výkonnost 3'!$G$30:$G$51</c:f>
              <c:numCache>
                <c:formatCode>#\ ##0.0</c:formatCode>
                <c:ptCount val="22"/>
                <c:pt idx="0">
                  <c:v>1.8848546995699589</c:v>
                </c:pt>
                <c:pt idx="1">
                  <c:v>2.053547364624257</c:v>
                </c:pt>
                <c:pt idx="2">
                  <c:v>2.2324390876929545</c:v>
                </c:pt>
                <c:pt idx="3">
                  <c:v>1.9592291913679716</c:v>
                </c:pt>
                <c:pt idx="4">
                  <c:v>1.6664742572861313</c:v>
                </c:pt>
                <c:pt idx="5">
                  <c:v>1.1031620490038367</c:v>
                </c:pt>
                <c:pt idx="6">
                  <c:v>0.60351051109238796</c:v>
                </c:pt>
                <c:pt idx="7">
                  <c:v>0.61015699901503451</c:v>
                </c:pt>
                <c:pt idx="8">
                  <c:v>-0.18505385313730394</c:v>
                </c:pt>
                <c:pt idx="9">
                  <c:v>0.26545371936590556</c:v>
                </c:pt>
                <c:pt idx="10">
                  <c:v>-1.1365453004257857</c:v>
                </c:pt>
                <c:pt idx="11">
                  <c:v>-1.5484962788918575</c:v>
                </c:pt>
                <c:pt idx="12">
                  <c:v>-1.1386301164844839</c:v>
                </c:pt>
                <c:pt idx="13">
                  <c:v>-1.6478950671691954</c:v>
                </c:pt>
                <c:pt idx="14">
                  <c:v>0.35561087195381591</c:v>
                </c:pt>
                <c:pt idx="15">
                  <c:v>0.78646457641002898</c:v>
                </c:pt>
                <c:pt idx="16">
                  <c:v>1.2056425074201884</c:v>
                </c:pt>
                <c:pt idx="17">
                  <c:v>0.94551509887167873</c:v>
                </c:pt>
                <c:pt idx="18">
                  <c:v>0.23606202143119684</c:v>
                </c:pt>
                <c:pt idx="19">
                  <c:v>-0.12541596439909741</c:v>
                </c:pt>
                <c:pt idx="20">
                  <c:v>-0.22886298711949793</c:v>
                </c:pt>
                <c:pt idx="21">
                  <c:v>0.80248259667338273</c:v>
                </c:pt>
              </c:numCache>
            </c:numRef>
          </c:val>
          <c:extLst>
            <c:ext xmlns:c16="http://schemas.microsoft.com/office/drawing/2014/chart" uri="{C3380CC4-5D6E-409C-BE32-E72D297353CC}">
              <c16:uniqueId val="{00000002-C12F-48C1-8401-FB5303D86166}"/>
            </c:ext>
          </c:extLst>
        </c:ser>
        <c:ser>
          <c:idx val="5"/>
          <c:order val="4"/>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3'!$D$30:$D$51</c:f>
              <c:numCache>
                <c:formatCode>#\ ##0.0</c:formatCode>
                <c:ptCount val="22"/>
                <c:pt idx="0">
                  <c:v>1.540080312662943</c:v>
                </c:pt>
                <c:pt idx="1">
                  <c:v>1.2364606818393471</c:v>
                </c:pt>
                <c:pt idx="2">
                  <c:v>0.93963380194395907</c:v>
                </c:pt>
                <c:pt idx="3">
                  <c:v>0.94791873617978784</c:v>
                </c:pt>
                <c:pt idx="4">
                  <c:v>0.89975778114159266</c:v>
                </c:pt>
                <c:pt idx="5">
                  <c:v>1.2410325032352096</c:v>
                </c:pt>
                <c:pt idx="6">
                  <c:v>0.94788645941574889</c:v>
                </c:pt>
                <c:pt idx="7">
                  <c:v>1.3125840520821432</c:v>
                </c:pt>
                <c:pt idx="8">
                  <c:v>-1.0446704916645397</c:v>
                </c:pt>
                <c:pt idx="9">
                  <c:v>-3.3401453756905828</c:v>
                </c:pt>
                <c:pt idx="10">
                  <c:v>-1.8238505965980329</c:v>
                </c:pt>
                <c:pt idx="11">
                  <c:v>-4.3451439574225974</c:v>
                </c:pt>
                <c:pt idx="12">
                  <c:v>-2.8838668819945754</c:v>
                </c:pt>
                <c:pt idx="13">
                  <c:v>1.9930858902923905</c:v>
                </c:pt>
                <c:pt idx="14">
                  <c:v>1.7335129439561139</c:v>
                </c:pt>
                <c:pt idx="15">
                  <c:v>3.2860285615183655</c:v>
                </c:pt>
                <c:pt idx="16">
                  <c:v>3.1132919265413115</c:v>
                </c:pt>
                <c:pt idx="17">
                  <c:v>-0.20478152182535223</c:v>
                </c:pt>
                <c:pt idx="18">
                  <c:v>-2.6249574056935399</c:v>
                </c:pt>
                <c:pt idx="19">
                  <c:v>-2.9076885203083829</c:v>
                </c:pt>
                <c:pt idx="20">
                  <c:v>-2.5107364068622577</c:v>
                </c:pt>
                <c:pt idx="21">
                  <c:v>-1.8836388504096579</c:v>
                </c:pt>
              </c:numCache>
            </c:numRef>
          </c:val>
          <c:extLst>
            <c:ext xmlns:c16="http://schemas.microsoft.com/office/drawing/2014/chart" uri="{C3380CC4-5D6E-409C-BE32-E72D297353CC}">
              <c16:uniqueId val="{00000003-C12F-48C1-8401-FB5303D86166}"/>
            </c:ext>
          </c:extLst>
        </c:ser>
        <c:ser>
          <c:idx val="4"/>
          <c:order val="5"/>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3'!$E$30:$E$51</c:f>
              <c:numCache>
                <c:formatCode>#\ ##0.0</c:formatCode>
                <c:ptCount val="22"/>
                <c:pt idx="0">
                  <c:v>0.59778499254771711</c:v>
                </c:pt>
                <c:pt idx="1">
                  <c:v>0.60746684411638396</c:v>
                </c:pt>
                <c:pt idx="2">
                  <c:v>0.87114555902277024</c:v>
                </c:pt>
                <c:pt idx="3">
                  <c:v>0.78687144586984825</c:v>
                </c:pt>
                <c:pt idx="4">
                  <c:v>0.42281243223978315</c:v>
                </c:pt>
                <c:pt idx="5">
                  <c:v>0.54406400829840962</c:v>
                </c:pt>
                <c:pt idx="6">
                  <c:v>0.56781285164264683</c:v>
                </c:pt>
                <c:pt idx="7">
                  <c:v>0.18039196202538715</c:v>
                </c:pt>
                <c:pt idx="8">
                  <c:v>0.86345208967516851</c:v>
                </c:pt>
                <c:pt idx="9">
                  <c:v>0.63518061172427243</c:v>
                </c:pt>
                <c:pt idx="10">
                  <c:v>0.30945908783825082</c:v>
                </c:pt>
                <c:pt idx="11">
                  <c:v>1.3407546216216213</c:v>
                </c:pt>
                <c:pt idx="12">
                  <c:v>-8.5095004004240485E-2</c:v>
                </c:pt>
                <c:pt idx="13">
                  <c:v>-5.3280721089043984E-2</c:v>
                </c:pt>
                <c:pt idx="14">
                  <c:v>0.99915273207784439</c:v>
                </c:pt>
                <c:pt idx="15">
                  <c:v>6.858536278325067E-2</c:v>
                </c:pt>
                <c:pt idx="16">
                  <c:v>0.32383662791128387</c:v>
                </c:pt>
                <c:pt idx="17">
                  <c:v>0.37450810976545307</c:v>
                </c:pt>
                <c:pt idx="18">
                  <c:v>-0.41396996520400342</c:v>
                </c:pt>
                <c:pt idx="19">
                  <c:v>8.6105307469658346E-2</c:v>
                </c:pt>
                <c:pt idx="20">
                  <c:v>0.67084488415714305</c:v>
                </c:pt>
                <c:pt idx="21">
                  <c:v>0.66982363300597192</c:v>
                </c:pt>
              </c:numCache>
            </c:numRef>
          </c:val>
          <c:extLst>
            <c:ext xmlns:c16="http://schemas.microsoft.com/office/drawing/2014/chart" uri="{C3380CC4-5D6E-409C-BE32-E72D297353CC}">
              <c16:uniqueId val="{00000004-C12F-48C1-8401-FB5303D86166}"/>
            </c:ext>
          </c:extLst>
        </c:ser>
        <c:dLbls>
          <c:showLegendKey val="0"/>
          <c:showVal val="0"/>
          <c:showCatName val="0"/>
          <c:showSerName val="0"/>
          <c:showPercent val="0"/>
          <c:showBubbleSize val="0"/>
        </c:dLbls>
        <c:gapWidth val="40"/>
        <c:overlap val="100"/>
        <c:axId val="120276096"/>
        <c:axId val="120277632"/>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3'!$C$30:$C$51</c:f>
              <c:numCache>
                <c:formatCode>#\ ##0.0</c:formatCode>
                <c:ptCount val="22"/>
                <c:pt idx="0">
                  <c:v>4.7410158709829044</c:v>
                </c:pt>
                <c:pt idx="1">
                  <c:v>2.8085121382809888</c:v>
                </c:pt>
                <c:pt idx="2">
                  <c:v>2.6946747602240042</c:v>
                </c:pt>
                <c:pt idx="3">
                  <c:v>2.632738011287671</c:v>
                </c:pt>
                <c:pt idx="4">
                  <c:v>2.9925808638806188</c:v>
                </c:pt>
                <c:pt idx="5">
                  <c:v>3.0577465249692599</c:v>
                </c:pt>
                <c:pt idx="6">
                  <c:v>3.0222812889930282</c:v>
                </c:pt>
                <c:pt idx="7">
                  <c:v>2.7919056462255591</c:v>
                </c:pt>
                <c:pt idx="8">
                  <c:v>-1.4738194413261563</c:v>
                </c:pt>
                <c:pt idx="9">
                  <c:v>-10.802865399708741</c:v>
                </c:pt>
                <c:pt idx="10">
                  <c:v>-5.2167494638705882</c:v>
                </c:pt>
                <c:pt idx="11">
                  <c:v>-4.5664750245340713</c:v>
                </c:pt>
                <c:pt idx="12">
                  <c:v>-1.9186323159540564</c:v>
                </c:pt>
                <c:pt idx="13">
                  <c:v>9.1792931219514671</c:v>
                </c:pt>
                <c:pt idx="14">
                  <c:v>3.8209037046074186</c:v>
                </c:pt>
                <c:pt idx="15">
                  <c:v>3.4133373401856786</c:v>
                </c:pt>
                <c:pt idx="16">
                  <c:v>4.6828065809266501</c:v>
                </c:pt>
                <c:pt idx="17">
                  <c:v>3.3595998605536996</c:v>
                </c:pt>
                <c:pt idx="18">
                  <c:v>1.3500706587594062</c:v>
                </c:pt>
                <c:pt idx="19">
                  <c:v>0.12009744011587034</c:v>
                </c:pt>
                <c:pt idx="20">
                  <c:v>-0.42288944612090534</c:v>
                </c:pt>
                <c:pt idx="21">
                  <c:v>-0.43493905219344242</c:v>
                </c:pt>
              </c:numCache>
            </c:numRef>
          </c:val>
          <c:smooth val="0"/>
          <c:extLst>
            <c:ext xmlns:c16="http://schemas.microsoft.com/office/drawing/2014/chart" uri="{C3380CC4-5D6E-409C-BE32-E72D297353CC}">
              <c16:uniqueId val="{00000005-C12F-48C1-8401-FB5303D86166}"/>
            </c:ext>
          </c:extLst>
        </c:ser>
        <c:dLbls>
          <c:showLegendKey val="0"/>
          <c:showVal val="0"/>
          <c:showCatName val="0"/>
          <c:showSerName val="0"/>
          <c:showPercent val="0"/>
          <c:showBubbleSize val="0"/>
        </c:dLbls>
        <c:marker val="1"/>
        <c:smooth val="0"/>
        <c:axId val="120276096"/>
        <c:axId val="120277632"/>
      </c:lineChart>
      <c:catAx>
        <c:axId val="120276096"/>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20277632"/>
        <c:crosses val="autoZero"/>
        <c:auto val="1"/>
        <c:lblAlgn val="ctr"/>
        <c:lblOffset val="100"/>
        <c:noMultiLvlLbl val="0"/>
      </c:catAx>
      <c:valAx>
        <c:axId val="120277632"/>
        <c:scaling>
          <c:orientation val="minMax"/>
          <c:max val="12"/>
          <c:min val="-1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20276096"/>
        <c:crosses val="autoZero"/>
        <c:crossBetween val="between"/>
        <c:majorUnit val="2"/>
      </c:valAx>
      <c:spPr>
        <a:ln>
          <a:solidFill>
            <a:schemeClr val="tx1"/>
          </a:solidFill>
        </a:ln>
      </c:spPr>
    </c:plotArea>
    <c:legend>
      <c:legendPos val="b"/>
      <c:layout>
        <c:manualLayout>
          <c:xMode val="edge"/>
          <c:yMode val="edge"/>
          <c:x val="4.7571766295170556E-2"/>
          <c:y val="0.81445992344928542"/>
          <c:w val="0.94432624113475172"/>
          <c:h val="0.1748173477428797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75E-2"/>
          <c:y val="2.9499886988623544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4'!$C$30:$C$51</c:f>
              <c:numCache>
                <c:formatCode>#\ ##0.0</c:formatCode>
                <c:ptCount val="22"/>
                <c:pt idx="0">
                  <c:v>3.2678809349882994E-2</c:v>
                </c:pt>
                <c:pt idx="1">
                  <c:v>7.1043352951455641E-2</c:v>
                </c:pt>
                <c:pt idx="2">
                  <c:v>0.13147416955081714</c:v>
                </c:pt>
                <c:pt idx="3">
                  <c:v>0.1355750838589089</c:v>
                </c:pt>
                <c:pt idx="4">
                  <c:v>7.3815312527439711E-2</c:v>
                </c:pt>
                <c:pt idx="5">
                  <c:v>8.6198359198018534E-2</c:v>
                </c:pt>
                <c:pt idx="6">
                  <c:v>0.10932770534860803</c:v>
                </c:pt>
                <c:pt idx="7">
                  <c:v>0.13255154938774669</c:v>
                </c:pt>
                <c:pt idx="8">
                  <c:v>0.21545052259669259</c:v>
                </c:pt>
                <c:pt idx="9">
                  <c:v>0.23619938628539741</c:v>
                </c:pt>
                <c:pt idx="10">
                  <c:v>0.24181149955858292</c:v>
                </c:pt>
                <c:pt idx="11">
                  <c:v>0.21681429221385648</c:v>
                </c:pt>
                <c:pt idx="12">
                  <c:v>-0.19657363835640351</c:v>
                </c:pt>
                <c:pt idx="13">
                  <c:v>-0.34178536991297304</c:v>
                </c:pt>
                <c:pt idx="14">
                  <c:v>-0.37570182006417735</c:v>
                </c:pt>
                <c:pt idx="15">
                  <c:v>-0.37221295215760836</c:v>
                </c:pt>
                <c:pt idx="16">
                  <c:v>-0.16234638940102425</c:v>
                </c:pt>
                <c:pt idx="17">
                  <c:v>-0.13442866084554098</c:v>
                </c:pt>
                <c:pt idx="18">
                  <c:v>-0.14434356404006068</c:v>
                </c:pt>
                <c:pt idx="19">
                  <c:v>-0.23576011287971266</c:v>
                </c:pt>
                <c:pt idx="20">
                  <c:v>-5.1565071284767172E-2</c:v>
                </c:pt>
                <c:pt idx="21">
                  <c:v>-3.052007019091078E-2</c:v>
                </c:pt>
              </c:numCache>
            </c:numRef>
          </c:val>
          <c:extLst>
            <c:ext xmlns:c16="http://schemas.microsoft.com/office/drawing/2014/chart" uri="{C3380CC4-5D6E-409C-BE32-E72D297353CC}">
              <c16:uniqueId val="{00000000-78A4-4F58-89BE-53B166D8F7FF}"/>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4'!$D$30:$D$51</c:f>
              <c:numCache>
                <c:formatCode>#\ ##0.0</c:formatCode>
                <c:ptCount val="22"/>
                <c:pt idx="0">
                  <c:v>1.49104591482017</c:v>
                </c:pt>
                <c:pt idx="1">
                  <c:v>0.13833830178262263</c:v>
                </c:pt>
                <c:pt idx="2">
                  <c:v>1.1371114606629321E-2</c:v>
                </c:pt>
                <c:pt idx="3">
                  <c:v>0.33553515446267096</c:v>
                </c:pt>
                <c:pt idx="4">
                  <c:v>0.79394406110374971</c:v>
                </c:pt>
                <c:pt idx="5">
                  <c:v>1.3559231668786855</c:v>
                </c:pt>
                <c:pt idx="6">
                  <c:v>1.3631060989469754</c:v>
                </c:pt>
                <c:pt idx="7">
                  <c:v>0.99560862159706953</c:v>
                </c:pt>
                <c:pt idx="8">
                  <c:v>-1.1680575231725148</c:v>
                </c:pt>
                <c:pt idx="9">
                  <c:v>-5.8896682937773646</c:v>
                </c:pt>
                <c:pt idx="10">
                  <c:v>-2.5137505183360016</c:v>
                </c:pt>
                <c:pt idx="11">
                  <c:v>-1.8978845716379917</c:v>
                </c:pt>
                <c:pt idx="12">
                  <c:v>0.17537901886028953</c:v>
                </c:pt>
                <c:pt idx="13">
                  <c:v>4.9740222929440314</c:v>
                </c:pt>
                <c:pt idx="14">
                  <c:v>0.20509799209873475</c:v>
                </c:pt>
                <c:pt idx="15">
                  <c:v>-0.48173040936348782</c:v>
                </c:pt>
                <c:pt idx="16">
                  <c:v>0.83288419096617161</c:v>
                </c:pt>
                <c:pt idx="17">
                  <c:v>1.2132518080186516</c:v>
                </c:pt>
                <c:pt idx="18">
                  <c:v>2.1267494750096803</c:v>
                </c:pt>
                <c:pt idx="19">
                  <c:v>2.7466658745830972</c:v>
                </c:pt>
                <c:pt idx="20">
                  <c:v>0.91069840352561782</c:v>
                </c:pt>
                <c:pt idx="21">
                  <c:v>0.87421092777172538</c:v>
                </c:pt>
              </c:numCache>
            </c:numRef>
          </c:val>
          <c:extLst>
            <c:ext xmlns:c16="http://schemas.microsoft.com/office/drawing/2014/chart" uri="{C3380CC4-5D6E-409C-BE32-E72D297353CC}">
              <c16:uniqueId val="{00000001-78A4-4F58-89BE-53B166D8F7FF}"/>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4'!$E$30:$E$51</c:f>
              <c:numCache>
                <c:formatCode>#\ ##0.0</c:formatCode>
                <c:ptCount val="22"/>
                <c:pt idx="0">
                  <c:v>-8.4827402194146279E-2</c:v>
                </c:pt>
                <c:pt idx="1">
                  <c:v>-2.6313910996506886E-3</c:v>
                </c:pt>
                <c:pt idx="2" formatCode="General">
                  <c:v>9.1594113054016657E-2</c:v>
                </c:pt>
                <c:pt idx="3" formatCode="General">
                  <c:v>-2.3532244840282983E-2</c:v>
                </c:pt>
                <c:pt idx="4" formatCode="General">
                  <c:v>-0.22319978862492373</c:v>
                </c:pt>
                <c:pt idx="5" formatCode="General">
                  <c:v>-0.42608130827198065</c:v>
                </c:pt>
                <c:pt idx="6" formatCode="General">
                  <c:v>-0.6332241662231014</c:v>
                </c:pt>
                <c:pt idx="7" formatCode="General">
                  <c:v>-0.47005936665406056</c:v>
                </c:pt>
                <c:pt idx="8" formatCode="General">
                  <c:v>-0.39879519059346102</c:v>
                </c:pt>
                <c:pt idx="9" formatCode="General">
                  <c:v>-0.29594961815162701</c:v>
                </c:pt>
                <c:pt idx="10" formatCode="General">
                  <c:v>3.6558427102720184E-2</c:v>
                </c:pt>
                <c:pt idx="11" formatCode="General">
                  <c:v>0.49474509851361503</c:v>
                </c:pt>
                <c:pt idx="12" formatCode="General">
                  <c:v>0.10268524637411167</c:v>
                </c:pt>
                <c:pt idx="13" formatCode="General">
                  <c:v>0.15208374901925303</c:v>
                </c:pt>
                <c:pt idx="14" formatCode="General">
                  <c:v>-8.3157118283756229E-2</c:v>
                </c:pt>
                <c:pt idx="15" formatCode="General">
                  <c:v>-0.23038326613496624</c:v>
                </c:pt>
                <c:pt idx="16" formatCode="General">
                  <c:v>-0.9649693903538572</c:v>
                </c:pt>
                <c:pt idx="17" formatCode="General">
                  <c:v>-1.0281885364300385</c:v>
                </c:pt>
                <c:pt idx="18" formatCode="General">
                  <c:v>-1.0754299799558713</c:v>
                </c:pt>
                <c:pt idx="19" formatCode="General">
                  <c:v>-1.8164022619582583</c:v>
                </c:pt>
                <c:pt idx="20" formatCode="General">
                  <c:v>-0.39415795004229381</c:v>
                </c:pt>
                <c:pt idx="21" formatCode="General">
                  <c:v>-0.47940825133597692</c:v>
                </c:pt>
              </c:numCache>
            </c:numRef>
          </c:val>
          <c:extLst>
            <c:ext xmlns:c16="http://schemas.microsoft.com/office/drawing/2014/chart" uri="{C3380CC4-5D6E-409C-BE32-E72D297353CC}">
              <c16:uniqueId val="{00000002-78A4-4F58-89BE-53B166D8F7FF}"/>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4'!$F$30:$F$51</c:f>
              <c:numCache>
                <c:formatCode>#\ ##0.0</c:formatCode>
                <c:ptCount val="22"/>
                <c:pt idx="0">
                  <c:v>0.12203771789133691</c:v>
                </c:pt>
                <c:pt idx="1">
                  <c:v>2.721405326342801E-3</c:v>
                </c:pt>
                <c:pt idx="2">
                  <c:v>-1.6093365386526861E-2</c:v>
                </c:pt>
                <c:pt idx="3">
                  <c:v>-0.11938213609361673</c:v>
                </c:pt>
                <c:pt idx="4">
                  <c:v>-0.15414075128507621</c:v>
                </c:pt>
                <c:pt idx="5">
                  <c:v>-4.3532590886408505E-2</c:v>
                </c:pt>
                <c:pt idx="6">
                  <c:v>-0.10941238277351643</c:v>
                </c:pt>
                <c:pt idx="7">
                  <c:v>-9.8598207180954342E-2</c:v>
                </c:pt>
                <c:pt idx="8">
                  <c:v>-0.3387537202870835</c:v>
                </c:pt>
                <c:pt idx="9">
                  <c:v>-0.70304287917967101</c:v>
                </c:pt>
                <c:pt idx="10">
                  <c:v>-0.6319415303218574</c:v>
                </c:pt>
                <c:pt idx="11">
                  <c:v>-0.61557506939559192</c:v>
                </c:pt>
                <c:pt idx="12">
                  <c:v>-0.50618553672420052</c:v>
                </c:pt>
                <c:pt idx="13">
                  <c:v>-8.0324212744330645E-2</c:v>
                </c:pt>
                <c:pt idx="14">
                  <c:v>-5.5314929764280858E-3</c:v>
                </c:pt>
                <c:pt idx="15">
                  <c:v>-4.5147882953895054E-2</c:v>
                </c:pt>
                <c:pt idx="16">
                  <c:v>-7.9624117393123084E-2</c:v>
                </c:pt>
                <c:pt idx="17">
                  <c:v>-0.27523677822990128</c:v>
                </c:pt>
                <c:pt idx="18">
                  <c:v>-0.50021356452078947</c:v>
                </c:pt>
                <c:pt idx="19">
                  <c:v>-0.5002872032383201</c:v>
                </c:pt>
                <c:pt idx="20">
                  <c:v>-0.28889790127219922</c:v>
                </c:pt>
                <c:pt idx="21">
                  <c:v>-0.15013455946663931</c:v>
                </c:pt>
              </c:numCache>
            </c:numRef>
          </c:val>
          <c:extLst>
            <c:ext xmlns:c16="http://schemas.microsoft.com/office/drawing/2014/chart" uri="{C3380CC4-5D6E-409C-BE32-E72D297353CC}">
              <c16:uniqueId val="{00000003-78A4-4F58-89BE-53B166D8F7FF}"/>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4'!$G$30:$G$51</c:f>
              <c:numCache>
                <c:formatCode>#\ ##0.0</c:formatCode>
                <c:ptCount val="22"/>
                <c:pt idx="0">
                  <c:v>3.1237068943138606</c:v>
                </c:pt>
                <c:pt idx="1">
                  <c:v>2.7517321166092374</c:v>
                </c:pt>
                <c:pt idx="2" formatCode="General">
                  <c:v>2.7131816334348331</c:v>
                </c:pt>
                <c:pt idx="3" formatCode="General">
                  <c:v>2.6018048024583842</c:v>
                </c:pt>
                <c:pt idx="4" formatCode="General">
                  <c:v>2.4822220084523607</c:v>
                </c:pt>
                <c:pt idx="5" formatCode="General">
                  <c:v>2.1921234953504332</c:v>
                </c:pt>
                <c:pt idx="6" formatCode="General">
                  <c:v>2.1636986023312033</c:v>
                </c:pt>
                <c:pt idx="7" formatCode="General">
                  <c:v>2.1557420268059597</c:v>
                </c:pt>
                <c:pt idx="8" formatCode="General">
                  <c:v>0.58107492482466538</c:v>
                </c:pt>
                <c:pt idx="9" formatCode="General">
                  <c:v>-4.340075475656417</c:v>
                </c:pt>
                <c:pt idx="10" formatCode="General">
                  <c:v>-1.9966606979356536</c:v>
                </c:pt>
                <c:pt idx="11" formatCode="General">
                  <c:v>-2.3417286799070345</c:v>
                </c:pt>
                <c:pt idx="12" formatCode="General">
                  <c:v>-1.4413683522936223</c:v>
                </c:pt>
                <c:pt idx="13" formatCode="General">
                  <c:v>4.6756952859719902</c:v>
                </c:pt>
                <c:pt idx="14" formatCode="General">
                  <c:v>3.758749287293734</c:v>
                </c:pt>
                <c:pt idx="15" formatCode="General">
                  <c:v>4.1104404660252234</c:v>
                </c:pt>
                <c:pt idx="16" formatCode="General">
                  <c:v>4.4078314303948014</c:v>
                </c:pt>
                <c:pt idx="17" formatCode="General">
                  <c:v>3.4337768421922799</c:v>
                </c:pt>
                <c:pt idx="18" formatCode="General">
                  <c:v>0.99886480410734713</c:v>
                </c:pt>
                <c:pt idx="19" formatCode="General">
                  <c:v>0.62822985446220736</c:v>
                </c:pt>
                <c:pt idx="20" formatCode="General">
                  <c:v>0.88085528350362163</c:v>
                </c:pt>
                <c:pt idx="21" formatCode="General">
                  <c:v>0.33652509863648522</c:v>
                </c:pt>
              </c:numCache>
            </c:numRef>
          </c:val>
          <c:extLst>
            <c:ext xmlns:c16="http://schemas.microsoft.com/office/drawing/2014/chart" uri="{C3380CC4-5D6E-409C-BE32-E72D297353CC}">
              <c16:uniqueId val="{00000004-78A4-4F58-89BE-53B166D8F7FF}"/>
            </c:ext>
          </c:extLst>
        </c:ser>
        <c:dLbls>
          <c:showLegendKey val="0"/>
          <c:showVal val="0"/>
          <c:showCatName val="0"/>
          <c:showSerName val="0"/>
          <c:showPercent val="0"/>
          <c:showBubbleSize val="0"/>
        </c:dLbls>
        <c:gapWidth val="40"/>
        <c:overlap val="100"/>
        <c:axId val="120421376"/>
        <c:axId val="120439552"/>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4'!$H$30:$H$51</c:f>
              <c:numCache>
                <c:formatCode>#\ ##0.0</c:formatCode>
                <c:ptCount val="22"/>
                <c:pt idx="0">
                  <c:v>4.7958884315215471</c:v>
                </c:pt>
                <c:pt idx="1">
                  <c:v>2.9611349370848932</c:v>
                </c:pt>
                <c:pt idx="2">
                  <c:v>2.9313757908427505</c:v>
                </c:pt>
                <c:pt idx="3">
                  <c:v>2.9300970074841501</c:v>
                </c:pt>
                <c:pt idx="4">
                  <c:v>2.9726357886500532</c:v>
                </c:pt>
                <c:pt idx="5">
                  <c:v>3.1648414337946056</c:v>
                </c:pt>
                <c:pt idx="6">
                  <c:v>2.8935535187896448</c:v>
                </c:pt>
                <c:pt idx="7">
                  <c:v>2.7150260301270781</c:v>
                </c:pt>
                <c:pt idx="8">
                  <c:v>-1.1091532796304051</c:v>
                </c:pt>
                <c:pt idx="9">
                  <c:v>-10.992463627261648</c:v>
                </c:pt>
                <c:pt idx="10">
                  <c:v>-4.8638909795719876</c:v>
                </c:pt>
                <c:pt idx="11">
                  <c:v>-4.1436644792680095</c:v>
                </c:pt>
                <c:pt idx="12">
                  <c:v>-1.8659927600573805</c:v>
                </c:pt>
                <c:pt idx="13">
                  <c:v>9.3795330142279685</c:v>
                </c:pt>
                <c:pt idx="14">
                  <c:v>3.4995046714904281</c:v>
                </c:pt>
                <c:pt idx="15">
                  <c:v>2.9809101848340589</c:v>
                </c:pt>
                <c:pt idx="16">
                  <c:v>4.0336725177132298</c:v>
                </c:pt>
                <c:pt idx="17">
                  <c:v>3.2093274629342132</c:v>
                </c:pt>
                <c:pt idx="18">
                  <c:v>1.4055555931354884</c:v>
                </c:pt>
                <c:pt idx="19">
                  <c:v>0.82246982529750312</c:v>
                </c:pt>
                <c:pt idx="20">
                  <c:v>1.0568763024884045</c:v>
                </c:pt>
                <c:pt idx="21">
                  <c:v>0.55058034820891044</c:v>
                </c:pt>
              </c:numCache>
            </c:numRef>
          </c:val>
          <c:smooth val="0"/>
          <c:extLst>
            <c:ext xmlns:c16="http://schemas.microsoft.com/office/drawing/2014/chart" uri="{C3380CC4-5D6E-409C-BE32-E72D297353CC}">
              <c16:uniqueId val="{00000005-78A4-4F58-89BE-53B166D8F7FF}"/>
            </c:ext>
          </c:extLst>
        </c:ser>
        <c:dLbls>
          <c:showLegendKey val="0"/>
          <c:showVal val="0"/>
          <c:showCatName val="0"/>
          <c:showSerName val="0"/>
          <c:showPercent val="0"/>
          <c:showBubbleSize val="0"/>
        </c:dLbls>
        <c:marker val="1"/>
        <c:smooth val="0"/>
        <c:axId val="120421376"/>
        <c:axId val="120439552"/>
      </c:lineChart>
      <c:catAx>
        <c:axId val="120421376"/>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20439552"/>
        <c:crosses val="autoZero"/>
        <c:auto val="1"/>
        <c:lblAlgn val="ctr"/>
        <c:lblOffset val="100"/>
        <c:noMultiLvlLbl val="0"/>
      </c:catAx>
      <c:valAx>
        <c:axId val="120439552"/>
        <c:scaling>
          <c:orientation val="minMax"/>
          <c:max val="10"/>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20421376"/>
        <c:crosses val="autoZero"/>
        <c:crossBetween val="between"/>
        <c:majorUnit val="2"/>
      </c:valAx>
      <c:spPr>
        <a:ln>
          <a:solidFill>
            <a:schemeClr val="tx1"/>
          </a:solidFill>
        </a:ln>
      </c:spPr>
    </c:plotArea>
    <c:legend>
      <c:legendPos val="b"/>
      <c:layout>
        <c:manualLayout>
          <c:xMode val="edge"/>
          <c:yMode val="edge"/>
          <c:x val="5.4144292468760548E-2"/>
          <c:y val="0.79016604750647301"/>
          <c:w val="0.92386482607227283"/>
          <c:h val="0.1946248452099493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10992424025109E-2"/>
          <c:y val="1.5804777005479883E-2"/>
          <c:w val="0.84419102795189604"/>
          <c:h val="0.69135712481071787"/>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IPP'!$R$27:$AY$27</c:f>
              <c:numCache>
                <c:formatCode>0.0</c:formatCode>
                <c:ptCount val="34"/>
                <c:pt idx="0">
                  <c:v>1.5414336001551836</c:v>
                </c:pt>
                <c:pt idx="1">
                  <c:v>2.1741500812415602</c:v>
                </c:pt>
                <c:pt idx="2">
                  <c:v>2.3807451285231696</c:v>
                </c:pt>
                <c:pt idx="3">
                  <c:v>2.8689756615217954</c:v>
                </c:pt>
                <c:pt idx="4">
                  <c:v>3.3341210196737827</c:v>
                </c:pt>
                <c:pt idx="5">
                  <c:v>2.686672264317759</c:v>
                </c:pt>
                <c:pt idx="6">
                  <c:v>1.4809491976121276</c:v>
                </c:pt>
                <c:pt idx="7">
                  <c:v>1.0295786410238899</c:v>
                </c:pt>
                <c:pt idx="8">
                  <c:v>1.7176851530772046</c:v>
                </c:pt>
                <c:pt idx="9">
                  <c:v>2.162430036953364</c:v>
                </c:pt>
                <c:pt idx="10">
                  <c:v>1.6010808371876544</c:v>
                </c:pt>
                <c:pt idx="11">
                  <c:v>1.6765308689366043</c:v>
                </c:pt>
                <c:pt idx="12">
                  <c:v>0.76463369901420963</c:v>
                </c:pt>
                <c:pt idx="13">
                  <c:v>0.53745054525373026</c:v>
                </c:pt>
                <c:pt idx="14">
                  <c:v>0.24390176608722364</c:v>
                </c:pt>
                <c:pt idx="15">
                  <c:v>0.97145099568383719</c:v>
                </c:pt>
                <c:pt idx="16">
                  <c:v>-0.22653642884122777</c:v>
                </c:pt>
                <c:pt idx="17">
                  <c:v>0.48861091853368632</c:v>
                </c:pt>
                <c:pt idx="18">
                  <c:v>0.80855917746087291</c:v>
                </c:pt>
                <c:pt idx="19">
                  <c:v>-1.0897983527427599</c:v>
                </c:pt>
                <c:pt idx="20">
                  <c:v>-1.5435543851935798</c:v>
                </c:pt>
                <c:pt idx="21">
                  <c:v>-9.4039632081130193</c:v>
                </c:pt>
                <c:pt idx="22">
                  <c:v>-0.18743733484121575</c:v>
                </c:pt>
                <c:pt idx="23">
                  <c:v>2.0451875585567296</c:v>
                </c:pt>
                <c:pt idx="24">
                  <c:v>1.8998981300154258</c:v>
                </c:pt>
                <c:pt idx="25">
                  <c:v>10.981696435394754</c:v>
                </c:pt>
                <c:pt idx="26">
                  <c:v>-3.7777447309199408</c:v>
                </c:pt>
                <c:pt idx="27">
                  <c:v>-3.2745552925864532</c:v>
                </c:pt>
                <c:pt idx="28">
                  <c:v>-1.9134308617559561</c:v>
                </c:pt>
                <c:pt idx="29">
                  <c:v>6.7346726305186552E-2</c:v>
                </c:pt>
                <c:pt idx="30">
                  <c:v>5.6261275361156651</c:v>
                </c:pt>
                <c:pt idx="31">
                  <c:v>4.0481059565611357</c:v>
                </c:pt>
                <c:pt idx="32">
                  <c:v>4.8724307805941338</c:v>
                </c:pt>
                <c:pt idx="33">
                  <c:v>4.8421310753709568</c:v>
                </c:pt>
              </c:numCache>
            </c:numRef>
          </c:val>
          <c:extLst>
            <c:ext xmlns:c16="http://schemas.microsoft.com/office/drawing/2014/chart" uri="{C3380CC4-5D6E-409C-BE32-E72D297353CC}">
              <c16:uniqueId val="{00000000-3BB7-48CF-820C-4AF7ABBD47EF}"/>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IPP'!$R$28:$AY$28</c:f>
              <c:numCache>
                <c:formatCode>0.0</c:formatCode>
                <c:ptCount val="34"/>
                <c:pt idx="0">
                  <c:v>1.0327842576995614</c:v>
                </c:pt>
                <c:pt idx="1">
                  <c:v>1.2398193770878803</c:v>
                </c:pt>
                <c:pt idx="2">
                  <c:v>1.4194520754584399</c:v>
                </c:pt>
                <c:pt idx="3">
                  <c:v>0.62945179373892213</c:v>
                </c:pt>
                <c:pt idx="4">
                  <c:v>0.81066950070394839</c:v>
                </c:pt>
                <c:pt idx="5">
                  <c:v>0.15910929112689315</c:v>
                </c:pt>
                <c:pt idx="6">
                  <c:v>0.27430884251769189</c:v>
                </c:pt>
                <c:pt idx="7">
                  <c:v>0.42966812397126047</c:v>
                </c:pt>
                <c:pt idx="8">
                  <c:v>0.81190885185629913</c:v>
                </c:pt>
                <c:pt idx="9">
                  <c:v>1.4478162783570216</c:v>
                </c:pt>
                <c:pt idx="10">
                  <c:v>0.86831270392558868</c:v>
                </c:pt>
                <c:pt idx="11">
                  <c:v>1.6467937182997419</c:v>
                </c:pt>
                <c:pt idx="12">
                  <c:v>0.99355825089751959</c:v>
                </c:pt>
                <c:pt idx="13">
                  <c:v>0.32981714268582202</c:v>
                </c:pt>
                <c:pt idx="14">
                  <c:v>0.43066392508053108</c:v>
                </c:pt>
                <c:pt idx="15">
                  <c:v>-5.4042637097958611E-2</c:v>
                </c:pt>
                <c:pt idx="16">
                  <c:v>0.52511448325990218</c:v>
                </c:pt>
                <c:pt idx="17">
                  <c:v>0.41827161057405132</c:v>
                </c:pt>
                <c:pt idx="18">
                  <c:v>0.20321919004157399</c:v>
                </c:pt>
                <c:pt idx="19">
                  <c:v>0.40664545615593128</c:v>
                </c:pt>
                <c:pt idx="20">
                  <c:v>-0.54518803499189361</c:v>
                </c:pt>
                <c:pt idx="21">
                  <c:v>-4.0594843067761044</c:v>
                </c:pt>
                <c:pt idx="22">
                  <c:v>-0.42308415860457271</c:v>
                </c:pt>
                <c:pt idx="23">
                  <c:v>0.57531703991443739</c:v>
                </c:pt>
                <c:pt idx="24">
                  <c:v>0.72127374997619453</c:v>
                </c:pt>
                <c:pt idx="25">
                  <c:v>5.5133080211538479</c:v>
                </c:pt>
                <c:pt idx="26">
                  <c:v>0.63109141066247476</c:v>
                </c:pt>
                <c:pt idx="27">
                  <c:v>-0.40575686667122407</c:v>
                </c:pt>
                <c:pt idx="28">
                  <c:v>9.4281733767757503E-2</c:v>
                </c:pt>
                <c:pt idx="29">
                  <c:v>0.14521370184093607</c:v>
                </c:pt>
                <c:pt idx="30">
                  <c:v>0.5333658281425756</c:v>
                </c:pt>
                <c:pt idx="31">
                  <c:v>0.60873804206286231</c:v>
                </c:pt>
                <c:pt idx="32">
                  <c:v>0.18587396804024281</c:v>
                </c:pt>
                <c:pt idx="33">
                  <c:v>7.4362013451117717E-2</c:v>
                </c:pt>
              </c:numCache>
            </c:numRef>
          </c:val>
          <c:extLst>
            <c:ext xmlns:c16="http://schemas.microsoft.com/office/drawing/2014/chart" uri="{C3380CC4-5D6E-409C-BE32-E72D297353CC}">
              <c16:uniqueId val="{00000001-3BB7-48CF-820C-4AF7ABBD47EF}"/>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IPP'!$R$29:$AY$29</c:f>
              <c:numCache>
                <c:formatCode>0.0</c:formatCode>
                <c:ptCount val="34"/>
                <c:pt idx="0">
                  <c:v>0.27352741322260504</c:v>
                </c:pt>
                <c:pt idx="1">
                  <c:v>0.29435778863230155</c:v>
                </c:pt>
                <c:pt idx="2">
                  <c:v>0.38381901893821552</c:v>
                </c:pt>
                <c:pt idx="3">
                  <c:v>1.9907538862099922E-2</c:v>
                </c:pt>
                <c:pt idx="4">
                  <c:v>0.36213267281302258</c:v>
                </c:pt>
                <c:pt idx="5">
                  <c:v>-6.5064708510287728E-2</c:v>
                </c:pt>
                <c:pt idx="6">
                  <c:v>0.19502661099256188</c:v>
                </c:pt>
                <c:pt idx="7">
                  <c:v>0.31976595271137093</c:v>
                </c:pt>
                <c:pt idx="8">
                  <c:v>0.36260721751312475</c:v>
                </c:pt>
                <c:pt idx="9">
                  <c:v>1.0676230430151585</c:v>
                </c:pt>
                <c:pt idx="10">
                  <c:v>0.84856622097502898</c:v>
                </c:pt>
                <c:pt idx="11">
                  <c:v>0.8011679796708624</c:v>
                </c:pt>
                <c:pt idx="12">
                  <c:v>0.47154480134890697</c:v>
                </c:pt>
                <c:pt idx="13">
                  <c:v>0.14539794495792599</c:v>
                </c:pt>
                <c:pt idx="14">
                  <c:v>0.18518957990291937</c:v>
                </c:pt>
                <c:pt idx="15">
                  <c:v>-0.19190856298894723</c:v>
                </c:pt>
                <c:pt idx="16">
                  <c:v>0.14248219231403378</c:v>
                </c:pt>
                <c:pt idx="17">
                  <c:v>-2.1421773901395606E-2</c:v>
                </c:pt>
                <c:pt idx="18">
                  <c:v>-0.25698546548398382</c:v>
                </c:pt>
                <c:pt idx="19">
                  <c:v>-0.1385976419695116</c:v>
                </c:pt>
                <c:pt idx="20">
                  <c:v>-0.69677730727295739</c:v>
                </c:pt>
                <c:pt idx="21">
                  <c:v>-2.1434069100206701</c:v>
                </c:pt>
                <c:pt idx="22">
                  <c:v>-0.80071965285565583</c:v>
                </c:pt>
                <c:pt idx="23">
                  <c:v>-0.53337369043417615</c:v>
                </c:pt>
                <c:pt idx="24">
                  <c:v>7.0388429332234728E-2</c:v>
                </c:pt>
                <c:pt idx="25">
                  <c:v>2.1082132332125232</c:v>
                </c:pt>
                <c:pt idx="26">
                  <c:v>0.54002718228061808</c:v>
                </c:pt>
                <c:pt idx="27">
                  <c:v>0.28651169955913558</c:v>
                </c:pt>
                <c:pt idx="28">
                  <c:v>0.38093703992586597</c:v>
                </c:pt>
                <c:pt idx="29">
                  <c:v>0.10479825284280032</c:v>
                </c:pt>
                <c:pt idx="30">
                  <c:v>0.49700568632045139</c:v>
                </c:pt>
                <c:pt idx="31">
                  <c:v>0.65908299677033788</c:v>
                </c:pt>
                <c:pt idx="32">
                  <c:v>0.3321818252275528</c:v>
                </c:pt>
                <c:pt idx="33">
                  <c:v>0.3482266848343149</c:v>
                </c:pt>
              </c:numCache>
            </c:numRef>
          </c:val>
          <c:extLst>
            <c:ext xmlns:c16="http://schemas.microsoft.com/office/drawing/2014/chart" uri="{C3380CC4-5D6E-409C-BE32-E72D297353CC}">
              <c16:uniqueId val="{00000002-3BB7-48CF-820C-4AF7ABBD47EF}"/>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IPP'!$R$30:$AY$30</c:f>
              <c:numCache>
                <c:formatCode>0.0</c:formatCode>
                <c:ptCount val="34"/>
                <c:pt idx="0">
                  <c:v>0.69497691812608697</c:v>
                </c:pt>
                <c:pt idx="1">
                  <c:v>0.7850872599759442</c:v>
                </c:pt>
                <c:pt idx="2">
                  <c:v>0.99073344247385264</c:v>
                </c:pt>
                <c:pt idx="3">
                  <c:v>0.60112803930591463</c:v>
                </c:pt>
                <c:pt idx="4">
                  <c:v>0.8056510855242317</c:v>
                </c:pt>
                <c:pt idx="5">
                  <c:v>0.37292975928366623</c:v>
                </c:pt>
                <c:pt idx="6">
                  <c:v>0.22874403118707326</c:v>
                </c:pt>
                <c:pt idx="7">
                  <c:v>0.25105221227274938</c:v>
                </c:pt>
                <c:pt idx="8">
                  <c:v>0.39859566543955594</c:v>
                </c:pt>
                <c:pt idx="9">
                  <c:v>0.93860836876068798</c:v>
                </c:pt>
                <c:pt idx="10">
                  <c:v>0.85733344200421968</c:v>
                </c:pt>
                <c:pt idx="11">
                  <c:v>0.96180148351524553</c:v>
                </c:pt>
                <c:pt idx="12">
                  <c:v>0.66382399405022563</c:v>
                </c:pt>
                <c:pt idx="13">
                  <c:v>0.46639173271760581</c:v>
                </c:pt>
                <c:pt idx="14">
                  <c:v>0.40419840691742392</c:v>
                </c:pt>
                <c:pt idx="15">
                  <c:v>0.1444093288361632</c:v>
                </c:pt>
                <c:pt idx="16">
                  <c:v>0.25807569584954476</c:v>
                </c:pt>
                <c:pt idx="17">
                  <c:v>1.4459010693799897E-2</c:v>
                </c:pt>
                <c:pt idx="18">
                  <c:v>-0.2565104921358744</c:v>
                </c:pt>
                <c:pt idx="19">
                  <c:v>-0.34928328908715461</c:v>
                </c:pt>
                <c:pt idx="20">
                  <c:v>-0.60808014688232759</c:v>
                </c:pt>
                <c:pt idx="21">
                  <c:v>-2.0880437771647515</c:v>
                </c:pt>
                <c:pt idx="22">
                  <c:v>-0.5397213489370003</c:v>
                </c:pt>
                <c:pt idx="23">
                  <c:v>0.14511452076092651</c:v>
                </c:pt>
                <c:pt idx="24">
                  <c:v>0.49633095542560107</c:v>
                </c:pt>
                <c:pt idx="25">
                  <c:v>3.0129249260537696</c:v>
                </c:pt>
                <c:pt idx="26">
                  <c:v>0.73648478182031019</c:v>
                </c:pt>
                <c:pt idx="27">
                  <c:v>-5.6080447887036491E-2</c:v>
                </c:pt>
                <c:pt idx="28">
                  <c:v>0.14988190046361907</c:v>
                </c:pt>
                <c:pt idx="29">
                  <c:v>-0.43552695875331848</c:v>
                </c:pt>
                <c:pt idx="30">
                  <c:v>-0.39400819775201057</c:v>
                </c:pt>
                <c:pt idx="31">
                  <c:v>-0.25505671304535277</c:v>
                </c:pt>
                <c:pt idx="32">
                  <c:v>-0.35367147519159647</c:v>
                </c:pt>
                <c:pt idx="33">
                  <c:v>-0.15009408753219944</c:v>
                </c:pt>
              </c:numCache>
            </c:numRef>
          </c:val>
          <c:extLst>
            <c:ext xmlns:c16="http://schemas.microsoft.com/office/drawing/2014/chart" uri="{C3380CC4-5D6E-409C-BE32-E72D297353CC}">
              <c16:uniqueId val="{00000003-3BB7-48CF-820C-4AF7ABBD47EF}"/>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IPP'!$R$31:$AY$31</c:f>
              <c:numCache>
                <c:formatCode>0.0</c:formatCode>
                <c:ptCount val="34"/>
                <c:pt idx="0">
                  <c:v>0.10273275765267498</c:v>
                </c:pt>
                <c:pt idx="1">
                  <c:v>1.7022273503113715E-2</c:v>
                </c:pt>
                <c:pt idx="2">
                  <c:v>3.1451678515104962E-2</c:v>
                </c:pt>
                <c:pt idx="3">
                  <c:v>-6.7148299810871767E-2</c:v>
                </c:pt>
                <c:pt idx="4">
                  <c:v>-1.2685476667277843E-2</c:v>
                </c:pt>
                <c:pt idx="5">
                  <c:v>7.6588175669582967E-2</c:v>
                </c:pt>
                <c:pt idx="6">
                  <c:v>4.5204856094121497E-2</c:v>
                </c:pt>
                <c:pt idx="7">
                  <c:v>0.16194666355811346</c:v>
                </c:pt>
                <c:pt idx="8">
                  <c:v>0.16169573185966213</c:v>
                </c:pt>
                <c:pt idx="9">
                  <c:v>0.34034954986554078</c:v>
                </c:pt>
                <c:pt idx="10">
                  <c:v>0.22387493834902866</c:v>
                </c:pt>
                <c:pt idx="11">
                  <c:v>0.2347488357417308</c:v>
                </c:pt>
                <c:pt idx="12">
                  <c:v>0.37691682805498272</c:v>
                </c:pt>
                <c:pt idx="13">
                  <c:v>0.16170745152429084</c:v>
                </c:pt>
                <c:pt idx="14">
                  <c:v>0.63541368560223865</c:v>
                </c:pt>
                <c:pt idx="15">
                  <c:v>0.32151776055716935</c:v>
                </c:pt>
                <c:pt idx="16">
                  <c:v>-0.11432204894408443</c:v>
                </c:pt>
                <c:pt idx="17">
                  <c:v>-5.1757146500390386E-2</c:v>
                </c:pt>
                <c:pt idx="18">
                  <c:v>-0.58706510968263648</c:v>
                </c:pt>
                <c:pt idx="19">
                  <c:v>-0.35487188237441086</c:v>
                </c:pt>
                <c:pt idx="20">
                  <c:v>-8.5397778834990529E-2</c:v>
                </c:pt>
                <c:pt idx="21">
                  <c:v>-0.27817734072291866</c:v>
                </c:pt>
                <c:pt idx="22">
                  <c:v>-2.9065624151318075E-3</c:v>
                </c:pt>
                <c:pt idx="23">
                  <c:v>-5.9498285904227757E-3</c:v>
                </c:pt>
                <c:pt idx="24">
                  <c:v>0.12344573775217323</c:v>
                </c:pt>
                <c:pt idx="25">
                  <c:v>0.16503598968244643</c:v>
                </c:pt>
                <c:pt idx="26">
                  <c:v>0.21876908691427951</c:v>
                </c:pt>
                <c:pt idx="27">
                  <c:v>-0.21769009003114997</c:v>
                </c:pt>
                <c:pt idx="28">
                  <c:v>1.6785548675397853E-2</c:v>
                </c:pt>
                <c:pt idx="29">
                  <c:v>-1.1662751079334687E-2</c:v>
                </c:pt>
                <c:pt idx="30">
                  <c:v>6.6089208618214476E-2</c:v>
                </c:pt>
                <c:pt idx="31">
                  <c:v>0.43636866713601158</c:v>
                </c:pt>
                <c:pt idx="32">
                  <c:v>0.15424282771829353</c:v>
                </c:pt>
                <c:pt idx="33">
                  <c:v>6.4644984673718334E-2</c:v>
                </c:pt>
              </c:numCache>
            </c:numRef>
          </c:val>
          <c:extLst>
            <c:ext xmlns:c16="http://schemas.microsoft.com/office/drawing/2014/chart" uri="{C3380CC4-5D6E-409C-BE32-E72D297353CC}">
              <c16:uniqueId val="{00000004-3BB7-48CF-820C-4AF7ABBD47EF}"/>
            </c:ext>
          </c:extLst>
        </c:ser>
        <c:ser>
          <c:idx val="5"/>
          <c:order val="5"/>
          <c:tx>
            <c:strRef>
              <c:f>'GRAF příspěvky IPP'!$A$32</c:f>
              <c:strCache>
                <c:ptCount val="1"/>
                <c:pt idx="0">
                  <c:v>Chemický a farmaceutický pr. (20, 21)</c:v>
                </c:pt>
              </c:strCache>
            </c:strRef>
          </c:tx>
          <c:spPr>
            <a:solidFill>
              <a:srgbClr val="F8A124"/>
            </a:solidFill>
            <a:ln>
              <a:noFill/>
            </a:ln>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IPP'!$R$32:$AY$32</c:f>
              <c:numCache>
                <c:formatCode>0.0</c:formatCode>
                <c:ptCount val="34"/>
                <c:pt idx="0">
                  <c:v>7.7208317080078304E-2</c:v>
                </c:pt>
                <c:pt idx="1">
                  <c:v>0.23592866818826699</c:v>
                </c:pt>
                <c:pt idx="2">
                  <c:v>-0.16336143877828871</c:v>
                </c:pt>
                <c:pt idx="3">
                  <c:v>-0.33439989501658013</c:v>
                </c:pt>
                <c:pt idx="4">
                  <c:v>-0.41779515285163221</c:v>
                </c:pt>
                <c:pt idx="5">
                  <c:v>-0.42569819359762051</c:v>
                </c:pt>
                <c:pt idx="6">
                  <c:v>-0.10788089066016887</c:v>
                </c:pt>
                <c:pt idx="7">
                  <c:v>0.23743965472329753</c:v>
                </c:pt>
                <c:pt idx="8">
                  <c:v>0.52311070740015453</c:v>
                </c:pt>
                <c:pt idx="9">
                  <c:v>0.82341422334347258</c:v>
                </c:pt>
                <c:pt idx="10">
                  <c:v>0.65076836480306144</c:v>
                </c:pt>
                <c:pt idx="11">
                  <c:v>0.50493978173151799</c:v>
                </c:pt>
                <c:pt idx="12">
                  <c:v>0.40295639892988111</c:v>
                </c:pt>
                <c:pt idx="13">
                  <c:v>8.0557374992047265E-2</c:v>
                </c:pt>
                <c:pt idx="14">
                  <c:v>-5.3154805616806716E-2</c:v>
                </c:pt>
                <c:pt idx="15">
                  <c:v>-6.7994611415210363E-2</c:v>
                </c:pt>
                <c:pt idx="16">
                  <c:v>0.10386183133359356</c:v>
                </c:pt>
                <c:pt idx="17">
                  <c:v>4.7610492592970489E-2</c:v>
                </c:pt>
                <c:pt idx="18">
                  <c:v>0.23071819932128149</c:v>
                </c:pt>
                <c:pt idx="19">
                  <c:v>3.0462943071166673E-2</c:v>
                </c:pt>
                <c:pt idx="20">
                  <c:v>-3.1218778316377285E-2</c:v>
                </c:pt>
                <c:pt idx="21">
                  <c:v>-0.54858975903434926</c:v>
                </c:pt>
                <c:pt idx="22">
                  <c:v>-0.21411469460909971</c:v>
                </c:pt>
                <c:pt idx="23">
                  <c:v>0.43233148897113949</c:v>
                </c:pt>
                <c:pt idx="24">
                  <c:v>0.28829426971776523</c:v>
                </c:pt>
                <c:pt idx="25">
                  <c:v>0.79933281321603367</c:v>
                </c:pt>
                <c:pt idx="26">
                  <c:v>0.31192170113272555</c:v>
                </c:pt>
                <c:pt idx="27">
                  <c:v>7.2471498351694669E-2</c:v>
                </c:pt>
                <c:pt idx="28">
                  <c:v>0.25171354682802022</c:v>
                </c:pt>
                <c:pt idx="29">
                  <c:v>0.17148055035811022</c:v>
                </c:pt>
                <c:pt idx="30">
                  <c:v>-8.8890710060444134E-2</c:v>
                </c:pt>
                <c:pt idx="31">
                  <c:v>-0.2676314955887259</c:v>
                </c:pt>
                <c:pt idx="32">
                  <c:v>-0.57253174056875167</c:v>
                </c:pt>
                <c:pt idx="33">
                  <c:v>-0.14472420150223347</c:v>
                </c:pt>
              </c:numCache>
            </c:numRef>
          </c:val>
          <c:extLst>
            <c:ext xmlns:c16="http://schemas.microsoft.com/office/drawing/2014/chart" uri="{C3380CC4-5D6E-409C-BE32-E72D297353CC}">
              <c16:uniqueId val="{00000005-3BB7-48CF-820C-4AF7ABBD47EF}"/>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IPP'!$R$33:$AY$33</c:f>
              <c:numCache>
                <c:formatCode>0.0</c:formatCode>
                <c:ptCount val="34"/>
                <c:pt idx="0">
                  <c:v>0.98358746940884201</c:v>
                </c:pt>
                <c:pt idx="1">
                  <c:v>0.89923246363091303</c:v>
                </c:pt>
                <c:pt idx="2">
                  <c:v>1.0053837817799574</c:v>
                </c:pt>
                <c:pt idx="3">
                  <c:v>-0.19974639261354685</c:v>
                </c:pt>
                <c:pt idx="4">
                  <c:v>0.24329990001740046</c:v>
                </c:pt>
                <c:pt idx="5">
                  <c:v>-0.35930073634947668</c:v>
                </c:pt>
                <c:pt idx="6">
                  <c:v>5.4611870755817526E-2</c:v>
                </c:pt>
                <c:pt idx="7">
                  <c:v>0.57938738739229778</c:v>
                </c:pt>
                <c:pt idx="8">
                  <c:v>0.10796722998385255</c:v>
                </c:pt>
                <c:pt idx="9">
                  <c:v>1.4849667962274027</c:v>
                </c:pt>
                <c:pt idx="10">
                  <c:v>0.76494329225869195</c:v>
                </c:pt>
                <c:pt idx="11">
                  <c:v>0.92981101776031461</c:v>
                </c:pt>
                <c:pt idx="12">
                  <c:v>1.1595945228996394</c:v>
                </c:pt>
                <c:pt idx="13">
                  <c:v>0.67905455733759568</c:v>
                </c:pt>
                <c:pt idx="14">
                  <c:v>1.1071544502276862</c:v>
                </c:pt>
                <c:pt idx="15">
                  <c:v>0.4584448107077318</c:v>
                </c:pt>
                <c:pt idx="16">
                  <c:v>-4.2034374602800031E-2</c:v>
                </c:pt>
                <c:pt idx="17">
                  <c:v>4.7080538912348473E-2</c:v>
                </c:pt>
                <c:pt idx="18">
                  <c:v>-0.67715517865176977</c:v>
                </c:pt>
                <c:pt idx="19">
                  <c:v>-0.19783909206023401</c:v>
                </c:pt>
                <c:pt idx="20">
                  <c:v>7.5330777097780618E-2</c:v>
                </c:pt>
                <c:pt idx="21">
                  <c:v>-2.8438492263065807</c:v>
                </c:pt>
                <c:pt idx="22">
                  <c:v>8.8873578450232568E-2</c:v>
                </c:pt>
                <c:pt idx="23">
                  <c:v>0.13876281570829024</c:v>
                </c:pt>
                <c:pt idx="24">
                  <c:v>0.21014615403229506</c:v>
                </c:pt>
                <c:pt idx="25">
                  <c:v>5.1936386612240169</c:v>
                </c:pt>
                <c:pt idx="26">
                  <c:v>1.0321859362308046</c:v>
                </c:pt>
                <c:pt idx="27">
                  <c:v>0.89717493659966963</c:v>
                </c:pt>
                <c:pt idx="28">
                  <c:v>1.4486041643537622</c:v>
                </c:pt>
                <c:pt idx="29">
                  <c:v>0.43152950164995879</c:v>
                </c:pt>
                <c:pt idx="30">
                  <c:v>-0.55860056263710678</c:v>
                </c:pt>
                <c:pt idx="31">
                  <c:v>-0.67902760551175612</c:v>
                </c:pt>
                <c:pt idx="32">
                  <c:v>-2.2497740130865838</c:v>
                </c:pt>
                <c:pt idx="33">
                  <c:v>-2.4285915196989682</c:v>
                </c:pt>
              </c:numCache>
            </c:numRef>
          </c:val>
          <c:extLst>
            <c:ext xmlns:c16="http://schemas.microsoft.com/office/drawing/2014/chart" uri="{C3380CC4-5D6E-409C-BE32-E72D297353CC}">
              <c16:uniqueId val="{00000006-3BB7-48CF-820C-4AF7ABBD47EF}"/>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IPP'!$R$34:$AY$34</c:f>
              <c:numCache>
                <c:formatCode>0.0</c:formatCode>
                <c:ptCount val="34"/>
                <c:pt idx="0">
                  <c:v>0.1453689780549717</c:v>
                </c:pt>
                <c:pt idx="1">
                  <c:v>-0.33983324755997296</c:v>
                </c:pt>
                <c:pt idx="2">
                  <c:v>-0.39725135811041795</c:v>
                </c:pt>
                <c:pt idx="3">
                  <c:v>-1.114644115487744</c:v>
                </c:pt>
                <c:pt idx="4">
                  <c:v>-0.64587487131351229</c:v>
                </c:pt>
                <c:pt idx="5">
                  <c:v>9.8834575359488239E-2</c:v>
                </c:pt>
                <c:pt idx="6">
                  <c:v>-0.47676721369922492</c:v>
                </c:pt>
                <c:pt idx="7">
                  <c:v>0.50385695934700236</c:v>
                </c:pt>
                <c:pt idx="8">
                  <c:v>0.66227118757014136</c:v>
                </c:pt>
                <c:pt idx="9">
                  <c:v>-0.18254891472265231</c:v>
                </c:pt>
                <c:pt idx="10">
                  <c:v>0.77170124339672352</c:v>
                </c:pt>
                <c:pt idx="11">
                  <c:v>0.73276064564397958</c:v>
                </c:pt>
                <c:pt idx="12">
                  <c:v>-0.53888499639537135</c:v>
                </c:pt>
                <c:pt idx="13">
                  <c:v>4.2147847309763065E-3</c:v>
                </c:pt>
                <c:pt idx="14">
                  <c:v>0.78783573859879152</c:v>
                </c:pt>
                <c:pt idx="15">
                  <c:v>0.33124933161720838</c:v>
                </c:pt>
                <c:pt idx="16">
                  <c:v>0.21326825173098607</c:v>
                </c:pt>
                <c:pt idx="17">
                  <c:v>4.5891627194929625E-2</c:v>
                </c:pt>
                <c:pt idx="18">
                  <c:v>-0.66559651426950006</c:v>
                </c:pt>
                <c:pt idx="19">
                  <c:v>-0.33090808889302392</c:v>
                </c:pt>
                <c:pt idx="20">
                  <c:v>-0.97342506810566554</c:v>
                </c:pt>
                <c:pt idx="21">
                  <c:v>-1.5875613971615934</c:v>
                </c:pt>
                <c:pt idx="22">
                  <c:v>-0.71564578738754903</c:v>
                </c:pt>
                <c:pt idx="23">
                  <c:v>-0.69506985368693874</c:v>
                </c:pt>
                <c:pt idx="24">
                  <c:v>0.48072477574831796</c:v>
                </c:pt>
                <c:pt idx="25">
                  <c:v>0.46331760076263334</c:v>
                </c:pt>
                <c:pt idx="26">
                  <c:v>0.22196846067872944</c:v>
                </c:pt>
                <c:pt idx="27">
                  <c:v>0.81349879426535543</c:v>
                </c:pt>
                <c:pt idx="28">
                  <c:v>-0.17516130075846145</c:v>
                </c:pt>
                <c:pt idx="29">
                  <c:v>0.27453065253565601</c:v>
                </c:pt>
                <c:pt idx="30">
                  <c:v>0.37988207575265837</c:v>
                </c:pt>
                <c:pt idx="31">
                  <c:v>-1.3729548731845103</c:v>
                </c:pt>
                <c:pt idx="32">
                  <c:v>-1.2157081226332949</c:v>
                </c:pt>
                <c:pt idx="33">
                  <c:v>-1.5181989153967135</c:v>
                </c:pt>
              </c:numCache>
            </c:numRef>
          </c:val>
          <c:extLst>
            <c:ext xmlns:c16="http://schemas.microsoft.com/office/drawing/2014/chart" uri="{C3380CC4-5D6E-409C-BE32-E72D297353CC}">
              <c16:uniqueId val="{00000007-3BB7-48CF-820C-4AF7ABBD47EF}"/>
            </c:ext>
          </c:extLst>
        </c:ser>
        <c:dLbls>
          <c:showLegendKey val="0"/>
          <c:showVal val="0"/>
          <c:showCatName val="0"/>
          <c:showSerName val="0"/>
          <c:showPercent val="0"/>
          <c:showBubbleSize val="0"/>
        </c:dLbls>
        <c:gapWidth val="15"/>
        <c:overlap val="100"/>
        <c:axId val="59397632"/>
        <c:axId val="59399168"/>
      </c:barChart>
      <c:lineChart>
        <c:grouping val="standard"/>
        <c:varyColors val="0"/>
        <c:ser>
          <c:idx val="8"/>
          <c:order val="8"/>
          <c:tx>
            <c:strRef>
              <c:f>'GRAF příspěvky IPP'!$A$35</c:f>
              <c:strCache>
                <c:ptCount val="1"/>
                <c:pt idx="0">
                  <c:v>Průmysl celkem (NACE B až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IPP'!$R$35:$AY$35</c:f>
              <c:numCache>
                <c:formatCode>0.0</c:formatCode>
                <c:ptCount val="34"/>
                <c:pt idx="0">
                  <c:v>4.8516197114000095</c:v>
                </c:pt>
                <c:pt idx="1">
                  <c:v>5.3057646647000078</c:v>
                </c:pt>
                <c:pt idx="2">
                  <c:v>5.6509723288000355</c:v>
                </c:pt>
                <c:pt idx="3">
                  <c:v>2.4035243304999891</c:v>
                </c:pt>
                <c:pt idx="4">
                  <c:v>4.4795186778999661</c:v>
                </c:pt>
                <c:pt idx="5">
                  <c:v>2.5440704273000043</c:v>
                </c:pt>
                <c:pt idx="6">
                  <c:v>1.6941973048000019</c:v>
                </c:pt>
                <c:pt idx="7">
                  <c:v>3.5126955949999807</c:v>
                </c:pt>
                <c:pt idx="8">
                  <c:v>4.7458417446999954</c:v>
                </c:pt>
                <c:pt idx="9">
                  <c:v>8.0826593818000028</c:v>
                </c:pt>
                <c:pt idx="10">
                  <c:v>6.5865810428999945</c:v>
                </c:pt>
                <c:pt idx="11">
                  <c:v>7.4885543312999898</c:v>
                </c:pt>
                <c:pt idx="12">
                  <c:v>4.2941434987999925</c:v>
                </c:pt>
                <c:pt idx="13">
                  <c:v>2.4045915341999944</c:v>
                </c:pt>
                <c:pt idx="14">
                  <c:v>3.7412027468000102</c:v>
                </c:pt>
                <c:pt idx="15">
                  <c:v>1.9131264158999912</c:v>
                </c:pt>
                <c:pt idx="16">
                  <c:v>0.8599096020999486</c:v>
                </c:pt>
                <c:pt idx="17">
                  <c:v>0.98874527810000012</c:v>
                </c:pt>
                <c:pt idx="18">
                  <c:v>-1.2008161934000359</c:v>
                </c:pt>
                <c:pt idx="19">
                  <c:v>-2.0241899478999996</c:v>
                </c:pt>
                <c:pt idx="20">
                  <c:v>-4.408310722500012</c:v>
                </c:pt>
                <c:pt idx="21">
                  <c:v>-22.953075925300016</c:v>
                </c:pt>
                <c:pt idx="22">
                  <c:v>-2.7947559611999915</c:v>
                </c:pt>
                <c:pt idx="23">
                  <c:v>2.1023200511999853</c:v>
                </c:pt>
                <c:pt idx="24">
                  <c:v>4.2905022020000079</c:v>
                </c:pt>
                <c:pt idx="25">
                  <c:v>28.237467680700014</c:v>
                </c:pt>
                <c:pt idx="26">
                  <c:v>-8.5296171199999812E-2</c:v>
                </c:pt>
                <c:pt idx="27">
                  <c:v>-1.8829755502000003</c:v>
                </c:pt>
                <c:pt idx="28">
                  <c:v>0.25361177150000458</c:v>
                </c:pt>
                <c:pt idx="29">
                  <c:v>0.74770967569999514</c:v>
                </c:pt>
                <c:pt idx="30">
                  <c:v>6.0622390109000008</c:v>
                </c:pt>
                <c:pt idx="31">
                  <c:v>3.1781753375999955</c:v>
                </c:pt>
                <c:pt idx="32">
                  <c:v>1.1530440500999919</c:v>
                </c:pt>
                <c:pt idx="33">
                  <c:v>1.0877560341999979</c:v>
                </c:pt>
              </c:numCache>
            </c:numRef>
          </c:val>
          <c:smooth val="0"/>
          <c:extLst>
            <c:ext xmlns:c16="http://schemas.microsoft.com/office/drawing/2014/chart" uri="{C3380CC4-5D6E-409C-BE32-E72D297353CC}">
              <c16:uniqueId val="{00000008-3BB7-48CF-820C-4AF7ABBD47EF}"/>
            </c:ext>
          </c:extLst>
        </c:ser>
        <c:dLbls>
          <c:showLegendKey val="0"/>
          <c:showVal val="0"/>
          <c:showCatName val="0"/>
          <c:showSerName val="0"/>
          <c:showPercent val="0"/>
          <c:showBubbleSize val="0"/>
        </c:dLbls>
        <c:marker val="1"/>
        <c:smooth val="0"/>
        <c:axId val="59397632"/>
        <c:axId val="59399168"/>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IPP'!$R$36:$AY$36</c:f>
              <c:numCache>
                <c:formatCode>General</c:formatCode>
                <c:ptCount val="34"/>
              </c:numCache>
            </c:numRef>
          </c:val>
          <c:smooth val="0"/>
          <c:extLst>
            <c:ext xmlns:c16="http://schemas.microsoft.com/office/drawing/2014/chart" uri="{C3380CC4-5D6E-409C-BE32-E72D297353CC}">
              <c16:uniqueId val="{00000009-3BB7-48CF-820C-4AF7ABBD47EF}"/>
            </c:ext>
          </c:extLst>
        </c:ser>
        <c:ser>
          <c:idx val="10"/>
          <c:order val="10"/>
          <c:tx>
            <c:strRef>
              <c:f>'GRAF příspěvky IPP'!$A$37</c:f>
              <c:strCache>
                <c:ptCount val="1"/>
                <c:pt idx="0">
                  <c:v>Produkce, prům. v ČR celkem (2015=100)</c:v>
                </c:pt>
              </c:strCache>
            </c:strRef>
          </c:tx>
          <c:spPr>
            <a:ln w="15875">
              <a:solidFill>
                <a:schemeClr val="tx1">
                  <a:lumMod val="95000"/>
                  <a:lumOff val="5000"/>
                </a:schemeClr>
              </a:solidFill>
            </a:ln>
          </c:spPr>
          <c:marker>
            <c:symbol val="none"/>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IPP'!$R$37:$AY$37</c:f>
              <c:numCache>
                <c:formatCode>##0.0</c:formatCode>
                <c:ptCount val="34"/>
                <c:pt idx="0">
                  <c:v>98.64560247999998</c:v>
                </c:pt>
                <c:pt idx="1">
                  <c:v>100.18242374</c:v>
                </c:pt>
                <c:pt idx="2">
                  <c:v>101.2850845633</c:v>
                </c:pt>
                <c:pt idx="3">
                  <c:v>100.52111345000006</c:v>
                </c:pt>
                <c:pt idx="4">
                  <c:v>103.0563593</c:v>
                </c:pt>
                <c:pt idx="5">
                  <c:v>102.59927942330008</c:v>
                </c:pt>
                <c:pt idx="6">
                  <c:v>102.83954233669988</c:v>
                </c:pt>
                <c:pt idx="7">
                  <c:v>104.07328304329998</c:v>
                </c:pt>
                <c:pt idx="8">
                  <c:v>107.56794223670001</c:v>
                </c:pt>
                <c:pt idx="9">
                  <c:v>110.67653847999991</c:v>
                </c:pt>
                <c:pt idx="10">
                  <c:v>109.9586102967</c:v>
                </c:pt>
                <c:pt idx="11">
                  <c:v>112.16043972999998</c:v>
                </c:pt>
                <c:pt idx="12">
                  <c:v>112.4788675433</c:v>
                </c:pt>
                <c:pt idx="13">
                  <c:v>113.5077588266999</c:v>
                </c:pt>
                <c:pt idx="14">
                  <c:v>114.2538401132999</c:v>
                </c:pt>
                <c:pt idx="15">
                  <c:v>113.8813012366999</c:v>
                </c:pt>
                <c:pt idx="16">
                  <c:v>113.38844283329988</c:v>
                </c:pt>
                <c:pt idx="17">
                  <c:v>115.08486213330001</c:v>
                </c:pt>
                <c:pt idx="18">
                  <c:v>112.53550211669985</c:v>
                </c:pt>
                <c:pt idx="19">
                  <c:v>111.44039929330008</c:v>
                </c:pt>
                <c:pt idx="20">
                  <c:v>108.6749157867</c:v>
                </c:pt>
                <c:pt idx="21">
                  <c:v>88.9758235133</c:v>
                </c:pt>
                <c:pt idx="22">
                  <c:v>109.4050159767</c:v>
                </c:pt>
                <c:pt idx="23">
                  <c:v>113.95534516999994</c:v>
                </c:pt>
                <c:pt idx="24">
                  <c:v>112.2920782132999</c:v>
                </c:pt>
                <c:pt idx="25">
                  <c:v>113.25779428000006</c:v>
                </c:pt>
                <c:pt idx="26">
                  <c:v>110.35191377330005</c:v>
                </c:pt>
                <c:pt idx="27">
                  <c:v>111.22766090330011</c:v>
                </c:pt>
                <c:pt idx="28">
                  <c:v>113.38530769330001</c:v>
                </c:pt>
                <c:pt idx="29">
                  <c:v>114.35851683999989</c:v>
                </c:pt>
                <c:pt idx="30">
                  <c:v>116.57853470329992</c:v>
                </c:pt>
                <c:pt idx="31">
                  <c:v>115.05557292330001</c:v>
                </c:pt>
                <c:pt idx="32">
                  <c:v>114.4414711566999</c:v>
                </c:pt>
                <c:pt idx="33">
                  <c:v>115.35664829999995</c:v>
                </c:pt>
              </c:numCache>
            </c:numRef>
          </c:val>
          <c:smooth val="0"/>
          <c:extLst>
            <c:ext xmlns:c16="http://schemas.microsoft.com/office/drawing/2014/chart" uri="{C3380CC4-5D6E-409C-BE32-E72D297353CC}">
              <c16:uniqueId val="{0000000A-3BB7-48CF-820C-4AF7ABBD47EF}"/>
            </c:ext>
          </c:extLst>
        </c:ser>
        <c:ser>
          <c:idx val="11"/>
          <c:order val="11"/>
          <c:tx>
            <c:strRef>
              <c:f>'GRAF příspěvky IPP'!$A$38</c:f>
              <c:strCache>
                <c:ptCount val="1"/>
                <c:pt idx="0">
                  <c:v>Produkce, prům. v EU27 celkem (2015=100)</c:v>
                </c:pt>
              </c:strCache>
            </c:strRef>
          </c:tx>
          <c:spPr>
            <a:ln w="15875">
              <a:solidFill>
                <a:schemeClr val="tx1">
                  <a:lumMod val="50000"/>
                  <a:lumOff val="50000"/>
                </a:schemeClr>
              </a:solidFill>
              <a:prstDash val="sysDash"/>
            </a:ln>
          </c:spPr>
          <c:marker>
            <c:symbol val="none"/>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IPP'!$R$38:$AY$38</c:f>
              <c:numCache>
                <c:formatCode>##0.0</c:formatCode>
                <c:ptCount val="34"/>
                <c:pt idx="0">
                  <c:v>99.3</c:v>
                </c:pt>
                <c:pt idx="1">
                  <c:v>100</c:v>
                </c:pt>
                <c:pt idx="2">
                  <c:v>100.4</c:v>
                </c:pt>
                <c:pt idx="3">
                  <c:v>100.4</c:v>
                </c:pt>
                <c:pt idx="4">
                  <c:v>101.5</c:v>
                </c:pt>
                <c:pt idx="5">
                  <c:v>101.2</c:v>
                </c:pt>
                <c:pt idx="6">
                  <c:v>101.4</c:v>
                </c:pt>
                <c:pt idx="7">
                  <c:v>102.9</c:v>
                </c:pt>
                <c:pt idx="8">
                  <c:v>102.9</c:v>
                </c:pt>
                <c:pt idx="9">
                  <c:v>104.1</c:v>
                </c:pt>
                <c:pt idx="10">
                  <c:v>105.6</c:v>
                </c:pt>
                <c:pt idx="11">
                  <c:v>107.8</c:v>
                </c:pt>
                <c:pt idx="12">
                  <c:v>106.1</c:v>
                </c:pt>
                <c:pt idx="13">
                  <c:v>106.7</c:v>
                </c:pt>
                <c:pt idx="14">
                  <c:v>106.4</c:v>
                </c:pt>
                <c:pt idx="15">
                  <c:v>106.5</c:v>
                </c:pt>
                <c:pt idx="16">
                  <c:v>107</c:v>
                </c:pt>
                <c:pt idx="17">
                  <c:v>106.7</c:v>
                </c:pt>
                <c:pt idx="18">
                  <c:v>105.9</c:v>
                </c:pt>
                <c:pt idx="19">
                  <c:v>105.1</c:v>
                </c:pt>
                <c:pt idx="20">
                  <c:v>102.3</c:v>
                </c:pt>
                <c:pt idx="21">
                  <c:v>86.5</c:v>
                </c:pt>
                <c:pt idx="22">
                  <c:v>100.5</c:v>
                </c:pt>
                <c:pt idx="23">
                  <c:v>105.5</c:v>
                </c:pt>
                <c:pt idx="24">
                  <c:v>107.2</c:v>
                </c:pt>
                <c:pt idx="25">
                  <c:v>107.2</c:v>
                </c:pt>
                <c:pt idx="26">
                  <c:v>107</c:v>
                </c:pt>
                <c:pt idx="27">
                  <c:v>108.9</c:v>
                </c:pt>
                <c:pt idx="28">
                  <c:v>110.2</c:v>
                </c:pt>
                <c:pt idx="29">
                  <c:v>110.7</c:v>
                </c:pt>
                <c:pt idx="30">
                  <c:v>111.5</c:v>
                </c:pt>
                <c:pt idx="31">
                  <c:v>110.9</c:v>
                </c:pt>
                <c:pt idx="32">
                  <c:v>110.6</c:v>
                </c:pt>
                <c:pt idx="33">
                  <c:v>109.5</c:v>
                </c:pt>
              </c:numCache>
            </c:numRef>
          </c:val>
          <c:smooth val="0"/>
          <c:extLst>
            <c:ext xmlns:c16="http://schemas.microsoft.com/office/drawing/2014/chart" uri="{C3380CC4-5D6E-409C-BE32-E72D297353CC}">
              <c16:uniqueId val="{0000000B-3BB7-48CF-820C-4AF7ABBD47EF}"/>
            </c:ext>
          </c:extLst>
        </c:ser>
        <c:ser>
          <c:idx val="12"/>
          <c:order val="12"/>
          <c:tx>
            <c:strRef>
              <c:f>'GRAF příspěvky IPP'!$A$39</c:f>
              <c:strCache>
                <c:ptCount val="1"/>
                <c:pt idx="0">
                  <c:v>Produkce, prům. v Německu (2015=100)</c:v>
                </c:pt>
              </c:strCache>
            </c:strRef>
          </c:tx>
          <c:spPr>
            <a:ln w="15875">
              <a:solidFill>
                <a:srgbClr val="996633"/>
              </a:solidFill>
              <a:prstDash val="dash"/>
            </a:ln>
          </c:spPr>
          <c:marker>
            <c:symbol val="none"/>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IPP'!$R$39:$AY$39</c:f>
              <c:numCache>
                <c:formatCode>##0.0</c:formatCode>
                <c:ptCount val="34"/>
                <c:pt idx="0">
                  <c:v>99.1</c:v>
                </c:pt>
                <c:pt idx="1">
                  <c:v>100.3</c:v>
                </c:pt>
                <c:pt idx="2">
                  <c:v>100.1</c:v>
                </c:pt>
                <c:pt idx="3">
                  <c:v>99.6</c:v>
                </c:pt>
                <c:pt idx="4">
                  <c:v>100.7</c:v>
                </c:pt>
                <c:pt idx="5">
                  <c:v>100.3</c:v>
                </c:pt>
                <c:pt idx="6">
                  <c:v>100.6</c:v>
                </c:pt>
                <c:pt idx="7">
                  <c:v>100.7</c:v>
                </c:pt>
                <c:pt idx="8">
                  <c:v>101.2</c:v>
                </c:pt>
                <c:pt idx="9">
                  <c:v>103.2</c:v>
                </c:pt>
                <c:pt idx="10">
                  <c:v>104.9</c:v>
                </c:pt>
                <c:pt idx="11">
                  <c:v>105.7</c:v>
                </c:pt>
                <c:pt idx="12">
                  <c:v>105.1</c:v>
                </c:pt>
                <c:pt idx="13">
                  <c:v>105.9</c:v>
                </c:pt>
                <c:pt idx="14">
                  <c:v>104.8</c:v>
                </c:pt>
                <c:pt idx="15">
                  <c:v>103.3</c:v>
                </c:pt>
                <c:pt idx="16">
                  <c:v>103.2</c:v>
                </c:pt>
                <c:pt idx="17">
                  <c:v>102</c:v>
                </c:pt>
                <c:pt idx="18">
                  <c:v>100.8</c:v>
                </c:pt>
                <c:pt idx="19">
                  <c:v>99.2</c:v>
                </c:pt>
                <c:pt idx="20">
                  <c:v>97.7</c:v>
                </c:pt>
                <c:pt idx="21">
                  <c:v>80</c:v>
                </c:pt>
                <c:pt idx="22">
                  <c:v>91.4</c:v>
                </c:pt>
                <c:pt idx="23">
                  <c:v>97.3</c:v>
                </c:pt>
                <c:pt idx="24">
                  <c:v>97</c:v>
                </c:pt>
                <c:pt idx="25">
                  <c:v>96.4</c:v>
                </c:pt>
                <c:pt idx="26">
                  <c:v>93.8</c:v>
                </c:pt>
                <c:pt idx="27">
                  <c:v>96.1</c:v>
                </c:pt>
                <c:pt idx="28">
                  <c:v>95.8</c:v>
                </c:pt>
                <c:pt idx="29">
                  <c:v>95.2</c:v>
                </c:pt>
                <c:pt idx="30">
                  <c:v>95.7</c:v>
                </c:pt>
                <c:pt idx="31">
                  <c:v>95.3</c:v>
                </c:pt>
                <c:pt idx="32">
                  <c:v>96.2</c:v>
                </c:pt>
                <c:pt idx="33">
                  <c:v>95.1</c:v>
                </c:pt>
              </c:numCache>
            </c:numRef>
          </c:val>
          <c:smooth val="0"/>
          <c:extLst>
            <c:ext xmlns:c16="http://schemas.microsoft.com/office/drawing/2014/chart" uri="{C3380CC4-5D6E-409C-BE32-E72D297353CC}">
              <c16:uniqueId val="{0000000C-3BB7-48CF-820C-4AF7ABBD47EF}"/>
            </c:ext>
          </c:extLst>
        </c:ser>
        <c:dLbls>
          <c:showLegendKey val="0"/>
          <c:showVal val="0"/>
          <c:showCatName val="0"/>
          <c:showSerName val="0"/>
          <c:showPercent val="0"/>
          <c:showBubbleSize val="0"/>
        </c:dLbls>
        <c:marker val="1"/>
        <c:smooth val="0"/>
        <c:axId val="59407360"/>
        <c:axId val="59405440"/>
      </c:lineChart>
      <c:catAx>
        <c:axId val="59397632"/>
        <c:scaling>
          <c:orientation val="minMax"/>
        </c:scaling>
        <c:delete val="0"/>
        <c:axPos val="b"/>
        <c:numFmt formatCode="General" sourceLinked="1"/>
        <c:majorTickMark val="none"/>
        <c:minorTickMark val="none"/>
        <c:tickLblPos val="low"/>
        <c:txPr>
          <a:bodyPr/>
          <a:lstStyle/>
          <a:p>
            <a:pPr>
              <a:defRPr sz="800">
                <a:latin typeface="Arial" pitchFamily="34" charset="0"/>
                <a:cs typeface="Arial" pitchFamily="34" charset="0"/>
              </a:defRPr>
            </a:pPr>
            <a:endParaRPr lang="cs-CZ"/>
          </a:p>
        </c:txPr>
        <c:crossAx val="59399168"/>
        <c:crosses val="autoZero"/>
        <c:auto val="1"/>
        <c:lblAlgn val="ctr"/>
        <c:lblOffset val="0"/>
        <c:noMultiLvlLbl val="0"/>
      </c:catAx>
      <c:valAx>
        <c:axId val="59399168"/>
        <c:scaling>
          <c:orientation val="minMax"/>
          <c:max val="30"/>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u="none" strike="noStrike" baseline="0">
                    <a:effectLst/>
                  </a:rPr>
                  <a:t>Prům. produkce v dílčích odvětvích v ČR (příspěvek k růstu)</a:t>
                </a:r>
                <a:endParaRPr lang="cs-CZ" sz="700" b="0" i="1">
                  <a:latin typeface="Arial" panose="020B0604020202020204" pitchFamily="34" charset="0"/>
                  <a:cs typeface="Arial" panose="020B0604020202020204" pitchFamily="34" charset="0"/>
                </a:endParaRPr>
              </a:p>
            </c:rich>
          </c:tx>
          <c:layout>
            <c:manualLayout>
              <c:xMode val="edge"/>
              <c:yMode val="edge"/>
              <c:x val="0"/>
              <c:y val="5.1905346109932297E-2"/>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59397632"/>
        <c:crosses val="autoZero"/>
        <c:crossBetween val="between"/>
        <c:majorUnit val="5"/>
      </c:valAx>
      <c:valAx>
        <c:axId val="59405440"/>
        <c:scaling>
          <c:orientation val="minMax"/>
          <c:max val="118"/>
          <c:min val="52"/>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Produkce</a:t>
                </a:r>
                <a:r>
                  <a:rPr lang="cs-CZ" sz="700" b="0" i="1" baseline="0">
                    <a:latin typeface="Arial" panose="020B0604020202020204" pitchFamily="34" charset="0"/>
                    <a:cs typeface="Arial" panose="020B0604020202020204" pitchFamily="34" charset="0"/>
                  </a:rPr>
                  <a:t> </a:t>
                </a:r>
                <a:r>
                  <a:rPr lang="cs-CZ" sz="700" b="0" i="1">
                    <a:latin typeface="Arial" panose="020B0604020202020204" pitchFamily="34" charset="0"/>
                    <a:cs typeface="Arial" panose="020B0604020202020204" pitchFamily="34" charset="0"/>
                  </a:rPr>
                  <a:t>v průmyslu (báze 2015=100)</a:t>
                </a:r>
              </a:p>
            </c:rich>
          </c:tx>
          <c:layout>
            <c:manualLayout>
              <c:xMode val="edge"/>
              <c:yMode val="edge"/>
              <c:x val="0.97040158454025238"/>
              <c:y val="0.16649922312229445"/>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59407360"/>
        <c:crosses val="max"/>
        <c:crossBetween val="between"/>
        <c:majorUnit val="6"/>
      </c:valAx>
      <c:catAx>
        <c:axId val="59407360"/>
        <c:scaling>
          <c:orientation val="minMax"/>
        </c:scaling>
        <c:delete val="1"/>
        <c:axPos val="b"/>
        <c:numFmt formatCode="General" sourceLinked="1"/>
        <c:majorTickMark val="out"/>
        <c:minorTickMark val="none"/>
        <c:tickLblPos val="none"/>
        <c:crossAx val="59405440"/>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576650680252295E-3"/>
          <c:y val="0.78956533796177808"/>
          <c:w val="0.9886658953822488"/>
          <c:h val="0.20327688625655532"/>
        </c:manualLayout>
      </c:layout>
      <c:overlay val="0"/>
      <c:spPr>
        <a:ln w="6350">
          <a:solidFill>
            <a:prstClr val="black">
              <a:lumMod val="95000"/>
              <a:lumOff val="5000"/>
            </a:prstClr>
          </a:solidFill>
        </a:ln>
      </c:spPr>
      <c:txPr>
        <a:bodyPr/>
        <a:lstStyle/>
        <a:p>
          <a:pPr>
            <a:defRPr sz="72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62E-2"/>
          <c:w val="0.84974974879787546"/>
          <c:h val="0.75063602214308589"/>
        </c:manualLayout>
      </c:layout>
      <c:barChart>
        <c:barDir val="col"/>
        <c:grouping val="clustered"/>
        <c:varyColors val="0"/>
        <c:ser>
          <c:idx val="0"/>
          <c:order val="0"/>
          <c:tx>
            <c:strRef>
              <c:f>'výkonnost odvětví 2'!$A$36</c:f>
              <c:strCache>
                <c:ptCount val="1"/>
                <c:pt idx="0">
                  <c:v>Průmyslové zakázky celkem</c:v>
                </c:pt>
              </c:strCache>
            </c:strRef>
          </c:tx>
          <c:spPr>
            <a:solidFill>
              <a:schemeClr val="bg1">
                <a:lumMod val="75000"/>
              </a:schemeClr>
            </a:solidFill>
            <a:ln>
              <a:noFill/>
            </a:ln>
          </c:spPr>
          <c:invertIfNegative val="0"/>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2'!$R$36:$AZ$36</c:f>
              <c:numCache>
                <c:formatCode>##0.0</c:formatCode>
                <c:ptCount val="35"/>
                <c:pt idx="0">
                  <c:v>8.5353894548000024</c:v>
                </c:pt>
                <c:pt idx="1">
                  <c:v>6.3740032441999945</c:v>
                </c:pt>
                <c:pt idx="2">
                  <c:v>6.0540271236999956</c:v>
                </c:pt>
                <c:pt idx="3">
                  <c:v>5.2610868973000002</c:v>
                </c:pt>
                <c:pt idx="4">
                  <c:v>2.6398924800999999</c:v>
                </c:pt>
                <c:pt idx="5">
                  <c:v>7.5233833736999962</c:v>
                </c:pt>
                <c:pt idx="6">
                  <c:v>2.3667401951999931</c:v>
                </c:pt>
                <c:pt idx="7">
                  <c:v>6.6372980220999978</c:v>
                </c:pt>
                <c:pt idx="8">
                  <c:v>7.2642637417000095</c:v>
                </c:pt>
                <c:pt idx="9">
                  <c:v>8.2151073244999964</c:v>
                </c:pt>
                <c:pt idx="10">
                  <c:v>7.9541665196999913</c:v>
                </c:pt>
                <c:pt idx="11">
                  <c:v>7.3518853409999938</c:v>
                </c:pt>
                <c:pt idx="12">
                  <c:v>3.4479253911000001</c:v>
                </c:pt>
                <c:pt idx="13">
                  <c:v>3.7095478141000058</c:v>
                </c:pt>
                <c:pt idx="14">
                  <c:v>3.8047927777000012</c:v>
                </c:pt>
                <c:pt idx="15">
                  <c:v>3.0958525625999997</c:v>
                </c:pt>
                <c:pt idx="16">
                  <c:v>3.2186335616000012</c:v>
                </c:pt>
                <c:pt idx="17">
                  <c:v>1.4218114762000056</c:v>
                </c:pt>
                <c:pt idx="18">
                  <c:v>-0.25322037120000146</c:v>
                </c:pt>
                <c:pt idx="19">
                  <c:v>-3.8029715272000004</c:v>
                </c:pt>
                <c:pt idx="20">
                  <c:v>-2.0918519482000022</c:v>
                </c:pt>
                <c:pt idx="21">
                  <c:v>-27.667187618300005</c:v>
                </c:pt>
                <c:pt idx="22">
                  <c:v>-1.310591588500003</c:v>
                </c:pt>
                <c:pt idx="23">
                  <c:v>7.1560873368999944</c:v>
                </c:pt>
                <c:pt idx="24">
                  <c:v>8.4043556738999996</c:v>
                </c:pt>
                <c:pt idx="25">
                  <c:v>47.896596400900002</c:v>
                </c:pt>
                <c:pt idx="26">
                  <c:v>7.3132490553000089</c:v>
                </c:pt>
                <c:pt idx="27">
                  <c:v>3.5534586679000029</c:v>
                </c:pt>
                <c:pt idx="28">
                  <c:v>6.0307372501000005</c:v>
                </c:pt>
                <c:pt idx="29">
                  <c:v>9.7702291395000032</c:v>
                </c:pt>
                <c:pt idx="30">
                  <c:v>14.900137869200005</c:v>
                </c:pt>
                <c:pt idx="31">
                  <c:v>12.536924903200003</c:v>
                </c:pt>
                <c:pt idx="32">
                  <c:v>2.105044401699999</c:v>
                </c:pt>
                <c:pt idx="33">
                  <c:v>-2.5827554574999994</c:v>
                </c:pt>
              </c:numCache>
            </c:numRef>
          </c:val>
          <c:extLst>
            <c:ext xmlns:c16="http://schemas.microsoft.com/office/drawing/2014/chart" uri="{C3380CC4-5D6E-409C-BE32-E72D297353CC}">
              <c16:uniqueId val="{00000000-61EA-46AE-9031-E21ECA8A61E4}"/>
            </c:ext>
          </c:extLst>
        </c:ser>
        <c:dLbls>
          <c:showLegendKey val="0"/>
          <c:showVal val="0"/>
          <c:showCatName val="0"/>
          <c:showSerName val="0"/>
          <c:showPercent val="0"/>
          <c:showBubbleSize val="0"/>
        </c:dLbls>
        <c:gapWidth val="30"/>
        <c:axId val="59605376"/>
        <c:axId val="59607296"/>
      </c:barChart>
      <c:lineChart>
        <c:grouping val="standard"/>
        <c:varyColors val="0"/>
        <c:ser>
          <c:idx val="1"/>
          <c:order val="1"/>
          <c:tx>
            <c:strRef>
              <c:f>'výkonnost odvětví 2'!$A$37</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2'!$R$37:$AZ$37</c:f>
              <c:numCache>
                <c:formatCode>#\ ##0.0</c:formatCode>
                <c:ptCount val="35"/>
                <c:pt idx="0">
                  <c:v>4.3680291455000031</c:v>
                </c:pt>
                <c:pt idx="1">
                  <c:v>9.9337675293000007</c:v>
                </c:pt>
                <c:pt idx="2">
                  <c:v>-2.8164715103000031</c:v>
                </c:pt>
                <c:pt idx="3">
                  <c:v>-0.26717379199999447</c:v>
                </c:pt>
                <c:pt idx="4">
                  <c:v>1.5962247260000026</c:v>
                </c:pt>
                <c:pt idx="5">
                  <c:v>1.3728557044999981</c:v>
                </c:pt>
                <c:pt idx="6">
                  <c:v>0.22425600770000642</c:v>
                </c:pt>
                <c:pt idx="7">
                  <c:v>2.8114611785999983</c:v>
                </c:pt>
                <c:pt idx="8">
                  <c:v>12.524366763299993</c:v>
                </c:pt>
                <c:pt idx="9">
                  <c:v>15.845604900100007</c:v>
                </c:pt>
                <c:pt idx="10">
                  <c:v>15.906017294300007</c:v>
                </c:pt>
                <c:pt idx="11">
                  <c:v>15.434615524600005</c:v>
                </c:pt>
                <c:pt idx="12">
                  <c:v>1.446960414299993</c:v>
                </c:pt>
                <c:pt idx="13">
                  <c:v>2.4870435246999989</c:v>
                </c:pt>
                <c:pt idx="14">
                  <c:v>4.7255448689999957</c:v>
                </c:pt>
                <c:pt idx="15">
                  <c:v>3.4943150181999982</c:v>
                </c:pt>
                <c:pt idx="16">
                  <c:v>8.0495745223000057</c:v>
                </c:pt>
                <c:pt idx="17">
                  <c:v>5.3160296459000023</c:v>
                </c:pt>
                <c:pt idx="18">
                  <c:v>0.34661811540000542</c:v>
                </c:pt>
                <c:pt idx="19">
                  <c:v>-1.3207332955000046</c:v>
                </c:pt>
                <c:pt idx="20">
                  <c:v>5.5377026294000018</c:v>
                </c:pt>
                <c:pt idx="21">
                  <c:v>-25.895568979299988</c:v>
                </c:pt>
                <c:pt idx="22">
                  <c:v>-3.0276470073000041</c:v>
                </c:pt>
                <c:pt idx="23">
                  <c:v>6.9204263800999968</c:v>
                </c:pt>
                <c:pt idx="24">
                  <c:v>-2.8106372719999952</c:v>
                </c:pt>
                <c:pt idx="25">
                  <c:v>43.420786243100011</c:v>
                </c:pt>
                <c:pt idx="26">
                  <c:v>9.3034312720000081</c:v>
                </c:pt>
                <c:pt idx="27">
                  <c:v>5.3772359177000055</c:v>
                </c:pt>
                <c:pt idx="28">
                  <c:v>8.297580932200006</c:v>
                </c:pt>
                <c:pt idx="29">
                  <c:v>15.0965459605</c:v>
                </c:pt>
                <c:pt idx="30">
                  <c:v>25.947982424900005</c:v>
                </c:pt>
                <c:pt idx="31">
                  <c:v>19.229193864400003</c:v>
                </c:pt>
                <c:pt idx="32">
                  <c:v>11.62344655710001</c:v>
                </c:pt>
                <c:pt idx="33">
                  <c:v>2.095125947300005</c:v>
                </c:pt>
              </c:numCache>
            </c:numRef>
          </c:val>
          <c:smooth val="0"/>
          <c:extLst>
            <c:ext xmlns:c16="http://schemas.microsoft.com/office/drawing/2014/chart" uri="{C3380CC4-5D6E-409C-BE32-E72D297353CC}">
              <c16:uniqueId val="{00000001-61EA-46AE-9031-E21ECA8A61E4}"/>
            </c:ext>
          </c:extLst>
        </c:ser>
        <c:dLbls>
          <c:showLegendKey val="0"/>
          <c:showVal val="0"/>
          <c:showCatName val="0"/>
          <c:showSerName val="0"/>
          <c:showPercent val="0"/>
          <c:showBubbleSize val="0"/>
        </c:dLbls>
        <c:marker val="1"/>
        <c:smooth val="0"/>
        <c:axId val="59605376"/>
        <c:axId val="59607296"/>
      </c:lineChart>
      <c:lineChart>
        <c:grouping val="standard"/>
        <c:varyColors val="0"/>
        <c:ser>
          <c:idx val="2"/>
          <c:order val="2"/>
          <c:tx>
            <c:strRef>
              <c:f>'výkonnost odvětví 2'!$A$38</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2'!$R$38:$AZ$38</c:f>
              <c:numCache>
                <c:formatCode>##0.0</c:formatCode>
                <c:ptCount val="35"/>
                <c:pt idx="0">
                  <c:v>85.6</c:v>
                </c:pt>
                <c:pt idx="1">
                  <c:v>85.1</c:v>
                </c:pt>
                <c:pt idx="2">
                  <c:v>84.9</c:v>
                </c:pt>
                <c:pt idx="3">
                  <c:v>84.3</c:v>
                </c:pt>
                <c:pt idx="4">
                  <c:v>84</c:v>
                </c:pt>
                <c:pt idx="5">
                  <c:v>85.2</c:v>
                </c:pt>
                <c:pt idx="6">
                  <c:v>84</c:v>
                </c:pt>
                <c:pt idx="7">
                  <c:v>84.8</c:v>
                </c:pt>
                <c:pt idx="8">
                  <c:v>84.7</c:v>
                </c:pt>
                <c:pt idx="9">
                  <c:v>83.7</c:v>
                </c:pt>
                <c:pt idx="10">
                  <c:v>83.8</c:v>
                </c:pt>
                <c:pt idx="11">
                  <c:v>84.4</c:v>
                </c:pt>
                <c:pt idx="12">
                  <c:v>85.33</c:v>
                </c:pt>
                <c:pt idx="13">
                  <c:v>84.89</c:v>
                </c:pt>
                <c:pt idx="14">
                  <c:v>85.13</c:v>
                </c:pt>
                <c:pt idx="15">
                  <c:v>84.76</c:v>
                </c:pt>
                <c:pt idx="16">
                  <c:v>84.93</c:v>
                </c:pt>
                <c:pt idx="17">
                  <c:v>85.19</c:v>
                </c:pt>
                <c:pt idx="18">
                  <c:v>83.6</c:v>
                </c:pt>
                <c:pt idx="19">
                  <c:v>83.7</c:v>
                </c:pt>
                <c:pt idx="20">
                  <c:v>84.2</c:v>
                </c:pt>
                <c:pt idx="21">
                  <c:v>70.400000000000006</c:v>
                </c:pt>
                <c:pt idx="22">
                  <c:v>76.3</c:v>
                </c:pt>
                <c:pt idx="23">
                  <c:v>82.7</c:v>
                </c:pt>
                <c:pt idx="24">
                  <c:v>85.8</c:v>
                </c:pt>
                <c:pt idx="25">
                  <c:v>84.4</c:v>
                </c:pt>
                <c:pt idx="26">
                  <c:v>86.410000000000025</c:v>
                </c:pt>
                <c:pt idx="27">
                  <c:v>77.599999999999994</c:v>
                </c:pt>
                <c:pt idx="28">
                  <c:v>83.6</c:v>
                </c:pt>
                <c:pt idx="29">
                  <c:v>82.169999999999987</c:v>
                </c:pt>
                <c:pt idx="30">
                  <c:v>83.5</c:v>
                </c:pt>
                <c:pt idx="31">
                  <c:v>81.099999999999994</c:v>
                </c:pt>
                <c:pt idx="32">
                  <c:v>81.400000000000006</c:v>
                </c:pt>
                <c:pt idx="33">
                  <c:v>83.7</c:v>
                </c:pt>
                <c:pt idx="34">
                  <c:v>83.5</c:v>
                </c:pt>
              </c:numCache>
            </c:numRef>
          </c:val>
          <c:smooth val="0"/>
          <c:extLst>
            <c:ext xmlns:c16="http://schemas.microsoft.com/office/drawing/2014/chart" uri="{C3380CC4-5D6E-409C-BE32-E72D297353CC}">
              <c16:uniqueId val="{00000002-61EA-46AE-9031-E21ECA8A61E4}"/>
            </c:ext>
          </c:extLst>
        </c:ser>
        <c:ser>
          <c:idx val="3"/>
          <c:order val="3"/>
          <c:tx>
            <c:strRef>
              <c:f>'výkonnost odvětví 2'!$A$39</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2'!$R$39:$AZ$39</c:f>
              <c:numCache>
                <c:formatCode>##0.0</c:formatCode>
                <c:ptCount val="35"/>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pt idx="32">
                  <c:v>79.400000000000006</c:v>
                </c:pt>
                <c:pt idx="33">
                  <c:v>92.7</c:v>
                </c:pt>
                <c:pt idx="34">
                  <c:v>92.2</c:v>
                </c:pt>
              </c:numCache>
            </c:numRef>
          </c:val>
          <c:smooth val="0"/>
          <c:extLst>
            <c:ext xmlns:c16="http://schemas.microsoft.com/office/drawing/2014/chart" uri="{C3380CC4-5D6E-409C-BE32-E72D297353CC}">
              <c16:uniqueId val="{00000003-61EA-46AE-9031-E21ECA8A61E4}"/>
            </c:ext>
          </c:extLst>
        </c:ser>
        <c:ser>
          <c:idx val="4"/>
          <c:order val="4"/>
          <c:tx>
            <c:strRef>
              <c:f>'výkonnost odvětví 2'!$A$40</c:f>
              <c:strCache>
                <c:ptCount val="1"/>
                <c:pt idx="0">
                  <c:v>Bariéra růstu: nedostatečná poptávka</c:v>
                </c:pt>
              </c:strCache>
            </c:strRef>
          </c:tx>
          <c:spPr>
            <a:ln w="15875">
              <a:solidFill>
                <a:srgbClr val="00B050"/>
              </a:solidFill>
              <a:prstDash val="solid"/>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2'!$R$40:$AZ$40</c:f>
              <c:numCache>
                <c:formatCode>#\ ##0.0</c:formatCode>
                <c:ptCount val="35"/>
                <c:pt idx="0">
                  <c:v>45.3</c:v>
                </c:pt>
                <c:pt idx="1">
                  <c:v>49.6</c:v>
                </c:pt>
                <c:pt idx="2">
                  <c:v>49.7</c:v>
                </c:pt>
                <c:pt idx="3">
                  <c:v>46.4</c:v>
                </c:pt>
                <c:pt idx="4">
                  <c:v>45.9</c:v>
                </c:pt>
                <c:pt idx="5">
                  <c:v>44.6</c:v>
                </c:pt>
                <c:pt idx="6">
                  <c:v>43.8</c:v>
                </c:pt>
                <c:pt idx="7">
                  <c:v>42.9</c:v>
                </c:pt>
                <c:pt idx="8">
                  <c:v>42.7</c:v>
                </c:pt>
                <c:pt idx="9">
                  <c:v>41</c:v>
                </c:pt>
                <c:pt idx="10">
                  <c:v>41.2</c:v>
                </c:pt>
                <c:pt idx="11">
                  <c:v>35.800000000000004</c:v>
                </c:pt>
                <c:pt idx="12">
                  <c:v>35.4</c:v>
                </c:pt>
                <c:pt idx="13">
                  <c:v>36.300000000000004</c:v>
                </c:pt>
                <c:pt idx="14">
                  <c:v>32.4</c:v>
                </c:pt>
                <c:pt idx="15">
                  <c:v>32.9</c:v>
                </c:pt>
                <c:pt idx="16">
                  <c:v>33.800000000000004</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pt idx="32">
                  <c:v>42.5</c:v>
                </c:pt>
                <c:pt idx="33">
                  <c:v>42</c:v>
                </c:pt>
                <c:pt idx="34">
                  <c:v>44.3</c:v>
                </c:pt>
              </c:numCache>
            </c:numRef>
          </c:val>
          <c:smooth val="0"/>
          <c:extLst>
            <c:ext xmlns:c16="http://schemas.microsoft.com/office/drawing/2014/chart" uri="{C3380CC4-5D6E-409C-BE32-E72D297353CC}">
              <c16:uniqueId val="{00000004-61EA-46AE-9031-E21ECA8A61E4}"/>
            </c:ext>
          </c:extLst>
        </c:ser>
        <c:ser>
          <c:idx val="5"/>
          <c:order val="5"/>
          <c:tx>
            <c:strRef>
              <c:f>'výkonnost odvětví 2'!$A$41</c:f>
              <c:strCache>
                <c:ptCount val="1"/>
                <c:pt idx="0">
                  <c:v>Bariéra růstu: nedostatek pracovníků</c:v>
                </c:pt>
              </c:strCache>
            </c:strRef>
          </c:tx>
          <c:spPr>
            <a:ln w="15875">
              <a:solidFill>
                <a:schemeClr val="accent3">
                  <a:lumMod val="75000"/>
                </a:schemeClr>
              </a:solidFill>
              <a:prstDash val="sysDash"/>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2'!$R$41:$AZ$41</c:f>
              <c:numCache>
                <c:formatCode>#\ ##0.0</c:formatCode>
                <c:ptCount val="35"/>
                <c:pt idx="0">
                  <c:v>6.1</c:v>
                </c:pt>
                <c:pt idx="1">
                  <c:v>6.9</c:v>
                </c:pt>
                <c:pt idx="2">
                  <c:v>8.7000000000000011</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pt idx="32">
                  <c:v>16.600000000000001</c:v>
                </c:pt>
                <c:pt idx="33">
                  <c:v>20.6</c:v>
                </c:pt>
                <c:pt idx="34">
                  <c:v>18.899999999999999</c:v>
                </c:pt>
              </c:numCache>
            </c:numRef>
          </c:val>
          <c:smooth val="0"/>
          <c:extLst>
            <c:ext xmlns:c16="http://schemas.microsoft.com/office/drawing/2014/chart" uri="{C3380CC4-5D6E-409C-BE32-E72D297353CC}">
              <c16:uniqueId val="{00000005-61EA-46AE-9031-E21ECA8A61E4}"/>
            </c:ext>
          </c:extLst>
        </c:ser>
        <c:ser>
          <c:idx val="6"/>
          <c:order val="6"/>
          <c:tx>
            <c:strRef>
              <c:f>'výkonnost odvětví 2'!$A$42</c:f>
              <c:strCache>
                <c:ptCount val="1"/>
                <c:pt idx="0">
                  <c:v>Bariéra růstu: nedost. materiálu a zařízení</c:v>
                </c:pt>
              </c:strCache>
            </c:strRef>
          </c:tx>
          <c:spPr>
            <a:ln w="15875">
              <a:solidFill>
                <a:srgbClr val="1EB222"/>
              </a:solidFill>
              <a:prstDash val="dashDot"/>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2'!$R$42:$AZ$42</c:f>
              <c:numCache>
                <c:formatCode>#\ ##0.0</c:formatCode>
                <c:ptCount val="35"/>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10.200000000000001</c:v>
                </c:pt>
                <c:pt idx="22">
                  <c:v>6.7</c:v>
                </c:pt>
                <c:pt idx="23">
                  <c:v>10.9</c:v>
                </c:pt>
                <c:pt idx="24">
                  <c:v>23.1</c:v>
                </c:pt>
                <c:pt idx="25">
                  <c:v>32.1</c:v>
                </c:pt>
                <c:pt idx="26">
                  <c:v>45.9</c:v>
                </c:pt>
                <c:pt idx="27">
                  <c:v>41.2</c:v>
                </c:pt>
                <c:pt idx="28">
                  <c:v>39.300000000000004</c:v>
                </c:pt>
                <c:pt idx="29">
                  <c:v>47.8</c:v>
                </c:pt>
                <c:pt idx="30">
                  <c:v>53.4</c:v>
                </c:pt>
                <c:pt idx="31">
                  <c:v>46.4</c:v>
                </c:pt>
                <c:pt idx="32">
                  <c:v>37.4</c:v>
                </c:pt>
                <c:pt idx="33">
                  <c:v>32.5</c:v>
                </c:pt>
                <c:pt idx="34">
                  <c:v>20.6</c:v>
                </c:pt>
              </c:numCache>
            </c:numRef>
          </c:val>
          <c:smooth val="0"/>
          <c:extLst>
            <c:ext xmlns:c16="http://schemas.microsoft.com/office/drawing/2014/chart" uri="{C3380CC4-5D6E-409C-BE32-E72D297353CC}">
              <c16:uniqueId val="{00000006-61EA-46AE-9031-E21ECA8A61E4}"/>
            </c:ext>
          </c:extLst>
        </c:ser>
        <c:ser>
          <c:idx val="7"/>
          <c:order val="7"/>
          <c:tx>
            <c:strRef>
              <c:f>'výkonnost odvětví 2'!$A$43</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2'!$R$43:$AZ$43</c:f>
              <c:numCache>
                <c:formatCode>#\ ##0.0</c:formatCode>
                <c:ptCount val="35"/>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0.30000000000000021</c:v>
                </c:pt>
                <c:pt idx="17">
                  <c:v>-2</c:v>
                </c:pt>
                <c:pt idx="18">
                  <c:v>-3</c:v>
                </c:pt>
                <c:pt idx="19">
                  <c:v>-6.7</c:v>
                </c:pt>
                <c:pt idx="20">
                  <c:v>-5</c:v>
                </c:pt>
                <c:pt idx="21">
                  <c:v>-25</c:v>
                </c:pt>
                <c:pt idx="22">
                  <c:v>-6.3</c:v>
                </c:pt>
                <c:pt idx="23">
                  <c:v>-10</c:v>
                </c:pt>
                <c:pt idx="24">
                  <c:v>-1.3</c:v>
                </c:pt>
                <c:pt idx="25">
                  <c:v>5.3</c:v>
                </c:pt>
                <c:pt idx="26">
                  <c:v>-1.3</c:v>
                </c:pt>
                <c:pt idx="27">
                  <c:v>-5.3</c:v>
                </c:pt>
                <c:pt idx="28">
                  <c:v>-0.30000000000000021</c:v>
                </c:pt>
                <c:pt idx="29">
                  <c:v>8.3000000000000007</c:v>
                </c:pt>
                <c:pt idx="30">
                  <c:v>-1.7</c:v>
                </c:pt>
                <c:pt idx="31">
                  <c:v>-8.3000000000000007</c:v>
                </c:pt>
                <c:pt idx="32">
                  <c:v>-10.1</c:v>
                </c:pt>
                <c:pt idx="33">
                  <c:v>-7</c:v>
                </c:pt>
                <c:pt idx="34">
                  <c:v>-7</c:v>
                </c:pt>
              </c:numCache>
            </c:numRef>
          </c:val>
          <c:smooth val="0"/>
          <c:extLst>
            <c:ext xmlns:c16="http://schemas.microsoft.com/office/drawing/2014/chart" uri="{C3380CC4-5D6E-409C-BE32-E72D297353CC}">
              <c16:uniqueId val="{00000007-61EA-46AE-9031-E21ECA8A61E4}"/>
            </c:ext>
          </c:extLst>
        </c:ser>
        <c:dLbls>
          <c:showLegendKey val="0"/>
          <c:showVal val="0"/>
          <c:showCatName val="0"/>
          <c:showSerName val="0"/>
          <c:showPercent val="0"/>
          <c:showBubbleSize val="0"/>
        </c:dLbls>
        <c:marker val="1"/>
        <c:smooth val="0"/>
        <c:axId val="59627776"/>
        <c:axId val="59625856"/>
      </c:lineChart>
      <c:catAx>
        <c:axId val="59605376"/>
        <c:scaling>
          <c:orientation val="minMax"/>
        </c:scaling>
        <c:delete val="0"/>
        <c:axPos val="b"/>
        <c:numFmt formatCode="General" sourceLinked="1"/>
        <c:majorTickMark val="out"/>
        <c:minorTickMark val="none"/>
        <c:tickLblPos val="low"/>
        <c:crossAx val="59607296"/>
        <c:crosses val="autoZero"/>
        <c:auto val="1"/>
        <c:lblAlgn val="ctr"/>
        <c:lblOffset val="0"/>
        <c:noMultiLvlLbl val="0"/>
      </c:catAx>
      <c:valAx>
        <c:axId val="59607296"/>
        <c:scaling>
          <c:orientation val="minMax"/>
          <c:max val="90"/>
          <c:min val="-40"/>
        </c:scaling>
        <c:delete val="0"/>
        <c:axPos val="l"/>
        <c:majorGridlines>
          <c:spPr>
            <a:ln>
              <a:solidFill>
                <a:srgbClr val="BEBEBE"/>
              </a:solidFill>
            </a:ln>
          </c:spPr>
        </c:majorGridlines>
        <c:title>
          <c:tx>
            <c:rich>
              <a:bodyPr/>
              <a:lstStyle/>
              <a:p>
                <a:pPr>
                  <a:defRPr sz="700" b="0" i="1"/>
                </a:pPr>
                <a:r>
                  <a:rPr lang="cs-CZ" sz="700" b="0" i="1"/>
                  <a:t>Zakázky</a:t>
                </a:r>
              </a:p>
            </c:rich>
          </c:tx>
          <c:overlay val="0"/>
        </c:title>
        <c:numFmt formatCode="0" sourceLinked="0"/>
        <c:majorTickMark val="out"/>
        <c:minorTickMark val="none"/>
        <c:tickLblPos val="nextTo"/>
        <c:crossAx val="59605376"/>
        <c:crosses val="autoZero"/>
        <c:crossBetween val="between"/>
        <c:majorUnit val="10"/>
      </c:valAx>
      <c:valAx>
        <c:axId val="59625856"/>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overlay val="0"/>
        </c:title>
        <c:numFmt formatCode="#,##0" sourceLinked="0"/>
        <c:majorTickMark val="out"/>
        <c:minorTickMark val="none"/>
        <c:tickLblPos val="nextTo"/>
        <c:crossAx val="59627776"/>
        <c:crosses val="max"/>
        <c:crossBetween val="between"/>
        <c:majorUnit val="10"/>
      </c:valAx>
      <c:catAx>
        <c:axId val="59627776"/>
        <c:scaling>
          <c:orientation val="minMax"/>
        </c:scaling>
        <c:delete val="1"/>
        <c:axPos val="b"/>
        <c:numFmt formatCode="General" sourceLinked="1"/>
        <c:majorTickMark val="out"/>
        <c:minorTickMark val="none"/>
        <c:tickLblPos val="none"/>
        <c:crossAx val="59625856"/>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62395230772256E-2"/>
          <c:y val="0.85586448957034"/>
          <c:w val="0.98342327494608206"/>
          <c:h val="0.14063307954958187"/>
        </c:manualLayout>
      </c:layout>
      <c:overlay val="0"/>
      <c:spPr>
        <a:ln w="6350">
          <a:solidFill>
            <a:prstClr val="black">
              <a:lumMod val="95000"/>
              <a:lumOff val="5000"/>
            </a:prstClr>
          </a:solidFill>
        </a:ln>
      </c:spPr>
      <c:txPr>
        <a:bodyPr/>
        <a:lstStyle/>
        <a:p>
          <a:pPr>
            <a:defRPr sz="78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299E-2"/>
          <c:y val="1.5663550999370293E-2"/>
          <c:w val="0.85237839893753009"/>
          <c:h val="0.75413191483370401"/>
        </c:manualLayout>
      </c:layout>
      <c:barChart>
        <c:barDir val="col"/>
        <c:grouping val="stacked"/>
        <c:varyColors val="0"/>
        <c:ser>
          <c:idx val="1"/>
          <c:order val="1"/>
          <c:tx>
            <c:strRef>
              <c:f>'výkonnost odvětví 3'!$Y$10</c:f>
              <c:strCache>
                <c:ptCount val="1"/>
                <c:pt idx="0">
                  <c:v>Pozemní stavitelství (příspěvek v p. b.)</c:v>
                </c:pt>
              </c:strCache>
            </c:strRef>
          </c:tx>
          <c:spPr>
            <a:solidFill>
              <a:schemeClr val="accent5">
                <a:lumMod val="60000"/>
                <a:lumOff val="40000"/>
              </a:schemeClr>
            </a:solidFill>
            <a:ln>
              <a:noFill/>
            </a:ln>
          </c:spPr>
          <c:invertIfNegative val="0"/>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3'!$Y$31:$Y$65</c:f>
              <c:numCache>
                <c:formatCode>0.0</c:formatCode>
                <c:ptCount val="35"/>
                <c:pt idx="0">
                  <c:v>6.1608280021117059</c:v>
                </c:pt>
                <c:pt idx="1">
                  <c:v>5.233145758167141</c:v>
                </c:pt>
                <c:pt idx="2">
                  <c:v>0.80759607612224849</c:v>
                </c:pt>
                <c:pt idx="3">
                  <c:v>-1.7801931736017571</c:v>
                </c:pt>
                <c:pt idx="4">
                  <c:v>-4.9260426394610803</c:v>
                </c:pt>
                <c:pt idx="5">
                  <c:v>-5.3893761554105266</c:v>
                </c:pt>
                <c:pt idx="6">
                  <c:v>0.86353074351830095</c:v>
                </c:pt>
                <c:pt idx="7">
                  <c:v>4.0249196212832787</c:v>
                </c:pt>
                <c:pt idx="8">
                  <c:v>1.9522274027606881</c:v>
                </c:pt>
                <c:pt idx="9">
                  <c:v>10.53618103638459</c:v>
                </c:pt>
                <c:pt idx="10">
                  <c:v>3.6081127397870389</c:v>
                </c:pt>
                <c:pt idx="11">
                  <c:v>2.5440603272321791</c:v>
                </c:pt>
                <c:pt idx="12">
                  <c:v>13.904954514953621</c:v>
                </c:pt>
                <c:pt idx="13">
                  <c:v>6.2181132474761114</c:v>
                </c:pt>
                <c:pt idx="14">
                  <c:v>7.7210558178298534</c:v>
                </c:pt>
                <c:pt idx="15">
                  <c:v>2.6259550657116648</c:v>
                </c:pt>
                <c:pt idx="16">
                  <c:v>2.9182336777181717</c:v>
                </c:pt>
                <c:pt idx="17">
                  <c:v>2.5364056565930455</c:v>
                </c:pt>
                <c:pt idx="18">
                  <c:v>-0.98563922125675008</c:v>
                </c:pt>
                <c:pt idx="19">
                  <c:v>2.5504281086949971</c:v>
                </c:pt>
                <c:pt idx="20">
                  <c:v>-0.49220764984023602</c:v>
                </c:pt>
                <c:pt idx="21">
                  <c:v>-7.4230457928670921</c:v>
                </c:pt>
                <c:pt idx="22">
                  <c:v>-7.0813271193038121</c:v>
                </c:pt>
                <c:pt idx="23">
                  <c:v>-8.6028814784154495</c:v>
                </c:pt>
                <c:pt idx="24">
                  <c:v>-5.1009695388914054</c:v>
                </c:pt>
                <c:pt idx="25">
                  <c:v>3.0560581093700758</c:v>
                </c:pt>
                <c:pt idx="26">
                  <c:v>3.0719025371360345</c:v>
                </c:pt>
                <c:pt idx="27">
                  <c:v>5.9460478744023399</c:v>
                </c:pt>
                <c:pt idx="28">
                  <c:v>7.6819685361320653</c:v>
                </c:pt>
                <c:pt idx="29">
                  <c:v>3.7814576445833752</c:v>
                </c:pt>
                <c:pt idx="30">
                  <c:v>-0.85327142935784861</c:v>
                </c:pt>
                <c:pt idx="31">
                  <c:v>-1.0455707862924806</c:v>
                </c:pt>
                <c:pt idx="32">
                  <c:v>1.2183773602147601</c:v>
                </c:pt>
                <c:pt idx="33">
                  <c:v>-1.442007466314668</c:v>
                </c:pt>
              </c:numCache>
            </c:numRef>
          </c:val>
          <c:extLst>
            <c:ext xmlns:c16="http://schemas.microsoft.com/office/drawing/2014/chart" uri="{C3380CC4-5D6E-409C-BE32-E72D297353CC}">
              <c16:uniqueId val="{00000000-1FE4-44BD-9EF1-8BED52AA0D68}"/>
            </c:ext>
          </c:extLst>
        </c:ser>
        <c:ser>
          <c:idx val="2"/>
          <c:order val="2"/>
          <c:tx>
            <c:strRef>
              <c:f>'výkonnost odvětví 3'!$Z$10</c:f>
              <c:strCache>
                <c:ptCount val="1"/>
                <c:pt idx="0">
                  <c:v>Inženýrské stavitelství (příspěvek v p. b.)</c:v>
                </c:pt>
              </c:strCache>
            </c:strRef>
          </c:tx>
          <c:spPr>
            <a:solidFill>
              <a:schemeClr val="accent2">
                <a:lumMod val="60000"/>
                <a:lumOff val="40000"/>
              </a:schemeClr>
            </a:solidFill>
            <a:ln>
              <a:noFill/>
            </a:ln>
          </c:spPr>
          <c:invertIfNegative val="0"/>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3'!$Z$31:$Z$65</c:f>
              <c:numCache>
                <c:formatCode>0.0</c:formatCode>
                <c:ptCount val="35"/>
                <c:pt idx="0">
                  <c:v>3.0705403267338003</c:v>
                </c:pt>
                <c:pt idx="1">
                  <c:v>6.874163187417027</c:v>
                </c:pt>
                <c:pt idx="2">
                  <c:v>6.9999177914089774</c:v>
                </c:pt>
                <c:pt idx="3">
                  <c:v>2.7886022034567057</c:v>
                </c:pt>
                <c:pt idx="4">
                  <c:v>-1.1526078736731102</c:v>
                </c:pt>
                <c:pt idx="5">
                  <c:v>-5.3513808653344856</c:v>
                </c:pt>
                <c:pt idx="6">
                  <c:v>-6.6686113975825858</c:v>
                </c:pt>
                <c:pt idx="7">
                  <c:v>-5.6971134882260293</c:v>
                </c:pt>
                <c:pt idx="8">
                  <c:v>-3.3555905673646342</c:v>
                </c:pt>
                <c:pt idx="9">
                  <c:v>-0.90415176747402504</c:v>
                </c:pt>
                <c:pt idx="10">
                  <c:v>-1.376901288471623</c:v>
                </c:pt>
                <c:pt idx="11">
                  <c:v>0.14984865454421994</c:v>
                </c:pt>
                <c:pt idx="12">
                  <c:v>1.86612346173193</c:v>
                </c:pt>
                <c:pt idx="13">
                  <c:v>1.1653457222281625</c:v>
                </c:pt>
                <c:pt idx="14">
                  <c:v>4.7441915436444759</c:v>
                </c:pt>
                <c:pt idx="15">
                  <c:v>1.625625895897117</c:v>
                </c:pt>
                <c:pt idx="16">
                  <c:v>0.73895008865178302</c:v>
                </c:pt>
                <c:pt idx="17">
                  <c:v>1.9508614834308369</c:v>
                </c:pt>
                <c:pt idx="18">
                  <c:v>0.52155296100802928</c:v>
                </c:pt>
                <c:pt idx="19">
                  <c:v>0.95967685432478655</c:v>
                </c:pt>
                <c:pt idx="20">
                  <c:v>3.1388269340693769</c:v>
                </c:pt>
                <c:pt idx="21">
                  <c:v>1.2056036060568238</c:v>
                </c:pt>
                <c:pt idx="22">
                  <c:v>-1.7953878786263247</c:v>
                </c:pt>
                <c:pt idx="23">
                  <c:v>0.4120502728616815</c:v>
                </c:pt>
                <c:pt idx="24">
                  <c:v>-3.6947321791003282E-2</c:v>
                </c:pt>
                <c:pt idx="25">
                  <c:v>0.86454694955435607</c:v>
                </c:pt>
                <c:pt idx="26">
                  <c:v>-0.16377223085432233</c:v>
                </c:pt>
                <c:pt idx="27">
                  <c:v>-0.95395400670827901</c:v>
                </c:pt>
                <c:pt idx="28">
                  <c:v>3.6238163873298972</c:v>
                </c:pt>
                <c:pt idx="29">
                  <c:v>0.20346823864492589</c:v>
                </c:pt>
                <c:pt idx="30">
                  <c:v>2.9020734708543466E-2</c:v>
                </c:pt>
                <c:pt idx="31">
                  <c:v>0.93743664957589101</c:v>
                </c:pt>
                <c:pt idx="32">
                  <c:v>-2.3836667110268435</c:v>
                </c:pt>
                <c:pt idx="33">
                  <c:v>-1.5467627595305431</c:v>
                </c:pt>
              </c:numCache>
            </c:numRef>
          </c:val>
          <c:extLst>
            <c:ext xmlns:c16="http://schemas.microsoft.com/office/drawing/2014/chart" uri="{C3380CC4-5D6E-409C-BE32-E72D297353CC}">
              <c16:uniqueId val="{00000001-1FE4-44BD-9EF1-8BED52AA0D68}"/>
            </c:ext>
          </c:extLst>
        </c:ser>
        <c:dLbls>
          <c:showLegendKey val="0"/>
          <c:showVal val="0"/>
          <c:showCatName val="0"/>
          <c:showSerName val="0"/>
          <c:showPercent val="0"/>
          <c:showBubbleSize val="0"/>
        </c:dLbls>
        <c:gapWidth val="30"/>
        <c:overlap val="100"/>
        <c:axId val="78851456"/>
        <c:axId val="78919168"/>
      </c:barChart>
      <c:lineChart>
        <c:grouping val="standard"/>
        <c:varyColors val="0"/>
        <c:ser>
          <c:idx val="0"/>
          <c:order val="0"/>
          <c:tx>
            <c:strRef>
              <c:f>'výkonnost odvětví 3'!$X$10</c:f>
              <c:strCache>
                <c:ptCount val="1"/>
                <c:pt idx="0">
                  <c:v>Celková stavební produkce</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3'!$X$31:$X$65</c:f>
              <c:numCache>
                <c:formatCode>0.0</c:formatCode>
                <c:ptCount val="35"/>
                <c:pt idx="0">
                  <c:v>9.2313683288454929</c:v>
                </c:pt>
                <c:pt idx="1">
                  <c:v>12.107308945584158</c:v>
                </c:pt>
                <c:pt idx="2">
                  <c:v>7.8075138675311937</c:v>
                </c:pt>
                <c:pt idx="3">
                  <c:v>1.0084090298549313</c:v>
                </c:pt>
                <c:pt idx="4">
                  <c:v>-6.0786505131341961</c:v>
                </c:pt>
                <c:pt idx="5">
                  <c:v>-10.740757020745008</c:v>
                </c:pt>
                <c:pt idx="6">
                  <c:v>-5.8050806540642697</c:v>
                </c:pt>
                <c:pt idx="7">
                  <c:v>-1.6721938669427361</c:v>
                </c:pt>
                <c:pt idx="8">
                  <c:v>-1.4033631646039169</c:v>
                </c:pt>
                <c:pt idx="9">
                  <c:v>9.63202926891055</c:v>
                </c:pt>
                <c:pt idx="10">
                  <c:v>2.2312114513154189</c:v>
                </c:pt>
                <c:pt idx="11">
                  <c:v>2.6939089817763762</c:v>
                </c:pt>
                <c:pt idx="12">
                  <c:v>15.771077976685531</c:v>
                </c:pt>
                <c:pt idx="13">
                  <c:v>7.3834589697042894</c:v>
                </c:pt>
                <c:pt idx="14">
                  <c:v>12.465247361474326</c:v>
                </c:pt>
                <c:pt idx="15">
                  <c:v>4.2515809616087772</c:v>
                </c:pt>
                <c:pt idx="16">
                  <c:v>3.6571837663699287</c:v>
                </c:pt>
                <c:pt idx="17">
                  <c:v>4.4872671400238815</c:v>
                </c:pt>
                <c:pt idx="18">
                  <c:v>-0.46408626024870647</c:v>
                </c:pt>
                <c:pt idx="19">
                  <c:v>3.5101049630197987</c:v>
                </c:pt>
                <c:pt idx="20">
                  <c:v>2.6466192842291587</c:v>
                </c:pt>
                <c:pt idx="21">
                  <c:v>-6.2174421868102776</c:v>
                </c:pt>
                <c:pt idx="22">
                  <c:v>-8.8767149979301365</c:v>
                </c:pt>
                <c:pt idx="23">
                  <c:v>-8.1908312055537706</c:v>
                </c:pt>
                <c:pt idx="24">
                  <c:v>-5.1379168606824024</c:v>
                </c:pt>
                <c:pt idx="25">
                  <c:v>3.9206050589244388</c:v>
                </c:pt>
                <c:pt idx="26">
                  <c:v>2.9081303062816937</c:v>
                </c:pt>
                <c:pt idx="27">
                  <c:v>4.9920938676940505</c:v>
                </c:pt>
                <c:pt idx="28">
                  <c:v>11.305784923461985</c:v>
                </c:pt>
                <c:pt idx="29">
                  <c:v>3.9849258832282981</c:v>
                </c:pt>
                <c:pt idx="30">
                  <c:v>-0.82425069464929424</c:v>
                </c:pt>
                <c:pt idx="31">
                  <c:v>-0.10813413671660059</c:v>
                </c:pt>
                <c:pt idx="32">
                  <c:v>-1.1652893508120878</c:v>
                </c:pt>
                <c:pt idx="33">
                  <c:v>-2.9887702258452151</c:v>
                </c:pt>
              </c:numCache>
            </c:numRef>
          </c:val>
          <c:smooth val="0"/>
          <c:extLst>
            <c:ext xmlns:c16="http://schemas.microsoft.com/office/drawing/2014/chart" uri="{C3380CC4-5D6E-409C-BE32-E72D297353CC}">
              <c16:uniqueId val="{00000002-1FE4-44BD-9EF1-8BED52AA0D68}"/>
            </c:ext>
          </c:extLst>
        </c:ser>
        <c:ser>
          <c:idx val="3"/>
          <c:order val="3"/>
          <c:tx>
            <c:strRef>
              <c:f>'výkonnost odvětví 3'!$AA$10</c:f>
              <c:strCache>
                <c:ptCount val="1"/>
                <c:pt idx="0">
                  <c:v>Nové stavební zakázky v tuzemsku</c:v>
                </c:pt>
              </c:strCache>
            </c:strRef>
          </c:tx>
          <c:spPr>
            <a:ln w="15875">
              <a:solidFill>
                <a:srgbClr val="984807"/>
              </a:solidFill>
            </a:ln>
          </c:spPr>
          <c:marker>
            <c:symbol val="none"/>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3'!$AA$31:$AA$65</c:f>
              <c:numCache>
                <c:formatCode>0.0</c:formatCode>
                <c:ptCount val="35"/>
                <c:pt idx="0">
                  <c:v>-3.1547956675580053</c:v>
                </c:pt>
                <c:pt idx="1">
                  <c:v>9.7504961091663276</c:v>
                </c:pt>
                <c:pt idx="2">
                  <c:v>-1.0976060227612559</c:v>
                </c:pt>
                <c:pt idx="3">
                  <c:v>-2.3987783410040464</c:v>
                </c:pt>
                <c:pt idx="4">
                  <c:v>-6.6406358945753805</c:v>
                </c:pt>
                <c:pt idx="5">
                  <c:v>-0.49977652269311085</c:v>
                </c:pt>
                <c:pt idx="6">
                  <c:v>-7.0322087253454839</c:v>
                </c:pt>
                <c:pt idx="7">
                  <c:v>10.122126124559955</c:v>
                </c:pt>
                <c:pt idx="8">
                  <c:v>16.177217458847451</c:v>
                </c:pt>
                <c:pt idx="9">
                  <c:v>9.5350878984013079</c:v>
                </c:pt>
                <c:pt idx="10">
                  <c:v>-1.2817324431350698</c:v>
                </c:pt>
                <c:pt idx="11">
                  <c:v>15.620806693503823</c:v>
                </c:pt>
                <c:pt idx="12">
                  <c:v>30.106973873688574</c:v>
                </c:pt>
                <c:pt idx="13">
                  <c:v>32.836878110611956</c:v>
                </c:pt>
                <c:pt idx="14">
                  <c:v>5.2768249907951237</c:v>
                </c:pt>
                <c:pt idx="15">
                  <c:v>1.894456581103229</c:v>
                </c:pt>
                <c:pt idx="16">
                  <c:v>14.157245632065782</c:v>
                </c:pt>
                <c:pt idx="17">
                  <c:v>-9.3849543241233224</c:v>
                </c:pt>
                <c:pt idx="18">
                  <c:v>17.407871000993993</c:v>
                </c:pt>
                <c:pt idx="19">
                  <c:v>5.8323004254463804</c:v>
                </c:pt>
                <c:pt idx="20">
                  <c:v>-12.441635069859252</c:v>
                </c:pt>
                <c:pt idx="21">
                  <c:v>7.4973457220286726</c:v>
                </c:pt>
                <c:pt idx="22">
                  <c:v>2.0599736606932861</c:v>
                </c:pt>
                <c:pt idx="23">
                  <c:v>7.5507850088630155</c:v>
                </c:pt>
                <c:pt idx="24">
                  <c:v>28.856340981154403</c:v>
                </c:pt>
                <c:pt idx="25">
                  <c:v>22.047871359987191</c:v>
                </c:pt>
                <c:pt idx="26">
                  <c:v>10.015015612184266</c:v>
                </c:pt>
                <c:pt idx="27">
                  <c:v>1.0053213537781134</c:v>
                </c:pt>
                <c:pt idx="28">
                  <c:v>13.067478460417863</c:v>
                </c:pt>
                <c:pt idx="29">
                  <c:v>17.619163607261132</c:v>
                </c:pt>
                <c:pt idx="30">
                  <c:v>12.421954480552532</c:v>
                </c:pt>
                <c:pt idx="31">
                  <c:v>13.031852753748723</c:v>
                </c:pt>
                <c:pt idx="32">
                  <c:v>-11.830812069596632</c:v>
                </c:pt>
                <c:pt idx="33">
                  <c:v>-18.746380023175064</c:v>
                </c:pt>
              </c:numCache>
            </c:numRef>
          </c:val>
          <c:smooth val="0"/>
          <c:extLst>
            <c:ext xmlns:c16="http://schemas.microsoft.com/office/drawing/2014/chart" uri="{C3380CC4-5D6E-409C-BE32-E72D297353CC}">
              <c16:uniqueId val="{00000003-1FE4-44BD-9EF1-8BED52AA0D68}"/>
            </c:ext>
          </c:extLst>
        </c:ser>
        <c:dLbls>
          <c:showLegendKey val="0"/>
          <c:showVal val="0"/>
          <c:showCatName val="0"/>
          <c:showSerName val="0"/>
          <c:showPercent val="0"/>
          <c:showBubbleSize val="0"/>
        </c:dLbls>
        <c:marker val="1"/>
        <c:smooth val="0"/>
        <c:axId val="78851456"/>
        <c:axId val="78919168"/>
      </c:lineChart>
      <c:lineChart>
        <c:grouping val="standard"/>
        <c:varyColors val="0"/>
        <c:ser>
          <c:idx val="4"/>
          <c:order val="4"/>
          <c:tx>
            <c:strRef>
              <c:f>'výkonnost odvětví 3'!$AB$10</c:f>
              <c:strCache>
                <c:ptCount val="1"/>
                <c:pt idx="0">
                  <c:v>Bariéra růstu: nedostatečná poptávka</c:v>
                </c:pt>
              </c:strCache>
            </c:strRef>
          </c:tx>
          <c:spPr>
            <a:ln w="15875">
              <a:solidFill>
                <a:srgbClr val="00B050"/>
              </a:solidFill>
              <a:prstDash val="solid"/>
            </a:ln>
          </c:spPr>
          <c:marker>
            <c:symbol val="none"/>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3'!$AB$31:$AB$65</c:f>
              <c:numCache>
                <c:formatCode>#\ ##0.0</c:formatCode>
                <c:ptCount val="35"/>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pt idx="31">
                  <c:v>20.6</c:v>
                </c:pt>
                <c:pt idx="32">
                  <c:v>31.9</c:v>
                </c:pt>
                <c:pt idx="33">
                  <c:v>32.300000000000004</c:v>
                </c:pt>
                <c:pt idx="34">
                  <c:v>36.300000000000004</c:v>
                </c:pt>
              </c:numCache>
            </c:numRef>
          </c:val>
          <c:smooth val="0"/>
          <c:extLst>
            <c:ext xmlns:c16="http://schemas.microsoft.com/office/drawing/2014/chart" uri="{C3380CC4-5D6E-409C-BE32-E72D297353CC}">
              <c16:uniqueId val="{00000004-1FE4-44BD-9EF1-8BED52AA0D68}"/>
            </c:ext>
          </c:extLst>
        </c:ser>
        <c:ser>
          <c:idx val="5"/>
          <c:order val="5"/>
          <c:tx>
            <c:strRef>
              <c:f>'výkonnost odvětví 3'!$AC$10</c:f>
              <c:strCache>
                <c:ptCount val="1"/>
                <c:pt idx="0">
                  <c:v>Bariéra růstu: nedostatek pracovníků</c:v>
                </c:pt>
              </c:strCache>
            </c:strRef>
          </c:tx>
          <c:spPr>
            <a:ln w="15875">
              <a:solidFill>
                <a:srgbClr val="00B050"/>
              </a:solidFill>
              <a:prstDash val="dash"/>
            </a:ln>
          </c:spPr>
          <c:marker>
            <c:symbol val="none"/>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3'!$AC$31:$AC$65</c:f>
              <c:numCache>
                <c:formatCode>#\ ##0.0</c:formatCode>
                <c:ptCount val="35"/>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35.300000000000004</c:v>
                </c:pt>
                <c:pt idx="23" formatCode="0.0">
                  <c:v>31.9</c:v>
                </c:pt>
                <c:pt idx="24">
                  <c:v>48.6</c:v>
                </c:pt>
                <c:pt idx="25">
                  <c:v>31.6</c:v>
                </c:pt>
                <c:pt idx="26">
                  <c:v>40.700000000000003</c:v>
                </c:pt>
                <c:pt idx="27">
                  <c:v>42</c:v>
                </c:pt>
                <c:pt idx="28">
                  <c:v>57.7</c:v>
                </c:pt>
                <c:pt idx="29">
                  <c:v>44.4</c:v>
                </c:pt>
                <c:pt idx="30">
                  <c:v>39.1</c:v>
                </c:pt>
                <c:pt idx="31">
                  <c:v>46.7</c:v>
                </c:pt>
                <c:pt idx="32">
                  <c:v>39.9</c:v>
                </c:pt>
                <c:pt idx="33">
                  <c:v>35.5</c:v>
                </c:pt>
                <c:pt idx="34">
                  <c:v>30.1</c:v>
                </c:pt>
              </c:numCache>
            </c:numRef>
          </c:val>
          <c:smooth val="0"/>
          <c:extLst>
            <c:ext xmlns:c16="http://schemas.microsoft.com/office/drawing/2014/chart" uri="{C3380CC4-5D6E-409C-BE32-E72D297353CC}">
              <c16:uniqueId val="{00000005-1FE4-44BD-9EF1-8BED52AA0D68}"/>
            </c:ext>
          </c:extLst>
        </c:ser>
        <c:ser>
          <c:idx val="6"/>
          <c:order val="6"/>
          <c:tx>
            <c:strRef>
              <c:f>'výkonnost odvětví 3'!$AD$10</c:f>
              <c:strCache>
                <c:ptCount val="1"/>
                <c:pt idx="0">
                  <c:v>Bariéra růstu: nedost. materiálu a vybavení</c:v>
                </c:pt>
              </c:strCache>
            </c:strRef>
          </c:tx>
          <c:spPr>
            <a:ln w="15875">
              <a:solidFill>
                <a:srgbClr val="37DD3B"/>
              </a:solidFill>
              <a:prstDash val="sysDash"/>
            </a:ln>
          </c:spPr>
          <c:marker>
            <c:symbol val="none"/>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3'!$AD$31:$AD$65</c:f>
              <c:numCache>
                <c:formatCode>#\ ##0.0</c:formatCode>
                <c:ptCount val="35"/>
                <c:pt idx="0">
                  <c:v>0.1</c:v>
                </c:pt>
                <c:pt idx="1">
                  <c:v>0.4</c:v>
                </c:pt>
                <c:pt idx="2">
                  <c:v>4</c:v>
                </c:pt>
                <c:pt idx="3">
                  <c:v>0.5</c:v>
                </c:pt>
                <c:pt idx="4">
                  <c:v>0.4</c:v>
                </c:pt>
                <c:pt idx="5">
                  <c:v>0.5</c:v>
                </c:pt>
                <c:pt idx="6">
                  <c:v>0.5</c:v>
                </c:pt>
                <c:pt idx="7">
                  <c:v>1.5</c:v>
                </c:pt>
                <c:pt idx="8">
                  <c:v>0.30000000000000021</c:v>
                </c:pt>
                <c:pt idx="9">
                  <c:v>0.30000000000000021</c:v>
                </c:pt>
                <c:pt idx="10">
                  <c:v>3.3</c:v>
                </c:pt>
                <c:pt idx="11">
                  <c:v>4.2</c:v>
                </c:pt>
                <c:pt idx="12">
                  <c:v>5.5</c:v>
                </c:pt>
                <c:pt idx="13">
                  <c:v>1.2</c:v>
                </c:pt>
                <c:pt idx="14">
                  <c:v>6.8</c:v>
                </c:pt>
                <c:pt idx="15">
                  <c:v>3.5</c:v>
                </c:pt>
                <c:pt idx="16">
                  <c:v>4.3</c:v>
                </c:pt>
                <c:pt idx="17">
                  <c:v>5.7</c:v>
                </c:pt>
                <c:pt idx="18">
                  <c:v>5.3</c:v>
                </c:pt>
                <c:pt idx="19">
                  <c:v>4</c:v>
                </c:pt>
                <c:pt idx="20">
                  <c:v>1.9000000000000001</c:v>
                </c:pt>
                <c:pt idx="21">
                  <c:v>3.4</c:v>
                </c:pt>
                <c:pt idx="22">
                  <c:v>1.3</c:v>
                </c:pt>
                <c:pt idx="23">
                  <c:v>0.8</c:v>
                </c:pt>
                <c:pt idx="24">
                  <c:v>1.3</c:v>
                </c:pt>
                <c:pt idx="25">
                  <c:v>4.3</c:v>
                </c:pt>
                <c:pt idx="26">
                  <c:v>16.3</c:v>
                </c:pt>
                <c:pt idx="27">
                  <c:v>22.8</c:v>
                </c:pt>
                <c:pt idx="28">
                  <c:v>24.7</c:v>
                </c:pt>
                <c:pt idx="29">
                  <c:v>41.3</c:v>
                </c:pt>
                <c:pt idx="30">
                  <c:v>38.6</c:v>
                </c:pt>
                <c:pt idx="31">
                  <c:v>23.4</c:v>
                </c:pt>
                <c:pt idx="32">
                  <c:v>19.5</c:v>
                </c:pt>
                <c:pt idx="33">
                  <c:v>17</c:v>
                </c:pt>
                <c:pt idx="34">
                  <c:v>13</c:v>
                </c:pt>
              </c:numCache>
            </c:numRef>
          </c:val>
          <c:smooth val="0"/>
          <c:extLst>
            <c:ext xmlns:c16="http://schemas.microsoft.com/office/drawing/2014/chart" uri="{C3380CC4-5D6E-409C-BE32-E72D297353CC}">
              <c16:uniqueId val="{00000006-1FE4-44BD-9EF1-8BED52AA0D68}"/>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3'!$AE$31:$AE$65</c:f>
              <c:numCache>
                <c:formatCode>0.0</c:formatCode>
                <c:ptCount val="35"/>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pt idx="32">
                  <c:v>-11.5</c:v>
                </c:pt>
                <c:pt idx="33">
                  <c:v>-15.5</c:v>
                </c:pt>
                <c:pt idx="34">
                  <c:v>-16.5</c:v>
                </c:pt>
              </c:numCache>
            </c:numRef>
          </c:val>
          <c:smooth val="0"/>
          <c:extLst>
            <c:ext xmlns:c16="http://schemas.microsoft.com/office/drawing/2014/chart" uri="{C3380CC4-5D6E-409C-BE32-E72D297353CC}">
              <c16:uniqueId val="{00000007-1FE4-44BD-9EF1-8BED52AA0D68}"/>
            </c:ext>
          </c:extLst>
        </c:ser>
        <c:dLbls>
          <c:showLegendKey val="0"/>
          <c:showVal val="0"/>
          <c:showCatName val="0"/>
          <c:showSerName val="0"/>
          <c:showPercent val="0"/>
          <c:showBubbleSize val="0"/>
        </c:dLbls>
        <c:marker val="1"/>
        <c:smooth val="0"/>
        <c:axId val="78939648"/>
        <c:axId val="78921088"/>
      </c:lineChart>
      <c:catAx>
        <c:axId val="78851456"/>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78919168"/>
        <c:crosses val="autoZero"/>
        <c:auto val="1"/>
        <c:lblAlgn val="ctr"/>
        <c:lblOffset val="0"/>
        <c:noMultiLvlLbl val="0"/>
      </c:catAx>
      <c:valAx>
        <c:axId val="78919168"/>
        <c:scaling>
          <c:orientation val="minMax"/>
          <c:max val="8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příspěvky k změně stavební produkce</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78851456"/>
        <c:crosses val="autoZero"/>
        <c:crossBetween val="between"/>
        <c:majorUnit val="10"/>
      </c:valAx>
      <c:valAx>
        <c:axId val="78921088"/>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 důvěry, bariéry růstu</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78939648"/>
        <c:crosses val="max"/>
        <c:crossBetween val="between"/>
        <c:majorUnit val="20"/>
      </c:valAx>
      <c:catAx>
        <c:axId val="78939648"/>
        <c:scaling>
          <c:orientation val="minMax"/>
        </c:scaling>
        <c:delete val="1"/>
        <c:axPos val="b"/>
        <c:numFmt formatCode="General" sourceLinked="1"/>
        <c:majorTickMark val="out"/>
        <c:minorTickMark val="none"/>
        <c:tickLblPos val="none"/>
        <c:crossAx val="78921088"/>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8499319708759499E-2"/>
          <c:y val="0.85936703322638652"/>
          <c:w val="0.96925714241885441"/>
          <c:h val="0.13362821778942569"/>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26691729323407E-2"/>
          <c:y val="1.5803328678987472E-2"/>
          <c:w val="0.84775483743554847"/>
          <c:h val="0.69902590308489521"/>
        </c:manualLayout>
      </c:layout>
      <c:barChart>
        <c:barDir val="col"/>
        <c:grouping val="stacked"/>
        <c:varyColors val="0"/>
        <c:ser>
          <c:idx val="0"/>
          <c:order val="1"/>
          <c:tx>
            <c:strRef>
              <c:f>'Služby-příspěvkyk růstu-4'!$D$33</c:f>
              <c:strCache>
                <c:ptCount val="1"/>
                <c:pt idx="0">
                  <c:v>Doprava a skladování (p. b.)</c:v>
                </c:pt>
              </c:strCache>
            </c:strRef>
          </c:tx>
          <c:spPr>
            <a:solidFill>
              <a:srgbClr val="92D050"/>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růstu-4'!$D$46:$D$80</c:f>
              <c:numCache>
                <c:formatCode>0.0</c:formatCode>
                <c:ptCount val="35"/>
                <c:pt idx="0">
                  <c:v>0.17627373165999941</c:v>
                </c:pt>
                <c:pt idx="1">
                  <c:v>-4.1398260783598463E-2</c:v>
                </c:pt>
                <c:pt idx="2">
                  <c:v>0.20127676583260184</c:v>
                </c:pt>
                <c:pt idx="3">
                  <c:v>4.2331882175001882E-2</c:v>
                </c:pt>
                <c:pt idx="4">
                  <c:v>0.2604828945619988</c:v>
                </c:pt>
                <c:pt idx="5">
                  <c:v>0.20044719477909842</c:v>
                </c:pt>
                <c:pt idx="6">
                  <c:v>0.14004615678000049</c:v>
                </c:pt>
                <c:pt idx="7">
                  <c:v>0.86059283114800145</c:v>
                </c:pt>
                <c:pt idx="8">
                  <c:v>1.6559965627289979</c:v>
                </c:pt>
                <c:pt idx="9">
                  <c:v>1.0934548874629979</c:v>
                </c:pt>
                <c:pt idx="10">
                  <c:v>1.1374484601479997</c:v>
                </c:pt>
                <c:pt idx="11">
                  <c:v>0.6047080971790002</c:v>
                </c:pt>
                <c:pt idx="12">
                  <c:v>1.7518533558900002</c:v>
                </c:pt>
                <c:pt idx="13">
                  <c:v>1.9191714775479998</c:v>
                </c:pt>
                <c:pt idx="14">
                  <c:v>1.4689069805629977</c:v>
                </c:pt>
                <c:pt idx="15">
                  <c:v>0.49822211685500067</c:v>
                </c:pt>
                <c:pt idx="16">
                  <c:v>0.75210969494300184</c:v>
                </c:pt>
                <c:pt idx="17">
                  <c:v>-7.8943058121998602E-2</c:v>
                </c:pt>
                <c:pt idx="18">
                  <c:v>-0.6761559609970017</c:v>
                </c:pt>
                <c:pt idx="19">
                  <c:v>-0.53883087511919914</c:v>
                </c:pt>
                <c:pt idx="20">
                  <c:v>-1.7873099078691983</c:v>
                </c:pt>
                <c:pt idx="21">
                  <c:v>-6.8790162520431002</c:v>
                </c:pt>
                <c:pt idx="22">
                  <c:v>-4.215675848624997</c:v>
                </c:pt>
                <c:pt idx="23">
                  <c:v>-1.7596921701599983</c:v>
                </c:pt>
                <c:pt idx="24">
                  <c:v>-0.1501713878405998</c:v>
                </c:pt>
                <c:pt idx="25">
                  <c:v>6.9506599035744037</c:v>
                </c:pt>
                <c:pt idx="26">
                  <c:v>4.0996709945155994</c:v>
                </c:pt>
                <c:pt idx="27">
                  <c:v>4.5444705336066278</c:v>
                </c:pt>
                <c:pt idx="28">
                  <c:v>4.6413485285034968</c:v>
                </c:pt>
                <c:pt idx="29">
                  <c:v>4.7978183130189818</c:v>
                </c:pt>
                <c:pt idx="30">
                  <c:v>3.771511945530472</c:v>
                </c:pt>
                <c:pt idx="31">
                  <c:v>-0.10260527547599918</c:v>
                </c:pt>
                <c:pt idx="32">
                  <c:v>-1.3478319744959979</c:v>
                </c:pt>
                <c:pt idx="33">
                  <c:v>-3.6318517020952465</c:v>
                </c:pt>
              </c:numCache>
            </c:numRef>
          </c:val>
          <c:extLst>
            <c:ext xmlns:c16="http://schemas.microsoft.com/office/drawing/2014/chart" uri="{C3380CC4-5D6E-409C-BE32-E72D297353CC}">
              <c16:uniqueId val="{00000000-8229-4EC4-BAA6-73D3D1E61353}"/>
            </c:ext>
          </c:extLst>
        </c:ser>
        <c:ser>
          <c:idx val="1"/>
          <c:order val="2"/>
          <c:tx>
            <c:strRef>
              <c:f>'Služby-příspěvkyk růstu-4'!$E$33</c:f>
              <c:strCache>
                <c:ptCount val="1"/>
                <c:pt idx="0">
                  <c:v>Ubytování, stravování a pohostinství (p. b.)</c:v>
                </c:pt>
              </c:strCache>
            </c:strRef>
          </c:tx>
          <c:spPr>
            <a:solidFill>
              <a:srgbClr val="00B0F0"/>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růstu-4'!$E$46:$E$80</c:f>
              <c:numCache>
                <c:formatCode>0.0</c:formatCode>
                <c:ptCount val="35"/>
                <c:pt idx="0">
                  <c:v>0.23064326026020021</c:v>
                </c:pt>
                <c:pt idx="1">
                  <c:v>0.65490030172000013</c:v>
                </c:pt>
                <c:pt idx="2">
                  <c:v>0.65615704203699965</c:v>
                </c:pt>
                <c:pt idx="3">
                  <c:v>0.40198126828160052</c:v>
                </c:pt>
                <c:pt idx="4">
                  <c:v>0.47264498177679992</c:v>
                </c:pt>
                <c:pt idx="5">
                  <c:v>0.16809598308499987</c:v>
                </c:pt>
                <c:pt idx="6">
                  <c:v>0.5678502803826001</c:v>
                </c:pt>
                <c:pt idx="7">
                  <c:v>0.60026021753880121</c:v>
                </c:pt>
                <c:pt idx="8">
                  <c:v>0.90716175756749962</c:v>
                </c:pt>
                <c:pt idx="9">
                  <c:v>1.2351843183735998</c:v>
                </c:pt>
                <c:pt idx="10">
                  <c:v>0.55372633890920031</c:v>
                </c:pt>
                <c:pt idx="11">
                  <c:v>0.45414701226059939</c:v>
                </c:pt>
                <c:pt idx="12">
                  <c:v>0.20562277238639989</c:v>
                </c:pt>
                <c:pt idx="13">
                  <c:v>4.6481198053399876E-2</c:v>
                </c:pt>
                <c:pt idx="14">
                  <c:v>5.8790755202600173E-2</c:v>
                </c:pt>
                <c:pt idx="15">
                  <c:v>-3.8611122396599751E-2</c:v>
                </c:pt>
                <c:pt idx="16">
                  <c:v>0.19877668230760023</c:v>
                </c:pt>
                <c:pt idx="17">
                  <c:v>0.19106550885020049</c:v>
                </c:pt>
                <c:pt idx="18">
                  <c:v>-2.1031638824599935E-2</c:v>
                </c:pt>
                <c:pt idx="19">
                  <c:v>-1.8881872245599843E-2</c:v>
                </c:pt>
                <c:pt idx="20">
                  <c:v>-1.1578648579121602</c:v>
                </c:pt>
                <c:pt idx="21">
                  <c:v>-4.9674966649835008</c:v>
                </c:pt>
                <c:pt idx="22">
                  <c:v>-1.9520417393251039</c:v>
                </c:pt>
                <c:pt idx="23">
                  <c:v>-4.5017067627894276</c:v>
                </c:pt>
                <c:pt idx="24">
                  <c:v>-3.6933845036437498</c:v>
                </c:pt>
                <c:pt idx="25">
                  <c:v>1.3724082127149841</c:v>
                </c:pt>
                <c:pt idx="26">
                  <c:v>0.6361791628575002</c:v>
                </c:pt>
                <c:pt idx="27">
                  <c:v>2.8391165022808131</c:v>
                </c:pt>
                <c:pt idx="28">
                  <c:v>2.9561078391668985</c:v>
                </c:pt>
                <c:pt idx="29">
                  <c:v>2.6813701390722935</c:v>
                </c:pt>
                <c:pt idx="30">
                  <c:v>-0.42126370124067841</c:v>
                </c:pt>
                <c:pt idx="31">
                  <c:v>0.60066614945780028</c:v>
                </c:pt>
                <c:pt idx="32">
                  <c:v>0.54106440281159984</c:v>
                </c:pt>
                <c:pt idx="33">
                  <c:v>3.7104883741050136E-2</c:v>
                </c:pt>
              </c:numCache>
            </c:numRef>
          </c:val>
          <c:extLst>
            <c:ext xmlns:c16="http://schemas.microsoft.com/office/drawing/2014/chart" uri="{C3380CC4-5D6E-409C-BE32-E72D297353CC}">
              <c16:uniqueId val="{00000001-8229-4EC4-BAA6-73D3D1E61353}"/>
            </c:ext>
          </c:extLst>
        </c:ser>
        <c:ser>
          <c:idx val="2"/>
          <c:order val="3"/>
          <c:tx>
            <c:strRef>
              <c:f>'Služby-příspěvkyk růstu-4'!$F$33</c:f>
              <c:strCache>
                <c:ptCount val="1"/>
                <c:pt idx="0">
                  <c:v>Informační a komunikační činnosti (p. b.)</c:v>
                </c:pt>
              </c:strCache>
            </c:strRef>
          </c:tx>
          <c:spPr>
            <a:solidFill>
              <a:srgbClr val="E6E100"/>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růstu-4'!$F$46:$F$80</c:f>
              <c:numCache>
                <c:formatCode>0.0</c:formatCode>
                <c:ptCount val="35"/>
                <c:pt idx="0">
                  <c:v>1.4083798915137009</c:v>
                </c:pt>
                <c:pt idx="1">
                  <c:v>0.82540650715499952</c:v>
                </c:pt>
                <c:pt idx="2">
                  <c:v>0.80424272675400077</c:v>
                </c:pt>
                <c:pt idx="3">
                  <c:v>1.3174140502479983</c:v>
                </c:pt>
                <c:pt idx="4">
                  <c:v>0.35985664064800132</c:v>
                </c:pt>
                <c:pt idx="5">
                  <c:v>0.15751383681999892</c:v>
                </c:pt>
                <c:pt idx="6">
                  <c:v>0.32598498922400015</c:v>
                </c:pt>
                <c:pt idx="7">
                  <c:v>0.17761340848900078</c:v>
                </c:pt>
                <c:pt idx="8">
                  <c:v>0.76438636704000096</c:v>
                </c:pt>
                <c:pt idx="9">
                  <c:v>0.98207704425299891</c:v>
                </c:pt>
                <c:pt idx="10">
                  <c:v>0.77093881661000241</c:v>
                </c:pt>
                <c:pt idx="11">
                  <c:v>0.58294315828299859</c:v>
                </c:pt>
                <c:pt idx="12">
                  <c:v>1.4398200028309982</c:v>
                </c:pt>
                <c:pt idx="13">
                  <c:v>0.76531943813199965</c:v>
                </c:pt>
                <c:pt idx="14">
                  <c:v>1.415831001736001</c:v>
                </c:pt>
                <c:pt idx="15">
                  <c:v>0.98684323348800185</c:v>
                </c:pt>
                <c:pt idx="16">
                  <c:v>1.2348474246799996</c:v>
                </c:pt>
                <c:pt idx="17">
                  <c:v>1.1603884990620001</c:v>
                </c:pt>
                <c:pt idx="18">
                  <c:v>0.91591834325400012</c:v>
                </c:pt>
                <c:pt idx="19">
                  <c:v>1.1621880049516025</c:v>
                </c:pt>
                <c:pt idx="20">
                  <c:v>0.8191341781949999</c:v>
                </c:pt>
                <c:pt idx="21">
                  <c:v>1.3223529237600385E-2</c:v>
                </c:pt>
                <c:pt idx="22">
                  <c:v>-0.20840783961800002</c:v>
                </c:pt>
                <c:pt idx="23">
                  <c:v>-0.54142483054800206</c:v>
                </c:pt>
                <c:pt idx="24">
                  <c:v>0.71316924858200104</c:v>
                </c:pt>
                <c:pt idx="25">
                  <c:v>1.5486406955901642</c:v>
                </c:pt>
                <c:pt idx="26">
                  <c:v>1.4405780988855996</c:v>
                </c:pt>
                <c:pt idx="27">
                  <c:v>1.9065499671602741</c:v>
                </c:pt>
                <c:pt idx="28">
                  <c:v>1.4241015860772992</c:v>
                </c:pt>
                <c:pt idx="29">
                  <c:v>0.86579080876800096</c:v>
                </c:pt>
                <c:pt idx="30">
                  <c:v>0.69569690090645042</c:v>
                </c:pt>
                <c:pt idx="31">
                  <c:v>0.23551368312941112</c:v>
                </c:pt>
                <c:pt idx="32">
                  <c:v>0.50979013389719985</c:v>
                </c:pt>
                <c:pt idx="33">
                  <c:v>-0.21067253915528883</c:v>
                </c:pt>
              </c:numCache>
            </c:numRef>
          </c:val>
          <c:extLst>
            <c:ext xmlns:c16="http://schemas.microsoft.com/office/drawing/2014/chart" uri="{C3380CC4-5D6E-409C-BE32-E72D297353CC}">
              <c16:uniqueId val="{00000002-8229-4EC4-BAA6-73D3D1E61353}"/>
            </c:ext>
          </c:extLst>
        </c:ser>
        <c:ser>
          <c:idx val="4"/>
          <c:order val="4"/>
          <c:tx>
            <c:strRef>
              <c:f>'Služby-příspěvkyk růstu-4'!$G$33</c:f>
              <c:strCache>
                <c:ptCount val="1"/>
                <c:pt idx="0">
                  <c:v>Činnosti v oblasti nemovitostí (p. b.)</c:v>
                </c:pt>
              </c:strCache>
            </c:strRef>
          </c:tx>
          <c:spPr>
            <a:solidFill>
              <a:schemeClr val="accent5">
                <a:lumMod val="60000"/>
                <a:lumOff val="40000"/>
              </a:schemeClr>
            </a:solidFill>
            <a:ln>
              <a:noFill/>
              <a:prstDash val="sysDash"/>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růstu-4'!$G$46:$G$80</c:f>
              <c:numCache>
                <c:formatCode>0.0</c:formatCode>
                <c:ptCount val="35"/>
                <c:pt idx="0">
                  <c:v>4.7588818498199952E-2</c:v>
                </c:pt>
                <c:pt idx="1">
                  <c:v>-7.3007550905993838E-3</c:v>
                </c:pt>
                <c:pt idx="2">
                  <c:v>0.12810762983039936</c:v>
                </c:pt>
                <c:pt idx="3">
                  <c:v>2.4617916117599486E-2</c:v>
                </c:pt>
                <c:pt idx="4">
                  <c:v>0.25752090895740026</c:v>
                </c:pt>
                <c:pt idx="5">
                  <c:v>-4.2228184845005514E-3</c:v>
                </c:pt>
                <c:pt idx="6">
                  <c:v>0.14993183101380081</c:v>
                </c:pt>
                <c:pt idx="7">
                  <c:v>-6.6530028186599505E-2</c:v>
                </c:pt>
                <c:pt idx="8">
                  <c:v>0.20977398058900038</c:v>
                </c:pt>
                <c:pt idx="9">
                  <c:v>0.44953617213779962</c:v>
                </c:pt>
                <c:pt idx="10">
                  <c:v>-2.2338348474500516E-2</c:v>
                </c:pt>
                <c:pt idx="11">
                  <c:v>0.13984723093740006</c:v>
                </c:pt>
                <c:pt idx="12">
                  <c:v>2.6966101253399585E-2</c:v>
                </c:pt>
                <c:pt idx="13">
                  <c:v>-0.24884766500039987</c:v>
                </c:pt>
                <c:pt idx="14">
                  <c:v>-0.12645184379759991</c:v>
                </c:pt>
                <c:pt idx="15">
                  <c:v>-0.22378801642200064</c:v>
                </c:pt>
                <c:pt idx="16">
                  <c:v>0.14753986907940037</c:v>
                </c:pt>
                <c:pt idx="17">
                  <c:v>-7.3797086292003737E-3</c:v>
                </c:pt>
                <c:pt idx="18">
                  <c:v>-0.23287434101939941</c:v>
                </c:pt>
                <c:pt idx="19">
                  <c:v>-0.1014703732620004</c:v>
                </c:pt>
                <c:pt idx="20">
                  <c:v>0.42431890762080116</c:v>
                </c:pt>
                <c:pt idx="21">
                  <c:v>-0.29919163957060046</c:v>
                </c:pt>
                <c:pt idx="22">
                  <c:v>-0.26426338474666694</c:v>
                </c:pt>
                <c:pt idx="23">
                  <c:v>-0.23118426949069976</c:v>
                </c:pt>
                <c:pt idx="24">
                  <c:v>-0.20085438476490081</c:v>
                </c:pt>
                <c:pt idx="25">
                  <c:v>0.43434705815385066</c:v>
                </c:pt>
                <c:pt idx="26">
                  <c:v>2.9423998310004183E-3</c:v>
                </c:pt>
                <c:pt idx="27">
                  <c:v>0.23837123738399993</c:v>
                </c:pt>
                <c:pt idx="28">
                  <c:v>0.9317798842872006</c:v>
                </c:pt>
                <c:pt idx="29">
                  <c:v>0.47103938028000031</c:v>
                </c:pt>
                <c:pt idx="30">
                  <c:v>0.24148183282894761</c:v>
                </c:pt>
                <c:pt idx="31">
                  <c:v>0.36276827915000037</c:v>
                </c:pt>
                <c:pt idx="32">
                  <c:v>-2.9053651535999966E-2</c:v>
                </c:pt>
                <c:pt idx="33">
                  <c:v>-0.21207411126600276</c:v>
                </c:pt>
              </c:numCache>
            </c:numRef>
          </c:val>
          <c:extLst>
            <c:ext xmlns:c16="http://schemas.microsoft.com/office/drawing/2014/chart" uri="{C3380CC4-5D6E-409C-BE32-E72D297353CC}">
              <c16:uniqueId val="{00000003-8229-4EC4-BAA6-73D3D1E61353}"/>
            </c:ext>
          </c:extLst>
        </c:ser>
        <c:ser>
          <c:idx val="5"/>
          <c:order val="5"/>
          <c:tx>
            <c:strRef>
              <c:f>'Služby-příspěvkyk růstu-4'!$H$33</c:f>
              <c:strCache>
                <c:ptCount val="1"/>
                <c:pt idx="0">
                  <c:v>Profesní, vědecké a technické činnosti (p. b.)</c:v>
                </c:pt>
              </c:strCache>
            </c:strRef>
          </c:tx>
          <c:spPr>
            <a:solidFill>
              <a:schemeClr val="accent6">
                <a:lumMod val="60000"/>
                <a:lumOff val="40000"/>
              </a:schemeClr>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růstu-4'!$H$46:$H$80</c:f>
              <c:numCache>
                <c:formatCode>0.0</c:formatCode>
                <c:ptCount val="35"/>
                <c:pt idx="0">
                  <c:v>1.0468505532869989</c:v>
                </c:pt>
                <c:pt idx="1">
                  <c:v>0.72007462620000018</c:v>
                </c:pt>
                <c:pt idx="2">
                  <c:v>1.0906393004399992</c:v>
                </c:pt>
                <c:pt idx="3">
                  <c:v>-4.2990021238901457E-2</c:v>
                </c:pt>
                <c:pt idx="4">
                  <c:v>-0.43098075353700138</c:v>
                </c:pt>
                <c:pt idx="5">
                  <c:v>-1.3389465804999978</c:v>
                </c:pt>
                <c:pt idx="6">
                  <c:v>3.0728374200130306E-4</c:v>
                </c:pt>
                <c:pt idx="7">
                  <c:v>-0.31210716654949933</c:v>
                </c:pt>
                <c:pt idx="8">
                  <c:v>0.95807798756000062</c:v>
                </c:pt>
                <c:pt idx="9">
                  <c:v>0.5944783948877993</c:v>
                </c:pt>
                <c:pt idx="10">
                  <c:v>0.30863690562090024</c:v>
                </c:pt>
                <c:pt idx="11">
                  <c:v>0.42814590144940107</c:v>
                </c:pt>
                <c:pt idx="12">
                  <c:v>1.0521629274264996</c:v>
                </c:pt>
                <c:pt idx="13">
                  <c:v>0.5501113250554992</c:v>
                </c:pt>
                <c:pt idx="14">
                  <c:v>0.3596254694963989</c:v>
                </c:pt>
                <c:pt idx="15">
                  <c:v>-0.26680052765060164</c:v>
                </c:pt>
                <c:pt idx="16">
                  <c:v>0.7098884861869007</c:v>
                </c:pt>
                <c:pt idx="17">
                  <c:v>0.5915662586714</c:v>
                </c:pt>
                <c:pt idx="18">
                  <c:v>-0.7775404471821008</c:v>
                </c:pt>
                <c:pt idx="19">
                  <c:v>-0.56889162352000056</c:v>
                </c:pt>
                <c:pt idx="20">
                  <c:v>-0.86298756252779962</c:v>
                </c:pt>
                <c:pt idx="21">
                  <c:v>-3.1826786933129987</c:v>
                </c:pt>
                <c:pt idx="22">
                  <c:v>-1.4951268594295071</c:v>
                </c:pt>
                <c:pt idx="23">
                  <c:v>-1.5495215129057986</c:v>
                </c:pt>
                <c:pt idx="24">
                  <c:v>-1.5897570854689647</c:v>
                </c:pt>
                <c:pt idx="25">
                  <c:v>2.7177633580318035</c:v>
                </c:pt>
                <c:pt idx="26">
                  <c:v>1.7630975025485993</c:v>
                </c:pt>
                <c:pt idx="27">
                  <c:v>2.0930310136979391</c:v>
                </c:pt>
                <c:pt idx="28">
                  <c:v>2.2703464324547991</c:v>
                </c:pt>
                <c:pt idx="29">
                  <c:v>1.2338620529777755</c:v>
                </c:pt>
                <c:pt idx="30">
                  <c:v>1.0045707012391294</c:v>
                </c:pt>
                <c:pt idx="31">
                  <c:v>3.1260807364285555E-2</c:v>
                </c:pt>
                <c:pt idx="32">
                  <c:v>0.4985359538535003</c:v>
                </c:pt>
                <c:pt idx="33">
                  <c:v>0.80402607013840122</c:v>
                </c:pt>
              </c:numCache>
            </c:numRef>
          </c:val>
          <c:extLst>
            <c:ext xmlns:c16="http://schemas.microsoft.com/office/drawing/2014/chart" uri="{C3380CC4-5D6E-409C-BE32-E72D297353CC}">
              <c16:uniqueId val="{00000004-8229-4EC4-BAA6-73D3D1E61353}"/>
            </c:ext>
          </c:extLst>
        </c:ser>
        <c:ser>
          <c:idx val="6"/>
          <c:order val="6"/>
          <c:tx>
            <c:strRef>
              <c:f>'Služby-příspěvkyk růstu-4'!$I$33</c:f>
              <c:strCache>
                <c:ptCount val="1"/>
                <c:pt idx="0">
                  <c:v>Administr. a podpůrné čin. (příspěvek v p. b.)</c:v>
                </c:pt>
              </c:strCache>
            </c:strRef>
          </c:tx>
          <c:spPr>
            <a:solidFill>
              <a:schemeClr val="accent1">
                <a:lumMod val="20000"/>
                <a:lumOff val="80000"/>
              </a:schemeClr>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růstu-4'!$I$46:$I$80</c:f>
              <c:numCache>
                <c:formatCode>0.0</c:formatCode>
                <c:ptCount val="35"/>
                <c:pt idx="0">
                  <c:v>0.5155037038964998</c:v>
                </c:pt>
                <c:pt idx="1">
                  <c:v>0.62101310773750029</c:v>
                </c:pt>
                <c:pt idx="2">
                  <c:v>0.43506961802500066</c:v>
                </c:pt>
                <c:pt idx="3">
                  <c:v>0.50168865387909989</c:v>
                </c:pt>
                <c:pt idx="4">
                  <c:v>0.4550707532813994</c:v>
                </c:pt>
                <c:pt idx="5">
                  <c:v>0.16398578688570084</c:v>
                </c:pt>
                <c:pt idx="6">
                  <c:v>0.26977885261849965</c:v>
                </c:pt>
                <c:pt idx="7">
                  <c:v>0.51378188366290034</c:v>
                </c:pt>
                <c:pt idx="8">
                  <c:v>1.320133173034</c:v>
                </c:pt>
                <c:pt idx="9">
                  <c:v>1.0879288678140997</c:v>
                </c:pt>
                <c:pt idx="10">
                  <c:v>0.64134107873250035</c:v>
                </c:pt>
                <c:pt idx="11">
                  <c:v>0.30531118010650082</c:v>
                </c:pt>
                <c:pt idx="12">
                  <c:v>0.53332072309840062</c:v>
                </c:pt>
                <c:pt idx="13">
                  <c:v>0.37840292387820096</c:v>
                </c:pt>
                <c:pt idx="14">
                  <c:v>0.43569101400389965</c:v>
                </c:pt>
                <c:pt idx="15">
                  <c:v>-1.3079338160200678E-2</c:v>
                </c:pt>
                <c:pt idx="16">
                  <c:v>0.47288540072630031</c:v>
                </c:pt>
                <c:pt idx="17">
                  <c:v>0.12968213694649988</c:v>
                </c:pt>
                <c:pt idx="18">
                  <c:v>-0.12322397481159982</c:v>
                </c:pt>
                <c:pt idx="19">
                  <c:v>-0.21537552647130034</c:v>
                </c:pt>
                <c:pt idx="20">
                  <c:v>-1.1051686942919998</c:v>
                </c:pt>
                <c:pt idx="21">
                  <c:v>-4.3129281059486004</c:v>
                </c:pt>
                <c:pt idx="22">
                  <c:v>-4.4460675231578985</c:v>
                </c:pt>
                <c:pt idx="23">
                  <c:v>-2.3716048373777987</c:v>
                </c:pt>
                <c:pt idx="24">
                  <c:v>-1.4732703403763998</c:v>
                </c:pt>
                <c:pt idx="25">
                  <c:v>1.7697809683939403</c:v>
                </c:pt>
                <c:pt idx="26">
                  <c:v>1.8505450464600013</c:v>
                </c:pt>
                <c:pt idx="27">
                  <c:v>1.0498709638992363</c:v>
                </c:pt>
                <c:pt idx="28">
                  <c:v>1.8422319047019369</c:v>
                </c:pt>
                <c:pt idx="29">
                  <c:v>2.1447223452546744</c:v>
                </c:pt>
                <c:pt idx="30">
                  <c:v>1.8858572291093003</c:v>
                </c:pt>
                <c:pt idx="31">
                  <c:v>0.46980802110479997</c:v>
                </c:pt>
                <c:pt idx="32">
                  <c:v>-0.41208206934960112</c:v>
                </c:pt>
                <c:pt idx="33">
                  <c:v>-0.12512264228690917</c:v>
                </c:pt>
              </c:numCache>
            </c:numRef>
          </c:val>
          <c:extLst>
            <c:ext xmlns:c16="http://schemas.microsoft.com/office/drawing/2014/chart" uri="{C3380CC4-5D6E-409C-BE32-E72D297353CC}">
              <c16:uniqueId val="{00000005-8229-4EC4-BAA6-73D3D1E61353}"/>
            </c:ext>
          </c:extLst>
        </c:ser>
        <c:dLbls>
          <c:showLegendKey val="0"/>
          <c:showVal val="0"/>
          <c:showCatName val="0"/>
          <c:showSerName val="0"/>
          <c:showPercent val="0"/>
          <c:showBubbleSize val="0"/>
        </c:dLbls>
        <c:gapWidth val="20"/>
        <c:overlap val="100"/>
        <c:axId val="84152320"/>
        <c:axId val="84153856"/>
      </c:barChart>
      <c:lineChart>
        <c:grouping val="standard"/>
        <c:varyColors val="0"/>
        <c:ser>
          <c:idx val="3"/>
          <c:order val="0"/>
          <c:tx>
            <c:strRef>
              <c:f>'Služby-příspěvkyk růstu-4'!$C$33</c:f>
              <c:strCache>
                <c:ptCount val="1"/>
                <c:pt idx="0">
                  <c:v>Služby celkem (meziroční růst v %)</c:v>
                </c:pt>
              </c:strCache>
            </c:strRef>
          </c:tx>
          <c:spPr>
            <a:ln>
              <a:noFill/>
            </a:ln>
          </c:spPr>
          <c:marker>
            <c:symbol val="dot"/>
            <c:size val="7"/>
            <c:spPr>
              <a:solidFill>
                <a:schemeClr val="tx1">
                  <a:lumMod val="95000"/>
                  <a:lumOff val="5000"/>
                </a:schemeClr>
              </a:solidFill>
              <a:ln>
                <a:noFill/>
              </a:ln>
            </c:spPr>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růstu-4'!$C$46:$C$80</c:f>
              <c:numCache>
                <c:formatCode>0.0</c:formatCode>
                <c:ptCount val="35"/>
                <c:pt idx="0">
                  <c:v>3.3389757055000047</c:v>
                </c:pt>
                <c:pt idx="1">
                  <c:v>2.7067050277999982</c:v>
                </c:pt>
                <c:pt idx="2">
                  <c:v>3.2709178656</c:v>
                </c:pt>
                <c:pt idx="3">
                  <c:v>2.2089354800999956</c:v>
                </c:pt>
                <c:pt idx="4">
                  <c:v>1.3188134916999978</c:v>
                </c:pt>
                <c:pt idx="5">
                  <c:v>-0.87184735920000422</c:v>
                </c:pt>
                <c:pt idx="6">
                  <c:v>1.4329163225999926</c:v>
                </c:pt>
                <c:pt idx="7">
                  <c:v>1.6231078297000054</c:v>
                </c:pt>
                <c:pt idx="8">
                  <c:v>5.6612801194000042</c:v>
                </c:pt>
                <c:pt idx="9">
                  <c:v>5.4428853814000036</c:v>
                </c:pt>
                <c:pt idx="10">
                  <c:v>3.3993920882000026</c:v>
                </c:pt>
                <c:pt idx="11">
                  <c:v>2.5070727970000082</c:v>
                </c:pt>
                <c:pt idx="12">
                  <c:v>5.0684890596999939</c:v>
                </c:pt>
                <c:pt idx="13">
                  <c:v>3.4835722001000002</c:v>
                </c:pt>
                <c:pt idx="14">
                  <c:v>3.6922427452000037</c:v>
                </c:pt>
                <c:pt idx="15">
                  <c:v>1.0703178197999961</c:v>
                </c:pt>
                <c:pt idx="16">
                  <c:v>3.5773888025999998</c:v>
                </c:pt>
                <c:pt idx="17">
                  <c:v>1.9755475901000077</c:v>
                </c:pt>
                <c:pt idx="18">
                  <c:v>-0.81246141469999644</c:v>
                </c:pt>
                <c:pt idx="19">
                  <c:v>-0.15760277260000066</c:v>
                </c:pt>
                <c:pt idx="20">
                  <c:v>-3.7058485394999963</c:v>
                </c:pt>
                <c:pt idx="21">
                  <c:v>-19.646669998500002</c:v>
                </c:pt>
                <c:pt idx="22">
                  <c:v>-12.602196924200006</c:v>
                </c:pt>
                <c:pt idx="23">
                  <c:v>-10.913780029100005</c:v>
                </c:pt>
                <c:pt idx="24">
                  <c:v>-6.4008194153999938</c:v>
                </c:pt>
                <c:pt idx="25">
                  <c:v>14.785941922700005</c:v>
                </c:pt>
                <c:pt idx="26">
                  <c:v>9.8363909518000003</c:v>
                </c:pt>
                <c:pt idx="27">
                  <c:v>12.659313517100006</c:v>
                </c:pt>
                <c:pt idx="28">
                  <c:v>14.074786841800014</c:v>
                </c:pt>
                <c:pt idx="29">
                  <c:v>12.2638927088</c:v>
                </c:pt>
                <c:pt idx="30">
                  <c:v>7.1865401442999968</c:v>
                </c:pt>
                <c:pt idx="31">
                  <c:v>1.6032947772999915</c:v>
                </c:pt>
                <c:pt idx="32">
                  <c:v>-0.26218876490000337</c:v>
                </c:pt>
                <c:pt idx="33">
                  <c:v>-3.3386251069999977</c:v>
                </c:pt>
              </c:numCache>
            </c:numRef>
          </c:val>
          <c:smooth val="0"/>
          <c:extLst>
            <c:ext xmlns:c16="http://schemas.microsoft.com/office/drawing/2014/chart" uri="{C3380CC4-5D6E-409C-BE32-E72D297353CC}">
              <c16:uniqueId val="{00000006-8229-4EC4-BAA6-73D3D1E61353}"/>
            </c:ext>
          </c:extLst>
        </c:ser>
        <c:dLbls>
          <c:showLegendKey val="0"/>
          <c:showVal val="0"/>
          <c:showCatName val="0"/>
          <c:showSerName val="0"/>
          <c:showPercent val="0"/>
          <c:showBubbleSize val="0"/>
        </c:dLbls>
        <c:marker val="1"/>
        <c:smooth val="0"/>
        <c:axId val="84152320"/>
        <c:axId val="84153856"/>
      </c:lineChart>
      <c:lineChart>
        <c:grouping val="standard"/>
        <c:varyColors val="0"/>
        <c:ser>
          <c:idx val="7"/>
          <c:order val="7"/>
          <c:tx>
            <c:strRef>
              <c:f>'Služby-příspěvkyk růstu-4'!$J$33</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85000"/>
                    <a:lumOff val="15000"/>
                  </a:schemeClr>
                </a:solidFill>
              </a:ln>
            </c:spPr>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růstu-4'!$J$46:$J$80</c:f>
              <c:numCache>
                <c:formatCode>#\ ##0.0</c:formatCode>
                <c:ptCount val="35"/>
                <c:pt idx="0">
                  <c:v>29.7</c:v>
                </c:pt>
                <c:pt idx="1">
                  <c:v>28.7</c:v>
                </c:pt>
                <c:pt idx="2">
                  <c:v>31.3</c:v>
                </c:pt>
                <c:pt idx="3">
                  <c:v>32.700000000000003</c:v>
                </c:pt>
                <c:pt idx="4">
                  <c:v>32.300000000000004</c:v>
                </c:pt>
                <c:pt idx="5">
                  <c:v>33</c:v>
                </c:pt>
                <c:pt idx="6">
                  <c:v>33</c:v>
                </c:pt>
                <c:pt idx="7">
                  <c:v>37.700000000000003</c:v>
                </c:pt>
                <c:pt idx="8">
                  <c:v>35.300000000000004</c:v>
                </c:pt>
                <c:pt idx="9">
                  <c:v>37.700000000000003</c:v>
                </c:pt>
                <c:pt idx="10">
                  <c:v>37.300000000000004</c:v>
                </c:pt>
                <c:pt idx="11">
                  <c:v>35.700000000000003</c:v>
                </c:pt>
                <c:pt idx="12">
                  <c:v>38.300000000000004</c:v>
                </c:pt>
                <c:pt idx="13">
                  <c:v>37</c:v>
                </c:pt>
                <c:pt idx="14">
                  <c:v>38.300000000000004</c:v>
                </c:pt>
                <c:pt idx="15">
                  <c:v>40.700000000000003</c:v>
                </c:pt>
                <c:pt idx="16">
                  <c:v>39.300000000000004</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pt idx="32">
                  <c:v>24</c:v>
                </c:pt>
                <c:pt idx="33" formatCode="0.0">
                  <c:v>28</c:v>
                </c:pt>
                <c:pt idx="34" formatCode="0.0">
                  <c:v>25.7</c:v>
                </c:pt>
              </c:numCache>
            </c:numRef>
          </c:val>
          <c:smooth val="0"/>
          <c:extLst>
            <c:ext xmlns:c16="http://schemas.microsoft.com/office/drawing/2014/chart" uri="{C3380CC4-5D6E-409C-BE32-E72D297353CC}">
              <c16:uniqueId val="{00000007-8229-4EC4-BAA6-73D3D1E61353}"/>
            </c:ext>
          </c:extLst>
        </c:ser>
        <c:ser>
          <c:idx val="8"/>
          <c:order val="8"/>
          <c:tx>
            <c:strRef>
              <c:f>'Služby-příspěvkyk růstu-4'!$K$33</c:f>
              <c:strCache>
                <c:ptCount val="1"/>
                <c:pt idx="0">
                  <c:v>Bariéra růstu: nedostatečná poptávka</c:v>
                </c:pt>
              </c:strCache>
            </c:strRef>
          </c:tx>
          <c:spPr>
            <a:ln w="15875">
              <a:solidFill>
                <a:srgbClr val="CA945E"/>
              </a:solidFill>
              <a:prstDash val="solid"/>
            </a:ln>
          </c:spPr>
          <c:marker>
            <c:symbol val="none"/>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růstu-4'!$K$46:$K$80</c:f>
              <c:numCache>
                <c:formatCode>#\ ##0.0</c:formatCode>
                <c:ptCount val="35"/>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34.800000000000004</c:v>
                </c:pt>
                <c:pt idx="25">
                  <c:v>36.800000000000004</c:v>
                </c:pt>
                <c:pt idx="26">
                  <c:v>28.9</c:v>
                </c:pt>
                <c:pt idx="27">
                  <c:v>26.3</c:v>
                </c:pt>
                <c:pt idx="28">
                  <c:v>31.6</c:v>
                </c:pt>
                <c:pt idx="29">
                  <c:v>15</c:v>
                </c:pt>
                <c:pt idx="30">
                  <c:v>30.2</c:v>
                </c:pt>
                <c:pt idx="31">
                  <c:v>17.600000000000001</c:v>
                </c:pt>
                <c:pt idx="32">
                  <c:v>25.4</c:v>
                </c:pt>
                <c:pt idx="33">
                  <c:v>19.100000000000001</c:v>
                </c:pt>
                <c:pt idx="34">
                  <c:v>26</c:v>
                </c:pt>
              </c:numCache>
            </c:numRef>
          </c:val>
          <c:smooth val="0"/>
          <c:extLst>
            <c:ext xmlns:c16="http://schemas.microsoft.com/office/drawing/2014/chart" uri="{C3380CC4-5D6E-409C-BE32-E72D297353CC}">
              <c16:uniqueId val="{00000008-8229-4EC4-BAA6-73D3D1E61353}"/>
            </c:ext>
          </c:extLst>
        </c:ser>
        <c:ser>
          <c:idx val="9"/>
          <c:order val="9"/>
          <c:tx>
            <c:strRef>
              <c:f>'Služby-příspěvkyk růstu-4'!$L$33</c:f>
              <c:strCache>
                <c:ptCount val="1"/>
                <c:pt idx="0">
                  <c:v>Bariéra růstu: nedostatek pracovníků</c:v>
                </c:pt>
              </c:strCache>
            </c:strRef>
          </c:tx>
          <c:spPr>
            <a:ln w="15875">
              <a:solidFill>
                <a:srgbClr val="CA945E"/>
              </a:solidFill>
              <a:prstDash val="lgDash"/>
            </a:ln>
          </c:spPr>
          <c:marker>
            <c:symbol val="none"/>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růstu-4'!$L$46:$L$80</c:f>
              <c:numCache>
                <c:formatCode>#\ ##0.0</c:formatCode>
                <c:ptCount val="35"/>
                <c:pt idx="0">
                  <c:v>1.3</c:v>
                </c:pt>
                <c:pt idx="1">
                  <c:v>6</c:v>
                </c:pt>
                <c:pt idx="2">
                  <c:v>7.2</c:v>
                </c:pt>
                <c:pt idx="3">
                  <c:v>5.6</c:v>
                </c:pt>
                <c:pt idx="4">
                  <c:v>7.5</c:v>
                </c:pt>
                <c:pt idx="5">
                  <c:v>4.5</c:v>
                </c:pt>
                <c:pt idx="6">
                  <c:v>7.9</c:v>
                </c:pt>
                <c:pt idx="7">
                  <c:v>9.5</c:v>
                </c:pt>
                <c:pt idx="8">
                  <c:v>9.4</c:v>
                </c:pt>
                <c:pt idx="9">
                  <c:v>9.7000000000000011</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pt idx="32">
                  <c:v>9.3000000000000007</c:v>
                </c:pt>
                <c:pt idx="33">
                  <c:v>9.7000000000000011</c:v>
                </c:pt>
                <c:pt idx="34">
                  <c:v>9.2000000000000011</c:v>
                </c:pt>
              </c:numCache>
            </c:numRef>
          </c:val>
          <c:smooth val="0"/>
          <c:extLst>
            <c:ext xmlns:c16="http://schemas.microsoft.com/office/drawing/2014/chart" uri="{C3380CC4-5D6E-409C-BE32-E72D297353CC}">
              <c16:uniqueId val="{00000009-8229-4EC4-BAA6-73D3D1E61353}"/>
            </c:ext>
          </c:extLst>
        </c:ser>
        <c:ser>
          <c:idx val="10"/>
          <c:order val="10"/>
          <c:tx>
            <c:strRef>
              <c:f>'Služby-příspěvkyk růstu-4'!$M$33</c:f>
              <c:strCache>
                <c:ptCount val="1"/>
                <c:pt idx="0">
                  <c:v>Tržby celkem (báze 2015=100, stálé ceny)</c:v>
                </c:pt>
              </c:strCache>
            </c:strRef>
          </c:tx>
          <c:spPr>
            <a:ln w="15875">
              <a:solidFill>
                <a:schemeClr val="tx1"/>
              </a:solidFill>
            </a:ln>
          </c:spPr>
          <c:marker>
            <c:symbol val="none"/>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růstu-4'!$M$46:$M$80</c:f>
              <c:numCache>
                <c:formatCode>0.0</c:formatCode>
                <c:ptCount val="35"/>
                <c:pt idx="0">
                  <c:v>98.905869400000057</c:v>
                </c:pt>
                <c:pt idx="1">
                  <c:v>99.939744966700005</c:v>
                </c:pt>
                <c:pt idx="2">
                  <c:v>100.46069412999999</c:v>
                </c:pt>
                <c:pt idx="3">
                  <c:v>100.69369150670001</c:v>
                </c:pt>
                <c:pt idx="4">
                  <c:v>99.506269490000079</c:v>
                </c:pt>
                <c:pt idx="5">
                  <c:v>99.882932769999925</c:v>
                </c:pt>
                <c:pt idx="6">
                  <c:v>101.6454132667</c:v>
                </c:pt>
                <c:pt idx="7">
                  <c:v>103.1425757933</c:v>
                </c:pt>
                <c:pt idx="8">
                  <c:v>103.7536856167</c:v>
                </c:pt>
                <c:pt idx="9">
                  <c:v>105.1986778866999</c:v>
                </c:pt>
                <c:pt idx="10">
                  <c:v>105.3356622867</c:v>
                </c:pt>
                <c:pt idx="11">
                  <c:v>106.72097377670001</c:v>
                </c:pt>
                <c:pt idx="12">
                  <c:v>107.9153511366999</c:v>
                </c:pt>
                <c:pt idx="13">
                  <c:v>108.70616911330002</c:v>
                </c:pt>
                <c:pt idx="14">
                  <c:v>109.37278169669985</c:v>
                </c:pt>
                <c:pt idx="15">
                  <c:v>108.88805681669984</c:v>
                </c:pt>
                <c:pt idx="16">
                  <c:v>110.44627128330011</c:v>
                </c:pt>
                <c:pt idx="17">
                  <c:v>110.87756216</c:v>
                </c:pt>
                <c:pt idx="18">
                  <c:v>109.16473103669988</c:v>
                </c:pt>
                <c:pt idx="19">
                  <c:v>108.93584104999998</c:v>
                </c:pt>
                <c:pt idx="20">
                  <c:v>105.36793023669991</c:v>
                </c:pt>
                <c:pt idx="21">
                  <c:v>90.203880829999989</c:v>
                </c:pt>
                <c:pt idx="22">
                  <c:v>97.528267896699916</c:v>
                </c:pt>
                <c:pt idx="23">
                  <c:v>95.952761640000006</c:v>
                </c:pt>
                <c:pt idx="24">
                  <c:v>97.5220549533</c:v>
                </c:pt>
                <c:pt idx="25">
                  <c:v>102.23534626670001</c:v>
                </c:pt>
                <c:pt idx="26">
                  <c:v>106.43087342000005</c:v>
                </c:pt>
                <c:pt idx="27">
                  <c:v>109.46740578000011</c:v>
                </c:pt>
                <c:pt idx="28">
                  <c:v>111.4959124467</c:v>
                </c:pt>
                <c:pt idx="29">
                  <c:v>114.0583342466999</c:v>
                </c:pt>
                <c:pt idx="30">
                  <c:v>113.47681789000001</c:v>
                </c:pt>
                <c:pt idx="31">
                  <c:v>112.0620536767</c:v>
                </c:pt>
                <c:pt idx="32">
                  <c:v>111.33107182000001</c:v>
                </c:pt>
                <c:pt idx="33">
                  <c:v>109.8464367166999</c:v>
                </c:pt>
              </c:numCache>
            </c:numRef>
          </c:val>
          <c:smooth val="0"/>
          <c:extLst>
            <c:ext xmlns:c16="http://schemas.microsoft.com/office/drawing/2014/chart" uri="{C3380CC4-5D6E-409C-BE32-E72D297353CC}">
              <c16:uniqueId val="{0000000A-8229-4EC4-BAA6-73D3D1E61353}"/>
            </c:ext>
          </c:extLst>
        </c:ser>
        <c:ser>
          <c:idx val="11"/>
          <c:order val="11"/>
          <c:tx>
            <c:strRef>
              <c:f>'Služby-příspěvkyk růstu-4'!$N$33</c:f>
              <c:strCache>
                <c:ptCount val="1"/>
                <c:pt idx="0">
                  <c:v>Tržby celkem (báze 2015=100, běžné ceny)</c:v>
                </c:pt>
              </c:strCache>
            </c:strRef>
          </c:tx>
          <c:spPr>
            <a:ln w="15875">
              <a:solidFill>
                <a:schemeClr val="bg2">
                  <a:lumMod val="25000"/>
                </a:schemeClr>
              </a:solidFill>
              <a:prstDash val="sysDash"/>
            </a:ln>
          </c:spPr>
          <c:marker>
            <c:symbol val="none"/>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růstu-4'!$N$46:$N$80</c:f>
              <c:numCache>
                <c:formatCode>0.0</c:formatCode>
                <c:ptCount val="35"/>
                <c:pt idx="0">
                  <c:v>98.878809526699854</c:v>
                </c:pt>
                <c:pt idx="1">
                  <c:v>99.932801119999894</c:v>
                </c:pt>
                <c:pt idx="2">
                  <c:v>100.47612456000006</c:v>
                </c:pt>
                <c:pt idx="3">
                  <c:v>100.71226479000011</c:v>
                </c:pt>
                <c:pt idx="4">
                  <c:v>99.601623460000098</c:v>
                </c:pt>
                <c:pt idx="5">
                  <c:v>100.2234790433</c:v>
                </c:pt>
                <c:pt idx="6">
                  <c:v>102.1359375799999</c:v>
                </c:pt>
                <c:pt idx="7">
                  <c:v>103.95381924330007</c:v>
                </c:pt>
                <c:pt idx="8">
                  <c:v>105.28339829999994</c:v>
                </c:pt>
                <c:pt idx="9">
                  <c:v>107.13280340670001</c:v>
                </c:pt>
                <c:pt idx="10">
                  <c:v>107.78245525</c:v>
                </c:pt>
                <c:pt idx="11">
                  <c:v>109.74135017</c:v>
                </c:pt>
                <c:pt idx="12">
                  <c:v>111.4458726133</c:v>
                </c:pt>
                <c:pt idx="13">
                  <c:v>112.96754313330005</c:v>
                </c:pt>
                <c:pt idx="14">
                  <c:v>114.3275498366999</c:v>
                </c:pt>
                <c:pt idx="15">
                  <c:v>114.67629783669985</c:v>
                </c:pt>
                <c:pt idx="16">
                  <c:v>116.72200621330001</c:v>
                </c:pt>
                <c:pt idx="17">
                  <c:v>118.4237964933</c:v>
                </c:pt>
                <c:pt idx="18">
                  <c:v>117.19000776670001</c:v>
                </c:pt>
                <c:pt idx="19">
                  <c:v>117.1905607767</c:v>
                </c:pt>
                <c:pt idx="20">
                  <c:v>113.2309142367</c:v>
                </c:pt>
                <c:pt idx="21">
                  <c:v>96.647774276699906</c:v>
                </c:pt>
                <c:pt idx="22">
                  <c:v>105.48850793</c:v>
                </c:pt>
                <c:pt idx="23">
                  <c:v>103.67207354999989</c:v>
                </c:pt>
                <c:pt idx="24">
                  <c:v>105.51279886669988</c:v>
                </c:pt>
                <c:pt idx="25">
                  <c:v>111.3587283799999</c:v>
                </c:pt>
                <c:pt idx="26">
                  <c:v>117.05419338670002</c:v>
                </c:pt>
                <c:pt idx="27">
                  <c:v>121.5423597267</c:v>
                </c:pt>
                <c:pt idx="28">
                  <c:v>126.65151452329998</c:v>
                </c:pt>
                <c:pt idx="29">
                  <c:v>132.08979573669995</c:v>
                </c:pt>
                <c:pt idx="30">
                  <c:v>134.49142177670001</c:v>
                </c:pt>
                <c:pt idx="31">
                  <c:v>134.99990681330004</c:v>
                </c:pt>
                <c:pt idx="32">
                  <c:v>137.00854212329997</c:v>
                </c:pt>
                <c:pt idx="33" formatCode="General">
                  <c:v>137.47462017329997</c:v>
                </c:pt>
              </c:numCache>
            </c:numRef>
          </c:val>
          <c:smooth val="0"/>
          <c:extLst>
            <c:ext xmlns:c16="http://schemas.microsoft.com/office/drawing/2014/chart" uri="{C3380CC4-5D6E-409C-BE32-E72D297353CC}">
              <c16:uniqueId val="{0000000B-8229-4EC4-BAA6-73D3D1E61353}"/>
            </c:ext>
          </c:extLst>
        </c:ser>
        <c:dLbls>
          <c:showLegendKey val="0"/>
          <c:showVal val="0"/>
          <c:showCatName val="0"/>
          <c:showSerName val="0"/>
          <c:showPercent val="0"/>
          <c:showBubbleSize val="0"/>
        </c:dLbls>
        <c:marker val="1"/>
        <c:smooth val="0"/>
        <c:axId val="84157952"/>
        <c:axId val="84155776"/>
      </c:lineChart>
      <c:catAx>
        <c:axId val="84152320"/>
        <c:scaling>
          <c:orientation val="minMax"/>
        </c:scaling>
        <c:delete val="0"/>
        <c:axPos val="b"/>
        <c:numFmt formatCode="General" sourceLinked="0"/>
        <c:majorTickMark val="out"/>
        <c:minorTickMark val="none"/>
        <c:tickLblPos val="low"/>
        <c:txPr>
          <a:bodyPr/>
          <a:lstStyle/>
          <a:p>
            <a:pPr>
              <a:defRPr sz="800"/>
            </a:pPr>
            <a:endParaRPr lang="cs-CZ"/>
          </a:p>
        </c:txPr>
        <c:crossAx val="84153856"/>
        <c:crosses val="autoZero"/>
        <c:auto val="1"/>
        <c:lblAlgn val="ctr"/>
        <c:lblOffset val="0"/>
        <c:noMultiLvlLbl val="0"/>
      </c:catAx>
      <c:valAx>
        <c:axId val="84153856"/>
        <c:scaling>
          <c:orientation val="minMax"/>
          <c:max val="15"/>
          <c:min val="-30"/>
        </c:scaling>
        <c:delete val="0"/>
        <c:axPos val="l"/>
        <c:majorGridlines>
          <c:spPr>
            <a:ln w="6350">
              <a:solidFill>
                <a:schemeClr val="bg1">
                  <a:lumMod val="75000"/>
                </a:schemeClr>
              </a:solidFill>
            </a:ln>
          </c:spPr>
        </c:majorGridlines>
        <c:title>
          <c:tx>
            <c:rich>
              <a:bodyPr/>
              <a:lstStyle/>
              <a:p>
                <a:pPr>
                  <a:defRPr sz="700" b="0" i="1"/>
                </a:pPr>
                <a:r>
                  <a:rPr lang="cs-CZ" sz="700" b="0" i="1"/>
                  <a:t>Příspěvky ke změně tržeb ve službách</a:t>
                </a:r>
              </a:p>
            </c:rich>
          </c:tx>
          <c:overlay val="0"/>
        </c:title>
        <c:numFmt formatCode="0" sourceLinked="0"/>
        <c:majorTickMark val="out"/>
        <c:minorTickMark val="none"/>
        <c:tickLblPos val="nextTo"/>
        <c:txPr>
          <a:bodyPr/>
          <a:lstStyle/>
          <a:p>
            <a:pPr>
              <a:defRPr sz="800"/>
            </a:pPr>
            <a:endParaRPr lang="cs-CZ"/>
          </a:p>
        </c:txPr>
        <c:crossAx val="84152320"/>
        <c:crosses val="autoZero"/>
        <c:crossBetween val="between"/>
        <c:majorUnit val="5"/>
      </c:valAx>
      <c:valAx>
        <c:axId val="84155776"/>
        <c:scaling>
          <c:orientation val="minMax"/>
          <c:max val="140"/>
          <c:min val="-2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baseline="0">
                    <a:effectLst/>
                  </a:rPr>
                  <a:t>Tržby celkem (báze 2015=100)</a:t>
                </a:r>
                <a:r>
                  <a:rPr lang="cs-CZ" sz="700" b="0" i="1"/>
                  <a:t>,Saldo důvěry, bariéry růstu</a:t>
                </a:r>
              </a:p>
            </c:rich>
          </c:tx>
          <c:layout>
            <c:manualLayout>
              <c:xMode val="edge"/>
              <c:yMode val="edge"/>
              <c:x val="0.97059971540629864"/>
              <c:y val="1.8415267943787519E-2"/>
            </c:manualLayout>
          </c:layout>
          <c:overlay val="0"/>
        </c:title>
        <c:numFmt formatCode="0" sourceLinked="0"/>
        <c:majorTickMark val="out"/>
        <c:minorTickMark val="none"/>
        <c:tickLblPos val="nextTo"/>
        <c:txPr>
          <a:bodyPr/>
          <a:lstStyle/>
          <a:p>
            <a:pPr>
              <a:defRPr sz="800"/>
            </a:pPr>
            <a:endParaRPr lang="cs-CZ"/>
          </a:p>
        </c:txPr>
        <c:crossAx val="84157952"/>
        <c:crosses val="max"/>
        <c:crossBetween val="between"/>
        <c:majorUnit val="10"/>
      </c:valAx>
      <c:catAx>
        <c:axId val="84157952"/>
        <c:scaling>
          <c:orientation val="minMax"/>
        </c:scaling>
        <c:delete val="1"/>
        <c:axPos val="b"/>
        <c:numFmt formatCode="General" sourceLinked="1"/>
        <c:majorTickMark val="out"/>
        <c:minorTickMark val="none"/>
        <c:tickLblPos val="none"/>
        <c:crossAx val="84155776"/>
        <c:crosses val="autoZero"/>
        <c:auto val="1"/>
        <c:lblAlgn val="ctr"/>
        <c:lblOffset val="100"/>
        <c:noMultiLvlLbl val="0"/>
      </c:catAx>
      <c:spPr>
        <a:ln>
          <a:solidFill>
            <a:schemeClr val="tx1"/>
          </a:solidFill>
        </a:ln>
      </c:spPr>
    </c:plotArea>
    <c:legend>
      <c:legendPos val="r"/>
      <c:layout>
        <c:manualLayout>
          <c:xMode val="edge"/>
          <c:yMode val="edge"/>
          <c:x val="2.7894149438737284E-3"/>
          <c:y val="0.80683901693256166"/>
          <c:w val="0.99229354112782953"/>
          <c:h val="0.18952404020147046"/>
        </c:manualLayout>
      </c:layout>
      <c:overlay val="0"/>
      <c:spPr>
        <a:ln w="6350">
          <a:solidFill>
            <a:schemeClr val="tx1"/>
          </a:solidFill>
        </a:ln>
      </c:spPr>
      <c:txPr>
        <a:bodyPr/>
        <a:lstStyle/>
        <a:p>
          <a:pPr>
            <a:defRPr sz="72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157E-2"/>
          <c:y val="1.5803328678987472E-2"/>
          <c:w val="0.85082101335719484"/>
          <c:h val="0.74167997750452386"/>
        </c:manualLayout>
      </c:layout>
      <c:barChart>
        <c:barDir val="col"/>
        <c:grouping val="stacked"/>
        <c:varyColors val="0"/>
        <c:ser>
          <c:idx val="0"/>
          <c:order val="1"/>
          <c:tx>
            <c:strRef>
              <c:f>'výkonnost odvětví 5a'!$E$66</c:f>
              <c:strCache>
                <c:ptCount val="1"/>
                <c:pt idx="0">
                  <c:v>Maloobchod s potravinami (příspěvek)</c:v>
                </c:pt>
              </c:strCache>
            </c:strRef>
          </c:tx>
          <c:spPr>
            <a:solidFill>
              <a:srgbClr val="92D050"/>
            </a:solidFill>
            <a:ln w="15875">
              <a:noFill/>
            </a:ln>
          </c:spPr>
          <c:invertIfNegative val="0"/>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5a'!$E$67:$E$101</c:f>
              <c:numCache>
                <c:formatCode>#\ ##0.0</c:formatCode>
                <c:ptCount val="35"/>
                <c:pt idx="0">
                  <c:v>1.7968525782652029</c:v>
                </c:pt>
                <c:pt idx="1">
                  <c:v>1.1791224568789191</c:v>
                </c:pt>
                <c:pt idx="2">
                  <c:v>1.9051719303199939</c:v>
                </c:pt>
                <c:pt idx="3">
                  <c:v>1.445121529582484</c:v>
                </c:pt>
                <c:pt idx="4">
                  <c:v>1.7447279503492539</c:v>
                </c:pt>
                <c:pt idx="5">
                  <c:v>1.4640451669330614</c:v>
                </c:pt>
                <c:pt idx="6">
                  <c:v>0.97147083630208353</c:v>
                </c:pt>
                <c:pt idx="7">
                  <c:v>-7.5069133018737272E-2</c:v>
                </c:pt>
                <c:pt idx="8">
                  <c:v>0.73425778243231121</c:v>
                </c:pt>
                <c:pt idx="9">
                  <c:v>1.3336221651849498</c:v>
                </c:pt>
                <c:pt idx="10">
                  <c:v>1.148264067935566</c:v>
                </c:pt>
                <c:pt idx="11">
                  <c:v>0.8954293037390092</c:v>
                </c:pt>
                <c:pt idx="12">
                  <c:v>1.5129556035207505</c:v>
                </c:pt>
                <c:pt idx="13">
                  <c:v>0.53724684179172899</c:v>
                </c:pt>
                <c:pt idx="14">
                  <c:v>0.9809783861319451</c:v>
                </c:pt>
                <c:pt idx="15">
                  <c:v>0.45895493544282651</c:v>
                </c:pt>
                <c:pt idx="16">
                  <c:v>0.67460527770247769</c:v>
                </c:pt>
                <c:pt idx="17">
                  <c:v>1.1938610134109731</c:v>
                </c:pt>
                <c:pt idx="18">
                  <c:v>0.63015847733735941</c:v>
                </c:pt>
                <c:pt idx="19">
                  <c:v>0.62923634699872177</c:v>
                </c:pt>
                <c:pt idx="20">
                  <c:v>0.94695941255828353</c:v>
                </c:pt>
                <c:pt idx="21">
                  <c:v>-1.1878021201060329</c:v>
                </c:pt>
                <c:pt idx="22">
                  <c:v>-0.39836946074768936</c:v>
                </c:pt>
                <c:pt idx="23">
                  <c:v>0.24484515142503163</c:v>
                </c:pt>
                <c:pt idx="24">
                  <c:v>-0.44870069660916562</c:v>
                </c:pt>
                <c:pt idx="25">
                  <c:v>0.43470456459783857</c:v>
                </c:pt>
                <c:pt idx="26">
                  <c:v>-0.30638524812564855</c:v>
                </c:pt>
                <c:pt idx="27">
                  <c:v>-0.18456896753972313</c:v>
                </c:pt>
                <c:pt idx="28">
                  <c:v>-0.2644332124970542</c:v>
                </c:pt>
                <c:pt idx="29">
                  <c:v>-1.298273733857183</c:v>
                </c:pt>
                <c:pt idx="30">
                  <c:v>-2.2978022374091576</c:v>
                </c:pt>
                <c:pt idx="31">
                  <c:v>-3.2183996089311857</c:v>
                </c:pt>
                <c:pt idx="32">
                  <c:v>-3.0573440803694312</c:v>
                </c:pt>
                <c:pt idx="33">
                  <c:v>-2.6835328353129522</c:v>
                </c:pt>
              </c:numCache>
            </c:numRef>
          </c:val>
          <c:extLst>
            <c:ext xmlns:c16="http://schemas.microsoft.com/office/drawing/2014/chart" uri="{C3380CC4-5D6E-409C-BE32-E72D297353CC}">
              <c16:uniqueId val="{00000000-C6F5-4010-8FBD-9338D9BF0A6C}"/>
            </c:ext>
          </c:extLst>
        </c:ser>
        <c:ser>
          <c:idx val="1"/>
          <c:order val="2"/>
          <c:tx>
            <c:strRef>
              <c:f>'výkonnost odvětví 5a'!$F$66</c:f>
              <c:strCache>
                <c:ptCount val="1"/>
                <c:pt idx="0">
                  <c:v>Mal. s nepotravinářským zbož. (příspěvek)</c:v>
                </c:pt>
              </c:strCache>
            </c:strRef>
          </c:tx>
          <c:spPr>
            <a:solidFill>
              <a:schemeClr val="accent1">
                <a:lumMod val="40000"/>
                <a:lumOff val="60000"/>
              </a:schemeClr>
            </a:solidFill>
            <a:ln w="15875">
              <a:noFill/>
            </a:ln>
          </c:spPr>
          <c:invertIfNegative val="0"/>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5a'!$F$67:$F$101</c:f>
              <c:numCache>
                <c:formatCode>#\ ##0.0</c:formatCode>
                <c:ptCount val="35"/>
                <c:pt idx="0">
                  <c:v>3.533764762860522</c:v>
                </c:pt>
                <c:pt idx="1">
                  <c:v>4.0403269648807054</c:v>
                </c:pt>
                <c:pt idx="2">
                  <c:v>2.8414781046087634</c:v>
                </c:pt>
                <c:pt idx="3">
                  <c:v>3.7696029154089437</c:v>
                </c:pt>
                <c:pt idx="4">
                  <c:v>2.8247932220754692</c:v>
                </c:pt>
                <c:pt idx="5">
                  <c:v>2.6799731375621909</c:v>
                </c:pt>
                <c:pt idx="6">
                  <c:v>3.347941642924769</c:v>
                </c:pt>
                <c:pt idx="7">
                  <c:v>3.6402362968460396</c:v>
                </c:pt>
                <c:pt idx="8">
                  <c:v>4.37671114479362</c:v>
                </c:pt>
                <c:pt idx="9">
                  <c:v>4.6063896710500005</c:v>
                </c:pt>
                <c:pt idx="10">
                  <c:v>4.1933467197549064</c:v>
                </c:pt>
                <c:pt idx="11">
                  <c:v>4.8248475939610485</c:v>
                </c:pt>
                <c:pt idx="12">
                  <c:v>4.1828625238720027</c:v>
                </c:pt>
                <c:pt idx="13">
                  <c:v>3.5054484803167894</c:v>
                </c:pt>
                <c:pt idx="14">
                  <c:v>2.8194389746795379</c:v>
                </c:pt>
                <c:pt idx="15">
                  <c:v>3.9553867638573235</c:v>
                </c:pt>
                <c:pt idx="16">
                  <c:v>4.4354535369958406</c:v>
                </c:pt>
                <c:pt idx="17">
                  <c:v>3.3723462442148224</c:v>
                </c:pt>
                <c:pt idx="18">
                  <c:v>3.7256703958918869</c:v>
                </c:pt>
                <c:pt idx="19">
                  <c:v>3.4440592495195479</c:v>
                </c:pt>
                <c:pt idx="20">
                  <c:v>-2.8251709833996521E-2</c:v>
                </c:pt>
                <c:pt idx="21">
                  <c:v>0.37120321946990475</c:v>
                </c:pt>
                <c:pt idx="22">
                  <c:v>1.7529788946207687</c:v>
                </c:pt>
                <c:pt idx="23">
                  <c:v>-1.0606589154268831</c:v>
                </c:pt>
                <c:pt idx="24">
                  <c:v>1.1032352547156199</c:v>
                </c:pt>
                <c:pt idx="25">
                  <c:v>5.7270426184807492</c:v>
                </c:pt>
                <c:pt idx="26">
                  <c:v>3.8044410655375258</c:v>
                </c:pt>
                <c:pt idx="27">
                  <c:v>5.2471277682417368</c:v>
                </c:pt>
                <c:pt idx="28">
                  <c:v>5.410120611589333</c:v>
                </c:pt>
                <c:pt idx="29">
                  <c:v>-1.1295059503721878</c:v>
                </c:pt>
                <c:pt idx="30">
                  <c:v>-3.8961561368469937</c:v>
                </c:pt>
                <c:pt idx="31">
                  <c:v>-5.6070211315812966</c:v>
                </c:pt>
                <c:pt idx="32">
                  <c:v>-4.8173300878479832</c:v>
                </c:pt>
                <c:pt idx="33">
                  <c:v>-4.4692976001873292</c:v>
                </c:pt>
              </c:numCache>
            </c:numRef>
          </c:val>
          <c:extLst>
            <c:ext xmlns:c16="http://schemas.microsoft.com/office/drawing/2014/chart" uri="{C3380CC4-5D6E-409C-BE32-E72D297353CC}">
              <c16:uniqueId val="{00000001-C6F5-4010-8FBD-9338D9BF0A6C}"/>
            </c:ext>
          </c:extLst>
        </c:ser>
        <c:ser>
          <c:idx val="4"/>
          <c:order val="3"/>
          <c:tx>
            <c:strRef>
              <c:f>'výkonnost odvětví 5a'!$G$66</c:f>
              <c:strCache>
                <c:ptCount val="1"/>
                <c:pt idx="0">
                  <c:v>Maloobchodní prodej PHM (příspěvek)</c:v>
                </c:pt>
              </c:strCache>
            </c:strRef>
          </c:tx>
          <c:spPr>
            <a:solidFill>
              <a:schemeClr val="accent6">
                <a:lumMod val="40000"/>
                <a:lumOff val="60000"/>
              </a:schemeClr>
            </a:solidFill>
            <a:ln w="15875">
              <a:noFill/>
            </a:ln>
          </c:spPr>
          <c:invertIfNegative val="0"/>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5a'!$G$67:$G$101</c:f>
              <c:numCache>
                <c:formatCode>#\ ##0.0</c:formatCode>
                <c:ptCount val="35"/>
                <c:pt idx="0">
                  <c:v>0.75359194510045113</c:v>
                </c:pt>
                <c:pt idx="1">
                  <c:v>0.58821183102713259</c:v>
                </c:pt>
                <c:pt idx="2">
                  <c:v>0.79399459687356055</c:v>
                </c:pt>
                <c:pt idx="3">
                  <c:v>0.93961068819571214</c:v>
                </c:pt>
                <c:pt idx="4">
                  <c:v>0.69214098521927592</c:v>
                </c:pt>
                <c:pt idx="5">
                  <c:v>0.70440464135882064</c:v>
                </c:pt>
                <c:pt idx="6">
                  <c:v>0.6281432005036871</c:v>
                </c:pt>
                <c:pt idx="7">
                  <c:v>0.6256127692880088</c:v>
                </c:pt>
                <c:pt idx="8">
                  <c:v>0.51956983975724635</c:v>
                </c:pt>
                <c:pt idx="9">
                  <c:v>0.77336135806484263</c:v>
                </c:pt>
                <c:pt idx="10">
                  <c:v>0.84841829183324158</c:v>
                </c:pt>
                <c:pt idx="11">
                  <c:v>0.68454565742255213</c:v>
                </c:pt>
                <c:pt idx="12">
                  <c:v>0.67561195848099098</c:v>
                </c:pt>
                <c:pt idx="13">
                  <c:v>0.59075079613408366</c:v>
                </c:pt>
                <c:pt idx="14">
                  <c:v>0.37399713498271248</c:v>
                </c:pt>
                <c:pt idx="15">
                  <c:v>0.42674113172704531</c:v>
                </c:pt>
                <c:pt idx="16">
                  <c:v>0.55629349987096399</c:v>
                </c:pt>
                <c:pt idx="17">
                  <c:v>0.26295616202476957</c:v>
                </c:pt>
                <c:pt idx="18">
                  <c:v>0.19423130649799944</c:v>
                </c:pt>
                <c:pt idx="19">
                  <c:v>5.5904565164944207E-2</c:v>
                </c:pt>
                <c:pt idx="20">
                  <c:v>-0.75350296737444378</c:v>
                </c:pt>
                <c:pt idx="21">
                  <c:v>-2.0525680822481127</c:v>
                </c:pt>
                <c:pt idx="22">
                  <c:v>-4.8140542119499495E-2</c:v>
                </c:pt>
                <c:pt idx="23">
                  <c:v>-1.2048671034914455</c:v>
                </c:pt>
                <c:pt idx="24">
                  <c:v>-0.81267731005197164</c:v>
                </c:pt>
                <c:pt idx="25">
                  <c:v>1.0340829352131828</c:v>
                </c:pt>
                <c:pt idx="26">
                  <c:v>0.39031023614333382</c:v>
                </c:pt>
                <c:pt idx="27">
                  <c:v>0.99584083683099511</c:v>
                </c:pt>
                <c:pt idx="28">
                  <c:v>1.3779403028643198</c:v>
                </c:pt>
                <c:pt idx="29">
                  <c:v>-0.54234422696138462</c:v>
                </c:pt>
                <c:pt idx="30">
                  <c:v>-1.2771841004606979</c:v>
                </c:pt>
                <c:pt idx="31">
                  <c:v>-0.33373215205594292</c:v>
                </c:pt>
                <c:pt idx="32">
                  <c:v>0.10805669220757919</c:v>
                </c:pt>
                <c:pt idx="33">
                  <c:v>0.99136450755943051</c:v>
                </c:pt>
              </c:numCache>
            </c:numRef>
          </c:val>
          <c:extLst>
            <c:ext xmlns:c16="http://schemas.microsoft.com/office/drawing/2014/chart" uri="{C3380CC4-5D6E-409C-BE32-E72D297353CC}">
              <c16:uniqueId val="{00000002-C6F5-4010-8FBD-9338D9BF0A6C}"/>
            </c:ext>
          </c:extLst>
        </c:ser>
        <c:dLbls>
          <c:showLegendKey val="0"/>
          <c:showVal val="0"/>
          <c:showCatName val="0"/>
          <c:showSerName val="0"/>
          <c:showPercent val="0"/>
          <c:showBubbleSize val="0"/>
        </c:dLbls>
        <c:gapWidth val="31"/>
        <c:overlap val="100"/>
        <c:axId val="84219008"/>
        <c:axId val="84220928"/>
      </c:barChart>
      <c:lineChart>
        <c:grouping val="standard"/>
        <c:varyColors val="0"/>
        <c:ser>
          <c:idx val="3"/>
          <c:order val="0"/>
          <c:tx>
            <c:strRef>
              <c:f>'výkonnost odvětví 5a'!$D$66</c:f>
              <c:strCache>
                <c:ptCount val="1"/>
                <c:pt idx="0">
                  <c:v>Maloobchod celkem (meziroční růst)</c:v>
                </c:pt>
              </c:strCache>
            </c:strRef>
          </c:tx>
          <c:spPr>
            <a:ln>
              <a:noFill/>
            </a:ln>
          </c:spPr>
          <c:marker>
            <c:symbol val="dash"/>
            <c:size val="7"/>
            <c:spPr>
              <a:solidFill>
                <a:schemeClr val="tx1">
                  <a:lumMod val="85000"/>
                  <a:lumOff val="15000"/>
                </a:schemeClr>
              </a:solidFill>
              <a:ln w="6350">
                <a:noFill/>
              </a:ln>
            </c:spPr>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5a'!$D$67:$D$101</c:f>
              <c:numCache>
                <c:formatCode>#\ ##0.0</c:formatCode>
                <c:ptCount val="35"/>
                <c:pt idx="0">
                  <c:v>5.9636205444000012</c:v>
                </c:pt>
                <c:pt idx="1">
                  <c:v>5.5921884395999877</c:v>
                </c:pt>
                <c:pt idx="2">
                  <c:v>5.5022460545000094</c:v>
                </c:pt>
                <c:pt idx="3">
                  <c:v>6.0250321769999937</c:v>
                </c:pt>
                <c:pt idx="4">
                  <c:v>5.2059376710999992</c:v>
                </c:pt>
                <c:pt idx="5">
                  <c:v>4.7779836855000077</c:v>
                </c:pt>
                <c:pt idx="6">
                  <c:v>4.7634220096000064</c:v>
                </c:pt>
                <c:pt idx="7">
                  <c:v>3.906217172500007</c:v>
                </c:pt>
                <c:pt idx="8">
                  <c:v>5.3191682382000067</c:v>
                </c:pt>
                <c:pt idx="9">
                  <c:v>6.4643894589999995</c:v>
                </c:pt>
                <c:pt idx="10">
                  <c:v>5.9751578491999986</c:v>
                </c:pt>
                <c:pt idx="11">
                  <c:v>6.1621326275999939</c:v>
                </c:pt>
                <c:pt idx="12">
                  <c:v>6.3390670470000003</c:v>
                </c:pt>
                <c:pt idx="13">
                  <c:v>4.6648962080999956</c:v>
                </c:pt>
                <c:pt idx="14">
                  <c:v>4.1971443662999848</c:v>
                </c:pt>
                <c:pt idx="15">
                  <c:v>4.8161135707999918</c:v>
                </c:pt>
                <c:pt idx="16">
                  <c:v>5.6537188417999946</c:v>
                </c:pt>
                <c:pt idx="17">
                  <c:v>4.8265636037999968</c:v>
                </c:pt>
                <c:pt idx="18">
                  <c:v>4.5452014837000023</c:v>
                </c:pt>
                <c:pt idx="19">
                  <c:v>4.1996486233999963</c:v>
                </c:pt>
                <c:pt idx="20">
                  <c:v>6.0491738300001471E-2</c:v>
                </c:pt>
                <c:pt idx="21">
                  <c:v>-2.8962995720000038</c:v>
                </c:pt>
                <c:pt idx="22">
                  <c:v>1.3291675252000061</c:v>
                </c:pt>
                <c:pt idx="23">
                  <c:v>-2.0263752827000019</c:v>
                </c:pt>
                <c:pt idx="24">
                  <c:v>-0.1841270346999978</c:v>
                </c:pt>
                <c:pt idx="25">
                  <c:v>7.2801836782000002</c:v>
                </c:pt>
                <c:pt idx="26">
                  <c:v>3.9051822130000033</c:v>
                </c:pt>
                <c:pt idx="27">
                  <c:v>6.1725521780000001</c:v>
                </c:pt>
                <c:pt idx="28">
                  <c:v>6.5192475478000063</c:v>
                </c:pt>
                <c:pt idx="29">
                  <c:v>-2.9723923762000037</c:v>
                </c:pt>
                <c:pt idx="30">
                  <c:v>-7.4744015895000064</c:v>
                </c:pt>
                <c:pt idx="31">
                  <c:v>-9.1621347523000125</c:v>
                </c:pt>
                <c:pt idx="32">
                  <c:v>-7.7693666181999959</c:v>
                </c:pt>
                <c:pt idx="33">
                  <c:v>-6.1613365768999886</c:v>
                </c:pt>
              </c:numCache>
            </c:numRef>
          </c:val>
          <c:smooth val="0"/>
          <c:extLst>
            <c:ext xmlns:c16="http://schemas.microsoft.com/office/drawing/2014/chart" uri="{C3380CC4-5D6E-409C-BE32-E72D297353CC}">
              <c16:uniqueId val="{00000003-C6F5-4010-8FBD-9338D9BF0A6C}"/>
            </c:ext>
          </c:extLst>
        </c:ser>
        <c:dLbls>
          <c:showLegendKey val="0"/>
          <c:showVal val="0"/>
          <c:showCatName val="0"/>
          <c:showSerName val="0"/>
          <c:showPercent val="0"/>
          <c:showBubbleSize val="0"/>
        </c:dLbls>
        <c:marker val="1"/>
        <c:smooth val="0"/>
        <c:axId val="84219008"/>
        <c:axId val="84220928"/>
      </c:lineChart>
      <c:lineChart>
        <c:grouping val="standard"/>
        <c:varyColors val="0"/>
        <c:ser>
          <c:idx val="5"/>
          <c:order val="4"/>
          <c:tx>
            <c:strRef>
              <c:f>'výkonnost odvětví 5a'!$H$66</c:f>
              <c:strCache>
                <c:ptCount val="1"/>
                <c:pt idx="0">
                  <c:v>Maloobchod, bez motor. segm. (2015=100)</c:v>
                </c:pt>
              </c:strCache>
            </c:strRef>
          </c:tx>
          <c:spPr>
            <a:ln w="15875">
              <a:solidFill>
                <a:schemeClr val="tx1">
                  <a:lumMod val="95000"/>
                  <a:lumOff val="5000"/>
                </a:schemeClr>
              </a:solidFill>
              <a:prstDash val="solid"/>
            </a:ln>
          </c:spPr>
          <c:marker>
            <c:symbol val="none"/>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5a'!$H$67:$H$101</c:f>
              <c:numCache>
                <c:formatCode>#\ ##0.0</c:formatCode>
                <c:ptCount val="35"/>
                <c:pt idx="0">
                  <c:v>98.108903473300003</c:v>
                </c:pt>
                <c:pt idx="1">
                  <c:v>99.176423353299896</c:v>
                </c:pt>
                <c:pt idx="2">
                  <c:v>100.24040488000006</c:v>
                </c:pt>
                <c:pt idx="3">
                  <c:v>102.4742682967</c:v>
                </c:pt>
                <c:pt idx="4">
                  <c:v>103.00654075999998</c:v>
                </c:pt>
                <c:pt idx="5">
                  <c:v>104.00728415330002</c:v>
                </c:pt>
                <c:pt idx="6">
                  <c:v>105.24950234329998</c:v>
                </c:pt>
                <c:pt idx="7">
                  <c:v>106.61154646670002</c:v>
                </c:pt>
                <c:pt idx="8">
                  <c:v>108.19528997</c:v>
                </c:pt>
                <c:pt idx="9">
                  <c:v>110.6786786799999</c:v>
                </c:pt>
                <c:pt idx="10">
                  <c:v>111.78129380670002</c:v>
                </c:pt>
                <c:pt idx="11">
                  <c:v>113.06724078329999</c:v>
                </c:pt>
                <c:pt idx="12">
                  <c:v>114.63997826000001</c:v>
                </c:pt>
                <c:pt idx="13">
                  <c:v>116.12165418330002</c:v>
                </c:pt>
                <c:pt idx="14">
                  <c:v>116.8100051867</c:v>
                </c:pt>
                <c:pt idx="15">
                  <c:v>118.44840057330002</c:v>
                </c:pt>
                <c:pt idx="16">
                  <c:v>120.62811213669984</c:v>
                </c:pt>
                <c:pt idx="17">
                  <c:v>122.01406147330007</c:v>
                </c:pt>
                <c:pt idx="18">
                  <c:v>122.34251458330006</c:v>
                </c:pt>
                <c:pt idx="19">
                  <c:v>123.4531821266999</c:v>
                </c:pt>
                <c:pt idx="20">
                  <c:v>120.2493864533</c:v>
                </c:pt>
                <c:pt idx="21">
                  <c:v>118.9229640667</c:v>
                </c:pt>
                <c:pt idx="22">
                  <c:v>124.49863366330011</c:v>
                </c:pt>
                <c:pt idx="23">
                  <c:v>120.6687672466999</c:v>
                </c:pt>
                <c:pt idx="24">
                  <c:v>118.25474940330002</c:v>
                </c:pt>
                <c:pt idx="25">
                  <c:v>127.38867849330001</c:v>
                </c:pt>
                <c:pt idx="26">
                  <c:v>129.80928313329997</c:v>
                </c:pt>
                <c:pt idx="27">
                  <c:v>128.80356586329995</c:v>
                </c:pt>
                <c:pt idx="28">
                  <c:v>126.7213985132999</c:v>
                </c:pt>
                <c:pt idx="29">
                  <c:v>123.46006303670002</c:v>
                </c:pt>
                <c:pt idx="30">
                  <c:v>119.72144556000002</c:v>
                </c:pt>
                <c:pt idx="31">
                  <c:v>117.7221057166999</c:v>
                </c:pt>
                <c:pt idx="32">
                  <c:v>117.3039514</c:v>
                </c:pt>
                <c:pt idx="33">
                  <c:v>115.96347349330006</c:v>
                </c:pt>
              </c:numCache>
            </c:numRef>
          </c:val>
          <c:smooth val="0"/>
          <c:extLst>
            <c:ext xmlns:c16="http://schemas.microsoft.com/office/drawing/2014/chart" uri="{C3380CC4-5D6E-409C-BE32-E72D297353CC}">
              <c16:uniqueId val="{00000004-C6F5-4010-8FBD-9338D9BF0A6C}"/>
            </c:ext>
          </c:extLst>
        </c:ser>
        <c:ser>
          <c:idx val="2"/>
          <c:order val="5"/>
          <c:tx>
            <c:strRef>
              <c:f>'výkonnost odvětví 5a'!$I$66</c:f>
              <c:strCache>
                <c:ptCount val="1"/>
                <c:pt idx="0">
                  <c:v>z toho: maloobchod.prodej PHM (2015=100)</c:v>
                </c:pt>
              </c:strCache>
            </c:strRef>
          </c:tx>
          <c:spPr>
            <a:ln w="15875">
              <a:solidFill>
                <a:schemeClr val="bg2">
                  <a:lumMod val="50000"/>
                </a:schemeClr>
              </a:solidFill>
              <a:prstDash val="sysDash"/>
            </a:ln>
          </c:spPr>
          <c:marker>
            <c:symbol val="none"/>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5a'!$I$67:$I$101</c:f>
              <c:numCache>
                <c:formatCode>#\ ##0.0</c:formatCode>
                <c:ptCount val="35"/>
                <c:pt idx="0">
                  <c:v>98.90286168330006</c:v>
                </c:pt>
                <c:pt idx="1">
                  <c:v>98.641762076699905</c:v>
                </c:pt>
                <c:pt idx="2">
                  <c:v>99.862770576699845</c:v>
                </c:pt>
                <c:pt idx="3">
                  <c:v>102.59260566000007</c:v>
                </c:pt>
                <c:pt idx="4">
                  <c:v>103.8285317032999</c:v>
                </c:pt>
                <c:pt idx="5">
                  <c:v>104.32379246999994</c:v>
                </c:pt>
                <c:pt idx="6">
                  <c:v>104.5221357666999</c:v>
                </c:pt>
                <c:pt idx="7">
                  <c:v>107.6023051832999</c:v>
                </c:pt>
                <c:pt idx="8">
                  <c:v>108.0502921966999</c:v>
                </c:pt>
                <c:pt idx="9">
                  <c:v>110.91734060330008</c:v>
                </c:pt>
                <c:pt idx="10">
                  <c:v>110.9835808433</c:v>
                </c:pt>
                <c:pt idx="11">
                  <c:v>114.18133894999994</c:v>
                </c:pt>
                <c:pt idx="12">
                  <c:v>114.0189565133</c:v>
                </c:pt>
                <c:pt idx="13">
                  <c:v>116.6800979633</c:v>
                </c:pt>
                <c:pt idx="14">
                  <c:v>114.09303906000002</c:v>
                </c:pt>
                <c:pt idx="15">
                  <c:v>117.57587906329989</c:v>
                </c:pt>
                <c:pt idx="16">
                  <c:v>119.1994867132999</c:v>
                </c:pt>
                <c:pt idx="17">
                  <c:v>120.02304511669988</c:v>
                </c:pt>
                <c:pt idx="18">
                  <c:v>115.19566012999998</c:v>
                </c:pt>
                <c:pt idx="19">
                  <c:v>118.16034126999998</c:v>
                </c:pt>
                <c:pt idx="20">
                  <c:v>111.22961624330006</c:v>
                </c:pt>
                <c:pt idx="21">
                  <c:v>100.0761487332999</c:v>
                </c:pt>
                <c:pt idx="22">
                  <c:v>114.00860915</c:v>
                </c:pt>
                <c:pt idx="23">
                  <c:v>104.65409344000005</c:v>
                </c:pt>
                <c:pt idx="24">
                  <c:v>102.30890399</c:v>
                </c:pt>
                <c:pt idx="25">
                  <c:v>111.00930954330002</c:v>
                </c:pt>
                <c:pt idx="26">
                  <c:v>117.89445022000002</c:v>
                </c:pt>
                <c:pt idx="27">
                  <c:v>114.65352857329992</c:v>
                </c:pt>
                <c:pt idx="28">
                  <c:v>114.9526703933</c:v>
                </c:pt>
                <c:pt idx="29">
                  <c:v>105.8215033166999</c:v>
                </c:pt>
                <c:pt idx="30">
                  <c:v>105.88666473000002</c:v>
                </c:pt>
                <c:pt idx="31">
                  <c:v>111.18406157</c:v>
                </c:pt>
                <c:pt idx="32">
                  <c:v>115.6996360333</c:v>
                </c:pt>
                <c:pt idx="33">
                  <c:v>115.7992331367</c:v>
                </c:pt>
              </c:numCache>
            </c:numRef>
          </c:val>
          <c:smooth val="0"/>
          <c:extLst>
            <c:ext xmlns:c16="http://schemas.microsoft.com/office/drawing/2014/chart" uri="{C3380CC4-5D6E-409C-BE32-E72D297353CC}">
              <c16:uniqueId val="{00000005-C6F5-4010-8FBD-9338D9BF0A6C}"/>
            </c:ext>
          </c:extLst>
        </c:ser>
        <c:ser>
          <c:idx val="6"/>
          <c:order val="6"/>
          <c:tx>
            <c:strRef>
              <c:f>'výkonnost odvětví 5a'!$J$66</c:f>
              <c:strCache>
                <c:ptCount val="1"/>
                <c:pt idx="0">
                  <c:v>Obchod a opravy motor. vozidel (2015=100)</c:v>
                </c:pt>
              </c:strCache>
            </c:strRef>
          </c:tx>
          <c:spPr>
            <a:ln w="15875">
              <a:solidFill>
                <a:srgbClr val="984807"/>
              </a:solidFill>
              <a:prstDash val="solid"/>
            </a:ln>
          </c:spPr>
          <c:marker>
            <c:symbol val="none"/>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5a'!$J$67:$J$101</c:f>
              <c:numCache>
                <c:formatCode>#\ ##0.0</c:formatCode>
                <c:ptCount val="35"/>
                <c:pt idx="0">
                  <c:v>95.674913026699926</c:v>
                </c:pt>
                <c:pt idx="1">
                  <c:v>98.560016843300005</c:v>
                </c:pt>
                <c:pt idx="2">
                  <c:v>101.31104914330002</c:v>
                </c:pt>
                <c:pt idx="3">
                  <c:v>104.45402098330011</c:v>
                </c:pt>
                <c:pt idx="4">
                  <c:v>105.0998844667</c:v>
                </c:pt>
                <c:pt idx="5">
                  <c:v>106.74665345330011</c:v>
                </c:pt>
                <c:pt idx="6">
                  <c:v>108.98378878</c:v>
                </c:pt>
                <c:pt idx="7">
                  <c:v>109.86758091</c:v>
                </c:pt>
                <c:pt idx="8">
                  <c:v>110.82769768000006</c:v>
                </c:pt>
                <c:pt idx="9">
                  <c:v>111.3855907466999</c:v>
                </c:pt>
                <c:pt idx="10">
                  <c:v>109.70167963000006</c:v>
                </c:pt>
                <c:pt idx="11">
                  <c:v>112.16470216999994</c:v>
                </c:pt>
                <c:pt idx="12">
                  <c:v>110.27402299000002</c:v>
                </c:pt>
                <c:pt idx="13">
                  <c:v>109.89581527670001</c:v>
                </c:pt>
                <c:pt idx="14">
                  <c:v>109.1303319866999</c:v>
                </c:pt>
                <c:pt idx="15">
                  <c:v>106.6551817399999</c:v>
                </c:pt>
                <c:pt idx="16">
                  <c:v>109.01463176999999</c:v>
                </c:pt>
                <c:pt idx="17">
                  <c:v>110.7507360833</c:v>
                </c:pt>
                <c:pt idx="18">
                  <c:v>109.8768517732999</c:v>
                </c:pt>
                <c:pt idx="19">
                  <c:v>110.48031871000001</c:v>
                </c:pt>
                <c:pt idx="20">
                  <c:v>95.676395003299916</c:v>
                </c:pt>
                <c:pt idx="21">
                  <c:v>77.407445156699907</c:v>
                </c:pt>
                <c:pt idx="22">
                  <c:v>101.0189567533</c:v>
                </c:pt>
                <c:pt idx="23">
                  <c:v>102.6341597167</c:v>
                </c:pt>
                <c:pt idx="24">
                  <c:v>101.92430179</c:v>
                </c:pt>
                <c:pt idx="25">
                  <c:v>104.87521292999998</c:v>
                </c:pt>
                <c:pt idx="26">
                  <c:v>99.9690871233</c:v>
                </c:pt>
                <c:pt idx="27">
                  <c:v>98.537373770000002</c:v>
                </c:pt>
                <c:pt idx="28">
                  <c:v>98.516458040000003</c:v>
                </c:pt>
                <c:pt idx="29">
                  <c:v>97.982255116699918</c:v>
                </c:pt>
                <c:pt idx="30">
                  <c:v>96.567339416699895</c:v>
                </c:pt>
                <c:pt idx="31">
                  <c:v>97.582321260000001</c:v>
                </c:pt>
                <c:pt idx="32">
                  <c:v>102.41315423000007</c:v>
                </c:pt>
                <c:pt idx="33">
                  <c:v>99.666500956699906</c:v>
                </c:pt>
              </c:numCache>
            </c:numRef>
          </c:val>
          <c:smooth val="0"/>
          <c:extLst>
            <c:ext xmlns:c16="http://schemas.microsoft.com/office/drawing/2014/chart" uri="{C3380CC4-5D6E-409C-BE32-E72D297353CC}">
              <c16:uniqueId val="{00000006-C6F5-4010-8FBD-9338D9BF0A6C}"/>
            </c:ext>
          </c:extLst>
        </c:ser>
        <c:ser>
          <c:idx val="7"/>
          <c:order val="7"/>
          <c:tx>
            <c:strRef>
              <c:f>'výkonnost odvětví 5a'!$K$66</c:f>
              <c:strCache>
                <c:ptCount val="1"/>
              </c:strCache>
            </c:strRef>
          </c:tx>
          <c:spPr>
            <a:ln w="3175">
              <a:noFill/>
              <a:prstDash val="sysDash"/>
            </a:ln>
          </c:spPr>
          <c:marker>
            <c:symbol val="none"/>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5a'!$K$67:$K$101</c:f>
              <c:numCache>
                <c:formatCode>General</c:formatCode>
                <c:ptCount val="35"/>
              </c:numCache>
            </c:numRef>
          </c:val>
          <c:smooth val="0"/>
          <c:extLst>
            <c:ext xmlns:c16="http://schemas.microsoft.com/office/drawing/2014/chart" uri="{C3380CC4-5D6E-409C-BE32-E72D297353CC}">
              <c16:uniqueId val="{00000007-C6F5-4010-8FBD-9338D9BF0A6C}"/>
            </c:ext>
          </c:extLst>
        </c:ser>
        <c:ser>
          <c:idx val="8"/>
          <c:order val="8"/>
          <c:tx>
            <c:strRef>
              <c:f>'výkonnost odvětví 5a'!$L$66</c:f>
              <c:strCache>
                <c:ptCount val="1"/>
                <c:pt idx="0">
                  <c:v>Saldo indikátoru důvěry spotřebitelů</c:v>
                </c:pt>
              </c:strCache>
            </c:strRef>
          </c:tx>
          <c:spPr>
            <a:ln w="12700">
              <a:solidFill>
                <a:schemeClr val="bg1">
                  <a:lumMod val="50000"/>
                </a:schemeClr>
              </a:solidFill>
              <a:prstDash val="sysDot"/>
            </a:ln>
          </c:spPr>
          <c:marker>
            <c:symbol val="circle"/>
            <c:size val="5"/>
            <c:spPr>
              <a:solidFill>
                <a:srgbClr val="FFFF00"/>
              </a:solidFill>
              <a:ln>
                <a:solidFill>
                  <a:schemeClr val="bg1">
                    <a:lumMod val="50000"/>
                  </a:schemeClr>
                </a:solidFill>
              </a:ln>
            </c:spPr>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5a'!$L$67:$L$101</c:f>
              <c:numCache>
                <c:formatCode>0.0</c:formatCode>
                <c:ptCount val="35"/>
                <c:pt idx="0">
                  <c:v>-1.75</c:v>
                </c:pt>
                <c:pt idx="1">
                  <c:v>0.25</c:v>
                </c:pt>
                <c:pt idx="2">
                  <c:v>-3.75</c:v>
                </c:pt>
                <c:pt idx="3">
                  <c:v>-0.25</c:v>
                </c:pt>
                <c:pt idx="4">
                  <c:v>-1.5</c:v>
                </c:pt>
                <c:pt idx="5">
                  <c:v>0</c:v>
                </c:pt>
                <c:pt idx="6">
                  <c:v>-2.25</c:v>
                </c:pt>
                <c:pt idx="7">
                  <c:v>0.75000000000000044</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pt idx="32">
                  <c:v>-21</c:v>
                </c:pt>
                <c:pt idx="33">
                  <c:v>-20.3</c:v>
                </c:pt>
                <c:pt idx="34">
                  <c:v>-18</c:v>
                </c:pt>
              </c:numCache>
            </c:numRef>
          </c:val>
          <c:smooth val="0"/>
          <c:extLst>
            <c:ext xmlns:c16="http://schemas.microsoft.com/office/drawing/2014/chart" uri="{C3380CC4-5D6E-409C-BE32-E72D297353CC}">
              <c16:uniqueId val="{00000008-C6F5-4010-8FBD-9338D9BF0A6C}"/>
            </c:ext>
          </c:extLst>
        </c:ser>
        <c:ser>
          <c:idx val="9"/>
          <c:order val="9"/>
          <c:tx>
            <c:strRef>
              <c:f>'výkonnost odvětví 5a'!$M$66</c:f>
              <c:strCache>
                <c:ptCount val="1"/>
                <c:pt idx="0">
                  <c:v>Saldo indikátoru důvěry obchodníků</c:v>
                </c:pt>
              </c:strCache>
            </c:strRef>
          </c:tx>
          <c:spPr>
            <a:ln w="6350">
              <a:solidFill>
                <a:schemeClr val="bg1">
                  <a:lumMod val="50000"/>
                </a:schemeClr>
              </a:solidFill>
              <a:prstDash val="sysDash"/>
            </a:ln>
          </c:spPr>
          <c:marker>
            <c:symbol val="triangle"/>
            <c:size val="5"/>
            <c:spPr>
              <a:solidFill>
                <a:schemeClr val="accent6">
                  <a:lumMod val="40000"/>
                  <a:lumOff val="60000"/>
                </a:schemeClr>
              </a:solidFill>
              <a:ln>
                <a:solidFill>
                  <a:schemeClr val="bg1">
                    <a:lumMod val="50000"/>
                  </a:schemeClr>
                </a:solidFill>
              </a:ln>
            </c:spPr>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5a'!$M$67:$M$101</c:f>
              <c:numCache>
                <c:formatCode>0.0</c:formatCode>
                <c:ptCount val="35"/>
                <c:pt idx="0">
                  <c:v>20</c:v>
                </c:pt>
                <c:pt idx="1">
                  <c:v>20.7</c:v>
                </c:pt>
                <c:pt idx="2">
                  <c:v>17.600000000000001</c:v>
                </c:pt>
                <c:pt idx="3">
                  <c:v>19.7</c:v>
                </c:pt>
                <c:pt idx="4">
                  <c:v>22.7</c:v>
                </c:pt>
                <c:pt idx="5">
                  <c:v>17.7</c:v>
                </c:pt>
                <c:pt idx="6">
                  <c:v>17.7</c:v>
                </c:pt>
                <c:pt idx="7">
                  <c:v>21</c:v>
                </c:pt>
                <c:pt idx="8">
                  <c:v>24.3</c:v>
                </c:pt>
                <c:pt idx="9">
                  <c:v>17.3</c:v>
                </c:pt>
                <c:pt idx="10">
                  <c:v>22.7</c:v>
                </c:pt>
                <c:pt idx="11">
                  <c:v>21.7</c:v>
                </c:pt>
                <c:pt idx="12">
                  <c:v>23.3</c:v>
                </c:pt>
                <c:pt idx="13">
                  <c:v>17.3</c:v>
                </c:pt>
                <c:pt idx="14">
                  <c:v>15.6</c:v>
                </c:pt>
                <c:pt idx="15">
                  <c:v>15</c:v>
                </c:pt>
                <c:pt idx="16">
                  <c:v>12.7</c:v>
                </c:pt>
                <c:pt idx="17">
                  <c:v>12.3</c:v>
                </c:pt>
                <c:pt idx="18">
                  <c:v>14.7</c:v>
                </c:pt>
                <c:pt idx="19">
                  <c:v>14.7</c:v>
                </c:pt>
                <c:pt idx="20">
                  <c:v>18.7</c:v>
                </c:pt>
                <c:pt idx="21">
                  <c:v>-1</c:v>
                </c:pt>
                <c:pt idx="22">
                  <c:v>12</c:v>
                </c:pt>
                <c:pt idx="23">
                  <c:v>7</c:v>
                </c:pt>
                <c:pt idx="24">
                  <c:v>1.3</c:v>
                </c:pt>
                <c:pt idx="25">
                  <c:v>15</c:v>
                </c:pt>
                <c:pt idx="26">
                  <c:v>18.3</c:v>
                </c:pt>
                <c:pt idx="27">
                  <c:v>21.3</c:v>
                </c:pt>
                <c:pt idx="28">
                  <c:v>19.7</c:v>
                </c:pt>
                <c:pt idx="29">
                  <c:v>19.600000000000001</c:v>
                </c:pt>
                <c:pt idx="30">
                  <c:v>10.3</c:v>
                </c:pt>
                <c:pt idx="31">
                  <c:v>14.7</c:v>
                </c:pt>
                <c:pt idx="32">
                  <c:v>9.3000000000000007</c:v>
                </c:pt>
                <c:pt idx="33">
                  <c:v>13.3</c:v>
                </c:pt>
                <c:pt idx="34">
                  <c:v>5.7</c:v>
                </c:pt>
              </c:numCache>
            </c:numRef>
          </c:val>
          <c:smooth val="0"/>
          <c:extLst>
            <c:ext xmlns:c16="http://schemas.microsoft.com/office/drawing/2014/chart" uri="{C3380CC4-5D6E-409C-BE32-E72D297353CC}">
              <c16:uniqueId val="{00000009-C6F5-4010-8FBD-9338D9BF0A6C}"/>
            </c:ext>
          </c:extLst>
        </c:ser>
        <c:dLbls>
          <c:showLegendKey val="0"/>
          <c:showVal val="0"/>
          <c:showCatName val="0"/>
          <c:showSerName val="0"/>
          <c:showPercent val="0"/>
          <c:showBubbleSize val="0"/>
        </c:dLbls>
        <c:marker val="1"/>
        <c:smooth val="0"/>
        <c:axId val="84237312"/>
        <c:axId val="84235392"/>
      </c:lineChart>
      <c:catAx>
        <c:axId val="84219008"/>
        <c:scaling>
          <c:orientation val="minMax"/>
        </c:scaling>
        <c:delete val="0"/>
        <c:axPos val="b"/>
        <c:numFmt formatCode="General" sourceLinked="0"/>
        <c:majorTickMark val="out"/>
        <c:minorTickMark val="none"/>
        <c:tickLblPos val="low"/>
        <c:txPr>
          <a:bodyPr/>
          <a:lstStyle/>
          <a:p>
            <a:pPr>
              <a:defRPr sz="800"/>
            </a:pPr>
            <a:endParaRPr lang="cs-CZ"/>
          </a:p>
        </c:txPr>
        <c:crossAx val="84220928"/>
        <c:crosses val="autoZero"/>
        <c:auto val="1"/>
        <c:lblAlgn val="ctr"/>
        <c:lblOffset val="0"/>
        <c:noMultiLvlLbl val="0"/>
      </c:catAx>
      <c:valAx>
        <c:axId val="84220928"/>
        <c:scaling>
          <c:orientation val="minMax"/>
          <c:max val="12"/>
          <c:min val="-10"/>
        </c:scaling>
        <c:delete val="0"/>
        <c:axPos val="l"/>
        <c:majorGridlines>
          <c:spPr>
            <a:ln w="6350">
              <a:solidFill>
                <a:schemeClr val="bg1">
                  <a:lumMod val="75000"/>
                </a:schemeClr>
              </a:solidFill>
            </a:ln>
          </c:spPr>
        </c:majorGridlines>
        <c:title>
          <c:tx>
            <c:rich>
              <a:bodyPr/>
              <a:lstStyle/>
              <a:p>
                <a:pPr>
                  <a:defRPr sz="750" b="0" i="1"/>
                </a:pPr>
                <a:r>
                  <a:rPr lang="cs-CZ" sz="750" b="0" i="1"/>
                  <a:t>Tržby</a:t>
                </a:r>
                <a:r>
                  <a:rPr lang="cs-CZ" sz="750" b="0" i="1" baseline="0"/>
                  <a:t> (příspěvěk k meziroč. růstu)</a:t>
                </a:r>
                <a:endParaRPr lang="cs-CZ" sz="750" b="0" i="1"/>
              </a:p>
            </c:rich>
          </c:tx>
          <c:layout>
            <c:manualLayout>
              <c:xMode val="edge"/>
              <c:yMode val="edge"/>
              <c:x val="2.6087065478328985E-3"/>
              <c:y val="0.18186950815930628"/>
            </c:manualLayout>
          </c:layout>
          <c:overlay val="0"/>
        </c:title>
        <c:numFmt formatCode="0" sourceLinked="0"/>
        <c:majorTickMark val="out"/>
        <c:minorTickMark val="none"/>
        <c:tickLblPos val="nextTo"/>
        <c:txPr>
          <a:bodyPr/>
          <a:lstStyle/>
          <a:p>
            <a:pPr>
              <a:defRPr sz="800"/>
            </a:pPr>
            <a:endParaRPr lang="cs-CZ"/>
          </a:p>
        </c:txPr>
        <c:crossAx val="84219008"/>
        <c:crosses val="autoZero"/>
        <c:crossBetween val="between"/>
        <c:majorUnit val="2"/>
      </c:valAx>
      <c:valAx>
        <c:axId val="84235392"/>
        <c:scaling>
          <c:orientation val="minMax"/>
          <c:max val="140"/>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Tržby</a:t>
                </a:r>
                <a:r>
                  <a:rPr lang="cs-CZ" sz="750" b="0" i="1" baseline="0">
                    <a:latin typeface="Arial" panose="020B0604020202020204" pitchFamily="34" charset="0"/>
                    <a:cs typeface="Arial" panose="020B0604020202020204" pitchFamily="34" charset="0"/>
                  </a:rPr>
                  <a:t> (rok 2015=100), </a:t>
                </a:r>
                <a:r>
                  <a:rPr lang="cs-CZ" sz="750" b="0" i="1" u="none" strike="noStrike" baseline="0">
                    <a:effectLst/>
                    <a:latin typeface="Arial" panose="020B0604020202020204" pitchFamily="34" charset="0"/>
                    <a:cs typeface="Arial" panose="020B0604020202020204" pitchFamily="34" charset="0"/>
                  </a:rPr>
                  <a:t>důvěra domácností (p. b.)</a:t>
                </a:r>
                <a:endParaRPr lang="cs-CZ" sz="750" b="0" i="1">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800"/>
            </a:pPr>
            <a:endParaRPr lang="cs-CZ"/>
          </a:p>
        </c:txPr>
        <c:crossAx val="84237312"/>
        <c:crosses val="max"/>
        <c:crossBetween val="between"/>
        <c:majorUnit val="10"/>
      </c:valAx>
      <c:catAx>
        <c:axId val="84237312"/>
        <c:scaling>
          <c:orientation val="minMax"/>
        </c:scaling>
        <c:delete val="1"/>
        <c:axPos val="b"/>
        <c:numFmt formatCode="General" sourceLinked="1"/>
        <c:majorTickMark val="out"/>
        <c:minorTickMark val="none"/>
        <c:tickLblPos val="none"/>
        <c:crossAx val="84235392"/>
        <c:crosses val="autoZero"/>
        <c:auto val="1"/>
        <c:lblAlgn val="ctr"/>
        <c:lblOffset val="100"/>
        <c:noMultiLvlLbl val="0"/>
      </c:catAx>
      <c:spPr>
        <a:ln>
          <a:solidFill>
            <a:schemeClr val="tx1"/>
          </a:solidFill>
        </a:ln>
      </c:spPr>
    </c:plotArea>
    <c:legend>
      <c:legendPos val="r"/>
      <c:layout>
        <c:manualLayout>
          <c:xMode val="edge"/>
          <c:yMode val="edge"/>
          <c:x val="7.8026315789473683E-3"/>
          <c:y val="0.83721607601948345"/>
          <c:w val="0.98158751044277359"/>
          <c:h val="0.1556565362354709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511717884667364E-2"/>
          <c:y val="2.3304908251716775E-2"/>
          <c:w val="0.92378402700888473"/>
          <c:h val="0.69508533791523497"/>
        </c:manualLayout>
      </c:layout>
      <c:barChart>
        <c:barDir val="col"/>
        <c:grouping val="clustered"/>
        <c:varyColors val="0"/>
        <c:ser>
          <c:idx val="1"/>
          <c:order val="1"/>
          <c:tx>
            <c:strRef>
              <c:f>'Vnější vztahy 2'!$A$7</c:f>
              <c:strCache>
                <c:ptCount val="1"/>
                <c:pt idx="0">
                  <c:v>2022</c:v>
                </c:pt>
              </c:strCache>
            </c:strRef>
          </c:tx>
          <c:spPr>
            <a:solidFill>
              <a:schemeClr val="bg1">
                <a:lumMod val="65000"/>
              </a:schemeClr>
            </a:solidFill>
          </c:spPr>
          <c:invertIfNegative val="0"/>
          <c:cat>
            <c:strRef>
              <c:f>'Vnější vztahy 2'!$B$5:$O$5</c:f>
              <c:strCache>
                <c:ptCount val="14"/>
                <c:pt idx="0">
                  <c:v>Ropa a zemní plyn</c:v>
                </c:pt>
                <c:pt idx="1">
                  <c:v>Potravinářské výrobky</c:v>
                </c:pt>
                <c:pt idx="2">
                  <c:v>Oděvy</c:v>
                </c:pt>
                <c:pt idx="3">
                  <c:v>Koks a rafinované                                                                                  ropné produkty</c:v>
                </c:pt>
                <c:pt idx="4">
                  <c:v>Chemické látky                                                                       a přípravky</c:v>
                </c:pt>
                <c:pt idx="5">
                  <c:v>Základní farmaceutické                                                                                            výrobky a přípravky</c:v>
                </c:pt>
                <c:pt idx="6">
                  <c:v>Ostatní nekovové                                                                                   minerální výrobky</c:v>
                </c:pt>
                <c:pt idx="7">
                  <c:v>Základní kovy</c:v>
                </c:pt>
                <c:pt idx="8">
                  <c:v>Kovodělné výrobky</c:v>
                </c:pt>
                <c:pt idx="9">
                  <c:v>Počítače, elektron.                                                                                   a opt. přístroje a zařízení</c:v>
                </c:pt>
                <c:pt idx="10">
                  <c:v>Stroje a zařízení j. n.</c:v>
                </c:pt>
                <c:pt idx="11">
                  <c:v>Motorová vozidla</c:v>
                </c:pt>
                <c:pt idx="12">
                  <c:v>Elektřina, plyn,                                                                                                  pára a klim. vzduch</c:v>
                </c:pt>
                <c:pt idx="13">
                  <c:v>Služby související                                                                                    s odpady (CPA 38)</c:v>
                </c:pt>
              </c:strCache>
            </c:strRef>
          </c:cat>
          <c:val>
            <c:numRef>
              <c:f>'Vnější vztahy 2'!$B$7:$O$7</c:f>
              <c:numCache>
                <c:formatCode>General</c:formatCode>
                <c:ptCount val="14"/>
                <c:pt idx="0">
                  <c:v>-153.80641563700001</c:v>
                </c:pt>
                <c:pt idx="1">
                  <c:v>-29.014789663999991</c:v>
                </c:pt>
                <c:pt idx="2">
                  <c:v>-19.409720811999989</c:v>
                </c:pt>
                <c:pt idx="3">
                  <c:v>-26.024072001</c:v>
                </c:pt>
                <c:pt idx="4">
                  <c:v>-78.464602413999998</c:v>
                </c:pt>
                <c:pt idx="5">
                  <c:v>-35.05337822900001</c:v>
                </c:pt>
                <c:pt idx="6">
                  <c:v>15.136442071000003</c:v>
                </c:pt>
                <c:pt idx="7">
                  <c:v>-100.333485564</c:v>
                </c:pt>
                <c:pt idx="8">
                  <c:v>42.204577443000005</c:v>
                </c:pt>
                <c:pt idx="9">
                  <c:v>-40.144556924000014</c:v>
                </c:pt>
                <c:pt idx="10">
                  <c:v>47.398275933000022</c:v>
                </c:pt>
                <c:pt idx="11">
                  <c:v>227.68846094600008</c:v>
                </c:pt>
                <c:pt idx="12">
                  <c:v>28.649463010999991</c:v>
                </c:pt>
                <c:pt idx="13">
                  <c:v>17.990880064999999</c:v>
                </c:pt>
              </c:numCache>
            </c:numRef>
          </c:val>
          <c:extLst>
            <c:ext xmlns:c16="http://schemas.microsoft.com/office/drawing/2014/chart" uri="{C3380CC4-5D6E-409C-BE32-E72D297353CC}">
              <c16:uniqueId val="{00000000-A0A4-4213-8D28-036BAF95CB77}"/>
            </c:ext>
          </c:extLst>
        </c:ser>
        <c:ser>
          <c:idx val="2"/>
          <c:order val="2"/>
          <c:tx>
            <c:strRef>
              <c:f>'Vnější vztahy 2'!$A$8</c:f>
              <c:strCache>
                <c:ptCount val="1"/>
                <c:pt idx="0">
                  <c:v>2023</c:v>
                </c:pt>
              </c:strCache>
            </c:strRef>
          </c:tx>
          <c:spPr>
            <a:solidFill>
              <a:srgbClr val="C00000"/>
            </a:solidFill>
          </c:spPr>
          <c:invertIfNegative val="0"/>
          <c:cat>
            <c:strRef>
              <c:f>'Vnější vztahy 2'!$B$5:$O$5</c:f>
              <c:strCache>
                <c:ptCount val="14"/>
                <c:pt idx="0">
                  <c:v>Ropa a zemní plyn</c:v>
                </c:pt>
                <c:pt idx="1">
                  <c:v>Potravinářské výrobky</c:v>
                </c:pt>
                <c:pt idx="2">
                  <c:v>Oděvy</c:v>
                </c:pt>
                <c:pt idx="3">
                  <c:v>Koks a rafinované                                                                                  ropné produkty</c:v>
                </c:pt>
                <c:pt idx="4">
                  <c:v>Chemické látky                                                                       a přípravky</c:v>
                </c:pt>
                <c:pt idx="5">
                  <c:v>Základní farmaceutické                                                                                            výrobky a přípravky</c:v>
                </c:pt>
                <c:pt idx="6">
                  <c:v>Ostatní nekovové                                                                                   minerální výrobky</c:v>
                </c:pt>
                <c:pt idx="7">
                  <c:v>Základní kovy</c:v>
                </c:pt>
                <c:pt idx="8">
                  <c:v>Kovodělné výrobky</c:v>
                </c:pt>
                <c:pt idx="9">
                  <c:v>Počítače, elektron.                                                                                   a opt. přístroje a zařízení</c:v>
                </c:pt>
                <c:pt idx="10">
                  <c:v>Stroje a zařízení j. n.</c:v>
                </c:pt>
                <c:pt idx="11">
                  <c:v>Motorová vozidla</c:v>
                </c:pt>
                <c:pt idx="12">
                  <c:v>Elektřina, plyn,                                                                                                  pára a klim. vzduch</c:v>
                </c:pt>
                <c:pt idx="13">
                  <c:v>Služby související                                                                                    s odpady (CPA 38)</c:v>
                </c:pt>
              </c:strCache>
            </c:strRef>
          </c:cat>
          <c:val>
            <c:numRef>
              <c:f>'Vnější vztahy 2'!$B$8:$O$8</c:f>
              <c:numCache>
                <c:formatCode>General</c:formatCode>
                <c:ptCount val="14"/>
                <c:pt idx="0">
                  <c:v>-88.091469570000029</c:v>
                </c:pt>
                <c:pt idx="1">
                  <c:v>-25.532787906999992</c:v>
                </c:pt>
                <c:pt idx="2">
                  <c:v>-18.606344394000001</c:v>
                </c:pt>
                <c:pt idx="3">
                  <c:v>-16.974027092</c:v>
                </c:pt>
                <c:pt idx="4">
                  <c:v>-72.281543119000006</c:v>
                </c:pt>
                <c:pt idx="5">
                  <c:v>-32.813032737</c:v>
                </c:pt>
                <c:pt idx="6">
                  <c:v>15.903156086000003</c:v>
                </c:pt>
                <c:pt idx="7">
                  <c:v>-81.228631997999955</c:v>
                </c:pt>
                <c:pt idx="8">
                  <c:v>37.172474378000011</c:v>
                </c:pt>
                <c:pt idx="9">
                  <c:v>-38.519587723000001</c:v>
                </c:pt>
                <c:pt idx="10">
                  <c:v>61.880118860000003</c:v>
                </c:pt>
                <c:pt idx="11">
                  <c:v>298.90930463499996</c:v>
                </c:pt>
                <c:pt idx="12">
                  <c:v>15.390617226000003</c:v>
                </c:pt>
                <c:pt idx="13">
                  <c:v>13.125030301000002</c:v>
                </c:pt>
              </c:numCache>
            </c:numRef>
          </c:val>
          <c:extLst>
            <c:ext xmlns:c16="http://schemas.microsoft.com/office/drawing/2014/chart" uri="{C3380CC4-5D6E-409C-BE32-E72D297353CC}">
              <c16:uniqueId val="{00000001-A0A4-4213-8D28-036BAF95CB77}"/>
            </c:ext>
          </c:extLst>
        </c:ser>
        <c:dLbls>
          <c:showLegendKey val="0"/>
          <c:showVal val="0"/>
          <c:showCatName val="0"/>
          <c:showSerName val="0"/>
          <c:showPercent val="0"/>
          <c:showBubbleSize val="0"/>
        </c:dLbls>
        <c:gapWidth val="97"/>
        <c:axId val="121281152"/>
        <c:axId val="123437824"/>
        <c:extLst>
          <c:ext xmlns:c15="http://schemas.microsoft.com/office/drawing/2012/chart" uri="{02D57815-91ED-43cb-92C2-25804820EDAC}">
            <c15:filteredBarSeries>
              <c15:ser>
                <c:idx val="0"/>
                <c:order val="0"/>
                <c:tx>
                  <c:strRef>
                    <c:extLst>
                      <c:ext uri="{02D57815-91ED-43cb-92C2-25804820EDAC}">
                        <c15:formulaRef>
                          <c15:sqref>'Vnější vztahy 2'!$A$6</c15:sqref>
                        </c15:formulaRef>
                      </c:ext>
                    </c:extLst>
                    <c:strCache>
                      <c:ptCount val="1"/>
                      <c:pt idx="0">
                        <c:v>2021</c:v>
                      </c:pt>
                    </c:strCache>
                  </c:strRef>
                </c:tx>
                <c:spPr>
                  <a:solidFill>
                    <a:schemeClr val="tx1">
                      <a:lumMod val="50000"/>
                      <a:lumOff val="50000"/>
                    </a:schemeClr>
                  </a:solidFill>
                  <a:ln>
                    <a:noFill/>
                  </a:ln>
                </c:spPr>
                <c:invertIfNegative val="0"/>
                <c:cat>
                  <c:strRef>
                    <c:extLst>
                      <c:ext uri="{02D57815-91ED-43cb-92C2-25804820EDAC}">
                        <c15:formulaRef>
                          <c15:sqref>'Vnější vztahy 2'!$B$5:$O$5</c15:sqref>
                        </c15:formulaRef>
                      </c:ext>
                    </c:extLst>
                    <c:strCache>
                      <c:ptCount val="14"/>
                      <c:pt idx="0">
                        <c:v>Ropa a zemní plyn</c:v>
                      </c:pt>
                      <c:pt idx="1">
                        <c:v>Potravinářské výrobky</c:v>
                      </c:pt>
                      <c:pt idx="2">
                        <c:v>Oděvy</c:v>
                      </c:pt>
                      <c:pt idx="3">
                        <c:v>Koks a rafinované                                                                                  ropné produkty</c:v>
                      </c:pt>
                      <c:pt idx="4">
                        <c:v>Chemické látky                                                                       a přípravky</c:v>
                      </c:pt>
                      <c:pt idx="5">
                        <c:v>Základní farmaceutické                                                                                            výrobky a přípravky</c:v>
                      </c:pt>
                      <c:pt idx="6">
                        <c:v>Ostatní nekovové                                                                                   minerální výrobky</c:v>
                      </c:pt>
                      <c:pt idx="7">
                        <c:v>Základní kovy</c:v>
                      </c:pt>
                      <c:pt idx="8">
                        <c:v>Kovodělné výrobky</c:v>
                      </c:pt>
                      <c:pt idx="9">
                        <c:v>Počítače, elektron.                                                                                   a opt. přístroje a zařízení</c:v>
                      </c:pt>
                      <c:pt idx="10">
                        <c:v>Stroje a zařízení j. n.</c:v>
                      </c:pt>
                      <c:pt idx="11">
                        <c:v>Motorová vozidla</c:v>
                      </c:pt>
                      <c:pt idx="12">
                        <c:v>Elektřina, plyn,                                                                                                  pára a klim. vzduch</c:v>
                      </c:pt>
                      <c:pt idx="13">
                        <c:v>Služby související                                                                                    s odpady (CPA 38)</c:v>
                      </c:pt>
                    </c:strCache>
                  </c:strRef>
                </c:cat>
                <c:val>
                  <c:numRef>
                    <c:extLst>
                      <c:ext uri="{02D57815-91ED-43cb-92C2-25804820EDAC}">
                        <c15:formulaRef>
                          <c15:sqref>'Vnější vztahy 2'!$B$6:$O$6</c15:sqref>
                        </c15:formulaRef>
                      </c:ext>
                    </c:extLst>
                    <c:numCache>
                      <c:formatCode>General</c:formatCode>
                      <c:ptCount val="14"/>
                      <c:pt idx="0">
                        <c:v>-52.610684026999998</c:v>
                      </c:pt>
                      <c:pt idx="1">
                        <c:v>-23.461616446000001</c:v>
                      </c:pt>
                      <c:pt idx="2">
                        <c:v>-14.391942546000001</c:v>
                      </c:pt>
                      <c:pt idx="3">
                        <c:v>-10.066573816</c:v>
                      </c:pt>
                      <c:pt idx="4">
                        <c:v>-70.093246483000001</c:v>
                      </c:pt>
                      <c:pt idx="5">
                        <c:v>-41.025885435000006</c:v>
                      </c:pt>
                      <c:pt idx="6">
                        <c:v>13.421550831000001</c:v>
                      </c:pt>
                      <c:pt idx="7">
                        <c:v>-69.87576811000001</c:v>
                      </c:pt>
                      <c:pt idx="8">
                        <c:v>33.938754247999995</c:v>
                      </c:pt>
                      <c:pt idx="9">
                        <c:v>-24.523206424000001</c:v>
                      </c:pt>
                      <c:pt idx="10">
                        <c:v>52.791318746999998</c:v>
                      </c:pt>
                      <c:pt idx="11">
                        <c:v>238.881002021</c:v>
                      </c:pt>
                      <c:pt idx="12">
                        <c:v>5.0134063189999996</c:v>
                      </c:pt>
                      <c:pt idx="13">
                        <c:v>15.697884693000001</c:v>
                      </c:pt>
                    </c:numCache>
                  </c:numRef>
                </c:val>
                <c:extLst>
                  <c:ext xmlns:c16="http://schemas.microsoft.com/office/drawing/2014/chart" uri="{C3380CC4-5D6E-409C-BE32-E72D297353CC}">
                    <c16:uniqueId val="{00000002-A0A4-4213-8D28-036BAF95CB77}"/>
                  </c:ext>
                </c:extLst>
              </c15:ser>
            </c15:filteredBarSeries>
          </c:ext>
        </c:extLst>
      </c:barChart>
      <c:catAx>
        <c:axId val="121281152"/>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23437824"/>
        <c:crosses val="autoZero"/>
        <c:auto val="1"/>
        <c:lblAlgn val="ctr"/>
        <c:lblOffset val="100"/>
        <c:noMultiLvlLbl val="0"/>
      </c:catAx>
      <c:valAx>
        <c:axId val="123437824"/>
        <c:scaling>
          <c:orientation val="minMax"/>
          <c:max val="320"/>
          <c:min val="-16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21281152"/>
        <c:crosses val="autoZero"/>
        <c:crossBetween val="between"/>
        <c:majorUnit val="40"/>
      </c:valAx>
      <c:spPr>
        <a:ln>
          <a:solidFill>
            <a:schemeClr val="tx1"/>
          </a:solidFill>
        </a:ln>
      </c:spPr>
    </c:plotArea>
    <c:legend>
      <c:legendPos val="t"/>
      <c:layout>
        <c:manualLayout>
          <c:xMode val="edge"/>
          <c:yMode val="edge"/>
          <c:x val="0.14065045404275039"/>
          <c:y val="6.1827033218785812E-2"/>
          <c:w val="0.26887915184156158"/>
          <c:h val="5.3991695303550982E-2"/>
        </c:manualLayout>
      </c:layout>
      <c:overlay val="0"/>
      <c:spPr>
        <a:ln w="6350">
          <a:no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3" ma:contentTypeDescription="Vytvoří nový dokument" ma:contentTypeScope="" ma:versionID="3072f6f3e77686ec6964bf5712aff85a">
  <xsd:schema xmlns:xsd="http://www.w3.org/2001/XMLSchema" xmlns:xs="http://www.w3.org/2001/XMLSchema" xmlns:p="http://schemas.microsoft.com/office/2006/metadata/properties" xmlns:ns2="eabc42bd-08fe-4a27-9645-04f6ad96d74a" targetNamespace="http://schemas.microsoft.com/office/2006/metadata/properties" ma:root="true" ma:fieldsID="572e7ed591a9b745512fd70b2662d46d" ns2:_="">
    <xsd:import namespace="eabc42bd-08fe-4a27-9645-04f6ad96d7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0CFD8-CD6F-4E0C-A345-781C95A88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4.xml><?xml version="1.0" encoding="utf-8"?>
<ds:datastoreItem xmlns:ds="http://schemas.openxmlformats.org/officeDocument/2006/customXml" ds:itemID="{1C4CAF68-C364-4CF8-8B1B-1232BC15BFC7}">
  <ds:schemaRefs>
    <ds:schemaRef ds:uri="http://schemas.openxmlformats.org/officeDocument/2006/bibliography"/>
  </ds:schemaRefs>
</ds:datastoreItem>
</file>

<file path=customXml/itemProps5.xml><?xml version="1.0" encoding="utf-8"?>
<ds:datastoreItem xmlns:ds="http://schemas.openxmlformats.org/officeDocument/2006/customXml" ds:itemID="{D618D32F-1B29-4C55-831A-00CC9BBB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22</Pages>
  <Words>16627</Words>
  <Characters>98100</Characters>
  <Application>Microsoft Office Word</Application>
  <DocSecurity>0</DocSecurity>
  <Lines>817</Lines>
  <Paragraphs>228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4</cp:revision>
  <cp:lastPrinted>2023-06-09T17:23:00Z</cp:lastPrinted>
  <dcterms:created xsi:type="dcterms:W3CDTF">2023-09-14T08:51:00Z</dcterms:created>
  <dcterms:modified xsi:type="dcterms:W3CDTF">2023-09-14T09:38:00Z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