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5AC2F" w14:textId="77777777" w:rsidR="007E5149" w:rsidRPr="009110F7" w:rsidRDefault="007E5149" w:rsidP="007E5149">
      <w:pPr>
        <w:pStyle w:val="Nadpis1"/>
      </w:pPr>
      <w:bookmarkStart w:id="0" w:name="_Toc114134048"/>
      <w:bookmarkStart w:id="1" w:name="_Toc97736119"/>
      <w:bookmarkStart w:id="2" w:name="_Toc74643859"/>
      <w:bookmarkStart w:id="3" w:name="_Toc90395915"/>
      <w:bookmarkStart w:id="4" w:name="_Toc98245446"/>
      <w:bookmarkStart w:id="5" w:name="_Toc74643860"/>
      <w:bookmarkStart w:id="6" w:name="_Toc145318531"/>
      <w:r w:rsidRPr="0077605B">
        <w:t>2</w:t>
      </w:r>
      <w:r>
        <w:t>. </w:t>
      </w:r>
      <w:r w:rsidRPr="0077605B">
        <w:t>Souhrnná výkonnost</w:t>
      </w:r>
      <w:bookmarkEnd w:id="6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7E5149" w:rsidRPr="009110F7" w14:paraId="65306B4E" w14:textId="77777777" w:rsidTr="20D2174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A5B4771" w14:textId="77777777" w:rsidR="007E5149" w:rsidRDefault="007E5149" w:rsidP="007E5149">
            <w:pPr>
              <w:pStyle w:val="Marginlie"/>
            </w:pPr>
            <w:r>
              <w:t xml:space="preserve">Česká ekonomika se držela blízko mezičtvrtletní stagnace. 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AD06EA6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931C3C6" w14:textId="77777777" w:rsidR="007E5149" w:rsidRPr="00014ED0" w:rsidRDefault="007E5149" w:rsidP="007E5149">
            <w:pPr>
              <w:rPr>
                <w:spacing w:val="-2"/>
              </w:rPr>
            </w:pPr>
            <w:r>
              <w:rPr>
                <w:spacing w:val="-2"/>
              </w:rPr>
              <w:t>Ve 2. čtvrtletí 2023 pokračovala mezičtvrtletní stagnace hrubého domácího produktu (HDP), když česká ekonomika vzrostla jen o 0,1 %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>. Mezičtvrtletní tempo se tak blízko nuly drží již pět kvartálů. Popsaný přírůstek je výsledkem působení</w:t>
            </w:r>
            <w:r w:rsidRPr="00D17F66">
              <w:rPr>
                <w:spacing w:val="-2"/>
              </w:rPr>
              <w:t xml:space="preserve"> protichůdných faktorů. </w:t>
            </w:r>
            <w:r>
              <w:rPr>
                <w:spacing w:val="-2"/>
              </w:rPr>
              <w:t xml:space="preserve">Na mezičtvrtletní dynamiku HDP působila silně negativně změna zásob. </w:t>
            </w:r>
            <w:r w:rsidRPr="00D17F66">
              <w:rPr>
                <w:spacing w:val="-2"/>
              </w:rPr>
              <w:t xml:space="preserve">Na </w:t>
            </w:r>
            <w:r>
              <w:rPr>
                <w:spacing w:val="-2"/>
              </w:rPr>
              <w:t>druhé straně trvalo pozitivní působení zahraniční poptávky, vládní spotřeby a došlo k oživení investiční aktivity, především té spojené s investicemi podniků. Po šesti poklesech mezičtvrtletně také vzrostla spotřeba domácností. Meziročně se ve 2. čtvrtletí HDP snížil o 0,4 % a klesl tak podruhé v řadě. Klesala spotřeba domácností a zásoby. Pozitivně naopak působila zahraniční poptávka, investiční aktivita a vládní spotřeba.</w:t>
            </w:r>
          </w:p>
        </w:tc>
      </w:tr>
      <w:tr w:rsidR="007E5149" w:rsidRPr="009110F7" w14:paraId="2B26841E" w14:textId="77777777" w:rsidTr="20D21749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D916A27" w14:textId="77777777" w:rsidR="007E5149" w:rsidRDefault="007E5149" w:rsidP="007E5149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1EA21357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ACCBAC9" w14:textId="77777777" w:rsidR="007E5149" w:rsidRPr="00D721B4" w:rsidRDefault="007E5149" w:rsidP="007E5149">
            <w:pPr>
              <w:spacing w:after="0"/>
              <w:rPr>
                <w:b/>
                <w:szCs w:val="20"/>
              </w:rPr>
            </w:pPr>
            <w:r w:rsidRPr="00D721B4">
              <w:rPr>
                <w:rFonts w:cs="Arial"/>
                <w:b/>
                <w:bCs/>
                <w:color w:val="000000"/>
                <w:szCs w:val="20"/>
              </w:rPr>
              <w:t>Graf č. 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HDP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očištěno o sezónní a kalendářní vlivy, v %)</w:t>
            </w:r>
          </w:p>
        </w:tc>
      </w:tr>
      <w:tr w:rsidR="007E5149" w:rsidRPr="009110F7" w14:paraId="71A158F7" w14:textId="77777777" w:rsidTr="20D21749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</w:tcPr>
          <w:p w14:paraId="7FA7373B" w14:textId="77777777" w:rsidR="007E5149" w:rsidRPr="009110F7" w:rsidRDefault="007E5149" w:rsidP="007E5149">
            <w:pPr>
              <w:pStyle w:val="Marginlie"/>
            </w:pPr>
          </w:p>
        </w:tc>
        <w:tc>
          <w:tcPr>
            <w:tcW w:w="223" w:type="dxa"/>
            <w:vMerge/>
          </w:tcPr>
          <w:p w14:paraId="4CFEC573" w14:textId="77777777" w:rsidR="007E5149" w:rsidRPr="009110F7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64E99FB9" w14:textId="77777777" w:rsidR="007E5149" w:rsidRPr="009110F7" w:rsidRDefault="007E5149" w:rsidP="007E514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96AAE8E" wp14:editId="6CB775FE">
                  <wp:extent cx="4737600" cy="3553200"/>
                  <wp:effectExtent l="0" t="0" r="6350" b="0"/>
                  <wp:docPr id="9" name="Graf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E5149" w:rsidRPr="009110F7" w14:paraId="26F19BC7" w14:textId="77777777" w:rsidTr="20D21749">
        <w:trPr>
          <w:trHeight w:val="170"/>
        </w:trPr>
        <w:tc>
          <w:tcPr>
            <w:tcW w:w="1806" w:type="dxa"/>
            <w:vMerge/>
            <w:tcMar>
              <w:left w:w="0" w:type="dxa"/>
            </w:tcMar>
          </w:tcPr>
          <w:p w14:paraId="55DEF6FD" w14:textId="77777777" w:rsidR="007E5149" w:rsidRPr="009110F7" w:rsidRDefault="007E5149" w:rsidP="007E5149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65B61A1B" w14:textId="77777777" w:rsidR="007E5149" w:rsidRPr="009110F7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614619E" w14:textId="77777777" w:rsidR="007E5149" w:rsidRPr="009110F7" w:rsidRDefault="007E5149" w:rsidP="007E5149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7E5149" w:rsidRPr="009110F7" w14:paraId="1483C43E" w14:textId="77777777" w:rsidTr="20D2174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DF1EFAC" w14:textId="77777777" w:rsidR="007E5149" w:rsidRDefault="007E5149" w:rsidP="007E5149">
            <w:pPr>
              <w:pStyle w:val="Marginlie"/>
            </w:pPr>
            <w:r>
              <w:t>Hrubý domácí produkt v EU mezičtvrtletně stagnoval.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5844CCF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F838B4D" w14:textId="14E81770" w:rsidR="007E5149" w:rsidRDefault="007E5149" w:rsidP="007E5149">
            <w:r w:rsidRPr="00A83392">
              <w:t>V celé Evropské unii HDP ve 2. čtvrtletí mezičtvrtletně stagnoval</w:t>
            </w:r>
            <w:r>
              <w:t xml:space="preserve"> a m</w:t>
            </w:r>
            <w:r w:rsidRPr="00A83392">
              <w:t>eziroční nárůst zpomalil na 0,</w:t>
            </w:r>
            <w:r w:rsidR="37D604A5" w:rsidRPr="00A83392">
              <w:t>4</w:t>
            </w:r>
            <w:r w:rsidRPr="00A83392">
              <w:t xml:space="preserve"> %</w:t>
            </w:r>
            <w:r>
              <w:rPr>
                <w:rStyle w:val="Znakapoznpodarou"/>
                <w:spacing w:val="-2"/>
              </w:rPr>
              <w:footnoteReference w:id="2"/>
            </w:r>
            <w:r w:rsidRPr="00A83392">
              <w:t>. Podle dostupných údajů většina ekonomik EU meziročně i</w:t>
            </w:r>
            <w:r>
              <w:t> </w:t>
            </w:r>
            <w:r w:rsidRPr="00A83392">
              <w:t>mezičtvrtletně rostla.</w:t>
            </w:r>
            <w:r>
              <w:t xml:space="preserve"> Nejvíce se meziročně zvyšoval HDP </w:t>
            </w:r>
            <w:r w:rsidR="08A648BF">
              <w:t>na Maltě</w:t>
            </w:r>
            <w:r w:rsidR="1B53A8C8">
              <w:t xml:space="preserve"> (3,9 %)</w:t>
            </w:r>
            <w:r w:rsidR="08A648BF">
              <w:t>, v Řecku</w:t>
            </w:r>
            <w:r w:rsidR="7C941E33">
              <w:t xml:space="preserve"> (2,7 %)</w:t>
            </w:r>
            <w:r w:rsidR="08A648BF">
              <w:t xml:space="preserve"> a </w:t>
            </w:r>
            <w:r>
              <w:t>v Rumunsku (2,7 %)</w:t>
            </w:r>
            <w:r w:rsidR="60B2C930">
              <w:t xml:space="preserve">. </w:t>
            </w:r>
            <w:r w:rsidRPr="00A83392">
              <w:t>Č</w:t>
            </w:r>
            <w:r>
              <w:t>esko</w:t>
            </w:r>
            <w:r w:rsidRPr="00A83392">
              <w:t xml:space="preserve"> patřil</w:t>
            </w:r>
            <w:r>
              <w:t>o</w:t>
            </w:r>
            <w:r w:rsidRPr="00A83392">
              <w:t xml:space="preserve"> k</w:t>
            </w:r>
            <w:r>
              <w:t> menšině zemí</w:t>
            </w:r>
            <w:r w:rsidRPr="00A83392">
              <w:t xml:space="preserve"> s</w:t>
            </w:r>
            <w:r>
              <w:t xml:space="preserve"> meziročním </w:t>
            </w:r>
            <w:r w:rsidRPr="00A83392">
              <w:t xml:space="preserve">poklesem HDP. </w:t>
            </w:r>
            <w:r>
              <w:t xml:space="preserve">Nejvíce HDP klesl v </w:t>
            </w:r>
            <w:r w:rsidRPr="00A83392">
              <w:t>Estonsk</w:t>
            </w:r>
            <w:r>
              <w:t>u</w:t>
            </w:r>
            <w:r w:rsidRPr="00A83392">
              <w:t xml:space="preserve"> (</w:t>
            </w:r>
            <w:r>
              <w:t>−</w:t>
            </w:r>
            <w:r w:rsidRPr="00A83392">
              <w:t>3,0 %),</w:t>
            </w:r>
            <w:r w:rsidR="67F8BB57" w:rsidRPr="00A83392">
              <w:t xml:space="preserve"> v Maďarsku (-2,3 %) a v</w:t>
            </w:r>
            <w:r w:rsidRPr="00A83392">
              <w:t xml:space="preserve"> Polsk</w:t>
            </w:r>
            <w:r>
              <w:t>u</w:t>
            </w:r>
            <w:r w:rsidRPr="00A83392">
              <w:t xml:space="preserve"> (</w:t>
            </w:r>
            <w:r>
              <w:t>−</w:t>
            </w:r>
            <w:r w:rsidRPr="00A83392">
              <w:t>1,</w:t>
            </w:r>
            <w:r>
              <w:t>4</w:t>
            </w:r>
            <w:r w:rsidRPr="00A83392">
              <w:t xml:space="preserve"> %)</w:t>
            </w:r>
            <w:r w:rsidR="5DD689BF" w:rsidRPr="00A83392">
              <w:t>.</w:t>
            </w:r>
            <w:r>
              <w:t xml:space="preserve"> Z</w:t>
            </w:r>
            <w:r w:rsidRPr="00A83392">
              <w:t xml:space="preserve"> pohledu mezičtvrtletního vývoje se Česko pohybovalo v rámci průměru EU.</w:t>
            </w:r>
            <w:r>
              <w:t xml:space="preserve"> Nejvíce mezičtvrtletně narostl HDP v Litvě (2,9 %), Slovinsku (1,4 %) a</w:t>
            </w:r>
            <w:r w:rsidR="53942896">
              <w:t xml:space="preserve"> Řecku (1,3 %).</w:t>
            </w:r>
            <w:r>
              <w:t xml:space="preserve"> Naopak HDP výrazně klesl v Polsku (−2,2 %), Švédsku (−0,8 %) nebo Rakousku (−0,7 %). </w:t>
            </w:r>
            <w:r w:rsidRPr="00812956">
              <w:t>Pohled na oblast střední Evropy ukazuje celkové zpomalení regionu. Kromě Polska</w:t>
            </w:r>
            <w:r>
              <w:t xml:space="preserve">, </w:t>
            </w:r>
            <w:r w:rsidRPr="00812956">
              <w:t xml:space="preserve">Česka </w:t>
            </w:r>
            <w:r>
              <w:t xml:space="preserve">a Rakouska </w:t>
            </w:r>
            <w:r w:rsidRPr="00812956">
              <w:t>meziročně mírně klesl HDP i v</w:t>
            </w:r>
            <w:r>
              <w:t> </w:t>
            </w:r>
            <w:r w:rsidRPr="00812956">
              <w:t>Německu</w:t>
            </w:r>
            <w:r>
              <w:t xml:space="preserve"> (−0,1 %, n</w:t>
            </w:r>
            <w:r w:rsidRPr="00812956">
              <w:t>ěmecká ekonomika mezičtvrtletně stagnovala</w:t>
            </w:r>
            <w:r>
              <w:t>)</w:t>
            </w:r>
            <w:r w:rsidRPr="00812956">
              <w:t>. Naproti tomu Slovensko dosáhlo meziročního přírůstku 1,3 % a mezičtvrtletního 0,4 %.</w:t>
            </w:r>
            <w:r>
              <w:t xml:space="preserve"> </w:t>
            </w:r>
            <w:r w:rsidRPr="00812956">
              <w:t xml:space="preserve">Co se týká velkých evropských ekonomik, vývoj ve 2. čtvrtletí byl různorodý. Mezičtvrtletně se zvyšoval HDP ve Francii (0,5 %) a </w:t>
            </w:r>
            <w:r w:rsidRPr="00812956">
              <w:lastRenderedPageBreak/>
              <w:t>Španělsku (0,4 %). Naproti tomu německá ekonomika stagnovala (a v předchozích dvou kvartálech mezičtvrtletně klesala) a Itálie klesla o</w:t>
            </w:r>
            <w:r>
              <w:t> </w:t>
            </w:r>
            <w:r w:rsidRPr="00812956">
              <w:t>0,</w:t>
            </w:r>
            <w:r>
              <w:t>4 </w:t>
            </w:r>
            <w:r w:rsidRPr="00812956">
              <w:t>%.</w:t>
            </w:r>
          </w:p>
        </w:tc>
      </w:tr>
      <w:tr w:rsidR="007E5149" w:rsidRPr="009110F7" w14:paraId="21EAEBF6" w14:textId="77777777" w:rsidTr="20D2174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1E0C4C00" w14:textId="77777777" w:rsidR="007E5149" w:rsidRDefault="007E5149" w:rsidP="007E5149">
            <w:pPr>
              <w:pStyle w:val="Marginlie"/>
            </w:pPr>
            <w:r>
              <w:lastRenderedPageBreak/>
              <w:t>Mzdy a platy meziročně reálně klesly.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8CC6ECB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5C356EF" w14:textId="77777777" w:rsidR="007E5149" w:rsidRPr="00014ED0" w:rsidRDefault="007E5149" w:rsidP="007E5149">
            <w:r>
              <w:t>Objem mezd a platů vyplacených zaměstnancům ve 2. čtvrtletí meziročně nominálně vzrostl o 8,0 % při celkovém růstu zaměstnanosti o 0,8 %</w:t>
            </w:r>
            <w:r w:rsidRPr="00014ED0">
              <w:rPr>
                <w:rStyle w:val="Znakapoznpodarou"/>
                <w:spacing w:val="-2"/>
              </w:rPr>
              <w:footnoteReference w:id="3"/>
            </w:r>
            <w:r>
              <w:t>. Dynamika tak mírně zpomalila ve srovnání s předchozím čtvrtletím. Vzhledem k pokračujícímu cenovému růstu ale mzdy a platy reálně klesly o 1,9 %</w:t>
            </w:r>
            <w:r>
              <w:rPr>
                <w:rStyle w:val="Znakapoznpodarou"/>
                <w:spacing w:val="-2"/>
              </w:rPr>
              <w:footnoteReference w:id="4"/>
            </w:r>
            <w:r>
              <w:t>. Nejvíce meziročně rostly mzdy a platy v činnostech v oblasti nemovitostí (18,2 % při růstu zaměstnanosti o 0,6 %), v peněžnictví a pojišťovnictví (10,1 %, zaměstnanost o 1,8 %), v profesních, vědeckých, technických a administrativních činnostech (9,6 %, zaměstnanost o 1,6 %), ve veřejné správě a obraně, vzdělávání, zdravotní a sociální péči (8,3 %, zaměstnanost byla vyšší o 2,2 %), v informačních a komunikačních činnostech (8,1 %, zaměstnanost o 2,6 %) a ve stavebnictví (8,1 %, zaměstnanost o 2,7 %). Podprůměrný byl meziroční růst objemu mezd a platů v průmyslu (7,8 %, zaměstnanost jako v jediném odvětví meziročně klesla o 0,6 %), v uskupení obchod, doprava, ubytování a pohostinství (6,7 %, zaměstnanost o 0,2 %), v ostatních činnostech</w:t>
            </w:r>
            <w:r>
              <w:rPr>
                <w:rStyle w:val="Znakapoznpodarou"/>
                <w:spacing w:val="-2"/>
              </w:rPr>
              <w:footnoteReference w:id="5"/>
            </w:r>
            <w:r>
              <w:t xml:space="preserve"> (6,4 %, zaměstnanost rostla o 1,0 %) a v zemědělství, lesnictví a rybářství (5,9 %, zaměstnanost o 0,7 %). </w:t>
            </w:r>
          </w:p>
        </w:tc>
      </w:tr>
      <w:tr w:rsidR="007E5149" w:rsidRPr="009110F7" w14:paraId="529DABB9" w14:textId="77777777" w:rsidTr="20D2174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C6B0DBD" w14:textId="77777777" w:rsidR="007E5149" w:rsidRDefault="007E5149" w:rsidP="007E5149">
            <w:pPr>
              <w:pStyle w:val="Marginlie"/>
            </w:pPr>
            <w:r>
              <w:t xml:space="preserve">Nominální mzdy a platy mezičtvrtletně klesly v zemědělství, lesnictví </w:t>
            </w:r>
            <w:r>
              <w:br/>
              <w:t>a rybářství a v ostatních činnostech.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1FAEF8A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2C45FD7" w14:textId="77777777" w:rsidR="007E5149" w:rsidRDefault="007E5149" w:rsidP="007E5149">
            <w:r>
              <w:t>Mezičtvrtletně se mzdy a platy zvýšily o 1,0 % při stejném navýšení zaměstnanosti. Reálně se mzdy a platy zvýšily mezičtvrtletně o 1,2 %. Ve 2. čtvrtletí došlo k nejvýraznějšímu oživení objemu mezd a platů v peněžnictví a pojišťovnictví (5,4 % při stagnaci zaměstnanosti), ve veřejné správě a obraně, vzdělávání, zdravotní a sociální péči (1,6 % při poklesu zaměstnanosti o 0,1 %), a v informačních a komunikačních činnostech (1,4 % při poklesu zaměstnanosti o 1,9 %). Nad celkovým průměrem byl také přírůstek objemu mezd a platů v profesních, vědeckých, technických a administrativních činnostech (1,1 % při růstu zaměstnanosti o 0,5 %). Mírněji rostly mzdy a platy v průmyslu (0,9 % při růstu zaměstnanosti o 1,2 %), ve stavebnictví (0,3 %, zaměstnanost o 0,1 %) a v uskupení obchod, doprava, ubytování a pohostinství (0,1 % při výrazném růstu zaměstnanosti o 2,7 %). Mzdy a platy stagnovaly v činnostech v oblasti nemovitostí, kde zaměstnanost rostla o 1,0 % a klesaly v zemědělství, lesnictví a rybářství (−0,3 % při růstu zaměstnanosti o 0,8 %) a v ostatních činnostech (−1,8 % při růstu zaměstnanosti o 2,5 %).</w:t>
            </w:r>
          </w:p>
        </w:tc>
      </w:tr>
      <w:tr w:rsidR="007E5149" w:rsidRPr="009110F7" w14:paraId="20280672" w14:textId="77777777" w:rsidTr="20D2174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5D1B246" w14:textId="77777777" w:rsidR="007E5149" w:rsidRDefault="007E5149" w:rsidP="007E5149">
            <w:pPr>
              <w:pStyle w:val="Marginlie"/>
            </w:pPr>
            <w:r>
              <w:t>Domácí spotřeba poprvé po šesti čtvrtletích poklesů mezičtvrtletně rostla.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8B0E7A4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5B371F8" w14:textId="77777777" w:rsidR="007E5149" w:rsidRDefault="007E5149" w:rsidP="007E5149">
            <w:pPr>
              <w:rPr>
                <w:spacing w:val="-2"/>
              </w:rPr>
            </w:pPr>
            <w:r>
              <w:rPr>
                <w:spacing w:val="-2"/>
              </w:rPr>
              <w:t>Spotřeba meziročně klesla o 2,0 % a propad se tak zmírnil. Ve směru meziročního poklesu HDP spotřeba celkem přispívala −1,2 p. b.</w:t>
            </w:r>
            <w:r w:rsidRPr="00014ED0">
              <w:rPr>
                <w:rStyle w:val="Znakapoznpodarou"/>
                <w:spacing w:val="-2"/>
              </w:rPr>
              <w:footnoteReference w:id="6"/>
            </w:r>
            <w:r>
              <w:rPr>
                <w:spacing w:val="-2"/>
              </w:rPr>
              <w:t xml:space="preserve">.Snížení jde výhradně na vrub spotřebě domácností, která byla nižší o 4,5 %. Naopak vládní spotřeba meziročně vzrostla o 3,3 %. Po šesti čtvrtletích nepřetržitých poklesů došlo k mezičtvrtletnímu nárůstu spotřeby o 0,3 %. Zvýšila se spotřeba domácností (0,2 %) i vlády (0,3 %). </w:t>
            </w:r>
            <w:r w:rsidRPr="00B34F8E">
              <w:rPr>
                <w:spacing w:val="-2"/>
              </w:rPr>
              <w:t>Ve směru mezičtvrtletního růstu spotřeby domácností nejvíce působily výdaje na krátkodobou spotřebu</w:t>
            </w:r>
            <w:r>
              <w:rPr>
                <w:rStyle w:val="Znakapoznpodarou"/>
              </w:rPr>
              <w:footnoteReference w:id="7"/>
            </w:r>
            <w:r w:rsidRPr="00B34F8E">
              <w:rPr>
                <w:spacing w:val="-2"/>
              </w:rPr>
              <w:t>, které byly mezičtvrtletně vyšší o 1,0 %. Meziroční propad se zmírnil, ale krátkodobá spotřeba stále hluboce zaostávala (</w:t>
            </w:r>
            <w:r>
              <w:rPr>
                <w:spacing w:val="-2"/>
              </w:rPr>
              <w:t>−</w:t>
            </w:r>
            <w:r w:rsidRPr="00B34F8E">
              <w:rPr>
                <w:spacing w:val="-2"/>
              </w:rPr>
              <w:t>6,1 %).</w:t>
            </w:r>
            <w:r>
              <w:rPr>
                <w:spacing w:val="-2"/>
              </w:rPr>
              <w:t xml:space="preserve"> </w:t>
            </w:r>
            <w:r w:rsidRPr="00B34F8E">
              <w:rPr>
                <w:spacing w:val="-2"/>
              </w:rPr>
              <w:t xml:space="preserve">Spotřeba služeb ve 2. čtvrtletí prakticky stagnovala (+0,2 % mezičtvrtletně) a meziročně byla nižší o 1,6 %. Šlo o první meziroční pokles od začátku roku 2021. </w:t>
            </w:r>
            <w:r>
              <w:rPr>
                <w:spacing w:val="-2"/>
              </w:rPr>
              <w:t>S</w:t>
            </w:r>
            <w:r w:rsidRPr="00B34F8E">
              <w:rPr>
                <w:spacing w:val="-2"/>
              </w:rPr>
              <w:t xml:space="preserve">potřeba trvanlivého zboží (střednědobé i dlouhodobé spotřeby) ve 2. čtvrtletí 2023 mezičtvrtletně klesala (o 3,6 % u dlouhodobé spotřeby a o 2,0 % u střednědobé). Meziročně </w:t>
            </w:r>
            <w:r>
              <w:rPr>
                <w:spacing w:val="-2"/>
              </w:rPr>
              <w:t xml:space="preserve">klesly </w:t>
            </w:r>
            <w:r w:rsidRPr="00B34F8E">
              <w:rPr>
                <w:spacing w:val="-2"/>
              </w:rPr>
              <w:t>výdaje na statky dlouhodobé spotřeby o 3,6 %, zatímco u střednědobé spotřeby pokles dosáhl 7,3</w:t>
            </w:r>
            <w:r>
              <w:rPr>
                <w:spacing w:val="-2"/>
              </w:rPr>
              <w:t> </w:t>
            </w:r>
            <w:r w:rsidRPr="00B34F8E">
              <w:rPr>
                <w:spacing w:val="-2"/>
              </w:rPr>
              <w:t>%.</w:t>
            </w:r>
          </w:p>
        </w:tc>
      </w:tr>
      <w:tr w:rsidR="007E5149" w:rsidRPr="009110F7" w14:paraId="5D448328" w14:textId="77777777" w:rsidTr="20D2174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A8C049A" w14:textId="77777777" w:rsidR="007E5149" w:rsidRDefault="007E5149" w:rsidP="007E5149">
            <w:pPr>
              <w:pStyle w:val="Marginlie"/>
            </w:pPr>
            <w:r>
              <w:lastRenderedPageBreak/>
              <w:t>Vývoj investic nepřímo ukazuje na zvýšenou investiční aktivitu podniků.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89962D6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F716BE2" w14:textId="77777777" w:rsidR="007E5149" w:rsidRDefault="007E5149" w:rsidP="007E5149">
            <w:pPr>
              <w:rPr>
                <w:spacing w:val="-2"/>
              </w:rPr>
            </w:pPr>
            <w:r>
              <w:t>Výdaje na tvorbu hrubého kapitálu byly ve 2. kvartálu meziročně nižší o 5,8 %, což představuje prohloubení poklesu oproti předchozímu čtvrtletí. Tvorba hrubého kapitálu celkem k poklesu HDP přispěla −1,7 p. b. Mezičtvrtletně se výdaje na tvorbu hrubého kapitálu snížily o 1,9 %. Samotné výdaje na tvorbu hrubého fixního kapitálu (investiční aktivita) ale vzrostly meziročně o 2,5 % a mezičtvrtletní oživení dosáhlo 3,4 %. Celkový pokles tvorby hrubého kapitálu byl tedy způsoben změnou zásob. Pokračovalo totiž postupné rozpouštění zásob patrné již na konci loňského roku</w:t>
            </w:r>
            <w:r>
              <w:rPr>
                <w:rStyle w:val="Znakapoznpodarou"/>
              </w:rPr>
              <w:footnoteReference w:id="8"/>
            </w:r>
            <w:r>
              <w:t>. Mezičtvrtletní oživení investiční aktivity ve 2. čtvrtletí z největší části podpořily výdaje na ICT a ostatní stroje a zařízení (růst o 8,8 %) a dále zvýšení investic do dopravních prostředků a zařízení (14,5 %). Nepřímo tak lze usuzovat na oživení investiční aktivity nefinančních podniků, které těmto položkám dominují. Tyto dvě kategorie velmi silně rostly také meziročně (ICT a stroje o 13,5 % a dopravní prostředky o 16,2 %). Mezičtvrtletně vyšší byly také výdaje na produkty duševního vlastnictví (2,8 %). Ty ale v meziročním pohledu zaostávaly o 1,5 %, na čemž má podíl mezičtvrtletní propad v minulém čtvrtletí i vysoká srovnávací základna loňského roku. Ve 2. čtvrtletí trvala nepříznivá situace v oblasti investic do staveb. Investice do obydlí byly mezičtvrtletně nižší o 3,0 %. Po dvou oživeních tedy opět došlo k poklesu. Reálná úroveň investic do obydlí se tak vlivem opatrnosti, slábnoucí kupní síly domácností a úrokového prostředí dostala na úroveň roku 2016. Meziročně byly investice do obydlí nižší o 9,1 %. Ve 2. čtvrtletí byly potřetí v řadě nižší také investice do ostatních budov a staveb (−1,9 %), kam spadají vládní investice do infrastruktury i podnikové investice do výrobních budov apod. Meziročně zde investice klesly o 3,0 %.</w:t>
            </w:r>
          </w:p>
        </w:tc>
      </w:tr>
      <w:tr w:rsidR="007E5149" w:rsidRPr="009110F7" w14:paraId="76D06709" w14:textId="77777777" w:rsidTr="20D21749">
        <w:trPr>
          <w:trHeight w:val="154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28688F5E" w14:textId="77777777" w:rsidR="007E5149" w:rsidRDefault="007E5149" w:rsidP="007E5149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4E50C9F6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C60C0C8" w14:textId="77777777" w:rsidR="007E5149" w:rsidRDefault="007E5149" w:rsidP="007E5149">
            <w:pPr>
              <w:spacing w:after="0"/>
            </w:pPr>
            <w:r w:rsidRPr="00D721B4">
              <w:rPr>
                <w:b/>
                <w:szCs w:val="20"/>
              </w:rPr>
              <w:t>Graf č. 2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výdajových složek k reálné změně HDP*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růst, příspěvky v p. b., HDP v %)</w:t>
            </w:r>
          </w:p>
        </w:tc>
      </w:tr>
      <w:tr w:rsidR="007E5149" w:rsidRPr="009110F7" w14:paraId="5B11E325" w14:textId="77777777" w:rsidTr="20D21749">
        <w:tblPrEx>
          <w:tblCellMar>
            <w:left w:w="70" w:type="dxa"/>
            <w:right w:w="70" w:type="dxa"/>
          </w:tblCellMar>
        </w:tblPrEx>
        <w:trPr>
          <w:trHeight w:val="154"/>
        </w:trPr>
        <w:tc>
          <w:tcPr>
            <w:tcW w:w="1806" w:type="dxa"/>
            <w:vMerge/>
          </w:tcPr>
          <w:p w14:paraId="340DAED2" w14:textId="77777777" w:rsidR="007E5149" w:rsidRDefault="007E5149" w:rsidP="007E5149">
            <w:pPr>
              <w:pStyle w:val="Marginlie"/>
            </w:pPr>
          </w:p>
        </w:tc>
        <w:tc>
          <w:tcPr>
            <w:tcW w:w="223" w:type="dxa"/>
            <w:vMerge/>
          </w:tcPr>
          <w:p w14:paraId="0BF86D28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54805A37" w14:textId="77777777" w:rsidR="007E5149" w:rsidRDefault="007E5149" w:rsidP="007E514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5368D81" wp14:editId="28DF6DFF">
                  <wp:extent cx="4737600" cy="3553200"/>
                  <wp:effectExtent l="0" t="0" r="6350" b="0"/>
                  <wp:docPr id="15" name="Graf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E5149" w:rsidRPr="009110F7" w14:paraId="52CA5ACB" w14:textId="77777777" w:rsidTr="20D21749">
        <w:trPr>
          <w:trHeight w:val="154"/>
        </w:trPr>
        <w:tc>
          <w:tcPr>
            <w:tcW w:w="1806" w:type="dxa"/>
            <w:vMerge/>
            <w:tcMar>
              <w:left w:w="0" w:type="dxa"/>
            </w:tcMar>
          </w:tcPr>
          <w:p w14:paraId="5843E33F" w14:textId="77777777" w:rsidR="007E5149" w:rsidRDefault="007E5149" w:rsidP="007E5149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3F71DBCD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E0A213D" w14:textId="77777777" w:rsidR="007E5149" w:rsidRDefault="007E5149" w:rsidP="007E5149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35A9EBDD" w14:textId="77777777" w:rsidR="007E5149" w:rsidRDefault="007E5149" w:rsidP="007E5149">
            <w:r>
              <w:rPr>
                <w:sz w:val="14"/>
                <w:szCs w:val="14"/>
              </w:rPr>
              <w:t>* po vyloučení dovozu pro konečné užití</w:t>
            </w:r>
          </w:p>
        </w:tc>
      </w:tr>
      <w:tr w:rsidR="007E5149" w:rsidRPr="009110F7" w14:paraId="595C88FA" w14:textId="77777777" w:rsidTr="20D2174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80A11F6" w14:textId="77777777" w:rsidR="007E5149" w:rsidRDefault="007E5149" w:rsidP="007E5149">
            <w:pPr>
              <w:pStyle w:val="Marginlie"/>
            </w:pPr>
            <w:r>
              <w:lastRenderedPageBreak/>
              <w:t>Bilance zahraničního obchodu se výrazně meziročně zlepšila.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55FD9A3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92D4928" w14:textId="77777777" w:rsidR="007E5149" w:rsidRDefault="007E5149" w:rsidP="007E5149">
            <w:r>
              <w:t>Vývoz zboží a služeb</w:t>
            </w:r>
            <w:r w:rsidRPr="009110F7">
              <w:rPr>
                <w:rStyle w:val="Znakapoznpodarou"/>
              </w:rPr>
              <w:footnoteReference w:id="9"/>
            </w:r>
            <w:r>
              <w:t xml:space="preserve"> se 2. čtvrtletí poprvé od 3. čtvrtletí 2021 mezičtvrtletně snížil (−0,5 %). Zatímco export zboží vykazoval stagnaci potřetí v řadě, u vývozu služeb došlo k propadu o 2,9 %. Dynamika dovozu již více než rok zaostává za exportem </w:t>
            </w:r>
            <w:r>
              <w:br/>
              <w:t>a podobně se ve 2. čtvrtletí týkal importu výraznější propad (−1,2 %), a to v případě zboží i služeb. Klesající import zčásti souvisí s nižší domácí spotřebitelskou poptávkou. Zároveň ale nelze nevnímat ochlazení v části domácího průmyslu. Meziroční růst exportu zboží a služeb ale pokračoval (4,5 %) a mírně vyšší byl i jejich dovoz (0,8 %). Bilance zahraničního obchodu se zbožím a službami (sezónně očištěná) ve 2. čtvrtletí 2023 dosáhla přebytku 100,9 mld. korun. Kladné saldo se meziročně výrazně zlepšilo o 101,0 mld., prakticky zcela vlivem rostoucího přebytku obchodu se zbožím. Celkem meziroční zlepšení bilance přispělo k růstu HDP 2,5 p. b. Bilance zahraničního obchodu se zbožím a službami se podruhé v řadě zlepšila i mezičtvrtletně.</w:t>
            </w:r>
          </w:p>
        </w:tc>
      </w:tr>
      <w:tr w:rsidR="007E5149" w:rsidRPr="009110F7" w14:paraId="16A3B338" w14:textId="77777777" w:rsidTr="20D21749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4DFFCBFE" w14:textId="77777777" w:rsidR="007E5149" w:rsidRDefault="007E5149" w:rsidP="007E5149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69419BB3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4FF065C" w14:textId="77777777" w:rsidR="007E5149" w:rsidRDefault="007E5149" w:rsidP="007E5149">
            <w:pPr>
              <w:spacing w:after="0"/>
            </w:pPr>
            <w:r w:rsidRPr="00D721B4">
              <w:rPr>
                <w:b/>
                <w:szCs w:val="20"/>
              </w:rPr>
              <w:t>Graf č. 3</w:t>
            </w:r>
            <w:r>
              <w:rPr>
                <w:b/>
                <w:szCs w:val="20"/>
              </w:rPr>
              <w:t xml:space="preserve"> </w:t>
            </w:r>
            <w:r w:rsidRPr="00D721B4">
              <w:rPr>
                <w:rFonts w:cs="Arial"/>
                <w:b/>
                <w:szCs w:val="20"/>
                <w:lang w:eastAsia="en-US"/>
              </w:rPr>
              <w:t xml:space="preserve">Příspěvky odvětví k reálné změně HPH </w:t>
            </w:r>
            <w:r w:rsidRPr="00D721B4">
              <w:rPr>
                <w:rFonts w:cs="Arial"/>
                <w:bCs/>
                <w:szCs w:val="20"/>
                <w:lang w:eastAsia="en-US"/>
              </w:rPr>
              <w:t>(objemové indexy, meziroční příspěvky v p. b., HPH v %)</w:t>
            </w:r>
          </w:p>
        </w:tc>
      </w:tr>
      <w:tr w:rsidR="007E5149" w:rsidRPr="009110F7" w14:paraId="3532C06E" w14:textId="77777777" w:rsidTr="20D21749">
        <w:trPr>
          <w:trHeight w:val="170"/>
        </w:trPr>
        <w:tc>
          <w:tcPr>
            <w:tcW w:w="1806" w:type="dxa"/>
            <w:vMerge/>
            <w:tcMar>
              <w:left w:w="0" w:type="dxa"/>
            </w:tcMar>
          </w:tcPr>
          <w:p w14:paraId="211F1CE0" w14:textId="77777777" w:rsidR="007E5149" w:rsidRDefault="007E5149" w:rsidP="007E5149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41A37353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68C089A" w14:textId="77777777" w:rsidR="007E5149" w:rsidRDefault="007E5149" w:rsidP="007E5149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E8BAB34" wp14:editId="6F339C04">
                  <wp:extent cx="4737600" cy="3486525"/>
                  <wp:effectExtent l="0" t="0" r="6350" b="0"/>
                  <wp:docPr id="16" name="Graf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7E5149" w:rsidRPr="009110F7" w14:paraId="1768F2A2" w14:textId="77777777" w:rsidTr="20D21749">
        <w:trPr>
          <w:trHeight w:val="170"/>
        </w:trPr>
        <w:tc>
          <w:tcPr>
            <w:tcW w:w="1806" w:type="dxa"/>
            <w:vMerge/>
            <w:tcMar>
              <w:left w:w="0" w:type="dxa"/>
            </w:tcMar>
          </w:tcPr>
          <w:p w14:paraId="770D168C" w14:textId="77777777" w:rsidR="007E5149" w:rsidRDefault="007E5149" w:rsidP="007E5149">
            <w:pPr>
              <w:pStyle w:val="Marginlie"/>
            </w:pPr>
          </w:p>
        </w:tc>
        <w:tc>
          <w:tcPr>
            <w:tcW w:w="223" w:type="dxa"/>
            <w:vMerge/>
            <w:tcMar>
              <w:left w:w="0" w:type="dxa"/>
            </w:tcMar>
          </w:tcPr>
          <w:p w14:paraId="4C26E9DA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BE626BE" w14:textId="77777777" w:rsidR="007E5149" w:rsidRDefault="007E5149" w:rsidP="007E5149">
            <w:r w:rsidRPr="00A85DE1">
              <w:rPr>
                <w:sz w:val="14"/>
                <w:szCs w:val="14"/>
              </w:rPr>
              <w:t>Zdroj: ČSÚ</w:t>
            </w:r>
          </w:p>
        </w:tc>
      </w:tr>
      <w:tr w:rsidR="007E5149" w:rsidRPr="009110F7" w14:paraId="51D9FB74" w14:textId="77777777" w:rsidTr="20D21749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3030FFC1" w14:textId="77777777" w:rsidR="007E5149" w:rsidRDefault="007E5149" w:rsidP="007E5149">
            <w:pPr>
              <w:pStyle w:val="Marginlie"/>
            </w:pPr>
            <w:r>
              <w:t xml:space="preserve">Hrubá přidaná hodnota mezičtvrtletně klesla </w:t>
            </w:r>
            <w:r>
              <w:br/>
              <w:t>a meziročně rostla.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2D04CDA" w14:textId="77777777" w:rsidR="007E5149" w:rsidRDefault="007E5149" w:rsidP="007E514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C213ACF" w14:textId="77777777" w:rsidR="007E5149" w:rsidRPr="00F93F2C" w:rsidRDefault="007E5149" w:rsidP="007E5149">
            <w:r>
              <w:t xml:space="preserve">Hrubá přidaná hodnota (HPH) ve 2. čtvrtletí 2023 mezičtvrtletně klesla </w:t>
            </w:r>
            <w:r>
              <w:br/>
              <w:t>o 0,2 % a meziročně byla vyšší o 0,6 %</w:t>
            </w:r>
            <w:r>
              <w:rPr>
                <w:rStyle w:val="Znakapoznpodarou"/>
              </w:rPr>
              <w:footnoteReference w:id="10"/>
            </w:r>
            <w:r>
              <w:t xml:space="preserve">. Meziročně k růstu HPH výrazně přispíval průmysl jako celek (růst HPH o 1,5 %), ale z bližšího pohledu je opět patrné, že za tím výhradně stojí dobré výkony ve zpracovatelském průmyslu (3,8 %). Ten je silně propojen se zahraniční poptávkou a především výroba motorových vozidel a navazující obory přispívají k jeho příznivému vývoji. Různorodý byl také vývoj ve službách. V uskupení obchod, doprava, ubytování a pohostinství, které je silně propojeno s domácí spotřebou, HPH meziročně klesla o 1,3 %. Pokles se týkal i peněžnictví a pojišťovnictví (−1,1 %), činností v oblasti nemovitostí (−0,2 %) a ostatních činností (−0,4 %). Naopak výrazně rostla HPH v informačních a komunikačních činnostech </w:t>
            </w:r>
            <w:r>
              <w:lastRenderedPageBreak/>
              <w:t xml:space="preserve">(5,6 %) a vyšší byla i v profesních, vědeckých, technických a administrativních činnostech (1,6 %) navázaných na podnikovou sféru. Posedmé v řadě meziročně klesla HPH ve stavebnictví (−2,7 %). Také ve směru celkového mezičtvrtletního růstu HPH výrazně působil zpracovatelský průmysl (navýšení o 1,0 %). V celém průmyslu se ale HPH zvyšovala mezičtvrtletně jen o 0,2 %. Ve stavebnictví došlo k drobnému mezičtvrtletnímu nárůstu HPH o 0,2 %. Ze služeb HPH mezičtvrtletně rostla jen v peněžnictví a pojišťovnictví (2,5 %) a mírně také v profesních, vědeckých, technických a administrativních činnostech (0,3 %) a ostatních činnostech (0,4 %). Mezičtvrtletně klesla HPH v uskupení obchod, doprava, ubytování a pohostinství (−1,0 %) a činnostech v oblasti nemovitostí (−1,0 %). V případě informačních a komunikačních činností HPH v zásadě stagnovala (−0,1 %). </w:t>
            </w:r>
          </w:p>
        </w:tc>
      </w:tr>
    </w:tbl>
    <w:p w14:paraId="32906C7B" w14:textId="77777777" w:rsidR="007E5149" w:rsidRDefault="007E5149" w:rsidP="007E5149">
      <w:pPr>
        <w:pStyle w:val="Nadpis11"/>
        <w:rPr>
          <w:szCs w:val="32"/>
        </w:rPr>
      </w:pPr>
    </w:p>
    <w:p w14:paraId="699E6E44" w14:textId="77777777" w:rsidR="007E5149" w:rsidRPr="001C3855" w:rsidRDefault="007E5149" w:rsidP="007E5149">
      <w:pPr>
        <w:pStyle w:val="Nadpis11"/>
        <w:rPr>
          <w:sz w:val="2"/>
          <w:szCs w:val="2"/>
        </w:rPr>
      </w:pPr>
      <w:bookmarkStart w:id="7" w:name="_GoBack"/>
      <w:bookmarkEnd w:id="0"/>
      <w:bookmarkEnd w:id="1"/>
      <w:bookmarkEnd w:id="2"/>
      <w:bookmarkEnd w:id="3"/>
      <w:bookmarkEnd w:id="4"/>
      <w:bookmarkEnd w:id="5"/>
      <w:bookmarkEnd w:id="7"/>
    </w:p>
    <w:sectPr w:rsidR="007E5149" w:rsidRPr="001C3855" w:rsidSect="00C83496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BCEDC" w14:textId="77777777" w:rsidR="00165A99" w:rsidRDefault="00165A99" w:rsidP="00E71A58">
      <w:r>
        <w:separator/>
      </w:r>
    </w:p>
  </w:endnote>
  <w:endnote w:type="continuationSeparator" w:id="0">
    <w:p w14:paraId="58C22DCF" w14:textId="77777777" w:rsidR="00165A99" w:rsidRDefault="00165A9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11CEEDB0" w:rsidR="000E225F" w:rsidRPr="00932443" w:rsidRDefault="000E225F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83496">
      <w:rPr>
        <w:szCs w:val="16"/>
      </w:rPr>
      <w:t>10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79E30B35" w:rsidR="000E225F" w:rsidRPr="00932443" w:rsidRDefault="000E225F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83496">
      <w:rPr>
        <w:rStyle w:val="ZpatChar"/>
        <w:szCs w:val="16"/>
      </w:rPr>
      <w:t>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B0DD" w14:textId="77777777" w:rsidR="00165A99" w:rsidRDefault="00165A99" w:rsidP="00A21B4D">
      <w:pPr>
        <w:spacing w:after="0"/>
      </w:pPr>
      <w:r>
        <w:separator/>
      </w:r>
    </w:p>
  </w:footnote>
  <w:footnote w:type="continuationSeparator" w:id="0">
    <w:p w14:paraId="5153CB7D" w14:textId="77777777" w:rsidR="00165A99" w:rsidRDefault="00165A99" w:rsidP="00E71A58">
      <w:r>
        <w:continuationSeparator/>
      </w:r>
    </w:p>
  </w:footnote>
  <w:footnote w:id="1">
    <w:p w14:paraId="29F53326" w14:textId="77777777" w:rsidR="000E225F" w:rsidRPr="000348AF" w:rsidRDefault="000E225F" w:rsidP="007E5149">
      <w:pPr>
        <w:pStyle w:val="Textpoznpodarou"/>
        <w:rPr>
          <w:sz w:val="16"/>
          <w:szCs w:val="16"/>
        </w:rPr>
      </w:pPr>
      <w:r w:rsidRPr="000348AF">
        <w:rPr>
          <w:rStyle w:val="Znakapoznpodarou"/>
          <w:sz w:val="16"/>
          <w:szCs w:val="16"/>
        </w:rPr>
        <w:footnoteRef/>
      </w:r>
      <w:r w:rsidRPr="000348AF">
        <w:rPr>
          <w:sz w:val="16"/>
          <w:szCs w:val="16"/>
        </w:rPr>
        <w:t xml:space="preserve"> Vývoj HDP, hrubé přidané hodnoty a jejich složek je vyjádřen prostřednictvím objemových indexů (tj. očištěn o vliv cen) a po očištění o sezónní a kalendářní vlivy. Údaje jsou platné k</w:t>
      </w:r>
      <w:r>
        <w:rPr>
          <w:sz w:val="16"/>
          <w:szCs w:val="16"/>
        </w:rPr>
        <w:t xml:space="preserve"> 29. 8. </w:t>
      </w:r>
      <w:r w:rsidRPr="000348AF">
        <w:rPr>
          <w:sz w:val="16"/>
          <w:szCs w:val="16"/>
        </w:rPr>
        <w:t>202</w:t>
      </w:r>
      <w:r>
        <w:rPr>
          <w:sz w:val="16"/>
          <w:szCs w:val="16"/>
        </w:rPr>
        <w:t>3</w:t>
      </w:r>
      <w:r w:rsidRPr="000348AF">
        <w:rPr>
          <w:sz w:val="16"/>
          <w:szCs w:val="16"/>
        </w:rPr>
        <w:t>.</w:t>
      </w:r>
    </w:p>
  </w:footnote>
  <w:footnote w:id="2">
    <w:p w14:paraId="3EB80FA6" w14:textId="14E9BA11" w:rsidR="000E225F" w:rsidRPr="00F51B00" w:rsidRDefault="000E225F" w:rsidP="007E5149">
      <w:pPr>
        <w:pStyle w:val="Textpoznpodarou"/>
        <w:rPr>
          <w:sz w:val="16"/>
          <w:szCs w:val="16"/>
        </w:rPr>
      </w:pPr>
      <w:r w:rsidRPr="00F51B00">
        <w:rPr>
          <w:rStyle w:val="Znakapoznpodarou"/>
          <w:sz w:val="16"/>
          <w:szCs w:val="16"/>
        </w:rPr>
        <w:footnoteRef/>
      </w:r>
      <w:r w:rsidRPr="00F51B00">
        <w:rPr>
          <w:sz w:val="16"/>
          <w:szCs w:val="16"/>
        </w:rPr>
        <w:t xml:space="preserve"> Data za Lucembursko nebyla dostupná.</w:t>
      </w:r>
    </w:p>
  </w:footnote>
  <w:footnote w:id="3">
    <w:p w14:paraId="363D1ACA" w14:textId="77777777" w:rsidR="000E225F" w:rsidRDefault="000E225F" w:rsidP="007E5149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4">
    <w:p w14:paraId="613975CC" w14:textId="77777777" w:rsidR="000E225F" w:rsidRPr="005F75B1" w:rsidRDefault="000E225F" w:rsidP="007E5149">
      <w:pPr>
        <w:pStyle w:val="Textpoznpodarou"/>
        <w:rPr>
          <w:sz w:val="16"/>
          <w:szCs w:val="16"/>
        </w:rPr>
      </w:pPr>
      <w:r w:rsidRPr="005F75B1">
        <w:rPr>
          <w:rStyle w:val="Znakapoznpodarou"/>
          <w:sz w:val="16"/>
          <w:szCs w:val="16"/>
        </w:rPr>
        <w:footnoteRef/>
      </w:r>
      <w:r w:rsidRPr="005F75B1">
        <w:rPr>
          <w:sz w:val="16"/>
          <w:szCs w:val="16"/>
        </w:rPr>
        <w:t xml:space="preserve"> Do reálného vyjádření převedeno s pomocí deflátoru spotřeby domácností.</w:t>
      </w:r>
    </w:p>
  </w:footnote>
  <w:footnote w:id="5">
    <w:p w14:paraId="7468F8B6" w14:textId="77777777" w:rsidR="000E225F" w:rsidRPr="0053191D" w:rsidRDefault="000E225F" w:rsidP="007E5149">
      <w:pPr>
        <w:pStyle w:val="Textpoznpodarou"/>
        <w:rPr>
          <w:sz w:val="16"/>
          <w:szCs w:val="16"/>
        </w:rPr>
      </w:pPr>
      <w:r w:rsidRPr="0053191D">
        <w:rPr>
          <w:rStyle w:val="Znakapoznpodarou"/>
          <w:sz w:val="16"/>
          <w:szCs w:val="16"/>
        </w:rPr>
        <w:footnoteRef/>
      </w:r>
      <w:r w:rsidRPr="0053191D">
        <w:rPr>
          <w:sz w:val="16"/>
          <w:szCs w:val="16"/>
        </w:rPr>
        <w:t xml:space="preserve"> Tato sekce zahrnuje činnosti organizací sdružujících osoby za účelem prosazování společných zájmů, opravy počítačů a výrobků pro osobní potřebu a převážně pro domácnost a řadu jiných osobních služeb</w:t>
      </w:r>
      <w:r>
        <w:rPr>
          <w:sz w:val="16"/>
          <w:szCs w:val="16"/>
        </w:rPr>
        <w:t xml:space="preserve"> (kosmetické, kadeřnické apod.).</w:t>
      </w:r>
    </w:p>
  </w:footnote>
  <w:footnote w:id="6">
    <w:p w14:paraId="7A1A43A4" w14:textId="77777777" w:rsidR="000E225F" w:rsidRPr="009C6EA8" w:rsidRDefault="000E225F" w:rsidP="007E5149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7">
    <w:p w14:paraId="5CA1EF93" w14:textId="77777777" w:rsidR="000E225F" w:rsidRPr="00954992" w:rsidRDefault="000E225F" w:rsidP="007E5149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</w:t>
      </w:r>
      <w:r>
        <w:rPr>
          <w:sz w:val="16"/>
          <w:szCs w:val="16"/>
        </w:rPr>
        <w:t>.</w:t>
      </w:r>
    </w:p>
  </w:footnote>
  <w:footnote w:id="8">
    <w:p w14:paraId="4B70C420" w14:textId="77777777" w:rsidR="000E225F" w:rsidRPr="004831F6" w:rsidRDefault="000E225F" w:rsidP="007E5149">
      <w:pPr>
        <w:pStyle w:val="Textpoznpodarou"/>
        <w:rPr>
          <w:sz w:val="16"/>
          <w:szCs w:val="16"/>
        </w:rPr>
      </w:pPr>
      <w:r w:rsidRPr="004831F6">
        <w:rPr>
          <w:rStyle w:val="Znakapoznpodarou"/>
          <w:sz w:val="16"/>
          <w:szCs w:val="16"/>
        </w:rPr>
        <w:footnoteRef/>
      </w:r>
      <w:r w:rsidRPr="004831F6">
        <w:rPr>
          <w:sz w:val="16"/>
          <w:szCs w:val="16"/>
        </w:rPr>
        <w:t xml:space="preserve"> Změna zásob</w:t>
      </w:r>
      <w:r>
        <w:rPr>
          <w:sz w:val="16"/>
          <w:szCs w:val="16"/>
        </w:rPr>
        <w:t xml:space="preserve"> (v běžných cenách a sezónně neočištěná)</w:t>
      </w:r>
      <w:r w:rsidRPr="004831F6">
        <w:rPr>
          <w:sz w:val="16"/>
          <w:szCs w:val="16"/>
        </w:rPr>
        <w:t xml:space="preserve"> dosáhla</w:t>
      </w:r>
      <w:r>
        <w:rPr>
          <w:sz w:val="16"/>
          <w:szCs w:val="16"/>
        </w:rPr>
        <w:t xml:space="preserve"> loni ve 2. čtvrtletí 108,5 mld. korun. Zásoby se zvyšovaly pod vlivem rostoucích zásob nedokončené produkce a součástek pro průmyslovou výrobu, zásobení plynem i zásob zboží v maloobchodě. V letošním 2. čtvrtletí změna zásob dosáhla 57,1 mld. korun.</w:t>
      </w:r>
    </w:p>
  </w:footnote>
  <w:footnote w:id="9">
    <w:p w14:paraId="4020E4C7" w14:textId="77777777" w:rsidR="000E225F" w:rsidRPr="00167B30" w:rsidRDefault="000E225F" w:rsidP="007E5149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 xml:space="preserve">. Bilance zahraničního obchodu v běžných cenách </w:t>
      </w:r>
      <w:r>
        <w:rPr>
          <w:sz w:val="16"/>
          <w:szCs w:val="16"/>
        </w:rPr>
        <w:br/>
        <w:t>a po sezónním očištění.</w:t>
      </w:r>
    </w:p>
  </w:footnote>
  <w:footnote w:id="10">
    <w:p w14:paraId="48F58860" w14:textId="77777777" w:rsidR="000E225F" w:rsidRPr="00AC5E0A" w:rsidRDefault="000E225F" w:rsidP="007E5149">
      <w:pPr>
        <w:pStyle w:val="Textpoznpodarou"/>
        <w:rPr>
          <w:sz w:val="16"/>
          <w:szCs w:val="16"/>
        </w:rPr>
      </w:pPr>
      <w:r w:rsidRPr="00AC5E0A">
        <w:rPr>
          <w:rStyle w:val="Znakapoznpodarou"/>
          <w:sz w:val="16"/>
          <w:szCs w:val="16"/>
        </w:rPr>
        <w:footnoteRef/>
      </w:r>
      <w:r w:rsidRPr="00AC5E0A">
        <w:rPr>
          <w:sz w:val="16"/>
          <w:szCs w:val="16"/>
        </w:rPr>
        <w:t xml:space="preserve"> Výrazný rozdíl mezi dynamikou HDP a HPH byl způsoben vlivem různého ocenění HDP a HPH. Hrubá přidaná hodnota je oceněná </w:t>
      </w:r>
      <w:r>
        <w:rPr>
          <w:sz w:val="16"/>
          <w:szCs w:val="16"/>
        </w:rPr>
        <w:br/>
      </w:r>
      <w:r w:rsidRPr="00AC5E0A">
        <w:rPr>
          <w:sz w:val="16"/>
          <w:szCs w:val="16"/>
        </w:rPr>
        <w:t>v základních cenách, zatímco HDP je vyjádřen ve skutečných cenách. Aktuálně se v těchto rozdílech projevují dotace zachycující stropy cen elektřiny. Ty byly ve 2. kvartálu meziročně vyšší (takže meziroční růst HDP ve srovnání s HPH tlumily), ale mezičtvrtletně jejich objem klesl (a s tím dynamika HDP předběhla HPH). K meziročnímu rozdílu mezi HDP a HPH také přispívaly v souvislosti s propadající se spotřebou klesající daňové výnosy.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0E225F" w:rsidRDefault="000E225F" w:rsidP="00937AE2">
    <w:pPr>
      <w:pStyle w:val="Zhlav"/>
    </w:pPr>
    <w:r>
      <w:t>Vývoj ekonomiky České republiky</w:t>
    </w:r>
  </w:p>
  <w:p w14:paraId="3E881AB3" w14:textId="77777777" w:rsidR="000E225F" w:rsidRPr="006F5416" w:rsidRDefault="000E225F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0E225F" w:rsidRDefault="000E225F" w:rsidP="00937AE2">
    <w:pPr>
      <w:pStyle w:val="Zhlav"/>
    </w:pPr>
    <w:r>
      <w:t>Vývoj ekonomiky České republiky</w:t>
    </w:r>
  </w:p>
  <w:p w14:paraId="57266714" w14:textId="77777777" w:rsidR="000E225F" w:rsidRPr="006F5416" w:rsidRDefault="000E225F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25F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5A99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3496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07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8E-2"/>
          <c:y val="2.3046636085626956E-2"/>
          <c:w val="0.92008633063154344"/>
          <c:h val="0.74192840256671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1'!$A$29:$B$50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1'!$C$29:$C$50</c:f>
              <c:numCache>
                <c:formatCode>General</c:formatCode>
                <c:ptCount val="22"/>
                <c:pt idx="0">
                  <c:v>4.7409690869492085</c:v>
                </c:pt>
                <c:pt idx="1">
                  <c:v>2.8084745992628513</c:v>
                </c:pt>
                <c:pt idx="2">
                  <c:v>2.6946757492296172</c:v>
                </c:pt>
                <c:pt idx="3">
                  <c:v>2.6327282626460686</c:v>
                </c:pt>
                <c:pt idx="4">
                  <c:v>2.9925598229108195</c:v>
                </c:pt>
                <c:pt idx="5">
                  <c:v>3.0577797411869359</c:v>
                </c:pt>
                <c:pt idx="6">
                  <c:v>3.0222821330284813</c:v>
                </c:pt>
                <c:pt idx="7">
                  <c:v>2.7919398416799637</c:v>
                </c:pt>
                <c:pt idx="8">
                  <c:v>-1.4737630559722414</c:v>
                </c:pt>
                <c:pt idx="9">
                  <c:v>-10.802828827516109</c:v>
                </c:pt>
                <c:pt idx="10">
                  <c:v>-5.2166971565464166</c:v>
                </c:pt>
                <c:pt idx="11">
                  <c:v>-4.5664791785978451</c:v>
                </c:pt>
                <c:pt idx="12">
                  <c:v>-1.9186413648622109</c:v>
                </c:pt>
                <c:pt idx="13">
                  <c:v>9.179288410047473</c:v>
                </c:pt>
                <c:pt idx="14">
                  <c:v>3.8208995035486302</c:v>
                </c:pt>
                <c:pt idx="15">
                  <c:v>3.4133294018282068</c:v>
                </c:pt>
                <c:pt idx="16">
                  <c:v>4.6827760503125955</c:v>
                </c:pt>
                <c:pt idx="17">
                  <c:v>3.3595353964859953</c:v>
                </c:pt>
                <c:pt idx="18">
                  <c:v>1.3500170189121978</c:v>
                </c:pt>
                <c:pt idx="19">
                  <c:v>0.12011038697296783</c:v>
                </c:pt>
                <c:pt idx="20">
                  <c:v>-0.42287981073889136</c:v>
                </c:pt>
                <c:pt idx="21">
                  <c:v>-0.43494743667122293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12-4A63-8F02-918BE59C4F8D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1'!$A$29:$B$50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1'!$D$29:$D$50</c:f>
              <c:numCache>
                <c:formatCode>#\ ##0.##########</c:formatCode>
                <c:ptCount val="22"/>
                <c:pt idx="0">
                  <c:v>2.6</c:v>
                </c:pt>
                <c:pt idx="1">
                  <c:v>2.4</c:v>
                </c:pt>
                <c:pt idx="2">
                  <c:v>1.7000000000000002</c:v>
                </c:pt>
                <c:pt idx="3">
                  <c:v>1.6</c:v>
                </c:pt>
                <c:pt idx="4">
                  <c:v>2.1</c:v>
                </c:pt>
                <c:pt idx="5">
                  <c:v>1.8</c:v>
                </c:pt>
                <c:pt idx="6" formatCode="#\ ##0.0">
                  <c:v>2</c:v>
                </c:pt>
                <c:pt idx="7">
                  <c:v>1.4</c:v>
                </c:pt>
                <c:pt idx="8">
                  <c:v>-2.2000000000000002</c:v>
                </c:pt>
                <c:pt idx="9">
                  <c:v>-13.3</c:v>
                </c:pt>
                <c:pt idx="10">
                  <c:v>-3.8</c:v>
                </c:pt>
                <c:pt idx="11">
                  <c:v>-3.8</c:v>
                </c:pt>
                <c:pt idx="12">
                  <c:v>-0.6000000000000002</c:v>
                </c:pt>
                <c:pt idx="13">
                  <c:v>13.9</c:v>
                </c:pt>
                <c:pt idx="14">
                  <c:v>4.5</c:v>
                </c:pt>
                <c:pt idx="15">
                  <c:v>5.2</c:v>
                </c:pt>
                <c:pt idx="16">
                  <c:v>5.6</c:v>
                </c:pt>
                <c:pt idx="17">
                  <c:v>4.3</c:v>
                </c:pt>
                <c:pt idx="18">
                  <c:v>2.5</c:v>
                </c:pt>
                <c:pt idx="19">
                  <c:v>1.6</c:v>
                </c:pt>
                <c:pt idx="20">
                  <c:v>1.1000000000000001</c:v>
                </c:pt>
                <c:pt idx="2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12-4A63-8F02-918BE59C4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03117568"/>
        <c:axId val="103119104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1'!$A$29:$B$50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1'!$E$29:$E$50</c:f>
              <c:numCache>
                <c:formatCode>General</c:formatCode>
                <c:ptCount val="22"/>
                <c:pt idx="0">
                  <c:v>0.51859772519729541</c:v>
                </c:pt>
                <c:pt idx="1">
                  <c:v>0.59123747503038249</c:v>
                </c:pt>
                <c:pt idx="2">
                  <c:v>0.73257343037091971</c:v>
                </c:pt>
                <c:pt idx="3">
                  <c:v>0.76492186562109099</c:v>
                </c:pt>
                <c:pt idx="4">
                  <c:v>0.87101711877043897</c:v>
                </c:pt>
                <c:pt idx="5">
                  <c:v>0.65493675873298662</c:v>
                </c:pt>
                <c:pt idx="6">
                  <c:v>0.69787672499455777</c:v>
                </c:pt>
                <c:pt idx="7">
                  <c:v>0.53962669151388853</c:v>
                </c:pt>
                <c:pt idx="8">
                  <c:v>-3.3149705245738503</c:v>
                </c:pt>
                <c:pt idx="9">
                  <c:v>-8.8756873103285372</c:v>
                </c:pt>
                <c:pt idx="10">
                  <c:v>7.0042605595799046</c:v>
                </c:pt>
                <c:pt idx="11">
                  <c:v>1.2293333255930037</c:v>
                </c:pt>
                <c:pt idx="12">
                  <c:v>-0.63240914714887753</c:v>
                </c:pt>
                <c:pt idx="13">
                  <c:v>1.4350510102822791</c:v>
                </c:pt>
                <c:pt idx="14">
                  <c:v>1.7526194188431676</c:v>
                </c:pt>
                <c:pt idx="15">
                  <c:v>0.83193694511574257</c:v>
                </c:pt>
                <c:pt idx="16">
                  <c:v>0.58737418161310029</c:v>
                </c:pt>
                <c:pt idx="17">
                  <c:v>0.15286316349390466</c:v>
                </c:pt>
                <c:pt idx="18">
                  <c:v>-0.22565726268484806</c:v>
                </c:pt>
                <c:pt idx="19">
                  <c:v>-0.39168266154831621</c:v>
                </c:pt>
                <c:pt idx="20">
                  <c:v>4.1849831079645121E-2</c:v>
                </c:pt>
                <c:pt idx="21">
                  <c:v>0.14072576399479431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12-4A63-8F02-918BE59C4F8D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1'!$A$29:$B$50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1'!$F$29:$F$50</c:f>
              <c:numCache>
                <c:formatCode>#\ ##0.##########</c:formatCode>
                <c:ptCount val="22"/>
                <c:pt idx="0">
                  <c:v>0.2</c:v>
                </c:pt>
                <c:pt idx="1">
                  <c:v>0.6000000000000002</c:v>
                </c:pt>
                <c:pt idx="2">
                  <c:v>0.1</c:v>
                </c:pt>
                <c:pt idx="3">
                  <c:v>0.70000000000000018</c:v>
                </c:pt>
                <c:pt idx="4">
                  <c:v>0.70000000000000018</c:v>
                </c:pt>
                <c:pt idx="5">
                  <c:v>0.4</c:v>
                </c:pt>
                <c:pt idx="6">
                  <c:v>0.3000000000000001</c:v>
                </c:pt>
                <c:pt idx="7">
                  <c:v>0.1</c:v>
                </c:pt>
                <c:pt idx="8">
                  <c:v>-2.9</c:v>
                </c:pt>
                <c:pt idx="9" formatCode="#\ ##0.0">
                  <c:v>-11</c:v>
                </c:pt>
                <c:pt idx="10">
                  <c:v>11.3</c:v>
                </c:pt>
                <c:pt idx="11">
                  <c:v>0.1</c:v>
                </c:pt>
                <c:pt idx="12">
                  <c:v>0.4</c:v>
                </c:pt>
                <c:pt idx="13">
                  <c:v>1.9000000000000001</c:v>
                </c:pt>
                <c:pt idx="14">
                  <c:v>2.1</c:v>
                </c:pt>
                <c:pt idx="15">
                  <c:v>0.70000000000000018</c:v>
                </c:pt>
                <c:pt idx="16">
                  <c:v>0.70000000000000018</c:v>
                </c:pt>
                <c:pt idx="17">
                  <c:v>0.6000000000000002</c:v>
                </c:pt>
                <c:pt idx="18">
                  <c:v>0.4</c:v>
                </c:pt>
                <c:pt idx="19">
                  <c:v>-0.1</c:v>
                </c:pt>
                <c:pt idx="20">
                  <c:v>0.2</c:v>
                </c:pt>
                <c:pt idx="21" formatCode="#\ ##0.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C12-4A63-8F02-918BE59C4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117568"/>
        <c:axId val="103119104"/>
      </c:lineChart>
      <c:catAx>
        <c:axId val="10311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3119104"/>
        <c:crosses val="autoZero"/>
        <c:auto val="1"/>
        <c:lblAlgn val="ctr"/>
        <c:lblOffset val="100"/>
        <c:noMultiLvlLbl val="0"/>
      </c:catAx>
      <c:valAx>
        <c:axId val="103119104"/>
        <c:scaling>
          <c:orientation val="minMax"/>
          <c:max val="15"/>
          <c:min val="-1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3117568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99E-2"/>
          <c:y val="0.89437255125718007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72E-2"/>
          <c:y val="2.8458510079622041E-2"/>
          <c:w val="0.93688386524822698"/>
          <c:h val="0.674766689181583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3'!$F$30:$F$51</c:f>
              <c:numCache>
                <c:formatCode>#\ ##0.0</c:formatCode>
                <c:ptCount val="22"/>
                <c:pt idx="0">
                  <c:v>-0.45416719953824236</c:v>
                </c:pt>
                <c:pt idx="1">
                  <c:v>-0.74378891592524266</c:v>
                </c:pt>
                <c:pt idx="2">
                  <c:v>-1.1266373010786321</c:v>
                </c:pt>
                <c:pt idx="3">
                  <c:v>0.26399371013949136</c:v>
                </c:pt>
                <c:pt idx="4">
                  <c:v>-0.10063574701283923</c:v>
                </c:pt>
                <c:pt idx="5">
                  <c:v>1.3529610725744314</c:v>
                </c:pt>
                <c:pt idx="6">
                  <c:v>1.4268251487477539</c:v>
                </c:pt>
                <c:pt idx="7">
                  <c:v>-1.1473798908006598</c:v>
                </c:pt>
                <c:pt idx="8">
                  <c:v>-2.0624772509655722</c:v>
                </c:pt>
                <c:pt idx="9">
                  <c:v>-9.0642749602481327</c:v>
                </c:pt>
                <c:pt idx="10">
                  <c:v>-1.0204260219992571</c:v>
                </c:pt>
                <c:pt idx="11">
                  <c:v>2.0095740720498352</c:v>
                </c:pt>
                <c:pt idx="12">
                  <c:v>-0.28507028363562337</c:v>
                </c:pt>
                <c:pt idx="13">
                  <c:v>4.4273326570028857</c:v>
                </c:pt>
                <c:pt idx="14">
                  <c:v>-5.8942461279131582</c:v>
                </c:pt>
                <c:pt idx="15">
                  <c:v>-6.442294612432077</c:v>
                </c:pt>
                <c:pt idx="16">
                  <c:v>-1.8391101984644989</c:v>
                </c:pt>
                <c:pt idx="17">
                  <c:v>0.40419610251387095</c:v>
                </c:pt>
                <c:pt idx="18">
                  <c:v>4.1503989386715165</c:v>
                </c:pt>
                <c:pt idx="19">
                  <c:v>2.8839143571693659</c:v>
                </c:pt>
                <c:pt idx="20">
                  <c:v>2.683559220088791</c:v>
                </c:pt>
                <c:pt idx="21">
                  <c:v>2.5150598944534233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F-48C1-8401-FB5303D86166}"/>
            </c:ext>
          </c:extLst>
        </c:ser>
        <c:ser>
          <c:idx val="2"/>
          <c:order val="2"/>
          <c:tx>
            <c:strRef>
              <c:f>'souhrnná výkonnost 3'!$H$5</c:f>
              <c:strCache>
                <c:ptCount val="1"/>
                <c:pt idx="0">
                  <c:v>Změna zásob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cat>
            <c:multiLvlStrRef>
              <c:f>'souhrnná výkonnost 3'!$A$30:$B$51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3'!$H$30:$H$51</c:f>
              <c:numCache>
                <c:formatCode>#\ ##0.0</c:formatCode>
                <c:ptCount val="22"/>
                <c:pt idx="0">
                  <c:v>1.0524813582033086</c:v>
                </c:pt>
                <c:pt idx="1">
                  <c:v>-0.47777606515227122</c:v>
                </c:pt>
                <c:pt idx="2">
                  <c:v>-0.35555734821242635</c:v>
                </c:pt>
                <c:pt idx="3">
                  <c:v>-1.4481535119733124</c:v>
                </c:pt>
                <c:pt idx="4">
                  <c:v>2.9922981882277922E-2</c:v>
                </c:pt>
                <c:pt idx="5">
                  <c:v>-1.2537553229299498</c:v>
                </c:pt>
                <c:pt idx="6">
                  <c:v>-0.57463433558824872</c:v>
                </c:pt>
                <c:pt idx="7">
                  <c:v>1.8085807340728097</c:v>
                </c:pt>
                <c:pt idx="8">
                  <c:v>0.91584880445412908</c:v>
                </c:pt>
                <c:pt idx="9">
                  <c:v>0.66860369572466505</c:v>
                </c:pt>
                <c:pt idx="10">
                  <c:v>-1.5736478906912501</c:v>
                </c:pt>
                <c:pt idx="11">
                  <c:v>-2.0771500306216089</c:v>
                </c:pt>
                <c:pt idx="12">
                  <c:v>2.4159623458993353</c:v>
                </c:pt>
                <c:pt idx="13">
                  <c:v>4.4035123965182708</c:v>
                </c:pt>
                <c:pt idx="14">
                  <c:v>6.5480200971506584</c:v>
                </c:pt>
                <c:pt idx="15">
                  <c:v>5.6378094597142576</c:v>
                </c:pt>
                <c:pt idx="16">
                  <c:v>1.7599138045171967</c:v>
                </c:pt>
                <c:pt idx="17">
                  <c:v>1.6830617792805977</c:v>
                </c:pt>
                <c:pt idx="18">
                  <c:v>-0.13522737694425827</c:v>
                </c:pt>
                <c:pt idx="19">
                  <c:v>6.8011691232444271E-2</c:v>
                </c:pt>
                <c:pt idx="20">
                  <c:v>-1.0556412101943085</c:v>
                </c:pt>
                <c:pt idx="21">
                  <c:v>-2.524619685124204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2F-48C1-8401-FB5303D86166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3'!$G$30:$G$51</c:f>
              <c:numCache>
                <c:formatCode>#\ ##0.0</c:formatCode>
                <c:ptCount val="22"/>
                <c:pt idx="0">
                  <c:v>1.8848546995699589</c:v>
                </c:pt>
                <c:pt idx="1">
                  <c:v>2.053547364624257</c:v>
                </c:pt>
                <c:pt idx="2">
                  <c:v>2.2324390876929545</c:v>
                </c:pt>
                <c:pt idx="3">
                  <c:v>1.9592291913679716</c:v>
                </c:pt>
                <c:pt idx="4">
                  <c:v>1.6664742572861313</c:v>
                </c:pt>
                <c:pt idx="5">
                  <c:v>1.1031620490038367</c:v>
                </c:pt>
                <c:pt idx="6">
                  <c:v>0.60351051109238796</c:v>
                </c:pt>
                <c:pt idx="7">
                  <c:v>0.61015699901503451</c:v>
                </c:pt>
                <c:pt idx="8">
                  <c:v>-0.18505385313730394</c:v>
                </c:pt>
                <c:pt idx="9">
                  <c:v>0.26545371936590556</c:v>
                </c:pt>
                <c:pt idx="10">
                  <c:v>-1.1365453004257857</c:v>
                </c:pt>
                <c:pt idx="11">
                  <c:v>-1.5484962788918575</c:v>
                </c:pt>
                <c:pt idx="12">
                  <c:v>-1.1386301164844839</c:v>
                </c:pt>
                <c:pt idx="13">
                  <c:v>-1.6478950671691954</c:v>
                </c:pt>
                <c:pt idx="14">
                  <c:v>0.35561087195381591</c:v>
                </c:pt>
                <c:pt idx="15">
                  <c:v>0.78646457641002898</c:v>
                </c:pt>
                <c:pt idx="16">
                  <c:v>1.2056425074201884</c:v>
                </c:pt>
                <c:pt idx="17">
                  <c:v>0.94551509887167873</c:v>
                </c:pt>
                <c:pt idx="18">
                  <c:v>0.23606202143119684</c:v>
                </c:pt>
                <c:pt idx="19">
                  <c:v>-0.12541596439909741</c:v>
                </c:pt>
                <c:pt idx="20">
                  <c:v>-0.22886298711949793</c:v>
                </c:pt>
                <c:pt idx="21">
                  <c:v>0.80248259667338273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2F-48C1-8401-FB5303D86166}"/>
            </c:ext>
          </c:extLst>
        </c:ser>
        <c:ser>
          <c:idx val="5"/>
          <c:order val="4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3'!$D$30:$D$51</c:f>
              <c:numCache>
                <c:formatCode>#\ ##0.0</c:formatCode>
                <c:ptCount val="22"/>
                <c:pt idx="0">
                  <c:v>1.540080312662943</c:v>
                </c:pt>
                <c:pt idx="1">
                  <c:v>1.2364606818393471</c:v>
                </c:pt>
                <c:pt idx="2">
                  <c:v>0.93963380194395907</c:v>
                </c:pt>
                <c:pt idx="3">
                  <c:v>0.94791873617978784</c:v>
                </c:pt>
                <c:pt idx="4">
                  <c:v>0.89975778114159266</c:v>
                </c:pt>
                <c:pt idx="5">
                  <c:v>1.2410325032352096</c:v>
                </c:pt>
                <c:pt idx="6">
                  <c:v>0.94788645941574889</c:v>
                </c:pt>
                <c:pt idx="7">
                  <c:v>1.3125840520821432</c:v>
                </c:pt>
                <c:pt idx="8">
                  <c:v>-1.0446704916645397</c:v>
                </c:pt>
                <c:pt idx="9">
                  <c:v>-3.3401453756905828</c:v>
                </c:pt>
                <c:pt idx="10">
                  <c:v>-1.8238505965980329</c:v>
                </c:pt>
                <c:pt idx="11">
                  <c:v>-4.3451439574225974</c:v>
                </c:pt>
                <c:pt idx="12">
                  <c:v>-2.8838668819945754</c:v>
                </c:pt>
                <c:pt idx="13">
                  <c:v>1.9930858902923905</c:v>
                </c:pt>
                <c:pt idx="14">
                  <c:v>1.7335129439561139</c:v>
                </c:pt>
                <c:pt idx="15">
                  <c:v>3.2860285615183655</c:v>
                </c:pt>
                <c:pt idx="16">
                  <c:v>3.1132919265413115</c:v>
                </c:pt>
                <c:pt idx="17">
                  <c:v>-0.20478152182535223</c:v>
                </c:pt>
                <c:pt idx="18">
                  <c:v>-2.6249574056935399</c:v>
                </c:pt>
                <c:pt idx="19">
                  <c:v>-2.9076885203083829</c:v>
                </c:pt>
                <c:pt idx="20">
                  <c:v>-2.5107364068622577</c:v>
                </c:pt>
                <c:pt idx="21">
                  <c:v>-1.8836388504096579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2F-48C1-8401-FB5303D86166}"/>
            </c:ext>
          </c:extLst>
        </c:ser>
        <c:ser>
          <c:idx val="4"/>
          <c:order val="5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3'!$E$30:$E$51</c:f>
              <c:numCache>
                <c:formatCode>#\ ##0.0</c:formatCode>
                <c:ptCount val="22"/>
                <c:pt idx="0">
                  <c:v>0.59778499254771711</c:v>
                </c:pt>
                <c:pt idx="1">
                  <c:v>0.60746684411638396</c:v>
                </c:pt>
                <c:pt idx="2">
                  <c:v>0.87114555902277024</c:v>
                </c:pt>
                <c:pt idx="3">
                  <c:v>0.78687144586984825</c:v>
                </c:pt>
                <c:pt idx="4">
                  <c:v>0.42281243223978315</c:v>
                </c:pt>
                <c:pt idx="5">
                  <c:v>0.54406400829840962</c:v>
                </c:pt>
                <c:pt idx="6">
                  <c:v>0.56781285164264683</c:v>
                </c:pt>
                <c:pt idx="7">
                  <c:v>0.18039196202538715</c:v>
                </c:pt>
                <c:pt idx="8">
                  <c:v>0.86345208967516851</c:v>
                </c:pt>
                <c:pt idx="9">
                  <c:v>0.63518061172427243</c:v>
                </c:pt>
                <c:pt idx="10">
                  <c:v>0.30945908783825082</c:v>
                </c:pt>
                <c:pt idx="11">
                  <c:v>1.3407546216216213</c:v>
                </c:pt>
                <c:pt idx="12">
                  <c:v>-8.5095004004240485E-2</c:v>
                </c:pt>
                <c:pt idx="13">
                  <c:v>-5.3280721089043984E-2</c:v>
                </c:pt>
                <c:pt idx="14">
                  <c:v>0.99915273207784439</c:v>
                </c:pt>
                <c:pt idx="15">
                  <c:v>6.858536278325067E-2</c:v>
                </c:pt>
                <c:pt idx="16">
                  <c:v>0.32383662791128387</c:v>
                </c:pt>
                <c:pt idx="17">
                  <c:v>0.37450810976545307</c:v>
                </c:pt>
                <c:pt idx="18">
                  <c:v>-0.41396996520400342</c:v>
                </c:pt>
                <c:pt idx="19">
                  <c:v>8.6105307469658346E-2</c:v>
                </c:pt>
                <c:pt idx="20">
                  <c:v>0.67084488415714305</c:v>
                </c:pt>
                <c:pt idx="21">
                  <c:v>0.66982363300597192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2F-48C1-8401-FB5303D861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20276096"/>
        <c:axId val="120277632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3'!$C$30:$C$51</c:f>
              <c:numCache>
                <c:formatCode>#\ ##0.0</c:formatCode>
                <c:ptCount val="22"/>
                <c:pt idx="0">
                  <c:v>4.7410158709829044</c:v>
                </c:pt>
                <c:pt idx="1">
                  <c:v>2.8085121382809888</c:v>
                </c:pt>
                <c:pt idx="2">
                  <c:v>2.6946747602240042</c:v>
                </c:pt>
                <c:pt idx="3">
                  <c:v>2.632738011287671</c:v>
                </c:pt>
                <c:pt idx="4">
                  <c:v>2.9925808638806188</c:v>
                </c:pt>
                <c:pt idx="5">
                  <c:v>3.0577465249692599</c:v>
                </c:pt>
                <c:pt idx="6">
                  <c:v>3.0222812889930282</c:v>
                </c:pt>
                <c:pt idx="7">
                  <c:v>2.7919056462255591</c:v>
                </c:pt>
                <c:pt idx="8">
                  <c:v>-1.4738194413261563</c:v>
                </c:pt>
                <c:pt idx="9">
                  <c:v>-10.802865399708741</c:v>
                </c:pt>
                <c:pt idx="10">
                  <c:v>-5.2167494638705882</c:v>
                </c:pt>
                <c:pt idx="11">
                  <c:v>-4.5664750245340713</c:v>
                </c:pt>
                <c:pt idx="12">
                  <c:v>-1.9186323159540564</c:v>
                </c:pt>
                <c:pt idx="13">
                  <c:v>9.1792931219514671</c:v>
                </c:pt>
                <c:pt idx="14">
                  <c:v>3.8209037046074186</c:v>
                </c:pt>
                <c:pt idx="15">
                  <c:v>3.4133373401856786</c:v>
                </c:pt>
                <c:pt idx="16">
                  <c:v>4.6828065809266501</c:v>
                </c:pt>
                <c:pt idx="17">
                  <c:v>3.3595998605536996</c:v>
                </c:pt>
                <c:pt idx="18">
                  <c:v>1.3500706587594062</c:v>
                </c:pt>
                <c:pt idx="19">
                  <c:v>0.12009744011587034</c:v>
                </c:pt>
                <c:pt idx="20">
                  <c:v>-0.42288944612090534</c:v>
                </c:pt>
                <c:pt idx="21">
                  <c:v>-0.43493905219344242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2F-48C1-8401-FB5303D861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276096"/>
        <c:axId val="120277632"/>
      </c:lineChart>
      <c:catAx>
        <c:axId val="12027609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0277632"/>
        <c:crosses val="autoZero"/>
        <c:auto val="1"/>
        <c:lblAlgn val="ctr"/>
        <c:lblOffset val="100"/>
        <c:noMultiLvlLbl val="0"/>
      </c:catAx>
      <c:valAx>
        <c:axId val="120277632"/>
        <c:scaling>
          <c:orientation val="minMax"/>
          <c:max val="12"/>
          <c:min val="-1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027609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81445992344928542"/>
          <c:w val="0.94432624113475172"/>
          <c:h val="0.1748173477428797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75E-2"/>
          <c:y val="2.94998869886235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4'!$C$30:$C$51</c:f>
              <c:numCache>
                <c:formatCode>#\ ##0.0</c:formatCode>
                <c:ptCount val="22"/>
                <c:pt idx="0">
                  <c:v>3.2678809349882994E-2</c:v>
                </c:pt>
                <c:pt idx="1">
                  <c:v>7.1043352951455641E-2</c:v>
                </c:pt>
                <c:pt idx="2">
                  <c:v>0.13147416955081714</c:v>
                </c:pt>
                <c:pt idx="3">
                  <c:v>0.1355750838589089</c:v>
                </c:pt>
                <c:pt idx="4">
                  <c:v>7.3815312527439711E-2</c:v>
                </c:pt>
                <c:pt idx="5">
                  <c:v>8.6198359198018534E-2</c:v>
                </c:pt>
                <c:pt idx="6">
                  <c:v>0.10932770534860803</c:v>
                </c:pt>
                <c:pt idx="7">
                  <c:v>0.13255154938774669</c:v>
                </c:pt>
                <c:pt idx="8">
                  <c:v>0.21545052259669259</c:v>
                </c:pt>
                <c:pt idx="9">
                  <c:v>0.23619938628539741</c:v>
                </c:pt>
                <c:pt idx="10">
                  <c:v>0.24181149955858292</c:v>
                </c:pt>
                <c:pt idx="11">
                  <c:v>0.21681429221385648</c:v>
                </c:pt>
                <c:pt idx="12">
                  <c:v>-0.19657363835640351</c:v>
                </c:pt>
                <c:pt idx="13">
                  <c:v>-0.34178536991297304</c:v>
                </c:pt>
                <c:pt idx="14">
                  <c:v>-0.37570182006417735</c:v>
                </c:pt>
                <c:pt idx="15">
                  <c:v>-0.37221295215760836</c:v>
                </c:pt>
                <c:pt idx="16">
                  <c:v>-0.16234638940102425</c:v>
                </c:pt>
                <c:pt idx="17">
                  <c:v>-0.13442866084554098</c:v>
                </c:pt>
                <c:pt idx="18">
                  <c:v>-0.14434356404006068</c:v>
                </c:pt>
                <c:pt idx="19">
                  <c:v>-0.23576011287971266</c:v>
                </c:pt>
                <c:pt idx="20">
                  <c:v>-5.1565071284767172E-2</c:v>
                </c:pt>
                <c:pt idx="21">
                  <c:v>-3.052007019091078E-2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A4-4F58-89BE-53B166D8F7FF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4'!$D$30:$D$51</c:f>
              <c:numCache>
                <c:formatCode>#\ ##0.0</c:formatCode>
                <c:ptCount val="22"/>
                <c:pt idx="0">
                  <c:v>1.49104591482017</c:v>
                </c:pt>
                <c:pt idx="1">
                  <c:v>0.13833830178262263</c:v>
                </c:pt>
                <c:pt idx="2">
                  <c:v>1.1371114606629321E-2</c:v>
                </c:pt>
                <c:pt idx="3">
                  <c:v>0.33553515446267096</c:v>
                </c:pt>
                <c:pt idx="4">
                  <c:v>0.79394406110374971</c:v>
                </c:pt>
                <c:pt idx="5">
                  <c:v>1.3559231668786855</c:v>
                </c:pt>
                <c:pt idx="6">
                  <c:v>1.3631060989469754</c:v>
                </c:pt>
                <c:pt idx="7">
                  <c:v>0.99560862159706953</c:v>
                </c:pt>
                <c:pt idx="8">
                  <c:v>-1.1680575231725148</c:v>
                </c:pt>
                <c:pt idx="9">
                  <c:v>-5.8896682937773646</c:v>
                </c:pt>
                <c:pt idx="10">
                  <c:v>-2.5137505183360016</c:v>
                </c:pt>
                <c:pt idx="11">
                  <c:v>-1.8978845716379917</c:v>
                </c:pt>
                <c:pt idx="12">
                  <c:v>0.17537901886028953</c:v>
                </c:pt>
                <c:pt idx="13">
                  <c:v>4.9740222929440314</c:v>
                </c:pt>
                <c:pt idx="14">
                  <c:v>0.20509799209873475</c:v>
                </c:pt>
                <c:pt idx="15">
                  <c:v>-0.48173040936348782</c:v>
                </c:pt>
                <c:pt idx="16">
                  <c:v>0.83288419096617161</c:v>
                </c:pt>
                <c:pt idx="17">
                  <c:v>1.2132518080186516</c:v>
                </c:pt>
                <c:pt idx="18">
                  <c:v>2.1267494750096803</c:v>
                </c:pt>
                <c:pt idx="19">
                  <c:v>2.7466658745830972</c:v>
                </c:pt>
                <c:pt idx="20">
                  <c:v>0.91069840352561782</c:v>
                </c:pt>
                <c:pt idx="21">
                  <c:v>0.87421092777172538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A4-4F58-89BE-53B166D8F7FF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4'!$E$30:$E$51</c:f>
              <c:numCache>
                <c:formatCode>#\ ##0.0</c:formatCode>
                <c:ptCount val="22"/>
                <c:pt idx="0">
                  <c:v>-8.4827402194146279E-2</c:v>
                </c:pt>
                <c:pt idx="1">
                  <c:v>-2.6313910996506886E-3</c:v>
                </c:pt>
                <c:pt idx="2" formatCode="General">
                  <c:v>9.1594113054016657E-2</c:v>
                </c:pt>
                <c:pt idx="3" formatCode="General">
                  <c:v>-2.3532244840282983E-2</c:v>
                </c:pt>
                <c:pt idx="4" formatCode="General">
                  <c:v>-0.22319978862492373</c:v>
                </c:pt>
                <c:pt idx="5" formatCode="General">
                  <c:v>-0.42608130827198065</c:v>
                </c:pt>
                <c:pt idx="6" formatCode="General">
                  <c:v>-0.6332241662231014</c:v>
                </c:pt>
                <c:pt idx="7" formatCode="General">
                  <c:v>-0.47005936665406056</c:v>
                </c:pt>
                <c:pt idx="8" formatCode="General">
                  <c:v>-0.39879519059346102</c:v>
                </c:pt>
                <c:pt idx="9" formatCode="General">
                  <c:v>-0.29594961815162701</c:v>
                </c:pt>
                <c:pt idx="10" formatCode="General">
                  <c:v>3.6558427102720184E-2</c:v>
                </c:pt>
                <c:pt idx="11" formatCode="General">
                  <c:v>0.49474509851361503</c:v>
                </c:pt>
                <c:pt idx="12" formatCode="General">
                  <c:v>0.10268524637411167</c:v>
                </c:pt>
                <c:pt idx="13" formatCode="General">
                  <c:v>0.15208374901925303</c:v>
                </c:pt>
                <c:pt idx="14" formatCode="General">
                  <c:v>-8.3157118283756229E-2</c:v>
                </c:pt>
                <c:pt idx="15" formatCode="General">
                  <c:v>-0.23038326613496624</c:v>
                </c:pt>
                <c:pt idx="16" formatCode="General">
                  <c:v>-0.9649693903538572</c:v>
                </c:pt>
                <c:pt idx="17" formatCode="General">
                  <c:v>-1.0281885364300385</c:v>
                </c:pt>
                <c:pt idx="18" formatCode="General">
                  <c:v>-1.0754299799558713</c:v>
                </c:pt>
                <c:pt idx="19" formatCode="General">
                  <c:v>-1.8164022619582583</c:v>
                </c:pt>
                <c:pt idx="20" formatCode="General">
                  <c:v>-0.39415795004229381</c:v>
                </c:pt>
                <c:pt idx="21" formatCode="General">
                  <c:v>-0.47940825133597692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A4-4F58-89BE-53B166D8F7FF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4'!$F$30:$F$51</c:f>
              <c:numCache>
                <c:formatCode>#\ ##0.0</c:formatCode>
                <c:ptCount val="22"/>
                <c:pt idx="0">
                  <c:v>0.12203771789133691</c:v>
                </c:pt>
                <c:pt idx="1">
                  <c:v>2.721405326342801E-3</c:v>
                </c:pt>
                <c:pt idx="2">
                  <c:v>-1.6093365386526861E-2</c:v>
                </c:pt>
                <c:pt idx="3">
                  <c:v>-0.11938213609361673</c:v>
                </c:pt>
                <c:pt idx="4">
                  <c:v>-0.15414075128507621</c:v>
                </c:pt>
                <c:pt idx="5">
                  <c:v>-4.3532590886408505E-2</c:v>
                </c:pt>
                <c:pt idx="6">
                  <c:v>-0.10941238277351643</c:v>
                </c:pt>
                <c:pt idx="7">
                  <c:v>-9.8598207180954342E-2</c:v>
                </c:pt>
                <c:pt idx="8">
                  <c:v>-0.3387537202870835</c:v>
                </c:pt>
                <c:pt idx="9">
                  <c:v>-0.70304287917967101</c:v>
                </c:pt>
                <c:pt idx="10">
                  <c:v>-0.6319415303218574</c:v>
                </c:pt>
                <c:pt idx="11">
                  <c:v>-0.61557506939559192</c:v>
                </c:pt>
                <c:pt idx="12">
                  <c:v>-0.50618553672420052</c:v>
                </c:pt>
                <c:pt idx="13">
                  <c:v>-8.0324212744330645E-2</c:v>
                </c:pt>
                <c:pt idx="14">
                  <c:v>-5.5314929764280858E-3</c:v>
                </c:pt>
                <c:pt idx="15">
                  <c:v>-4.5147882953895054E-2</c:v>
                </c:pt>
                <c:pt idx="16">
                  <c:v>-7.9624117393123084E-2</c:v>
                </c:pt>
                <c:pt idx="17">
                  <c:v>-0.27523677822990128</c:v>
                </c:pt>
                <c:pt idx="18">
                  <c:v>-0.50021356452078947</c:v>
                </c:pt>
                <c:pt idx="19">
                  <c:v>-0.5002872032383201</c:v>
                </c:pt>
                <c:pt idx="20">
                  <c:v>-0.28889790127219922</c:v>
                </c:pt>
                <c:pt idx="21">
                  <c:v>-0.15013455946663931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A4-4F58-89BE-53B166D8F7FF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4'!$G$30:$G$51</c:f>
              <c:numCache>
                <c:formatCode>#\ ##0.0</c:formatCode>
                <c:ptCount val="22"/>
                <c:pt idx="0">
                  <c:v>3.1237068943138606</c:v>
                </c:pt>
                <c:pt idx="1">
                  <c:v>2.7517321166092374</c:v>
                </c:pt>
                <c:pt idx="2" formatCode="General">
                  <c:v>2.7131816334348331</c:v>
                </c:pt>
                <c:pt idx="3" formatCode="General">
                  <c:v>2.6018048024583842</c:v>
                </c:pt>
                <c:pt idx="4" formatCode="General">
                  <c:v>2.4822220084523607</c:v>
                </c:pt>
                <c:pt idx="5" formatCode="General">
                  <c:v>2.1921234953504332</c:v>
                </c:pt>
                <c:pt idx="6" formatCode="General">
                  <c:v>2.1636986023312033</c:v>
                </c:pt>
                <c:pt idx="7" formatCode="General">
                  <c:v>2.1557420268059597</c:v>
                </c:pt>
                <c:pt idx="8" formatCode="General">
                  <c:v>0.58107492482466538</c:v>
                </c:pt>
                <c:pt idx="9" formatCode="General">
                  <c:v>-4.340075475656417</c:v>
                </c:pt>
                <c:pt idx="10" formatCode="General">
                  <c:v>-1.9966606979356536</c:v>
                </c:pt>
                <c:pt idx="11" formatCode="General">
                  <c:v>-2.3417286799070345</c:v>
                </c:pt>
                <c:pt idx="12" formatCode="General">
                  <c:v>-1.4413683522936223</c:v>
                </c:pt>
                <c:pt idx="13" formatCode="General">
                  <c:v>4.6756952859719902</c:v>
                </c:pt>
                <c:pt idx="14" formatCode="General">
                  <c:v>3.758749287293734</c:v>
                </c:pt>
                <c:pt idx="15" formatCode="General">
                  <c:v>4.1104404660252234</c:v>
                </c:pt>
                <c:pt idx="16" formatCode="General">
                  <c:v>4.4078314303948014</c:v>
                </c:pt>
                <c:pt idx="17" formatCode="General">
                  <c:v>3.4337768421922799</c:v>
                </c:pt>
                <c:pt idx="18" formatCode="General">
                  <c:v>0.99886480410734713</c:v>
                </c:pt>
                <c:pt idx="19" formatCode="General">
                  <c:v>0.62822985446220736</c:v>
                </c:pt>
                <c:pt idx="20" formatCode="General">
                  <c:v>0.88085528350362163</c:v>
                </c:pt>
                <c:pt idx="21" formatCode="General">
                  <c:v>0.33652509863648522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A4-4F58-89BE-53B166D8F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120421376"/>
        <c:axId val="120439552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'souhrnná výkonnost 4'!$H$30:$H$51</c:f>
              <c:numCache>
                <c:formatCode>#\ ##0.0</c:formatCode>
                <c:ptCount val="22"/>
                <c:pt idx="0">
                  <c:v>4.7958884315215471</c:v>
                </c:pt>
                <c:pt idx="1">
                  <c:v>2.9611349370848932</c:v>
                </c:pt>
                <c:pt idx="2">
                  <c:v>2.9313757908427505</c:v>
                </c:pt>
                <c:pt idx="3">
                  <c:v>2.9300970074841501</c:v>
                </c:pt>
                <c:pt idx="4">
                  <c:v>2.9726357886500532</c:v>
                </c:pt>
                <c:pt idx="5">
                  <c:v>3.1648414337946056</c:v>
                </c:pt>
                <c:pt idx="6">
                  <c:v>2.8935535187896448</c:v>
                </c:pt>
                <c:pt idx="7">
                  <c:v>2.7150260301270781</c:v>
                </c:pt>
                <c:pt idx="8">
                  <c:v>-1.1091532796304051</c:v>
                </c:pt>
                <c:pt idx="9">
                  <c:v>-10.992463627261648</c:v>
                </c:pt>
                <c:pt idx="10">
                  <c:v>-4.8638909795719876</c:v>
                </c:pt>
                <c:pt idx="11">
                  <c:v>-4.1436644792680095</c:v>
                </c:pt>
                <c:pt idx="12">
                  <c:v>-1.8659927600573805</c:v>
                </c:pt>
                <c:pt idx="13">
                  <c:v>9.3795330142279685</c:v>
                </c:pt>
                <c:pt idx="14">
                  <c:v>3.4995046714904281</c:v>
                </c:pt>
                <c:pt idx="15">
                  <c:v>2.9809101848340589</c:v>
                </c:pt>
                <c:pt idx="16">
                  <c:v>4.0336725177132298</c:v>
                </c:pt>
                <c:pt idx="17">
                  <c:v>3.2093274629342132</c:v>
                </c:pt>
                <c:pt idx="18">
                  <c:v>1.4055555931354884</c:v>
                </c:pt>
                <c:pt idx="19">
                  <c:v>0.82246982529750312</c:v>
                </c:pt>
                <c:pt idx="20">
                  <c:v>1.0568763024884045</c:v>
                </c:pt>
                <c:pt idx="21">
                  <c:v>0.55058034820891044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8A4-4F58-89BE-53B166D8F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421376"/>
        <c:axId val="120439552"/>
      </c:lineChart>
      <c:catAx>
        <c:axId val="12042137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20439552"/>
        <c:crosses val="autoZero"/>
        <c:auto val="1"/>
        <c:lblAlgn val="ctr"/>
        <c:lblOffset val="100"/>
        <c:noMultiLvlLbl val="0"/>
      </c:catAx>
      <c:valAx>
        <c:axId val="120439552"/>
        <c:scaling>
          <c:orientation val="minMax"/>
          <c:max val="10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2042137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3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3CFC0-F565-4FBB-9BE8-8618E451FE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99A137-A5B0-4066-8DD7-CAFF8EFB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24</TotalTime>
  <Pages>5</Pages>
  <Words>1561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3</cp:revision>
  <cp:lastPrinted>2023-06-09T17:23:00Z</cp:lastPrinted>
  <dcterms:created xsi:type="dcterms:W3CDTF">2023-09-14T08:51:00Z</dcterms:created>
  <dcterms:modified xsi:type="dcterms:W3CDTF">2023-09-14T09:23:00Z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