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30B59" w14:textId="48BCDFBC" w:rsidR="00674BAC" w:rsidRPr="00134FFF" w:rsidRDefault="00674BAC" w:rsidP="00674BAC">
      <w:pPr>
        <w:pStyle w:val="Nadpis11"/>
        <w:rPr>
          <w:sz w:val="2"/>
          <w:szCs w:val="2"/>
        </w:rPr>
      </w:pPr>
      <w:bookmarkStart w:id="0" w:name="_Toc130286019"/>
      <w:bookmarkStart w:id="1" w:name="_Toc145318533"/>
      <w:bookmarkStart w:id="2" w:name="_Toc114134050"/>
      <w:bookmarkStart w:id="3" w:name="_Toc121993822"/>
      <w:r>
        <w:t>4</w:t>
      </w:r>
      <w:bookmarkStart w:id="4" w:name="_Toc511215218"/>
      <w:bookmarkStart w:id="5" w:name="_Toc19090679"/>
      <w:bookmarkStart w:id="6" w:name="_Toc74643856"/>
      <w:bookmarkStart w:id="7" w:name="_Toc42852411"/>
      <w:bookmarkStart w:id="8" w:name="_Toc74643857"/>
      <w:bookmarkEnd w:id="4"/>
      <w:bookmarkEnd w:id="5"/>
      <w:r w:rsidRPr="009110F7">
        <w:t>.</w:t>
      </w:r>
      <w:r>
        <w:t> </w:t>
      </w:r>
      <w:r w:rsidRPr="009110F7">
        <w:t>Vnější vztahy</w:t>
      </w:r>
      <w:bookmarkEnd w:id="0"/>
      <w:bookmarkEnd w:id="1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21"/>
        <w:gridCol w:w="7670"/>
      </w:tblGrid>
      <w:tr w:rsidR="00674BAC" w:rsidRPr="009110F7" w14:paraId="25DFF376" w14:textId="77777777" w:rsidTr="785B85D1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0F7722A8" w14:textId="77777777" w:rsidR="00674BAC" w:rsidRDefault="00674BAC" w:rsidP="00DA0121">
            <w:pPr>
              <w:pStyle w:val="Marginlie"/>
            </w:pPr>
            <w:r>
              <w:t xml:space="preserve">Hodnota exportu </w:t>
            </w:r>
            <w:r>
              <w:br/>
              <w:t>v 1. pololetí rostla. V samotném 2. čtvrtletí ale meziroční dynamika vývozu výrazně oslabila.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687938C8" w14:textId="77777777" w:rsidR="00674BAC" w:rsidRDefault="00674BAC" w:rsidP="00DA012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0D8441E0" w14:textId="77777777" w:rsidR="00674BAC" w:rsidRPr="00AF6F98" w:rsidRDefault="00674BAC" w:rsidP="00DA0121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Hodnota vývozu zboží</w:t>
            </w:r>
            <w:r>
              <w:rPr>
                <w:rStyle w:val="Znakapoznpodarou"/>
                <w:spacing w:val="-4"/>
              </w:rPr>
              <w:footnoteReference w:id="1"/>
            </w:r>
            <w:r>
              <w:rPr>
                <w:spacing w:val="-4"/>
              </w:rPr>
              <w:t xml:space="preserve"> za 1. pololetí roku 2023 dosáhla 2 282,0 mld. korun a meziročně vzrostla o 114,3 mld. (5,3 %). Vliv cenového růstu, který poskytoval impuls navýšení exportu v loňském roce, letos vymizel a ceny naopak klesají</w:t>
            </w:r>
            <w:r>
              <w:rPr>
                <w:rStyle w:val="Znakapoznpodarou"/>
                <w:spacing w:val="-4"/>
              </w:rPr>
              <w:footnoteReference w:id="2"/>
            </w:r>
            <w:r>
              <w:rPr>
                <w:spacing w:val="-4"/>
              </w:rPr>
              <w:t xml:space="preserve">. Hlavní porce pololetního meziročního navýšení se ale odehrála v 1. kvartálu, protože v samotném 2. čtvrtletí 2023 se export zboží meziročně zvýšil jen o 10,0 mld. korun (0,9 %) na 1 133,0 mld. Přírůstek i pod vlivem silné základny loňského roku výrazně oslabil ve srovnání s dvoucifernými hodnotami předchozích čtyř čtvrtletí. Sezónně očištěné údaje ukazují, že se ve 2. čtvrtletí 2023 vývoz zboží po dvou poklesech opět mírně mezičtvrtletně zvýšil o 0,7 %. </w:t>
            </w:r>
          </w:p>
        </w:tc>
      </w:tr>
      <w:tr w:rsidR="00674BAC" w:rsidRPr="009110F7" w14:paraId="4DE01B63" w14:textId="77777777" w:rsidTr="785B85D1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1B8BBB7A" w14:textId="77777777" w:rsidR="00674BAC" w:rsidRDefault="00674BAC" w:rsidP="00DA0121">
            <w:pPr>
              <w:pStyle w:val="Marginlie"/>
            </w:pPr>
            <w:r>
              <w:t>Ve 2. čtvrtletí meziročně klesla hodnota vývozu do EU.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5AA40758" w14:textId="77777777" w:rsidR="00674BAC" w:rsidRDefault="00674BAC" w:rsidP="00DA012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61BA9482" w14:textId="681E0482" w:rsidR="00674BAC" w:rsidRDefault="00674BAC" w:rsidP="00DA0121">
            <w:pPr>
              <w:spacing w:after="180"/>
            </w:pPr>
            <w:r>
              <w:rPr>
                <w:spacing w:val="-4"/>
              </w:rPr>
              <w:t>Z teritoriálního pohledu se v 1. pololetí v podobné míře zvyšoval vývoz zboží do Evropské unie (+92,5 mld. korun, 5,3 %) i mimo ni (+2</w:t>
            </w:r>
            <w:r w:rsidR="24FC0D77">
              <w:rPr>
                <w:spacing w:val="-4"/>
              </w:rPr>
              <w:t>1</w:t>
            </w:r>
            <w:r>
              <w:rPr>
                <w:spacing w:val="-4"/>
              </w:rPr>
              <w:t>,6 mld., 5,3 %). Vývoj v jednotlivých čtvrtletích se ale lišil. Po solidním růstu z 1. kvartálu ve 2. čtvrtletí hodnota exportu zboží do EU stagnovala (+2,7 mld. korun, 0,3 %) a přírůstek vývozu mimo unii oslabil na 7,2 mld. (3,4 %). Ve 2. čtvrtletí nejvíce meziročně rostla hodnota vývozu do Německa (+7,9 mld. korun, 2,4 %), ale růst prudce oslabil. Výrazný byl také přírůstek exportu do Turecka (+5,9 mld. korun, 52,5 %), Francie (+5,1 mld., 9,1 %), Itálie (+4,8 mld., 9,9 %), Velké Británie (+2,6 mld., 6,3 %) nebo Belgie (+2,2 mld., 8,3 %). U zbytku zemí export spíše stagnoval nebo klesal. Nejvýrazněji klesal vývoz na Slovensko (−14,8 mld. korun, −12,7 %)</w:t>
            </w:r>
            <w:r>
              <w:rPr>
                <w:rStyle w:val="Znakapoznpodarou"/>
                <w:spacing w:val="-4"/>
              </w:rPr>
              <w:footnoteReference w:id="3"/>
            </w:r>
            <w:r>
              <w:rPr>
                <w:spacing w:val="-4"/>
              </w:rPr>
              <w:t>, do Rakouska (−4,9 mld., −9,5 %), Spojených států (−3,3 mld., −10,6 %) a Ruska (−2,9 mld., −45,5 %).</w:t>
            </w:r>
          </w:p>
        </w:tc>
      </w:tr>
      <w:tr w:rsidR="00674BAC" w:rsidRPr="009110F7" w14:paraId="6E78B103" w14:textId="77777777" w:rsidTr="785B85D1">
        <w:trPr>
          <w:trHeight w:val="170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29878ED7" w14:textId="77777777" w:rsidR="00674BAC" w:rsidRDefault="00674BAC" w:rsidP="00DA0121">
            <w:pPr>
              <w:pStyle w:val="Marginlie"/>
            </w:pPr>
            <w:r>
              <w:t>Růst vývozu podpořil zejména obchod s motorovými vozidly.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507F9AD5" w14:textId="77777777" w:rsidR="00674BAC" w:rsidRDefault="00674BAC" w:rsidP="00DA012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4A63B738" w14:textId="77777777" w:rsidR="00674BAC" w:rsidRPr="00AF6F98" w:rsidRDefault="00674BAC" w:rsidP="00DA0121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V 1. pololetí k celkovému meziročnímu růstu hodnoty vývozu zboží nejvíce přispíval export motorových vozidel (+126,9 mld. korun, 24,8 %), elektrických zařízení (+40,7 mld., </w:t>
            </w:r>
            <w:r>
              <w:rPr>
                <w:spacing w:val="-4"/>
              </w:rPr>
              <w:br/>
              <w:t xml:space="preserve">20,7 %), strojů a zařízení (+27,0 mld., 11,1 %) a potravinářských výrobků (+12,0 mld., </w:t>
            </w:r>
            <w:r>
              <w:rPr>
                <w:spacing w:val="-4"/>
              </w:rPr>
              <w:br/>
              <w:t xml:space="preserve">17,3 %). Naopak v souvislosti s poklesem cen zaznamenala propad hodnota vývozu elektřiny, plynu, páry a klimatizovaného vzduchu (−20,7 mld. korun, −43,3 %), základních kovů (−20,1 mld., −18,6 %) i chemických látek a přípravků (−17,8 mld., −14,6 %). Pohled na samotné 2. čtvrtletí ukazuje, že vývoj exportu potvrzuje podobný trend v průmyslu – ve směru růstu výrazně působil vývoz motorových vozidel (+55,7 mld. korun, 20,5 %) </w:t>
            </w:r>
            <w:r>
              <w:rPr>
                <w:spacing w:val="-4"/>
              </w:rPr>
              <w:br/>
              <w:t xml:space="preserve">a omezená skupina přidružených oborů, jako jsou elektrická zařízení (+14,2 mld., 14,0 %), či stroje a zařízení (+9,4 mld., 7,5 %). Vlivem rostoucích cen se dál výrazněji zvyšoval jen export potravinářských výrobků (+3,8 mld. korun, 10,5 %). Zbytek vývozu vykazoval stagnaci nebo pokles. Nejsilněji se ve 2. čtvrtletí meziročně snižovala hodnota exportu základních kovů (−14,0 mld. korun, −24,9 %), chemických látek a přípravků (−12,4 mld., −19,7 %) a elektřiny, plynu, páry a klimatizovaného vzduchu (−11,9 mld., −56,1 %). Klesal také vývoz dřeva a dřevěných výrobků (−5,5 mld. korun, −31,9 %), kovodělných výrobků (−5,1 mld., −7,0 %), ropy a zemního plynu (−5,1 mld., −99,2 %), počítačů, elektronických a optických přístrojů a zařízení (−4,0 mld., −4,2 %), činností souvisejících s odpady (−4,1 mld., −27,8 %) nebo produktů lesnictví, těžby dřeva a souvisejících služeb </w:t>
            </w:r>
            <w:r>
              <w:rPr>
                <w:spacing w:val="-4"/>
              </w:rPr>
              <w:br/>
              <w:t>(−3,8 mld., −52,3 %).</w:t>
            </w:r>
          </w:p>
        </w:tc>
      </w:tr>
      <w:tr w:rsidR="00674BAC" w:rsidRPr="009110F7" w14:paraId="24901DBE" w14:textId="77777777" w:rsidTr="785B85D1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272BBFD8" w14:textId="77777777" w:rsidR="00674BAC" w:rsidRDefault="00674BAC" w:rsidP="00DA0121">
            <w:pPr>
              <w:pStyle w:val="Marginlie"/>
            </w:pPr>
            <w:r>
              <w:t>Dovoz se vlivem klesajících cen snižoval.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546B8FC5" w14:textId="77777777" w:rsidR="00674BAC" w:rsidRDefault="00674BAC" w:rsidP="00DA012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3D774B4A" w14:textId="77777777" w:rsidR="00674BAC" w:rsidRDefault="00674BAC" w:rsidP="00DA0121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Dovoz zboží v 1. pololetí 2023 dosáhl hodnoty 2 202,6 mld. korun a meziročně tak klesl o 51,0 mld. (2,3 %). Na poklesu se podepsalo zejména snížení cen řady surovin</w:t>
            </w:r>
            <w:r>
              <w:rPr>
                <w:rStyle w:val="Znakapoznpodarou"/>
                <w:spacing w:val="-4"/>
              </w:rPr>
              <w:footnoteReference w:id="4"/>
            </w:r>
            <w:r>
              <w:rPr>
                <w:spacing w:val="-4"/>
              </w:rPr>
              <w:t xml:space="preserve"> i nižší objem dovozu ropy a zemního plynu a šlo zejména o výsledek vývoje ve 2. kvartálu. </w:t>
            </w:r>
            <w:r w:rsidRPr="00FA2C07">
              <w:rPr>
                <w:spacing w:val="-5"/>
              </w:rPr>
              <w:lastRenderedPageBreak/>
              <w:t>Hodnota importu zboží ve 2. čtvrtletí meziročně klesla o 102,7 mld. korun (−8,6 %) na 1 093,5 mld. Mezičtvrtletně se sezónně očištěný dovoz zboží potřetí v řadě snížil, a to o 1,3 %. Pokles dovozu v 1. pololetí se týkal zemí EU (−20,1 mld. korun, −1,4 %) i těch mimo ni (−33,9 mld., −4,0 %). Na začátku roku dovoz ještě meziročně rostl, takže celkový pokles za pololetí je dílem 2. kvartálu, kdy dovoz z EU klesl o 46,2 mld. korun (−6,3 %) a mimo EU se propadl o 57,7 mld. (−12,6 %). Nejvíce se ve 2. čtvrtletí meziročně propadl dovoz z Ruska (−81,3 mld. korun, −84,0 %), což dokládá výraznou úlohu poklesu cen ropy a zemního plynu v celkovém vývoji zahraničního obchodu. Nižší byl také import z Německa (−14,4 mld. korun, −5,5 %), Polska (−11,4 mld., −10,3 %), Rakouska (−7,0 mld., −18,4 %), Itálie (−6,0 mld., −11,0 %), ze Slovenska (−4,7 mld., −7,6 %) nebo z Ázerbájdžánu (−3,4 mld., −36,1 %). Rostl dovoz z menšiny zemí, nejvíce z Norska (+24,4 mld. korun, 953,9 %)</w:t>
            </w:r>
            <w:r w:rsidRPr="00FA2C07">
              <w:rPr>
                <w:rStyle w:val="Znakapoznpodarou"/>
                <w:spacing w:val="-5"/>
              </w:rPr>
              <w:footnoteReference w:id="5"/>
            </w:r>
            <w:r w:rsidRPr="00FA2C07">
              <w:rPr>
                <w:spacing w:val="-5"/>
              </w:rPr>
              <w:t xml:space="preserve">, Číny (+7,8 mld., 6,3 %), Velké Británie (+2,9 mld., 17,4 %) a Koreje (+2,1 mld., 9,0 %). </w:t>
            </w:r>
          </w:p>
        </w:tc>
      </w:tr>
      <w:tr w:rsidR="00674BAC" w:rsidRPr="009110F7" w14:paraId="7214CB2C" w14:textId="77777777" w:rsidTr="785B85D1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47D1BCEB" w14:textId="77777777" w:rsidR="00674BAC" w:rsidRDefault="00674BAC" w:rsidP="00DA0121">
            <w:pPr>
              <w:pStyle w:val="Marginlie"/>
            </w:pPr>
            <w:r>
              <w:lastRenderedPageBreak/>
              <w:t>Propadl se zejména dovoz ropy a zemního plynu.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5449545E" w14:textId="77777777" w:rsidR="00674BAC" w:rsidRDefault="00674BAC" w:rsidP="00DA012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1C36818D" w14:textId="77777777" w:rsidR="00674BAC" w:rsidRDefault="00674BAC" w:rsidP="00DA0121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Dovoz v 1. pololetí meziročně klesal zejména pod vlivem nižších cen různých surovin. To je patrné na nejvýraznějších propadech − ropy a zemního plynu (−71,1 mld. korun, −44,6 %), základních kovů (−39,2 mld., −18,8 %) a chemických látek a přípravků (−24,0 mld., −12,0 %). Naopak výrazně vyšší byl dovoz motorových vozidel (+55,7 mld. korun, 19,7 %), elektrických zařízení (+48,3 mld., 25,0 %) a strojů a zařízení (+12,5 mld., 6,4 %). V samotném 2. čtvrtletí se dovoz ropy a zemního plynu meziročně propadl o 60,7 mld. korun (−57,3 %), základních kovů o 28,1 mld. (−25,7 %), chemických látek a přípravků o 16,0 mld. (−15,5 %) a koksu a rafinovaných ropných produktů o 10,9 mld. (−35,4 %). Výrazná snížení se dotkla také hodnoty importu elektřiny, plynu, páry a klimatizovaného vzduchu (−4,6 mld. korun, −45,2 %), papíru a výrobků z něj (−4,1 mld., −20,9 %), počítačů, elektronických a optických přístrojů a zařízení (−3,9 mld., −3,4 %), černého a hnědého uhlí a lignitu (−3,7 mld., −37,4 %) nebo dřeva a dřevěných výrobků (−3,2 mld., −32,6 %). Dovoz se ve 2. čtvrtletí propadal plošně a mezi nemnohými výjimkami nejvíce meziročně rostla hodnota importu motorových vozidel včetně dílů (+26,2 mld. korun, 17,6 %) a elektrických zařízení (+19,7 mld., 19,7 %).</w:t>
            </w:r>
          </w:p>
        </w:tc>
      </w:tr>
      <w:tr w:rsidR="00674BAC" w:rsidRPr="009110F7" w14:paraId="18C34414" w14:textId="77777777" w:rsidTr="785B85D1">
        <w:trPr>
          <w:trHeight w:val="150"/>
        </w:trPr>
        <w:tc>
          <w:tcPr>
            <w:tcW w:w="1748" w:type="dxa"/>
            <w:vMerge w:val="restart"/>
            <w:shd w:val="clear" w:color="auto" w:fill="auto"/>
            <w:tcMar>
              <w:left w:w="0" w:type="dxa"/>
            </w:tcMar>
          </w:tcPr>
          <w:p w14:paraId="22C345BB" w14:textId="77777777" w:rsidR="00674BAC" w:rsidRDefault="00674BAC" w:rsidP="00DA0121">
            <w:pPr>
              <w:pStyle w:val="Marginlie"/>
            </w:pPr>
          </w:p>
        </w:tc>
        <w:tc>
          <w:tcPr>
            <w:tcW w:w="221" w:type="dxa"/>
            <w:vMerge w:val="restart"/>
            <w:shd w:val="clear" w:color="auto" w:fill="auto"/>
            <w:tcMar>
              <w:left w:w="0" w:type="dxa"/>
            </w:tcMar>
          </w:tcPr>
          <w:p w14:paraId="3856DC65" w14:textId="77777777" w:rsidR="00674BAC" w:rsidRDefault="00674BAC" w:rsidP="00DA012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7751D0C6" w14:textId="6348A823" w:rsidR="00674BAC" w:rsidRDefault="00674BAC" w:rsidP="00DA0121">
            <w:pPr>
              <w:spacing w:after="0"/>
              <w:rPr>
                <w:spacing w:val="-4"/>
              </w:rPr>
            </w:pPr>
            <w:r w:rsidRPr="00D75AC1">
              <w:rPr>
                <w:rFonts w:cs="Arial"/>
                <w:b/>
                <w:bCs/>
                <w:color w:val="000000"/>
                <w:szCs w:val="20"/>
              </w:rPr>
              <w:t>Graf č.</w:t>
            </w:r>
            <w:r w:rsidR="00FA2C07">
              <w:rPr>
                <w:rFonts w:cs="Arial"/>
                <w:b/>
                <w:bCs/>
                <w:color w:val="000000"/>
                <w:szCs w:val="20"/>
              </w:rPr>
              <w:t> 9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5AC1">
              <w:rPr>
                <w:b/>
                <w:spacing w:val="-4"/>
                <w:szCs w:val="20"/>
              </w:rPr>
              <w:t xml:space="preserve">Bilance zahraničního obchodu </w:t>
            </w:r>
            <w:r>
              <w:rPr>
                <w:b/>
                <w:spacing w:val="-4"/>
                <w:szCs w:val="20"/>
              </w:rPr>
              <w:t xml:space="preserve">se zbožím </w:t>
            </w:r>
            <w:r w:rsidRPr="00D75AC1">
              <w:rPr>
                <w:b/>
                <w:spacing w:val="-4"/>
                <w:szCs w:val="20"/>
              </w:rPr>
              <w:t xml:space="preserve">ve statistice zahraničního obchodu </w:t>
            </w:r>
            <w:r w:rsidRPr="00D75AC1">
              <w:rPr>
                <w:spacing w:val="-4"/>
                <w:szCs w:val="20"/>
              </w:rPr>
              <w:t xml:space="preserve">(kumulace </w:t>
            </w:r>
            <w:r>
              <w:rPr>
                <w:spacing w:val="-4"/>
                <w:szCs w:val="20"/>
              </w:rPr>
              <w:t>1. čtvrtletí</w:t>
            </w:r>
            <w:r w:rsidRPr="00D75AC1">
              <w:rPr>
                <w:spacing w:val="-4"/>
                <w:szCs w:val="20"/>
              </w:rPr>
              <w:t>, v mld.</w:t>
            </w:r>
            <w:r>
              <w:rPr>
                <w:spacing w:val="-4"/>
                <w:szCs w:val="20"/>
              </w:rPr>
              <w:t xml:space="preserve"> </w:t>
            </w:r>
            <w:r w:rsidRPr="00D75AC1">
              <w:rPr>
                <w:spacing w:val="-4"/>
                <w:szCs w:val="20"/>
              </w:rPr>
              <w:t>korun, vybrané oddíly klasifikace CPA)</w:t>
            </w:r>
          </w:p>
        </w:tc>
      </w:tr>
      <w:tr w:rsidR="00674BAC" w:rsidRPr="009110F7" w14:paraId="6C0F91C5" w14:textId="77777777" w:rsidTr="785B85D1">
        <w:tblPrEx>
          <w:tblCellMar>
            <w:left w:w="70" w:type="dxa"/>
            <w:right w:w="70" w:type="dxa"/>
          </w:tblCellMar>
        </w:tblPrEx>
        <w:trPr>
          <w:trHeight w:val="150"/>
        </w:trPr>
        <w:tc>
          <w:tcPr>
            <w:tcW w:w="1748" w:type="dxa"/>
            <w:vMerge/>
          </w:tcPr>
          <w:p w14:paraId="16176865" w14:textId="77777777" w:rsidR="00674BAC" w:rsidRDefault="00674BAC" w:rsidP="00DA0121">
            <w:pPr>
              <w:pStyle w:val="Marginlie"/>
            </w:pPr>
          </w:p>
        </w:tc>
        <w:tc>
          <w:tcPr>
            <w:tcW w:w="221" w:type="dxa"/>
            <w:vMerge/>
          </w:tcPr>
          <w:p w14:paraId="1B0C95DA" w14:textId="77777777" w:rsidR="00674BAC" w:rsidRDefault="00674BAC" w:rsidP="00DA012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</w:tcPr>
          <w:p w14:paraId="4CDD97A6" w14:textId="77777777" w:rsidR="00674BAC" w:rsidRDefault="00674BAC" w:rsidP="00DA0121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5263F48C" wp14:editId="5FA98236">
                  <wp:extent cx="4771467" cy="3492000"/>
                  <wp:effectExtent l="0" t="0" r="0" b="0"/>
                  <wp:docPr id="139224536" name="Graf 1392245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674BAC" w:rsidRPr="009110F7" w14:paraId="112F8332" w14:textId="77777777" w:rsidTr="785B85D1">
        <w:trPr>
          <w:trHeight w:val="150"/>
        </w:trPr>
        <w:tc>
          <w:tcPr>
            <w:tcW w:w="1748" w:type="dxa"/>
            <w:vMerge/>
            <w:tcMar>
              <w:left w:w="0" w:type="dxa"/>
            </w:tcMar>
          </w:tcPr>
          <w:p w14:paraId="2C5823EF" w14:textId="77777777" w:rsidR="00674BAC" w:rsidRDefault="00674BAC" w:rsidP="00DA0121">
            <w:pPr>
              <w:pStyle w:val="Marginlie"/>
            </w:pPr>
          </w:p>
        </w:tc>
        <w:tc>
          <w:tcPr>
            <w:tcW w:w="221" w:type="dxa"/>
            <w:vMerge/>
            <w:tcMar>
              <w:left w:w="0" w:type="dxa"/>
            </w:tcMar>
          </w:tcPr>
          <w:p w14:paraId="4C675AEB" w14:textId="77777777" w:rsidR="00674BAC" w:rsidRDefault="00674BAC" w:rsidP="00DA012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3417D412" w14:textId="77777777" w:rsidR="00674BAC" w:rsidRDefault="00674BAC" w:rsidP="00DA0121">
            <w:pPr>
              <w:spacing w:after="0"/>
              <w:rPr>
                <w:spacing w:val="-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  <w:tr w:rsidR="00674BAC" w:rsidRPr="009110F7" w14:paraId="114C23F3" w14:textId="77777777" w:rsidTr="785B85D1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66C8C1AB" w14:textId="77777777" w:rsidR="00674BAC" w:rsidRDefault="00674BAC" w:rsidP="00DA0121">
            <w:pPr>
              <w:pStyle w:val="Marginlie"/>
            </w:pPr>
            <w:r>
              <w:lastRenderedPageBreak/>
              <w:t>Bilance zahraničního obchodu se zbožím  skončila v přebytku.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3EBAB947" w14:textId="77777777" w:rsidR="00674BAC" w:rsidRDefault="00674BAC" w:rsidP="00DA012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1C62B1CF" w14:textId="7FAB4A11" w:rsidR="00674BAC" w:rsidRPr="00AF6F98" w:rsidRDefault="00674BAC" w:rsidP="00DA0121">
            <w:pPr>
              <w:spacing w:after="180"/>
            </w:pPr>
            <w:r>
              <w:rPr>
                <w:spacing w:val="-4"/>
              </w:rPr>
              <w:t xml:space="preserve">Bilance zahraničního obchodu se zbožím v 1. pololetí dosáhla přebytku 79,4 mld. korun a meziročně se zlepšila o 165,3 mld. Letošní přebytek byl nejlepším výsledkem bilance v daném období za poslední čtyři roky, ale zaostával za úrovní stejného období let </w:t>
            </w:r>
            <w:r>
              <w:rPr>
                <w:spacing w:val="-4"/>
              </w:rPr>
              <w:br/>
              <w:t>2014–2019. V samotném 2. čtvrtletí kladné saldo zahraničního obchodu se zbožím dosáhlo 39,5 mld. korun a meziročně byla bilance lepší o 112,7 mld. Podle sezónně očištěných dat se bilance mezičtvrtletně zlepšila o výrazných 22,6 mld. korun. Meziroční zlepšení bilance v 1. pololetí se týkalo obchodu s EU (+112,6 mld. korun) i s mimounijními zeměmi (+55,6 mld.). V samotném 2. kvartálu se bilance zahraničního obchodu se zbožím s EU zlepšila meziročně o 48,9 mld. korun a mimo EU o 64,8 mld. Nejvíce ve směru meziročního zlepšení bilance působil ve 2. čtvrtletí obchod s Ruskem (+78,5 mld. korun), Německem (+22,3 mld.), Polskem (+11,2 mld.) a Itálií (+10,8 mld.). Zlepšovala se také bilance obchodu s Tureckem (+7,3 mld. korun), Francií (+5,2 mld.), Ázerbájdžánem (+3,6 mld.), Belgií (+3,6 mld.), Ukrajinou (+3,3 mld.), Kazachstánem (+3,1 mld.), Švýcarskem (+2,4 mld.), Rakouskem (+2,1 mld.) nebo Bulharskem (+2,1 mld.). Naopak nejvýraznější zhoršení bilance se týkalo zahraničního obchodu s Norskem (−26,</w:t>
            </w:r>
            <w:r w:rsidR="78058569">
              <w:rPr>
                <w:spacing w:val="-4"/>
              </w:rPr>
              <w:t>0</w:t>
            </w:r>
            <w:r>
              <w:rPr>
                <w:spacing w:val="-4"/>
              </w:rPr>
              <w:t xml:space="preserve"> mld. korun), Slovenskem (−10,1 mld.), Čínou (−8,2 mld.), Spojenými státy (−5,1 mld.) a Jižní Koreou (−2,6 mld.).</w:t>
            </w:r>
          </w:p>
        </w:tc>
      </w:tr>
      <w:tr w:rsidR="00674BAC" w:rsidRPr="009110F7" w14:paraId="0FA16D03" w14:textId="77777777" w:rsidTr="785B85D1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310BDB46" w14:textId="77777777" w:rsidR="00674BAC" w:rsidRDefault="00674BAC" w:rsidP="00DA0121">
            <w:pPr>
              <w:pStyle w:val="Marginlie"/>
            </w:pPr>
            <w:r>
              <w:t xml:space="preserve">Ke zlepšení bilance přispěl zejména obchod s motorovými vozidly </w:t>
            </w:r>
            <w:r>
              <w:br/>
              <w:t>a také s ropou a zemním plynem.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2EE7D689" w14:textId="77777777" w:rsidR="00674BAC" w:rsidRDefault="00674BAC" w:rsidP="00DA012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0F1E11E6" w14:textId="77777777" w:rsidR="00674BAC" w:rsidRDefault="00674BAC" w:rsidP="00DA0121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V 1. pololetí ve směru zlepšení bilance působilo zlepšení přebytku obchodu s motorovými vozidly (+71,2 mld. korun) a zmírnění deficitu u ropy a zemního plynu (+65,7 mld.). Příznivě se vyvíjelo i saldo obchodu se základními kovy (+19,1 mld. korun) a stroji a zařízeními (+14,5 mld.). Nejvíce se zhoršovala bilance obchodu s elektřinou, plynem, párou a klimatizovaným vzduchem (−13,3 mld. korun), elektrickými zařízeními (−7,6 mld.) a s produkty lesnictví, těžby dřeva a souvisejícími službami (−5,8 mld.). V samotném 2. čtvrtletí se nejvíce meziročně zlepšovalo saldo obchodu s ropou a zemním plynem (+55,6 mld. korun) a dále s motorovými vozidly (+29,4 mld.), základními kovy (+14,1 mld.) a koksem a rafinovanými ropnými produkty (+8,6 mld.). Výraznější zlepšení bilance vykázal také obchod se stroji a zařízeními (+7,6 mld. korun), chemickými látkami a přípravky (+3,7 mld.) nebo černým a hnědým uhlím a lignitem (+3,2 mld.). Největší zhoršení bilance se dotklo obchodu s elektřinou, plynem, párou a klimatizovaným vzduchem (−7,3 mld. korun), elektrickými zařízeními (−5,5 mld.), kovodělnými výrobky (−4,2 mld.) a produkty lesnictví, těžby dřeva a souvisejícími službami (−3,8 mld.). </w:t>
            </w:r>
          </w:p>
        </w:tc>
      </w:tr>
      <w:bookmarkEnd w:id="6"/>
      <w:bookmarkEnd w:id="7"/>
      <w:bookmarkEnd w:id="8"/>
    </w:tbl>
    <w:p w14:paraId="3EDFD85E" w14:textId="77777777" w:rsidR="00674BAC" w:rsidRPr="00E42054" w:rsidRDefault="00674BAC" w:rsidP="00674BAC">
      <w:pPr>
        <w:pStyle w:val="Nadpis11"/>
        <w:rPr>
          <w:b w:val="0"/>
          <w:sz w:val="2"/>
          <w:szCs w:val="2"/>
        </w:rPr>
      </w:pPr>
    </w:p>
    <w:p w14:paraId="2C7C648B" w14:textId="77777777" w:rsidR="00674BAC" w:rsidRPr="001C3855" w:rsidRDefault="00674BAC" w:rsidP="00674BAC">
      <w:pPr>
        <w:pStyle w:val="Nadpis11"/>
        <w:rPr>
          <w:sz w:val="2"/>
          <w:szCs w:val="2"/>
        </w:rPr>
      </w:pPr>
    </w:p>
    <w:p w14:paraId="3B29EC88" w14:textId="77777777" w:rsidR="00674BAC" w:rsidRPr="001C3855" w:rsidRDefault="00674BAC" w:rsidP="00674BAC">
      <w:pPr>
        <w:pStyle w:val="Nadpis11"/>
        <w:rPr>
          <w:sz w:val="2"/>
          <w:szCs w:val="2"/>
        </w:rPr>
      </w:pPr>
    </w:p>
    <w:p w14:paraId="6FD91E5A" w14:textId="70121934" w:rsidR="00106BCC" w:rsidRPr="001C3855" w:rsidRDefault="00106BCC" w:rsidP="00607E1D">
      <w:pPr>
        <w:pStyle w:val="Nadpis11"/>
        <w:rPr>
          <w:sz w:val="2"/>
          <w:szCs w:val="2"/>
        </w:rPr>
      </w:pPr>
      <w:bookmarkStart w:id="9" w:name="_GoBack"/>
      <w:bookmarkEnd w:id="2"/>
      <w:bookmarkEnd w:id="3"/>
      <w:bookmarkEnd w:id="9"/>
    </w:p>
    <w:sectPr w:rsidR="00106BCC" w:rsidRPr="001C3855" w:rsidSect="00C33822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CA0A2" w14:textId="77777777" w:rsidR="00F46D42" w:rsidRDefault="00F46D42" w:rsidP="00E71A58">
      <w:r>
        <w:separator/>
      </w:r>
    </w:p>
  </w:endnote>
  <w:endnote w:type="continuationSeparator" w:id="0">
    <w:p w14:paraId="6790D31D" w14:textId="77777777" w:rsidR="00F46D42" w:rsidRDefault="00F46D4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173CD05D" w:rsidR="00DA0121" w:rsidRPr="00932443" w:rsidRDefault="00DA012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C33822">
      <w:rPr>
        <w:szCs w:val="16"/>
      </w:rPr>
      <w:t>22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pololetí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0C5FC6FE" w:rsidR="00DA0121" w:rsidRPr="00932443" w:rsidRDefault="00DA0121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pololetí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C33822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13864" w14:textId="77777777" w:rsidR="00F46D42" w:rsidRDefault="00F46D42" w:rsidP="00A21B4D">
      <w:pPr>
        <w:spacing w:after="0"/>
      </w:pPr>
      <w:r>
        <w:separator/>
      </w:r>
    </w:p>
  </w:footnote>
  <w:footnote w:type="continuationSeparator" w:id="0">
    <w:p w14:paraId="794D60FA" w14:textId="77777777" w:rsidR="00F46D42" w:rsidRDefault="00F46D42" w:rsidP="00E71A58">
      <w:r>
        <w:continuationSeparator/>
      </w:r>
    </w:p>
  </w:footnote>
  <w:footnote w:id="1">
    <w:p w14:paraId="04F54C47" w14:textId="77777777" w:rsidR="00DA0121" w:rsidRPr="00441515" w:rsidRDefault="00DA0121" w:rsidP="00674BAC">
      <w:pPr>
        <w:pStyle w:val="Textpoznpodarou"/>
        <w:rPr>
          <w:rFonts w:cs="Arial"/>
          <w:i/>
          <w:iCs/>
          <w:sz w:val="16"/>
          <w:szCs w:val="16"/>
        </w:rPr>
      </w:pPr>
      <w:r w:rsidRPr="00441515">
        <w:rPr>
          <w:rStyle w:val="Znakapoznpodarou"/>
          <w:rFonts w:cs="Arial"/>
          <w:sz w:val="16"/>
          <w:szCs w:val="16"/>
        </w:rPr>
        <w:footnoteRef/>
      </w:r>
      <w:r w:rsidRPr="00441515">
        <w:rPr>
          <w:rFonts w:cs="Arial"/>
          <w:i/>
          <w:iCs/>
          <w:sz w:val="16"/>
          <w:szCs w:val="16"/>
        </w:rPr>
        <w:t xml:space="preserve"> </w:t>
      </w:r>
      <w:r w:rsidRPr="00441515">
        <w:rPr>
          <w:rStyle w:val="Zdraznn"/>
          <w:rFonts w:cs="Arial"/>
          <w:i w:val="0"/>
          <w:iCs w:val="0"/>
          <w:color w:val="333333"/>
          <w:sz w:val="16"/>
          <w:szCs w:val="16"/>
          <w:bdr w:val="none" w:sz="0" w:space="0" w:color="auto" w:frame="1"/>
          <w:shd w:val="clear" w:color="auto" w:fill="FFFFFF"/>
        </w:rPr>
        <w:t>Údaje za zahraniční obchod se zbožím od roku 2020 jsou přepočítávány aktualizovanou metodou založenou na vyšší míře detailu, viz </w:t>
      </w:r>
      <w:hyperlink r:id="rId1" w:history="1">
        <w:r w:rsidRPr="00C80FF3">
          <w:rPr>
            <w:rStyle w:val="Hypertextovodkaz"/>
            <w:rFonts w:cs="Arial"/>
            <w:sz w:val="16"/>
            <w:szCs w:val="16"/>
            <w:bdr w:val="none" w:sz="0" w:space="0" w:color="auto" w:frame="1"/>
            <w:shd w:val="clear" w:color="auto" w:fill="FFFFFF"/>
          </w:rPr>
          <w:t>https://www.czso.cz/csu/czso/aktualizace-metody-propoctu-zahranicni-obchod-se-zbozim</w:t>
        </w:r>
      </w:hyperlink>
      <w:r>
        <w:rPr>
          <w:rStyle w:val="Hypertextovodkaz"/>
          <w:rFonts w:cs="Arial"/>
          <w:sz w:val="16"/>
          <w:szCs w:val="16"/>
          <w:bdr w:val="none" w:sz="0" w:space="0" w:color="auto" w:frame="1"/>
          <w:shd w:val="clear" w:color="auto" w:fill="FFFFFF"/>
        </w:rPr>
        <w:t xml:space="preserve">. </w:t>
      </w:r>
      <w:r w:rsidRPr="004E0CF8">
        <w:rPr>
          <w:sz w:val="16"/>
          <w:szCs w:val="16"/>
        </w:rPr>
        <w:t>Není-li uvedeno jinak, jsou všechny údaje sezónně neočištěné a v běžných cenách.</w:t>
      </w:r>
    </w:p>
  </w:footnote>
  <w:footnote w:id="2">
    <w:p w14:paraId="517C0088" w14:textId="77777777" w:rsidR="00DA0121" w:rsidRPr="00FC5C85" w:rsidRDefault="00DA0121" w:rsidP="00674BAC">
      <w:pPr>
        <w:pStyle w:val="Textpoznpodarou"/>
        <w:rPr>
          <w:sz w:val="16"/>
          <w:szCs w:val="16"/>
        </w:rPr>
      </w:pPr>
      <w:r w:rsidRPr="00FC5C85">
        <w:rPr>
          <w:rStyle w:val="Znakapoznpodarou"/>
          <w:sz w:val="16"/>
          <w:szCs w:val="16"/>
        </w:rPr>
        <w:footnoteRef/>
      </w:r>
      <w:r w:rsidRPr="00FC5C85">
        <w:rPr>
          <w:sz w:val="16"/>
          <w:szCs w:val="16"/>
        </w:rPr>
        <w:t xml:space="preserve"> Ceny vývozu zboží se</w:t>
      </w:r>
      <w:r>
        <w:rPr>
          <w:sz w:val="16"/>
          <w:szCs w:val="16"/>
        </w:rPr>
        <w:t xml:space="preserve"> ve 2. čtvrtletí 2023 meziročně zvýšily o 1,8 % a mezičtvrtletně klesly o 2,2 %.</w:t>
      </w:r>
      <w:r w:rsidRPr="00FC5C85">
        <w:rPr>
          <w:sz w:val="16"/>
          <w:szCs w:val="16"/>
        </w:rPr>
        <w:t xml:space="preserve"> </w:t>
      </w:r>
    </w:p>
  </w:footnote>
  <w:footnote w:id="3">
    <w:p w14:paraId="1D2D38DA" w14:textId="77777777" w:rsidR="00DA0121" w:rsidRPr="00DE472F" w:rsidRDefault="00DA0121" w:rsidP="00674BAC">
      <w:pPr>
        <w:pStyle w:val="Textpoznpodarou"/>
        <w:rPr>
          <w:sz w:val="16"/>
          <w:szCs w:val="16"/>
        </w:rPr>
      </w:pPr>
      <w:r w:rsidRPr="00DE472F">
        <w:rPr>
          <w:rStyle w:val="Znakapoznpodarou"/>
          <w:sz w:val="16"/>
          <w:szCs w:val="16"/>
        </w:rPr>
        <w:footnoteRef/>
      </w:r>
      <w:r w:rsidRPr="00DE47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Vývoz k našim nejbližším sousedům byl značně ovlivněn poklesem ceny elektřiny. V případě Německa se ve 2. čtvrtletí propadla hodnota vývozu elektřiny, plynu, páry a klimatizovaného vzduchu o 4,8 mld. korun a o 2,1 mld. nižší byl vývoz produktů souvisejících s odpady. Export elektřiny na Slovensko se propadl o 8,0 mld. korun a přidalo se k tomu snížení vývozu ropy a zemního plynu </w:t>
      </w:r>
      <w:r>
        <w:rPr>
          <w:sz w:val="16"/>
          <w:szCs w:val="16"/>
        </w:rPr>
        <w:br/>
        <w:t xml:space="preserve">o 5,1 mld.  </w:t>
      </w:r>
    </w:p>
  </w:footnote>
  <w:footnote w:id="4">
    <w:p w14:paraId="6AEAB5B2" w14:textId="77777777" w:rsidR="00DA0121" w:rsidRPr="00063A81" w:rsidRDefault="00DA0121" w:rsidP="00674BAC">
      <w:pPr>
        <w:pStyle w:val="Textpoznpodarou"/>
        <w:rPr>
          <w:sz w:val="16"/>
          <w:szCs w:val="16"/>
        </w:rPr>
      </w:pPr>
      <w:r w:rsidRPr="00063A81">
        <w:rPr>
          <w:rStyle w:val="Znakapoznpodarou"/>
          <w:sz w:val="16"/>
          <w:szCs w:val="16"/>
        </w:rPr>
        <w:footnoteRef/>
      </w:r>
      <w:r w:rsidRPr="00063A81">
        <w:rPr>
          <w:sz w:val="16"/>
          <w:szCs w:val="16"/>
        </w:rPr>
        <w:t xml:space="preserve"> Ceny dovozu zboží</w:t>
      </w:r>
      <w:r>
        <w:rPr>
          <w:sz w:val="16"/>
          <w:szCs w:val="16"/>
        </w:rPr>
        <w:t xml:space="preserve"> ve 2. čtvrtletí</w:t>
      </w:r>
      <w:r w:rsidRPr="00063A81">
        <w:rPr>
          <w:sz w:val="16"/>
          <w:szCs w:val="16"/>
        </w:rPr>
        <w:t xml:space="preserve"> </w:t>
      </w:r>
      <w:r>
        <w:rPr>
          <w:sz w:val="16"/>
          <w:szCs w:val="16"/>
        </w:rPr>
        <w:t>meziročně klesly o 7,6 % a mezičtvrtletně se propadly o 4,5 %. C</w:t>
      </w:r>
      <w:r w:rsidRPr="000B767B">
        <w:rPr>
          <w:sz w:val="16"/>
          <w:szCs w:val="16"/>
        </w:rPr>
        <w:t xml:space="preserve">eny minerálních paliv </w:t>
      </w:r>
      <w:r>
        <w:rPr>
          <w:sz w:val="16"/>
          <w:szCs w:val="16"/>
        </w:rPr>
        <w:t xml:space="preserve">byly nižší </w:t>
      </w:r>
      <w:r w:rsidRPr="000B767B">
        <w:rPr>
          <w:sz w:val="16"/>
          <w:szCs w:val="16"/>
        </w:rPr>
        <w:t xml:space="preserve">o 32,0 % (hlavně ropy a ropných výrobků, plynu a elektřiny), ostatních surovin o 15,8 % (především rud kovů a kovového odpadu) </w:t>
      </w:r>
      <w:r>
        <w:rPr>
          <w:sz w:val="16"/>
          <w:szCs w:val="16"/>
        </w:rPr>
        <w:br/>
      </w:r>
      <w:r w:rsidRPr="000B767B">
        <w:rPr>
          <w:sz w:val="16"/>
          <w:szCs w:val="16"/>
        </w:rPr>
        <w:t>a chemikálií o 10,9 % (zvláště plastů).</w:t>
      </w:r>
    </w:p>
  </w:footnote>
  <w:footnote w:id="5">
    <w:p w14:paraId="494957D6" w14:textId="77777777" w:rsidR="00DA0121" w:rsidRPr="009424B8" w:rsidRDefault="00DA0121" w:rsidP="00674BAC">
      <w:pPr>
        <w:pStyle w:val="Textpoznpodarou"/>
        <w:rPr>
          <w:sz w:val="16"/>
          <w:szCs w:val="16"/>
        </w:rPr>
      </w:pPr>
      <w:r w:rsidRPr="009424B8">
        <w:rPr>
          <w:rStyle w:val="Znakapoznpodarou"/>
          <w:sz w:val="16"/>
          <w:szCs w:val="16"/>
        </w:rPr>
        <w:footnoteRef/>
      </w:r>
      <w:r w:rsidRPr="009424B8">
        <w:rPr>
          <w:sz w:val="16"/>
          <w:szCs w:val="16"/>
        </w:rPr>
        <w:t xml:space="preserve"> Norsko představuje „nový“ zdroj zemního plynu a náhradu za výpadek u dovozu</w:t>
      </w:r>
      <w:r>
        <w:rPr>
          <w:sz w:val="16"/>
          <w:szCs w:val="16"/>
        </w:rPr>
        <w:t xml:space="preserve"> této komodity</w:t>
      </w:r>
      <w:r w:rsidRPr="009424B8">
        <w:rPr>
          <w:sz w:val="16"/>
          <w:szCs w:val="16"/>
        </w:rPr>
        <w:t xml:space="preserve"> z Ruska.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DA0121" w:rsidRDefault="00DA0121" w:rsidP="00937AE2">
    <w:pPr>
      <w:pStyle w:val="Zhlav"/>
    </w:pPr>
    <w:r>
      <w:t>Vývoj ekonomiky České republiky</w:t>
    </w:r>
  </w:p>
  <w:p w14:paraId="3E881AB3" w14:textId="77777777" w:rsidR="00DA0121" w:rsidRPr="006F5416" w:rsidRDefault="00DA0121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DA0121" w:rsidRDefault="00DA0121" w:rsidP="00937AE2">
    <w:pPr>
      <w:pStyle w:val="Zhlav"/>
    </w:pPr>
    <w:r>
      <w:t>Vývoj ekonomiky České republiky</w:t>
    </w:r>
  </w:p>
  <w:p w14:paraId="57266714" w14:textId="77777777" w:rsidR="00DA0121" w:rsidRPr="006F5416" w:rsidRDefault="00DA0121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3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0"/>
  </w:num>
  <w:num w:numId="16">
    <w:abstractNumId w:val="16"/>
  </w:num>
  <w:num w:numId="17">
    <w:abstractNumId w:val="29"/>
  </w:num>
  <w:num w:numId="18">
    <w:abstractNumId w:val="21"/>
  </w:num>
  <w:num w:numId="19">
    <w:abstractNumId w:val="31"/>
  </w:num>
  <w:num w:numId="20">
    <w:abstractNumId w:val="32"/>
  </w:num>
  <w:num w:numId="21">
    <w:abstractNumId w:val="27"/>
  </w:num>
  <w:num w:numId="22">
    <w:abstractNumId w:val="19"/>
  </w:num>
  <w:num w:numId="23">
    <w:abstractNumId w:val="17"/>
  </w:num>
  <w:num w:numId="24">
    <w:abstractNumId w:val="18"/>
  </w:num>
  <w:num w:numId="25">
    <w:abstractNumId w:val="13"/>
  </w:num>
  <w:num w:numId="26">
    <w:abstractNumId w:val="23"/>
  </w:num>
  <w:num w:numId="27">
    <w:abstractNumId w:val="22"/>
  </w:num>
  <w:num w:numId="28">
    <w:abstractNumId w:val="10"/>
  </w:num>
  <w:num w:numId="29">
    <w:abstractNumId w:val="32"/>
  </w:num>
  <w:num w:numId="30">
    <w:abstractNumId w:val="24"/>
  </w:num>
  <w:num w:numId="31">
    <w:abstractNumId w:val="12"/>
  </w:num>
  <w:num w:numId="32">
    <w:abstractNumId w:val="33"/>
  </w:num>
  <w:num w:numId="33">
    <w:abstractNumId w:val="32"/>
  </w:num>
  <w:num w:numId="34">
    <w:abstractNumId w:val="11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107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5152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2BC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4FD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6BCC"/>
    <w:rsid w:val="00107124"/>
    <w:rsid w:val="0011038E"/>
    <w:rsid w:val="00111573"/>
    <w:rsid w:val="00112370"/>
    <w:rsid w:val="0011239B"/>
    <w:rsid w:val="001125EF"/>
    <w:rsid w:val="00112CAB"/>
    <w:rsid w:val="0011440C"/>
    <w:rsid w:val="00114C33"/>
    <w:rsid w:val="00114D5B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5376"/>
    <w:rsid w:val="00136A6F"/>
    <w:rsid w:val="00136C1A"/>
    <w:rsid w:val="00137812"/>
    <w:rsid w:val="001405FA"/>
    <w:rsid w:val="00140D1A"/>
    <w:rsid w:val="00141184"/>
    <w:rsid w:val="00141315"/>
    <w:rsid w:val="0014152B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4779E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64B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6B3F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1D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3F48"/>
    <w:rsid w:val="00254FC3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0ED"/>
    <w:rsid w:val="002A3209"/>
    <w:rsid w:val="002A34B5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0D42"/>
    <w:rsid w:val="00301294"/>
    <w:rsid w:val="003017EC"/>
    <w:rsid w:val="00302165"/>
    <w:rsid w:val="00303BB4"/>
    <w:rsid w:val="00304771"/>
    <w:rsid w:val="00304F9C"/>
    <w:rsid w:val="003052D4"/>
    <w:rsid w:val="00305863"/>
    <w:rsid w:val="003060D6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375E0"/>
    <w:rsid w:val="00340BF3"/>
    <w:rsid w:val="00341C6C"/>
    <w:rsid w:val="00341D26"/>
    <w:rsid w:val="00341F05"/>
    <w:rsid w:val="0034335E"/>
    <w:rsid w:val="00344668"/>
    <w:rsid w:val="00344940"/>
    <w:rsid w:val="0034506D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32DB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5EBF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ED5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0D2A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6AEE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28DA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389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3BE4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91D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CE4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1DB2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01B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32B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68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5DF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1705"/>
    <w:rsid w:val="005B26B0"/>
    <w:rsid w:val="005B41C9"/>
    <w:rsid w:val="005B44E6"/>
    <w:rsid w:val="005B4853"/>
    <w:rsid w:val="005B591B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5B60"/>
    <w:rsid w:val="005D66E6"/>
    <w:rsid w:val="005D7119"/>
    <w:rsid w:val="005D76C8"/>
    <w:rsid w:val="005D7890"/>
    <w:rsid w:val="005D7AAF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64D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07E1D"/>
    <w:rsid w:val="006104FB"/>
    <w:rsid w:val="006116FF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415E"/>
    <w:rsid w:val="00625A84"/>
    <w:rsid w:val="00626079"/>
    <w:rsid w:val="006275B5"/>
    <w:rsid w:val="00631698"/>
    <w:rsid w:val="00631E44"/>
    <w:rsid w:val="00634C57"/>
    <w:rsid w:val="00634CE7"/>
    <w:rsid w:val="006350D5"/>
    <w:rsid w:val="00635EBE"/>
    <w:rsid w:val="0063642C"/>
    <w:rsid w:val="006376B3"/>
    <w:rsid w:val="00637858"/>
    <w:rsid w:val="006404A7"/>
    <w:rsid w:val="00640A38"/>
    <w:rsid w:val="00640E6B"/>
    <w:rsid w:val="00641787"/>
    <w:rsid w:val="0064179B"/>
    <w:rsid w:val="00642338"/>
    <w:rsid w:val="00642489"/>
    <w:rsid w:val="00644055"/>
    <w:rsid w:val="00644137"/>
    <w:rsid w:val="0064478C"/>
    <w:rsid w:val="00644938"/>
    <w:rsid w:val="00645160"/>
    <w:rsid w:val="006451E4"/>
    <w:rsid w:val="0064574B"/>
    <w:rsid w:val="00645B33"/>
    <w:rsid w:val="0065153D"/>
    <w:rsid w:val="006516CB"/>
    <w:rsid w:val="00652444"/>
    <w:rsid w:val="00652E30"/>
    <w:rsid w:val="00653BD0"/>
    <w:rsid w:val="00654110"/>
    <w:rsid w:val="00656C5D"/>
    <w:rsid w:val="00656CFB"/>
    <w:rsid w:val="00656D25"/>
    <w:rsid w:val="00657E87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5DF"/>
    <w:rsid w:val="00674BAC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9F8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3CAF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5D3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3884"/>
    <w:rsid w:val="0074499B"/>
    <w:rsid w:val="007449D6"/>
    <w:rsid w:val="0074501E"/>
    <w:rsid w:val="007450BF"/>
    <w:rsid w:val="0074599A"/>
    <w:rsid w:val="00746EE5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A88"/>
    <w:rsid w:val="00763B85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BF0"/>
    <w:rsid w:val="00780EF1"/>
    <w:rsid w:val="00781A91"/>
    <w:rsid w:val="00781AD3"/>
    <w:rsid w:val="00781F36"/>
    <w:rsid w:val="00783576"/>
    <w:rsid w:val="00784980"/>
    <w:rsid w:val="007853FD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0B5E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A03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149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1B1"/>
    <w:rsid w:val="0080734C"/>
    <w:rsid w:val="00807C82"/>
    <w:rsid w:val="008107EE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3CE"/>
    <w:rsid w:val="0083471A"/>
    <w:rsid w:val="00834FAA"/>
    <w:rsid w:val="00835495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2A5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2254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1850"/>
    <w:rsid w:val="008B2639"/>
    <w:rsid w:val="008B3537"/>
    <w:rsid w:val="008B35C1"/>
    <w:rsid w:val="008B3690"/>
    <w:rsid w:val="008B3A80"/>
    <w:rsid w:val="008B3AEC"/>
    <w:rsid w:val="008B3C07"/>
    <w:rsid w:val="008B3C6E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6A2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419B"/>
    <w:rsid w:val="008E51EB"/>
    <w:rsid w:val="008E5746"/>
    <w:rsid w:val="008E64D7"/>
    <w:rsid w:val="008E6DCB"/>
    <w:rsid w:val="008E6E5D"/>
    <w:rsid w:val="008E6F06"/>
    <w:rsid w:val="008E7000"/>
    <w:rsid w:val="008E723E"/>
    <w:rsid w:val="008E7B8E"/>
    <w:rsid w:val="008E7FC9"/>
    <w:rsid w:val="008F0107"/>
    <w:rsid w:val="008F029B"/>
    <w:rsid w:val="008F0589"/>
    <w:rsid w:val="008F130B"/>
    <w:rsid w:val="008F2A5D"/>
    <w:rsid w:val="008F2BC7"/>
    <w:rsid w:val="008F2E83"/>
    <w:rsid w:val="008F3636"/>
    <w:rsid w:val="008F3FC9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0FA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6B8B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3ECA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7C8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D78C3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470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5FC3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09A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1EAD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49E1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22A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160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3FE8"/>
    <w:rsid w:val="00B748BD"/>
    <w:rsid w:val="00B74964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E47"/>
    <w:rsid w:val="00BB4F98"/>
    <w:rsid w:val="00BB50C0"/>
    <w:rsid w:val="00BB5AB2"/>
    <w:rsid w:val="00BB5ABF"/>
    <w:rsid w:val="00BB5F94"/>
    <w:rsid w:val="00BB6EA2"/>
    <w:rsid w:val="00BB7142"/>
    <w:rsid w:val="00BB76F3"/>
    <w:rsid w:val="00BB7B5B"/>
    <w:rsid w:val="00BB7EB1"/>
    <w:rsid w:val="00BC003F"/>
    <w:rsid w:val="00BC0930"/>
    <w:rsid w:val="00BC223A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6086"/>
    <w:rsid w:val="00C27913"/>
    <w:rsid w:val="00C27FA7"/>
    <w:rsid w:val="00C300E2"/>
    <w:rsid w:val="00C31F21"/>
    <w:rsid w:val="00C32631"/>
    <w:rsid w:val="00C33301"/>
    <w:rsid w:val="00C33311"/>
    <w:rsid w:val="00C33822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27AD"/>
    <w:rsid w:val="00C5390B"/>
    <w:rsid w:val="00C54257"/>
    <w:rsid w:val="00C54697"/>
    <w:rsid w:val="00C550CE"/>
    <w:rsid w:val="00C553A5"/>
    <w:rsid w:val="00C55402"/>
    <w:rsid w:val="00C5603B"/>
    <w:rsid w:val="00C6020C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9FE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3605"/>
    <w:rsid w:val="00CB4022"/>
    <w:rsid w:val="00CB4257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0E03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07CC2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133"/>
    <w:rsid w:val="00D269B9"/>
    <w:rsid w:val="00D27973"/>
    <w:rsid w:val="00D27F07"/>
    <w:rsid w:val="00D27F3A"/>
    <w:rsid w:val="00D31537"/>
    <w:rsid w:val="00D31E1E"/>
    <w:rsid w:val="00D322A0"/>
    <w:rsid w:val="00D32824"/>
    <w:rsid w:val="00D334E2"/>
    <w:rsid w:val="00D335E5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8E9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2EB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2CD7"/>
    <w:rsid w:val="00D932B8"/>
    <w:rsid w:val="00D932F0"/>
    <w:rsid w:val="00D95302"/>
    <w:rsid w:val="00D95889"/>
    <w:rsid w:val="00D95C5D"/>
    <w:rsid w:val="00D95CBE"/>
    <w:rsid w:val="00D95E7F"/>
    <w:rsid w:val="00D97D00"/>
    <w:rsid w:val="00DA0121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27CD"/>
    <w:rsid w:val="00DE3231"/>
    <w:rsid w:val="00DE3E22"/>
    <w:rsid w:val="00DE3E5D"/>
    <w:rsid w:val="00DE450F"/>
    <w:rsid w:val="00DE4865"/>
    <w:rsid w:val="00DE5CA6"/>
    <w:rsid w:val="00DE5E55"/>
    <w:rsid w:val="00DE6209"/>
    <w:rsid w:val="00DE63AE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59C6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D22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87D5B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473"/>
    <w:rsid w:val="00EB6DA6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A09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4CF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1FDC"/>
    <w:rsid w:val="00F120A5"/>
    <w:rsid w:val="00F12CFB"/>
    <w:rsid w:val="00F13E60"/>
    <w:rsid w:val="00F13FDB"/>
    <w:rsid w:val="00F15AAA"/>
    <w:rsid w:val="00F15BEF"/>
    <w:rsid w:val="00F1770C"/>
    <w:rsid w:val="00F17898"/>
    <w:rsid w:val="00F204BF"/>
    <w:rsid w:val="00F207C2"/>
    <w:rsid w:val="00F21337"/>
    <w:rsid w:val="00F219A1"/>
    <w:rsid w:val="00F23927"/>
    <w:rsid w:val="00F23E20"/>
    <w:rsid w:val="00F24407"/>
    <w:rsid w:val="00F249CE"/>
    <w:rsid w:val="00F24FAA"/>
    <w:rsid w:val="00F25040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6D42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54A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2C07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1BA4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372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56A"/>
    <w:rsid w:val="00FF5B8C"/>
    <w:rsid w:val="00FF63E6"/>
    <w:rsid w:val="00FF72DC"/>
    <w:rsid w:val="00FF7B96"/>
    <w:rsid w:val="019CB78C"/>
    <w:rsid w:val="0523CDF2"/>
    <w:rsid w:val="06B1A837"/>
    <w:rsid w:val="08A648BF"/>
    <w:rsid w:val="0EBE9DEC"/>
    <w:rsid w:val="0FBB85B6"/>
    <w:rsid w:val="12650F4E"/>
    <w:rsid w:val="1394E51D"/>
    <w:rsid w:val="17513AF8"/>
    <w:rsid w:val="1B53A8C8"/>
    <w:rsid w:val="1BEE6986"/>
    <w:rsid w:val="20D21749"/>
    <w:rsid w:val="224482AD"/>
    <w:rsid w:val="23E0530E"/>
    <w:rsid w:val="24FC0D77"/>
    <w:rsid w:val="2A0E9F3A"/>
    <w:rsid w:val="2A2A6298"/>
    <w:rsid w:val="37D604A5"/>
    <w:rsid w:val="38C72AFC"/>
    <w:rsid w:val="3C7646FC"/>
    <w:rsid w:val="3E4A9713"/>
    <w:rsid w:val="3E77F3B4"/>
    <w:rsid w:val="40C3BF09"/>
    <w:rsid w:val="47207A7B"/>
    <w:rsid w:val="48038D4B"/>
    <w:rsid w:val="49E8263C"/>
    <w:rsid w:val="4A567F3C"/>
    <w:rsid w:val="50A35788"/>
    <w:rsid w:val="52944939"/>
    <w:rsid w:val="53942896"/>
    <w:rsid w:val="5536E42E"/>
    <w:rsid w:val="58FD3BB8"/>
    <w:rsid w:val="5CF587E8"/>
    <w:rsid w:val="5DD689BF"/>
    <w:rsid w:val="60B2C930"/>
    <w:rsid w:val="67F8BB57"/>
    <w:rsid w:val="6AEA4E8B"/>
    <w:rsid w:val="6AEC8A78"/>
    <w:rsid w:val="6D951AA9"/>
    <w:rsid w:val="7059F910"/>
    <w:rsid w:val="74EA3077"/>
    <w:rsid w:val="75B5B795"/>
    <w:rsid w:val="78058569"/>
    <w:rsid w:val="785B85D1"/>
    <w:rsid w:val="78E73CD1"/>
    <w:rsid w:val="7C941E33"/>
    <w:rsid w:val="7E2BC7B5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6A3CAF"/>
  </w:style>
  <w:style w:type="paragraph" w:customStyle="1" w:styleId="paragraph">
    <w:name w:val="paragraph"/>
    <w:basedOn w:val="Normln"/>
    <w:rsid w:val="006A3CA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Standardnpsmoodstavce"/>
    <w:rsid w:val="0078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aktualizace-metody-propoctu-zahranicni-obchod-se-zbozi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3Q2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511717884667364E-2"/>
          <c:y val="2.3304908251716775E-2"/>
          <c:w val="0.92378402700888473"/>
          <c:h val="0.6950853379152349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'Vnější vztahy 2'!$B$5:$O$5</c:f>
              <c:strCache>
                <c:ptCount val="14"/>
                <c:pt idx="0">
                  <c:v>Ropa a zemní plyn</c:v>
                </c:pt>
                <c:pt idx="1">
                  <c:v>Potravinářské výrobky</c:v>
                </c:pt>
                <c:pt idx="2">
                  <c:v>Oděvy</c:v>
                </c:pt>
                <c:pt idx="3">
                  <c:v>Koks a rafinované                                                                                  ropné produkty</c:v>
                </c:pt>
                <c:pt idx="4">
                  <c:v>Chemické látky                                                                       a přípravky</c:v>
                </c:pt>
                <c:pt idx="5">
                  <c:v>Základní farmaceutické                                                                                            výrobky a přípravky</c:v>
                </c:pt>
                <c:pt idx="6">
                  <c:v>Ostatní nekovové                                                                                   minerální výrobky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elektron.                                                                                   a opt. přístroje a zařízení</c:v>
                </c:pt>
                <c:pt idx="10">
                  <c:v>Stroje a zařízení j. n.</c:v>
                </c:pt>
                <c:pt idx="11">
                  <c:v>Motorová vozidla</c:v>
                </c:pt>
                <c:pt idx="12">
                  <c:v>Elektřina, plyn,                                                                                                  pára a klim. vzduch</c:v>
                </c:pt>
                <c:pt idx="13">
                  <c:v>Služby související                                                                                    s odpady (CPA 38)</c:v>
                </c:pt>
              </c:strCache>
            </c:strRef>
          </c:cat>
          <c:val>
            <c:numRef>
              <c:f>'Vnější vztahy 2'!$B$7:$O$7</c:f>
              <c:numCache>
                <c:formatCode>General</c:formatCode>
                <c:ptCount val="14"/>
                <c:pt idx="0">
                  <c:v>-153.80641563700001</c:v>
                </c:pt>
                <c:pt idx="1">
                  <c:v>-29.014789663999991</c:v>
                </c:pt>
                <c:pt idx="2">
                  <c:v>-19.409720811999989</c:v>
                </c:pt>
                <c:pt idx="3">
                  <c:v>-26.024072001</c:v>
                </c:pt>
                <c:pt idx="4">
                  <c:v>-78.464602413999998</c:v>
                </c:pt>
                <c:pt idx="5">
                  <c:v>-35.05337822900001</c:v>
                </c:pt>
                <c:pt idx="6">
                  <c:v>15.136442071000003</c:v>
                </c:pt>
                <c:pt idx="7">
                  <c:v>-100.333485564</c:v>
                </c:pt>
                <c:pt idx="8">
                  <c:v>42.204577443000005</c:v>
                </c:pt>
                <c:pt idx="9">
                  <c:v>-40.144556924000014</c:v>
                </c:pt>
                <c:pt idx="10">
                  <c:v>47.398275933000022</c:v>
                </c:pt>
                <c:pt idx="11">
                  <c:v>227.68846094600008</c:v>
                </c:pt>
                <c:pt idx="12">
                  <c:v>28.649463010999991</c:v>
                </c:pt>
                <c:pt idx="13">
                  <c:v>17.990880064999999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A4-4213-8D28-036BAF95CB77}"/>
            </c:ext>
          </c:extLst>
        </c:ser>
        <c:ser>
          <c:idx val="2"/>
          <c:order val="2"/>
          <c:tx>
            <c:strRef>
              <c:f>'Vnější vztahy 2'!$A$8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'Vnější vztahy 2'!$B$5:$O$5</c:f>
              <c:strCache>
                <c:ptCount val="14"/>
                <c:pt idx="0">
                  <c:v>Ropa a zemní plyn</c:v>
                </c:pt>
                <c:pt idx="1">
                  <c:v>Potravinářské výrobky</c:v>
                </c:pt>
                <c:pt idx="2">
                  <c:v>Oděvy</c:v>
                </c:pt>
                <c:pt idx="3">
                  <c:v>Koks a rafinované                                                                                  ropné produkty</c:v>
                </c:pt>
                <c:pt idx="4">
                  <c:v>Chemické látky                                                                       a přípravky</c:v>
                </c:pt>
                <c:pt idx="5">
                  <c:v>Základní farmaceutické                                                                                            výrobky a přípravky</c:v>
                </c:pt>
                <c:pt idx="6">
                  <c:v>Ostatní nekovové                                                                                   minerální výrobky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elektron.                                                                                   a opt. přístroje a zařízení</c:v>
                </c:pt>
                <c:pt idx="10">
                  <c:v>Stroje a zařízení j. n.</c:v>
                </c:pt>
                <c:pt idx="11">
                  <c:v>Motorová vozidla</c:v>
                </c:pt>
                <c:pt idx="12">
                  <c:v>Elektřina, plyn,                                                                                                  pára a klim. vzduch</c:v>
                </c:pt>
                <c:pt idx="13">
                  <c:v>Služby související                                                                                    s odpady (CPA 38)</c:v>
                </c:pt>
              </c:strCache>
            </c:strRef>
          </c:cat>
          <c:val>
            <c:numRef>
              <c:f>'Vnější vztahy 2'!$B$8:$O$8</c:f>
              <c:numCache>
                <c:formatCode>General</c:formatCode>
                <c:ptCount val="14"/>
                <c:pt idx="0">
                  <c:v>-88.091469570000029</c:v>
                </c:pt>
                <c:pt idx="1">
                  <c:v>-25.532787906999992</c:v>
                </c:pt>
                <c:pt idx="2">
                  <c:v>-18.606344394000001</c:v>
                </c:pt>
                <c:pt idx="3">
                  <c:v>-16.974027092</c:v>
                </c:pt>
                <c:pt idx="4">
                  <c:v>-72.281543119000006</c:v>
                </c:pt>
                <c:pt idx="5">
                  <c:v>-32.813032737</c:v>
                </c:pt>
                <c:pt idx="6">
                  <c:v>15.903156086000003</c:v>
                </c:pt>
                <c:pt idx="7">
                  <c:v>-81.228631997999955</c:v>
                </c:pt>
                <c:pt idx="8">
                  <c:v>37.172474378000011</c:v>
                </c:pt>
                <c:pt idx="9">
                  <c:v>-38.519587723000001</c:v>
                </c:pt>
                <c:pt idx="10">
                  <c:v>61.880118860000003</c:v>
                </c:pt>
                <c:pt idx="11">
                  <c:v>298.90930463499996</c:v>
                </c:pt>
                <c:pt idx="12">
                  <c:v>15.390617226000003</c:v>
                </c:pt>
                <c:pt idx="13">
                  <c:v>13.125030301000002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A4-4213-8D28-036BAF95CB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7"/>
        <c:axId val="121281152"/>
        <c:axId val="12343782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'Vnější vztahy 2'!$A$6</c15:sqref>
                        </c15:formulaRef>
                      </c:ext>
                    </c:extLst>
                    <c:strCache>
                      <c:ptCount val="1"/>
                      <c:pt idx="0">
                        <c:v>2021</c:v>
                      </c:pt>
                    </c:strCache>
                  </c:strRef>
                </c:tx>
                <c:spPr>
                  <a:solidFill>
                    <a:schemeClr val="tx1">
                      <a:lumMod val="50000"/>
                      <a:lumOff val="50000"/>
                    </a:schemeClr>
                  </a:solidFill>
                  <a:ln>
                    <a:noFill/>
                  </a:ln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'Vnější vztahy 2'!$B$5:$O$5</c15:sqref>
                        </c15:formulaRef>
                      </c:ext>
                    </c:extLst>
                    <c:strCache>
                      <c:ptCount val="14"/>
                      <c:pt idx="0">
                        <c:v>Ropa a zemní plyn</c:v>
                      </c:pt>
                      <c:pt idx="1">
                        <c:v>Potravinářské výrobky</c:v>
                      </c:pt>
                      <c:pt idx="2">
                        <c:v>Oděvy</c:v>
                      </c:pt>
                      <c:pt idx="3">
                        <c:v>Koks a rafinované                                                                                  ropné produkty</c:v>
                      </c:pt>
                      <c:pt idx="4">
                        <c:v>Chemické látky                                                                       a přípravky</c:v>
                      </c:pt>
                      <c:pt idx="5">
                        <c:v>Základní farmaceutické                                                                                            výrobky a přípravky</c:v>
                      </c:pt>
                      <c:pt idx="6">
                        <c:v>Ostatní nekovové                                                                                   minerální výrobky</c:v>
                      </c:pt>
                      <c:pt idx="7">
                        <c:v>Základní kovy</c:v>
                      </c:pt>
                      <c:pt idx="8">
                        <c:v>Kovodělné výrobky</c:v>
                      </c:pt>
                      <c:pt idx="9">
                        <c:v>Počítače, elektron.                                                                                   a opt. přístroje a zařízení</c:v>
                      </c:pt>
                      <c:pt idx="10">
                        <c:v>Stroje a zařízení j. n.</c:v>
                      </c:pt>
                      <c:pt idx="11">
                        <c:v>Motorová vozidla</c:v>
                      </c:pt>
                      <c:pt idx="12">
                        <c:v>Elektřina, plyn,                                                                                                  pára a klim. vzduch</c:v>
                      </c:pt>
                      <c:pt idx="13">
                        <c:v>Služby související                                                                                    s odpady (CPA 38)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'Vnější vztahy 2'!$B$6:$O$6</c15:sqref>
                        </c15:formulaRef>
                      </c:ext>
                    </c:extLst>
                    <c:numCache>
                      <c:formatCode>General</c:formatCode>
                      <c:ptCount val="14"/>
                      <c:pt idx="0">
                        <c:v>-52.610684026999998</c:v>
                      </c:pt>
                      <c:pt idx="1">
                        <c:v>-23.461616446000001</c:v>
                      </c:pt>
                      <c:pt idx="2">
                        <c:v>-14.391942546000001</c:v>
                      </c:pt>
                      <c:pt idx="3">
                        <c:v>-10.066573816</c:v>
                      </c:pt>
                      <c:pt idx="4">
                        <c:v>-70.093246483000001</c:v>
                      </c:pt>
                      <c:pt idx="5">
                        <c:v>-41.025885435000006</c:v>
                      </c:pt>
                      <c:pt idx="6">
                        <c:v>13.421550831000001</c:v>
                      </c:pt>
                      <c:pt idx="7">
                        <c:v>-69.87576811000001</c:v>
                      </c:pt>
                      <c:pt idx="8">
                        <c:v>33.938754247999995</c:v>
                      </c:pt>
                      <c:pt idx="9">
                        <c:v>-24.523206424000001</c:v>
                      </c:pt>
                      <c:pt idx="10">
                        <c:v>52.791318746999998</c:v>
                      </c:pt>
                      <c:pt idx="11">
                        <c:v>238.881002021</c:v>
                      </c:pt>
                      <c:pt idx="12">
                        <c:v>5.0134063189999996</c:v>
                      </c:pt>
                      <c:pt idx="13">
                        <c:v>15.697884693000001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A0A4-4213-8D28-036BAF95CB77}"/>
                  </c:ext>
                </c:extLst>
              </c15:ser>
            </c15:filteredBarSeries>
          </c:ext>
        </c:extLst>
      </c:barChart>
      <c:catAx>
        <c:axId val="121281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23437824"/>
        <c:crosses val="autoZero"/>
        <c:auto val="1"/>
        <c:lblAlgn val="ctr"/>
        <c:lblOffset val="100"/>
        <c:noMultiLvlLbl val="0"/>
      </c:catAx>
      <c:valAx>
        <c:axId val="123437824"/>
        <c:scaling>
          <c:orientation val="minMax"/>
          <c:max val="320"/>
          <c:min val="-16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21281152"/>
        <c:crosses val="autoZero"/>
        <c:crossBetween val="between"/>
        <c:majorUnit val="40"/>
      </c:valAx>
      <c:spPr>
        <a:ln>
          <a:solidFill>
            <a:schemeClr val="tx1"/>
          </a:solidFill>
        </a:ln>
      </c:spPr>
    </c:plotArea>
    <c:legend>
      <c:legendPos val="t"/>
      <c:layout>
        <c:manualLayout>
          <c:xMode val="edge"/>
          <c:yMode val="edge"/>
          <c:x val="0.14065045404275039"/>
          <c:y val="6.1827033218785812E-2"/>
          <c:w val="0.26887915184156158"/>
          <c:h val="5.3991695303550982E-2"/>
        </c:manualLayout>
      </c:layout>
      <c:overlay val="0"/>
      <c:spPr>
        <a:ln w="6350"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3" ma:contentTypeDescription="Vytvoří nový dokument" ma:contentTypeScope="" ma:versionID="3072f6f3e77686ec6964bf5712aff85a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572e7ed591a9b745512fd70b2662d46d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CFD8-CD6F-4E0C-A345-781C95A88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1D13D-A10C-4DB8-BC5C-39E7CB2299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5C3CF3-5E36-46FD-AA34-6B2F0E31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1</TotalTime>
  <Pages>3</Pages>
  <Words>1303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Zábojníková Karolína</cp:lastModifiedBy>
  <cp:revision>3</cp:revision>
  <cp:lastPrinted>2023-06-09T17:23:00Z</cp:lastPrinted>
  <dcterms:created xsi:type="dcterms:W3CDTF">2023-09-14T08:51:00Z</dcterms:created>
  <dcterms:modified xsi:type="dcterms:W3CDTF">2023-09-14T09:35:00Z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