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6EC55" w14:textId="77777777" w:rsidR="00106BCC" w:rsidRDefault="00106BCC" w:rsidP="00106BCC">
      <w:pPr>
        <w:pStyle w:val="Nadpis11"/>
      </w:pPr>
      <w:bookmarkStart w:id="0" w:name="_Toc137233031"/>
      <w:bookmarkStart w:id="1" w:name="_Toc145318537"/>
      <w:bookmarkStart w:id="2" w:name="_GoBack"/>
      <w:bookmarkEnd w:id="2"/>
      <w:r w:rsidRPr="00787441">
        <w:rPr>
          <w:szCs w:val="32"/>
        </w:rPr>
        <w:t>8</w:t>
      </w:r>
      <w:r>
        <w:t>. </w:t>
      </w:r>
      <w:r w:rsidRPr="009110F7">
        <w:t>Státní rozpočet</w:t>
      </w:r>
      <w:bookmarkEnd w:id="0"/>
      <w:bookmarkEnd w:id="1"/>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06BCC" w:rsidRPr="003C07E6" w14:paraId="16CEED79" w14:textId="77777777" w:rsidTr="006849F8">
        <w:trPr>
          <w:trHeight w:val="60"/>
        </w:trPr>
        <w:tc>
          <w:tcPr>
            <w:tcW w:w="1792" w:type="dxa"/>
            <w:shd w:val="clear" w:color="auto" w:fill="auto"/>
            <w:tcMar>
              <w:left w:w="0" w:type="dxa"/>
            </w:tcMar>
          </w:tcPr>
          <w:p w14:paraId="19B55A37" w14:textId="77777777" w:rsidR="00106BCC" w:rsidRDefault="00106BCC" w:rsidP="006849F8">
            <w:pPr>
              <w:pStyle w:val="Marginlie"/>
            </w:pPr>
            <w:r>
              <w:t>Schodek hospodaření SR se meziročně znatelně prohloubil, čemuž nezabránil ani svižný růst příjmů z rozpočtu EU.</w:t>
            </w:r>
          </w:p>
        </w:tc>
        <w:tc>
          <w:tcPr>
            <w:tcW w:w="203" w:type="dxa"/>
            <w:shd w:val="clear" w:color="auto" w:fill="auto"/>
            <w:tcMar>
              <w:left w:w="0" w:type="dxa"/>
            </w:tcMar>
          </w:tcPr>
          <w:p w14:paraId="5D52A195" w14:textId="77777777" w:rsidR="00106BCC" w:rsidRDefault="00106BCC" w:rsidP="006849F8">
            <w:pPr>
              <w:pStyle w:val="Textpoznpodarou"/>
              <w:jc w:val="both"/>
              <w:rPr>
                <w:spacing w:val="-4"/>
              </w:rPr>
            </w:pPr>
          </w:p>
        </w:tc>
        <w:tc>
          <w:tcPr>
            <w:tcW w:w="7674" w:type="dxa"/>
            <w:shd w:val="clear" w:color="auto" w:fill="auto"/>
            <w:tcMar>
              <w:left w:w="0" w:type="dxa"/>
            </w:tcMar>
          </w:tcPr>
          <w:p w14:paraId="460DB469" w14:textId="4E41214D" w:rsidR="00106BCC" w:rsidRPr="00F603D7" w:rsidRDefault="00106BCC" w:rsidP="006849F8">
            <w:pPr>
              <w:spacing w:after="200"/>
              <w:rPr>
                <w:spacing w:val="-4"/>
              </w:rPr>
            </w:pPr>
            <w:r w:rsidRPr="00F603D7">
              <w:rPr>
                <w:spacing w:val="-4"/>
              </w:rPr>
              <w:t>Hospodaření státního rozpočtu (SR)</w:t>
            </w:r>
            <w:r w:rsidRPr="00F603D7">
              <w:rPr>
                <w:rStyle w:val="Znakapoznpodarou"/>
                <w:spacing w:val="-4"/>
              </w:rPr>
              <w:footnoteReference w:id="1"/>
            </w:r>
            <w:r w:rsidRPr="00F603D7">
              <w:rPr>
                <w:spacing w:val="-4"/>
              </w:rPr>
              <w:t xml:space="preserve"> vykázalo v 1. pololetí 2023 schodek 215,4 mld. korun, jenž představoval již bezmála tři čtvrtiny celoročního plánovaného deficitu</w:t>
            </w:r>
            <w:r w:rsidRPr="00F603D7">
              <w:rPr>
                <w:rStyle w:val="Znakapoznpodarou"/>
                <w:spacing w:val="-4"/>
              </w:rPr>
              <w:footnoteReference w:id="2"/>
            </w:r>
            <w:r w:rsidRPr="00F603D7">
              <w:rPr>
                <w:spacing w:val="-4"/>
              </w:rPr>
              <w:t>. Hluboké schodky dosahuje S</w:t>
            </w:r>
            <w:r w:rsidR="004C3CE4">
              <w:rPr>
                <w:spacing w:val="-4"/>
              </w:rPr>
              <w:t>R již čtvrtým rokem v řadě, výraznější než dosavadní letošní deficit</w:t>
            </w:r>
            <w:r w:rsidRPr="00F603D7">
              <w:rPr>
                <w:spacing w:val="-4"/>
              </w:rPr>
              <w:t xml:space="preserve"> přineslo jen 1. pololetí 2021 (kdy vrcholila pandemie covidu-19 i její citelné dopady na příjmovou i výdajovou stranu SR). Letošní schodek byl navíc zmírněn příjmy z Národního plánu obnovy. Pololetní saldo SR po očištění všech příjmů a výdajů souvisejících se společnými projekty ČR a EU mírně přesáhlo 250 mld. korun a meziročně se prohloubilo o 68,6 mld. korun (saldo bez tohoto očištění pak analogicky o 32,4 mld.).    </w:t>
            </w:r>
          </w:p>
        </w:tc>
      </w:tr>
      <w:tr w:rsidR="00106BCC" w:rsidRPr="003C07E6" w14:paraId="10764AD0" w14:textId="77777777" w:rsidTr="006849F8">
        <w:trPr>
          <w:trHeight w:val="145"/>
        </w:trPr>
        <w:tc>
          <w:tcPr>
            <w:tcW w:w="1792" w:type="dxa"/>
            <w:shd w:val="clear" w:color="auto" w:fill="auto"/>
            <w:tcMar>
              <w:left w:w="0" w:type="dxa"/>
            </w:tcMar>
          </w:tcPr>
          <w:p w14:paraId="1B78FFD2" w14:textId="77777777" w:rsidR="00106BCC" w:rsidRPr="00CB5638" w:rsidRDefault="00106BCC" w:rsidP="006849F8">
            <w:pPr>
              <w:pStyle w:val="Marginlie"/>
            </w:pPr>
            <w:r>
              <w:t>Růst příjmů SR byl nejvíce tažen celkovým daňovým inkasem. Jeho dynamika ale slábla. Bilanci SR podpořily stabilně rostoucí příjmy z pojistného na sociální zabezpečení, příznivý vliv měly také sílící příjmy z rozpočtu EU.</w:t>
            </w:r>
          </w:p>
        </w:tc>
        <w:tc>
          <w:tcPr>
            <w:tcW w:w="203" w:type="dxa"/>
            <w:shd w:val="clear" w:color="auto" w:fill="auto"/>
            <w:tcMar>
              <w:left w:w="0" w:type="dxa"/>
            </w:tcMar>
          </w:tcPr>
          <w:p w14:paraId="0BFACBFF" w14:textId="77777777" w:rsidR="00106BCC" w:rsidRDefault="00106BCC" w:rsidP="006849F8">
            <w:pPr>
              <w:pStyle w:val="Textpoznpodarou"/>
              <w:jc w:val="both"/>
              <w:rPr>
                <w:spacing w:val="-4"/>
              </w:rPr>
            </w:pPr>
          </w:p>
        </w:tc>
        <w:tc>
          <w:tcPr>
            <w:tcW w:w="7674" w:type="dxa"/>
            <w:shd w:val="clear" w:color="auto" w:fill="auto"/>
            <w:tcMar>
              <w:left w:w="0" w:type="dxa"/>
            </w:tcMar>
          </w:tcPr>
          <w:p w14:paraId="2F70ABA9" w14:textId="7B2C2CE8" w:rsidR="00106BCC" w:rsidRPr="00491320" w:rsidRDefault="00106BCC" w:rsidP="006849F8">
            <w:pPr>
              <w:spacing w:after="200"/>
              <w:rPr>
                <w:spacing w:val="-5"/>
              </w:rPr>
            </w:pPr>
            <w:r>
              <w:rPr>
                <w:spacing w:val="-3"/>
              </w:rPr>
              <w:t>Celkové příjmy SR v 1. pololetí i vlivem vysokého cenového růstu v ekonomice meziročně svižně rostly (16,5 %), rozpočtové očekávání však zcela nenaplnily</w:t>
            </w:r>
            <w:r>
              <w:rPr>
                <w:rStyle w:val="Znakapoznpodarou"/>
                <w:spacing w:val="-3"/>
              </w:rPr>
              <w:footnoteReference w:id="3"/>
            </w:r>
            <w:r>
              <w:rPr>
                <w:spacing w:val="-3"/>
              </w:rPr>
              <w:t>. Za posílením příjmů stálo zejména vyšší inkaso daní bez pojistného (+51,4 mld. korun). Tempo růstu celostátního daňového inkasa ovšem letos během 1.</w:t>
            </w:r>
            <w:r>
              <w:rPr>
                <w:spacing w:val="-2"/>
              </w:rPr>
              <w:t> </w:t>
            </w:r>
            <w:r>
              <w:rPr>
                <w:spacing w:val="-3"/>
              </w:rPr>
              <w:t>pololetí sláblo (1.</w:t>
            </w:r>
            <w:r>
              <w:rPr>
                <w:spacing w:val="-2"/>
              </w:rPr>
              <w:t> </w:t>
            </w:r>
            <w:r>
              <w:rPr>
                <w:spacing w:val="-3"/>
              </w:rPr>
              <w:t>čtvrtletí +15,4 %, 2.</w:t>
            </w:r>
            <w:r>
              <w:rPr>
                <w:spacing w:val="-2"/>
              </w:rPr>
              <w:t> </w:t>
            </w:r>
            <w:r>
              <w:rPr>
                <w:spacing w:val="-3"/>
              </w:rPr>
              <w:t>čtvrtletí +12,5 %) a zůstalo ve stínu rekordního tempa z 1.</w:t>
            </w:r>
            <w:r>
              <w:rPr>
                <w:spacing w:val="-2"/>
              </w:rPr>
              <w:t> </w:t>
            </w:r>
            <w:r>
              <w:rPr>
                <w:spacing w:val="-3"/>
              </w:rPr>
              <w:t>pololetí 2022 (+18,7 %). Tento vývoj byl ovlivn</w:t>
            </w:r>
            <w:r w:rsidR="00F23927">
              <w:rPr>
                <w:spacing w:val="-3"/>
              </w:rPr>
              <w:t xml:space="preserve">ěn pokračujícím poklesem </w:t>
            </w:r>
            <w:r>
              <w:rPr>
                <w:spacing w:val="-3"/>
              </w:rPr>
              <w:t>spotřeby domácností, jenž nepříznivě ovlivnil inkaso nepřímých daní. Za rozpočtovým očekáváním naopak zatím nezaostávaly příjmy z pojistného na sociální zabezpečení (zahrnující i</w:t>
            </w:r>
            <w:r>
              <w:rPr>
                <w:spacing w:val="-2"/>
              </w:rPr>
              <w:t> </w:t>
            </w:r>
            <w:r>
              <w:rPr>
                <w:spacing w:val="-3"/>
              </w:rPr>
              <w:t>příspěvky na státní politiku zaměstnanosti), které meziročně vzrostly o 29 mld. korun. O</w:t>
            </w:r>
            <w:r>
              <w:rPr>
                <w:spacing w:val="-2"/>
              </w:rPr>
              <w:t> </w:t>
            </w:r>
            <w:r>
              <w:rPr>
                <w:spacing w:val="-3"/>
              </w:rPr>
              <w:t xml:space="preserve">bezmála 50 mld. pak posílily </w:t>
            </w:r>
            <w:r w:rsidRPr="00F0531D">
              <w:rPr>
                <w:spacing w:val="-5"/>
              </w:rPr>
              <w:t>nedaňové příjmy (vč. kapitálových</w:t>
            </w:r>
            <w:r>
              <w:rPr>
                <w:spacing w:val="-5"/>
              </w:rPr>
              <w:t xml:space="preserve"> příjmů a přijatých transferů). Primárně se o to zasloužila jejich v</w:t>
            </w:r>
            <w:r w:rsidRPr="00F0531D">
              <w:rPr>
                <w:spacing w:val="-5"/>
              </w:rPr>
              <w:t>áhově dominant</w:t>
            </w:r>
            <w:r>
              <w:rPr>
                <w:spacing w:val="-5"/>
              </w:rPr>
              <w:t>ní položka, tj. příjmy z EU a</w:t>
            </w:r>
            <w:r>
              <w:rPr>
                <w:spacing w:val="-2"/>
              </w:rPr>
              <w:t> </w:t>
            </w:r>
            <w:r w:rsidRPr="00F0531D">
              <w:rPr>
                <w:spacing w:val="-5"/>
              </w:rPr>
              <w:t>Finančních mechanismů</w:t>
            </w:r>
            <w:r w:rsidRPr="00F0531D">
              <w:rPr>
                <w:rStyle w:val="Znakapoznpodarou"/>
                <w:spacing w:val="-5"/>
              </w:rPr>
              <w:footnoteReference w:id="4"/>
            </w:r>
            <w:r>
              <w:rPr>
                <w:spacing w:val="-5"/>
              </w:rPr>
              <w:t xml:space="preserve"> (+44,6 mld. korun), u nichž se projevilo zásadní červnové navýšení příjmů vlivem prostředků z </w:t>
            </w:r>
            <w:r w:rsidRPr="0073312B">
              <w:rPr>
                <w:spacing w:val="-5"/>
              </w:rPr>
              <w:t>Nástroje EU na podporu oživení</w:t>
            </w:r>
            <w:r>
              <w:rPr>
                <w:spacing w:val="-5"/>
              </w:rPr>
              <w:t xml:space="preserve"> (</w:t>
            </w:r>
            <w:r w:rsidRPr="0073312B">
              <w:rPr>
                <w:spacing w:val="-5"/>
              </w:rPr>
              <w:t>realizovaných v </w:t>
            </w:r>
            <w:r>
              <w:rPr>
                <w:spacing w:val="-5"/>
              </w:rPr>
              <w:t>tuzemsku</w:t>
            </w:r>
            <w:r w:rsidRPr="0073312B">
              <w:rPr>
                <w:spacing w:val="-5"/>
              </w:rPr>
              <w:t xml:space="preserve"> prostřednictvím Národního plánu obnovy</w:t>
            </w:r>
            <w:r>
              <w:rPr>
                <w:spacing w:val="-5"/>
              </w:rPr>
              <w:t>)</w:t>
            </w:r>
            <w:r w:rsidRPr="0073312B">
              <w:rPr>
                <w:spacing w:val="-5"/>
              </w:rPr>
              <w:t>.</w:t>
            </w:r>
          </w:p>
        </w:tc>
      </w:tr>
      <w:tr w:rsidR="00106BCC" w:rsidRPr="003C07E6" w14:paraId="7124B3BE" w14:textId="77777777" w:rsidTr="006849F8">
        <w:trPr>
          <w:trHeight w:val="145"/>
        </w:trPr>
        <w:tc>
          <w:tcPr>
            <w:tcW w:w="1792" w:type="dxa"/>
            <w:shd w:val="clear" w:color="auto" w:fill="auto"/>
            <w:tcMar>
              <w:left w:w="0" w:type="dxa"/>
            </w:tcMar>
          </w:tcPr>
          <w:p w14:paraId="2520CDEE" w14:textId="77777777" w:rsidR="00106BCC" w:rsidRPr="00CB5638" w:rsidRDefault="00106BCC" w:rsidP="006849F8">
            <w:pPr>
              <w:pStyle w:val="Marginlie"/>
            </w:pPr>
            <w:r>
              <w:rPr>
                <w:color w:val="0D0D0D" w:themeColor="text1" w:themeTint="F2"/>
              </w:rPr>
              <w:t xml:space="preserve">Výběr daně </w:t>
            </w:r>
            <w:r>
              <w:t>z příjmů právnických osob pokračoval ve svižném tempu a nad úrovní očekávání rozpočtu.</w:t>
            </w:r>
          </w:p>
        </w:tc>
        <w:tc>
          <w:tcPr>
            <w:tcW w:w="203" w:type="dxa"/>
            <w:shd w:val="clear" w:color="auto" w:fill="auto"/>
            <w:tcMar>
              <w:left w:w="0" w:type="dxa"/>
            </w:tcMar>
          </w:tcPr>
          <w:p w14:paraId="7688D80F" w14:textId="77777777" w:rsidR="00106BCC" w:rsidRDefault="00106BCC" w:rsidP="006849F8">
            <w:pPr>
              <w:pStyle w:val="Textpoznpodarou"/>
              <w:jc w:val="both"/>
              <w:rPr>
                <w:spacing w:val="-4"/>
              </w:rPr>
            </w:pPr>
          </w:p>
        </w:tc>
        <w:tc>
          <w:tcPr>
            <w:tcW w:w="7674" w:type="dxa"/>
            <w:shd w:val="clear" w:color="auto" w:fill="auto"/>
            <w:tcMar>
              <w:left w:w="0" w:type="dxa"/>
            </w:tcMar>
          </w:tcPr>
          <w:p w14:paraId="7AD5A4EB" w14:textId="1FFDB3AB" w:rsidR="00106BCC" w:rsidRDefault="00106BCC" w:rsidP="006849F8">
            <w:pPr>
              <w:spacing w:after="200"/>
              <w:rPr>
                <w:spacing w:val="-4"/>
              </w:rPr>
            </w:pPr>
            <w:r>
              <w:rPr>
                <w:spacing w:val="-4"/>
              </w:rPr>
              <w:t xml:space="preserve">K růstu celkových daňových příjmů SR přispěla v 1. pololetí 2023 nejvíce korporátní daň, jejíž inkaso meziročně posílilo skoro o čtvrtinu (+20,9 mld. korun). Ve svižně rostoucím výběru </w:t>
            </w:r>
            <w:r w:rsidR="002A30ED">
              <w:rPr>
                <w:spacing w:val="-4"/>
              </w:rPr>
              <w:t xml:space="preserve">této </w:t>
            </w:r>
            <w:r>
              <w:rPr>
                <w:spacing w:val="-4"/>
              </w:rPr>
              <w:t>daně, jenž převyšuje rozpočtové očekávání, se odráží i dlouhodobě vysoká míra zisku nefinančních podniků v ČR (ta se od počátku loňského roku nepřetržitě zv</w:t>
            </w:r>
            <w:r w:rsidR="002A30ED">
              <w:rPr>
                <w:spacing w:val="-4"/>
              </w:rPr>
              <w:t>yšovala). Na vysokém inkasu</w:t>
            </w:r>
            <w:r>
              <w:rPr>
                <w:spacing w:val="-4"/>
              </w:rPr>
              <w:t xml:space="preserve"> se podílely i firmy v oblasti finančního sektoru. Nad rámec standardní daně z příjmů právnických osob získal SR v 1. pololetí i</w:t>
            </w:r>
            <w:r>
              <w:rPr>
                <w:spacing w:val="-2"/>
              </w:rPr>
              <w:t> </w:t>
            </w:r>
            <w:r>
              <w:rPr>
                <w:spacing w:val="-4"/>
              </w:rPr>
              <w:t>odvody z nadměrných příjmů od energetických firem</w:t>
            </w:r>
            <w:r>
              <w:rPr>
                <w:rStyle w:val="Znakapoznpodarou"/>
                <w:spacing w:val="-4"/>
              </w:rPr>
              <w:footnoteReference w:id="5"/>
            </w:r>
            <w:r>
              <w:rPr>
                <w:spacing w:val="-4"/>
              </w:rPr>
              <w:t xml:space="preserve"> (12,8 mld. korun). Naopak u jiného mimořádného příjmu – daně z</w:t>
            </w:r>
            <w:r>
              <w:rPr>
                <w:spacing w:val="-2"/>
              </w:rPr>
              <w:t> </w:t>
            </w:r>
            <w:r>
              <w:rPr>
                <w:spacing w:val="-4"/>
              </w:rPr>
              <w:t>neočekávaných zisků</w:t>
            </w:r>
            <w:r>
              <w:rPr>
                <w:rStyle w:val="Znakapoznpodarou"/>
                <w:spacing w:val="-4"/>
              </w:rPr>
              <w:footnoteReference w:id="6"/>
            </w:r>
            <w:r>
              <w:rPr>
                <w:spacing w:val="-4"/>
              </w:rPr>
              <w:t xml:space="preserve"> – se předpokládají první splátky podniků až letos v září</w:t>
            </w:r>
            <w:r>
              <w:rPr>
                <w:rStyle w:val="Znakapoznpodarou"/>
                <w:spacing w:val="-4"/>
              </w:rPr>
              <w:footnoteReference w:id="7"/>
            </w:r>
            <w:r>
              <w:rPr>
                <w:spacing w:val="-4"/>
              </w:rPr>
              <w:t xml:space="preserve">. </w:t>
            </w:r>
          </w:p>
        </w:tc>
      </w:tr>
      <w:tr w:rsidR="00106BCC" w:rsidRPr="003C07E6" w14:paraId="06EDD977" w14:textId="77777777" w:rsidTr="006849F8">
        <w:trPr>
          <w:trHeight w:val="145"/>
        </w:trPr>
        <w:tc>
          <w:tcPr>
            <w:tcW w:w="1792" w:type="dxa"/>
            <w:shd w:val="clear" w:color="auto" w:fill="auto"/>
            <w:tcMar>
              <w:left w:w="0" w:type="dxa"/>
            </w:tcMar>
          </w:tcPr>
          <w:p w14:paraId="28108147" w14:textId="77777777" w:rsidR="00106BCC" w:rsidRDefault="00106BCC" w:rsidP="006849F8">
            <w:pPr>
              <w:pStyle w:val="Marginlie"/>
              <w:rPr>
                <w:spacing w:val="-5"/>
              </w:rPr>
            </w:pPr>
            <w:r>
              <w:t>Svižný růst inkasa daně z příjmu fyzických osob pramenil z příznivé pozice zaměstnanců na pracovním trhu i z růstu úrokových sazeb na vkladech.</w:t>
            </w:r>
          </w:p>
        </w:tc>
        <w:tc>
          <w:tcPr>
            <w:tcW w:w="203" w:type="dxa"/>
            <w:shd w:val="clear" w:color="auto" w:fill="auto"/>
            <w:tcMar>
              <w:left w:w="0" w:type="dxa"/>
            </w:tcMar>
          </w:tcPr>
          <w:p w14:paraId="1C3C4102" w14:textId="77777777" w:rsidR="00106BCC" w:rsidRDefault="00106BCC" w:rsidP="006849F8">
            <w:pPr>
              <w:pStyle w:val="Textpoznpodarou"/>
              <w:jc w:val="both"/>
              <w:rPr>
                <w:spacing w:val="-4"/>
              </w:rPr>
            </w:pPr>
          </w:p>
        </w:tc>
        <w:tc>
          <w:tcPr>
            <w:tcW w:w="7674" w:type="dxa"/>
            <w:shd w:val="clear" w:color="auto" w:fill="auto"/>
            <w:tcMar>
              <w:left w:w="0" w:type="dxa"/>
            </w:tcMar>
          </w:tcPr>
          <w:p w14:paraId="4E96B6C1" w14:textId="77777777" w:rsidR="00106BCC" w:rsidRDefault="00106BCC" w:rsidP="006849F8">
            <w:pPr>
              <w:spacing w:after="0"/>
              <w:rPr>
                <w:spacing w:val="-4"/>
              </w:rPr>
            </w:pPr>
            <w:r w:rsidRPr="00D0291A">
              <w:rPr>
                <w:color w:val="0D0D0D" w:themeColor="text1" w:themeTint="F2"/>
                <w:spacing w:val="-4"/>
              </w:rPr>
              <w:t xml:space="preserve">Svižně vzrostl i příjem SR z daně z příjmů od fyzických osob (DPFO), když byl meziročně vyšší o 25,2 %, resp. </w:t>
            </w:r>
            <w:r>
              <w:rPr>
                <w:color w:val="0D0D0D" w:themeColor="text1" w:themeTint="F2"/>
                <w:spacing w:val="-4"/>
              </w:rPr>
              <w:t xml:space="preserve">o </w:t>
            </w:r>
            <w:r w:rsidRPr="00D0291A">
              <w:rPr>
                <w:color w:val="0D0D0D" w:themeColor="text1" w:themeTint="F2"/>
                <w:spacing w:val="-4"/>
              </w:rPr>
              <w:t>13,3 mld. korun). Hlavní zásluhu na tom měla klíčová příjmová daň placená plátci (ze závislé činnosti)</w:t>
            </w:r>
            <w:r w:rsidRPr="00D0291A">
              <w:rPr>
                <w:rStyle w:val="Znakapoznpodarou"/>
                <w:color w:val="0D0D0D" w:themeColor="text1" w:themeTint="F2"/>
                <w:spacing w:val="-4"/>
              </w:rPr>
              <w:footnoteReference w:id="8"/>
            </w:r>
            <w:r>
              <w:rPr>
                <w:color w:val="0D0D0D" w:themeColor="text1" w:themeTint="F2"/>
                <w:spacing w:val="-4"/>
              </w:rPr>
              <w:t>, do níž se promítal přetrváva</w:t>
            </w:r>
            <w:r w:rsidRPr="00D0291A">
              <w:rPr>
                <w:color w:val="0D0D0D" w:themeColor="text1" w:themeTint="F2"/>
                <w:spacing w:val="-4"/>
              </w:rPr>
              <w:t>jící růst zaměstnanosti i mírně zrychlující růst průměrné mzdy. V menší míře se zde projevil i vliv daňových změn (pokračující navyšování daňové slevy na poplatníka, zrušení kompenzačního bonusu na pomoc d</w:t>
            </w:r>
            <w:r>
              <w:rPr>
                <w:color w:val="0D0D0D" w:themeColor="text1" w:themeTint="F2"/>
                <w:spacing w:val="-4"/>
              </w:rPr>
              <w:t>robným podnikatelům za</w:t>
            </w:r>
            <w:r w:rsidRPr="00D0291A">
              <w:rPr>
                <w:color w:val="0D0D0D" w:themeColor="text1" w:themeTint="F2"/>
                <w:spacing w:val="-4"/>
              </w:rPr>
              <w:t xml:space="preserve"> pandemie).</w:t>
            </w:r>
            <w:r>
              <w:rPr>
                <w:color w:val="0D0D0D" w:themeColor="text1" w:themeTint="F2"/>
                <w:spacing w:val="-4"/>
              </w:rPr>
              <w:t xml:space="preserve"> </w:t>
            </w:r>
            <w:r>
              <w:rPr>
                <w:spacing w:val="-4"/>
              </w:rPr>
              <w:t>Dařilo se i inkasu DPFO vybírané srážkou, na níž stát vybral meziročně o 45 % více (i díky růstu úrokových sazeb či vyššímu počtu osob pracujících na dohody). Naopak výběr váhově méně významné daně DPFO placené poplatníky, jež cílí hlavně na drobné podnikatele, se meziročně skoro o pětinu snížil</w:t>
            </w:r>
            <w:r>
              <w:rPr>
                <w:rStyle w:val="Znakapoznpodarou"/>
                <w:spacing w:val="-4"/>
              </w:rPr>
              <w:footnoteReference w:id="9"/>
            </w:r>
            <w:r>
              <w:rPr>
                <w:spacing w:val="-4"/>
              </w:rPr>
              <w:t xml:space="preserve">. </w:t>
            </w:r>
          </w:p>
        </w:tc>
      </w:tr>
      <w:tr w:rsidR="00106BCC" w:rsidRPr="003C07E6" w14:paraId="37CFAD30" w14:textId="77777777" w:rsidTr="006849F8">
        <w:trPr>
          <w:trHeight w:val="145"/>
        </w:trPr>
        <w:tc>
          <w:tcPr>
            <w:tcW w:w="1792" w:type="dxa"/>
            <w:shd w:val="clear" w:color="auto" w:fill="auto"/>
            <w:tcMar>
              <w:left w:w="0" w:type="dxa"/>
            </w:tcMar>
          </w:tcPr>
          <w:p w14:paraId="6DBC6B6A" w14:textId="77777777" w:rsidR="00106BCC" w:rsidRDefault="00106BCC" w:rsidP="006849F8">
            <w:pPr>
              <w:pStyle w:val="Marginlie"/>
              <w:rPr>
                <w:spacing w:val="-5"/>
              </w:rPr>
            </w:pPr>
            <w:r>
              <w:rPr>
                <w:spacing w:val="-5"/>
              </w:rPr>
              <w:lastRenderedPageBreak/>
              <w:t>Tempo růstu výběru DPH během 1. pololetí dále sláblo.</w:t>
            </w:r>
          </w:p>
        </w:tc>
        <w:tc>
          <w:tcPr>
            <w:tcW w:w="203" w:type="dxa"/>
            <w:shd w:val="clear" w:color="auto" w:fill="auto"/>
            <w:tcMar>
              <w:left w:w="0" w:type="dxa"/>
            </w:tcMar>
          </w:tcPr>
          <w:p w14:paraId="7071C2C2" w14:textId="77777777" w:rsidR="00106BCC" w:rsidRDefault="00106BCC" w:rsidP="006849F8">
            <w:pPr>
              <w:pStyle w:val="Textpoznpodarou"/>
              <w:jc w:val="both"/>
              <w:rPr>
                <w:spacing w:val="-4"/>
              </w:rPr>
            </w:pPr>
          </w:p>
        </w:tc>
        <w:tc>
          <w:tcPr>
            <w:tcW w:w="7674" w:type="dxa"/>
            <w:shd w:val="clear" w:color="auto" w:fill="auto"/>
            <w:tcMar>
              <w:left w:w="0" w:type="dxa"/>
            </w:tcMar>
          </w:tcPr>
          <w:p w14:paraId="5749730D" w14:textId="198D8648" w:rsidR="00106BCC" w:rsidRDefault="00106BCC" w:rsidP="006849F8">
            <w:pPr>
              <w:spacing w:after="220"/>
              <w:rPr>
                <w:spacing w:val="-4"/>
              </w:rPr>
            </w:pPr>
            <w:r>
              <w:rPr>
                <w:spacing w:val="-4"/>
              </w:rPr>
              <w:t xml:space="preserve">Nejvýznamnějším daňovým příjmem pro SR zůstává </w:t>
            </w:r>
            <w:r w:rsidRPr="0083523B">
              <w:rPr>
                <w:color w:val="0D0D0D" w:themeColor="text1" w:themeTint="F2"/>
                <w:spacing w:val="-4"/>
              </w:rPr>
              <w:t>tradičně DPH. V </w:t>
            </w:r>
            <w:r>
              <w:rPr>
                <w:spacing w:val="-4"/>
              </w:rPr>
              <w:t>1. pololetí 2023 jeho inkaso meziročně posílilo o 6,1 % (během pololetí tempo výběru dále sláblo, v samotném 2. čtvrtletí činilo jen 3,2 %). Z pohledu výběru daně byl pozitivní efekt vysokého růstu spotřebitelských cen korigován neg</w:t>
            </w:r>
            <w:r w:rsidR="00F23927">
              <w:rPr>
                <w:spacing w:val="-4"/>
              </w:rPr>
              <w:t>ativním vlivem</w:t>
            </w:r>
            <w:r w:rsidR="00E159C6">
              <w:rPr>
                <w:spacing w:val="-4"/>
              </w:rPr>
              <w:t xml:space="preserve"> poklesu spotřeby domácností (ten</w:t>
            </w:r>
            <w:r>
              <w:rPr>
                <w:spacing w:val="-4"/>
              </w:rPr>
              <w:t xml:space="preserve"> v meziročním pohledu trval šest kvartálů v řadě</w:t>
            </w:r>
            <w:r>
              <w:rPr>
                <w:rStyle w:val="Znakapoznpodarou"/>
                <w:spacing w:val="-4"/>
              </w:rPr>
              <w:footnoteReference w:id="10"/>
            </w:r>
            <w:r>
              <w:rPr>
                <w:spacing w:val="-4"/>
              </w:rPr>
              <w:t>). Růst inkasa byl v řádově menší míře tlumen i zvýšením limitu tržeb pro registraci DPH</w:t>
            </w:r>
            <w:r>
              <w:rPr>
                <w:rStyle w:val="Znakapoznpodarou"/>
                <w:spacing w:val="-4"/>
              </w:rPr>
              <w:footnoteReference w:id="11"/>
            </w:r>
            <w:r>
              <w:rPr>
                <w:spacing w:val="-4"/>
              </w:rPr>
              <w:t xml:space="preserve">. </w:t>
            </w:r>
          </w:p>
        </w:tc>
      </w:tr>
      <w:tr w:rsidR="00106BCC" w:rsidRPr="003C07E6" w14:paraId="4A0A6F75" w14:textId="77777777" w:rsidTr="006849F8">
        <w:trPr>
          <w:trHeight w:val="145"/>
        </w:trPr>
        <w:tc>
          <w:tcPr>
            <w:tcW w:w="1792" w:type="dxa"/>
            <w:shd w:val="clear" w:color="auto" w:fill="auto"/>
            <w:tcMar>
              <w:left w:w="0" w:type="dxa"/>
            </w:tcMar>
          </w:tcPr>
          <w:p w14:paraId="3533E0C2" w14:textId="77777777" w:rsidR="00106BCC" w:rsidRDefault="00106BCC" w:rsidP="006849F8">
            <w:pPr>
              <w:pStyle w:val="Marginlie"/>
              <w:rPr>
                <w:spacing w:val="-5"/>
              </w:rPr>
            </w:pPr>
            <w:r>
              <w:rPr>
                <w:spacing w:val="-5"/>
              </w:rPr>
              <w:t>Meziroční pokles výběru spotřebních daní nastal u</w:t>
            </w:r>
            <w:r>
              <w:t> </w:t>
            </w:r>
            <w:r>
              <w:rPr>
                <w:spacing w:val="-5"/>
              </w:rPr>
              <w:t>všech významných komodit. Celkové inkaso znatelně zaostávalo za předkrizovým rokem 2019.</w:t>
            </w:r>
          </w:p>
        </w:tc>
        <w:tc>
          <w:tcPr>
            <w:tcW w:w="203" w:type="dxa"/>
            <w:shd w:val="clear" w:color="auto" w:fill="auto"/>
            <w:tcMar>
              <w:left w:w="0" w:type="dxa"/>
            </w:tcMar>
          </w:tcPr>
          <w:p w14:paraId="22422F8C" w14:textId="77777777" w:rsidR="00106BCC" w:rsidRDefault="00106BCC" w:rsidP="006849F8">
            <w:pPr>
              <w:pStyle w:val="Textpoznpodarou"/>
              <w:jc w:val="both"/>
              <w:rPr>
                <w:spacing w:val="-4"/>
              </w:rPr>
            </w:pPr>
          </w:p>
        </w:tc>
        <w:tc>
          <w:tcPr>
            <w:tcW w:w="7674" w:type="dxa"/>
            <w:shd w:val="clear" w:color="auto" w:fill="auto"/>
            <w:tcMar>
              <w:left w:w="0" w:type="dxa"/>
            </w:tcMar>
          </w:tcPr>
          <w:p w14:paraId="6026C2C2" w14:textId="77777777" w:rsidR="00106BCC" w:rsidRDefault="00106BCC" w:rsidP="006849F8">
            <w:pPr>
              <w:spacing w:after="220"/>
              <w:rPr>
                <w:spacing w:val="-4"/>
              </w:rPr>
            </w:pPr>
            <w:r w:rsidRPr="002623CB">
              <w:rPr>
                <w:color w:val="0D0D0D" w:themeColor="text1" w:themeTint="F2"/>
                <w:spacing w:val="-4"/>
              </w:rPr>
              <w:t xml:space="preserve">Na spotřební dani (včetně energetických daní a daně z digitálních služeb) plynulo </w:t>
            </w:r>
            <w:r>
              <w:rPr>
                <w:color w:val="0D0D0D" w:themeColor="text1" w:themeTint="F2"/>
                <w:spacing w:val="-4"/>
              </w:rPr>
              <w:t>v</w:t>
            </w:r>
            <w:r>
              <w:rPr>
                <w:spacing w:val="-4"/>
              </w:rPr>
              <w:t xml:space="preserve"> 1. pololetí </w:t>
            </w:r>
            <w:r w:rsidRPr="002623CB">
              <w:rPr>
                <w:color w:val="0D0D0D" w:themeColor="text1" w:themeTint="F2"/>
                <w:spacing w:val="-4"/>
              </w:rPr>
              <w:t xml:space="preserve">do SR meziročně o 7,6 % </w:t>
            </w:r>
            <w:r>
              <w:rPr>
                <w:color w:val="0D0D0D" w:themeColor="text1" w:themeTint="F2"/>
                <w:spacing w:val="-4"/>
              </w:rPr>
              <w:t xml:space="preserve">(resp. o 5,6 mld. korun) </w:t>
            </w:r>
            <w:r w:rsidRPr="002623CB">
              <w:rPr>
                <w:color w:val="0D0D0D" w:themeColor="text1" w:themeTint="F2"/>
                <w:spacing w:val="-4"/>
              </w:rPr>
              <w:t>mén</w:t>
            </w:r>
            <w:r>
              <w:rPr>
                <w:color w:val="0D0D0D" w:themeColor="text1" w:themeTint="F2"/>
                <w:spacing w:val="-4"/>
              </w:rPr>
              <w:t>ě. V</w:t>
            </w:r>
            <w:r>
              <w:rPr>
                <w:spacing w:val="-4"/>
              </w:rPr>
              <w:t>ýše inkasa tak zatím zřetelně nenaplňovala rozpočtové očekávání (obdobně jako u DPH). Výběr daně klesá již od poloviny loňského roku a jeho dosavadní letošní výše byla o desetinu pod úrovní z 1. pololetí 2019. Meziročně se letos snížil výběr všech váhově významnějších položek spotřební daně. Klíčový byl pokles inkasa daně z minerálních olejů (-7,2 %), výrazně ovlivněný dočasným snížením daňové sazby u motorové nafty</w:t>
            </w:r>
            <w:r>
              <w:rPr>
                <w:rStyle w:val="Znakapoznpodarou"/>
                <w:spacing w:val="-4"/>
              </w:rPr>
              <w:footnoteReference w:id="12"/>
            </w:r>
            <w:r>
              <w:rPr>
                <w:spacing w:val="-4"/>
              </w:rPr>
              <w:t>. Projevil se patrně i dopad poklesu objemu nákladní dopravy vlivem nižšího obratu zbožového zahraničního obchodu. Klesl rovněž výběr daně z tabákových výrobků (-8,3 %), a to i přes pokračující navyšování daňové sazby. Silnější vliv na inkaso totiž měla změna nákupních preferencí domácností (přesun spotřeby k alternativním produktům, v tuzemsku méně zdaněným, posílení přeshraničních nákupů). SR získal meziročně méně i na dani ze specifických komodit (líh, víno, pivo), patrně v důsledku omezení zbytných výdajů tuzemských domácností. Úsporné chování domácností i firem vyústilo v razantní pokles výběru energetických daní.</w:t>
            </w:r>
          </w:p>
        </w:tc>
      </w:tr>
      <w:tr w:rsidR="00106BCC" w:rsidRPr="00F704D2" w14:paraId="754310D7" w14:textId="77777777" w:rsidTr="006849F8">
        <w:trPr>
          <w:trHeight w:val="170"/>
        </w:trPr>
        <w:tc>
          <w:tcPr>
            <w:tcW w:w="1792" w:type="dxa"/>
            <w:vMerge w:val="restart"/>
            <w:shd w:val="clear" w:color="auto" w:fill="auto"/>
            <w:tcMar>
              <w:left w:w="0" w:type="dxa"/>
            </w:tcMar>
          </w:tcPr>
          <w:p w14:paraId="0D62B353" w14:textId="77777777" w:rsidR="00106BCC" w:rsidRDefault="00106BCC" w:rsidP="006849F8">
            <w:pPr>
              <w:pStyle w:val="Marginlie"/>
            </w:pPr>
          </w:p>
        </w:tc>
        <w:tc>
          <w:tcPr>
            <w:tcW w:w="203" w:type="dxa"/>
            <w:vMerge w:val="restart"/>
            <w:shd w:val="clear" w:color="auto" w:fill="auto"/>
            <w:tcMar>
              <w:left w:w="0" w:type="dxa"/>
            </w:tcMar>
          </w:tcPr>
          <w:p w14:paraId="1E862622" w14:textId="77777777" w:rsidR="00106BCC" w:rsidRDefault="00106BCC" w:rsidP="006849F8">
            <w:pPr>
              <w:pStyle w:val="Textpoznpodarou"/>
              <w:jc w:val="both"/>
              <w:rPr>
                <w:spacing w:val="-4"/>
              </w:rPr>
            </w:pPr>
          </w:p>
        </w:tc>
        <w:tc>
          <w:tcPr>
            <w:tcW w:w="7674" w:type="dxa"/>
            <w:shd w:val="clear" w:color="auto" w:fill="auto"/>
            <w:tcMar>
              <w:left w:w="0" w:type="dxa"/>
            </w:tcMar>
          </w:tcPr>
          <w:p w14:paraId="1B71BBEC" w14:textId="480E8A86" w:rsidR="00106BCC" w:rsidRPr="00CC3017" w:rsidRDefault="00FA2C07" w:rsidP="006849F8">
            <w:pPr>
              <w:spacing w:after="20"/>
              <w:rPr>
                <w:rFonts w:cs="Arial"/>
                <w:b/>
                <w:bCs/>
                <w:color w:val="000000"/>
                <w:spacing w:val="-4"/>
                <w:szCs w:val="20"/>
              </w:rPr>
            </w:pPr>
            <w:r>
              <w:rPr>
                <w:rFonts w:cs="Arial"/>
                <w:b/>
                <w:bCs/>
                <w:color w:val="000000"/>
                <w:spacing w:val="-4"/>
                <w:szCs w:val="20"/>
              </w:rPr>
              <w:t>Graf č. 17</w:t>
            </w:r>
            <w:r w:rsidR="00106BCC" w:rsidRPr="00A66749">
              <w:rPr>
                <w:rFonts w:cs="Arial"/>
                <w:b/>
                <w:bCs/>
                <w:color w:val="000000"/>
                <w:spacing w:val="-4"/>
                <w:szCs w:val="20"/>
              </w:rPr>
              <w:t xml:space="preserve"> </w:t>
            </w:r>
            <w:r w:rsidR="00106BCC">
              <w:rPr>
                <w:rFonts w:cs="Arial"/>
                <w:b/>
                <w:bCs/>
                <w:color w:val="000000"/>
                <w:spacing w:val="-4"/>
                <w:szCs w:val="20"/>
              </w:rPr>
              <w:t>Příspěvek dílčích příjmů k meziročnímu růstu c</w:t>
            </w:r>
            <w:r w:rsidR="00106BCC" w:rsidRPr="00C37D7A">
              <w:rPr>
                <w:rFonts w:cs="Arial"/>
                <w:b/>
                <w:bCs/>
                <w:color w:val="000000"/>
                <w:spacing w:val="-4"/>
                <w:szCs w:val="20"/>
              </w:rPr>
              <w:t>elostátní</w:t>
            </w:r>
            <w:r w:rsidR="00106BCC">
              <w:rPr>
                <w:rFonts w:cs="Arial"/>
                <w:b/>
                <w:bCs/>
                <w:color w:val="000000"/>
                <w:spacing w:val="-4"/>
                <w:szCs w:val="20"/>
              </w:rPr>
              <w:t>ho inkas</w:t>
            </w:r>
            <w:r w:rsidR="00106BCC" w:rsidRPr="00C37D7A">
              <w:rPr>
                <w:rFonts w:cs="Arial"/>
                <w:b/>
                <w:bCs/>
                <w:color w:val="000000"/>
                <w:spacing w:val="-4"/>
                <w:szCs w:val="20"/>
              </w:rPr>
              <w:t xml:space="preserve">a daňových příjmů </w:t>
            </w:r>
            <w:r w:rsidR="00106BCC" w:rsidRPr="00CC7FBA">
              <w:rPr>
                <w:rFonts w:cs="Arial"/>
                <w:bCs/>
                <w:color w:val="000000"/>
                <w:spacing w:val="-4"/>
                <w:szCs w:val="20"/>
              </w:rPr>
              <w:t>(v p. b.)</w:t>
            </w:r>
            <w:r w:rsidR="00106BCC" w:rsidRPr="00C37D7A">
              <w:rPr>
                <w:rFonts w:cs="Arial"/>
                <w:b/>
                <w:bCs/>
                <w:color w:val="000000"/>
                <w:spacing w:val="-4"/>
                <w:szCs w:val="20"/>
              </w:rPr>
              <w:t xml:space="preserve"> a saldo státního rozpočtu </w:t>
            </w:r>
            <w:r w:rsidR="00106BCC" w:rsidRPr="00CC7FBA">
              <w:rPr>
                <w:rFonts w:cs="Arial"/>
                <w:bCs/>
                <w:color w:val="000000"/>
                <w:spacing w:val="-4"/>
                <w:szCs w:val="20"/>
              </w:rPr>
              <w:t>(v mld. korun)</w:t>
            </w:r>
            <w:r w:rsidR="00106BCC">
              <w:rPr>
                <w:rFonts w:cs="Arial"/>
                <w:b/>
                <w:bCs/>
                <w:color w:val="000000"/>
                <w:spacing w:val="-4"/>
                <w:szCs w:val="20"/>
              </w:rPr>
              <w:t xml:space="preserve"> v rámci 1. pololetí</w:t>
            </w:r>
          </w:p>
        </w:tc>
      </w:tr>
      <w:tr w:rsidR="00106BCC" w14:paraId="4257F8B3" w14:textId="77777777" w:rsidTr="006849F8">
        <w:tblPrEx>
          <w:tblCellMar>
            <w:left w:w="70" w:type="dxa"/>
            <w:right w:w="70" w:type="dxa"/>
          </w:tblCellMar>
        </w:tblPrEx>
        <w:trPr>
          <w:trHeight w:val="170"/>
        </w:trPr>
        <w:tc>
          <w:tcPr>
            <w:tcW w:w="1792" w:type="dxa"/>
            <w:vMerge/>
            <w:shd w:val="clear" w:color="auto" w:fill="auto"/>
          </w:tcPr>
          <w:p w14:paraId="28EA0C95" w14:textId="77777777" w:rsidR="00106BCC" w:rsidRDefault="00106BCC" w:rsidP="006849F8">
            <w:pPr>
              <w:pStyle w:val="Marginlie"/>
            </w:pPr>
          </w:p>
        </w:tc>
        <w:tc>
          <w:tcPr>
            <w:tcW w:w="203" w:type="dxa"/>
            <w:vMerge/>
            <w:shd w:val="clear" w:color="auto" w:fill="auto"/>
          </w:tcPr>
          <w:p w14:paraId="35F16900" w14:textId="77777777" w:rsidR="00106BCC" w:rsidRDefault="00106BCC" w:rsidP="006849F8">
            <w:pPr>
              <w:pStyle w:val="Textpoznpodarou"/>
              <w:jc w:val="both"/>
              <w:rPr>
                <w:spacing w:val="-4"/>
              </w:rPr>
            </w:pPr>
          </w:p>
        </w:tc>
        <w:tc>
          <w:tcPr>
            <w:tcW w:w="7674" w:type="dxa"/>
            <w:shd w:val="clear" w:color="auto" w:fill="auto"/>
          </w:tcPr>
          <w:p w14:paraId="0955F9AC" w14:textId="77777777" w:rsidR="00106BCC" w:rsidRPr="0067514E" w:rsidRDefault="00106BCC" w:rsidP="006849F8">
            <w:pPr>
              <w:spacing w:after="0"/>
              <w:rPr>
                <w:spacing w:val="-6"/>
              </w:rPr>
            </w:pPr>
            <w:r>
              <w:rPr>
                <w:noProof/>
              </w:rPr>
              <w:drawing>
                <wp:inline distT="0" distB="0" distL="0" distR="0" wp14:anchorId="776E599A" wp14:editId="5F707356">
                  <wp:extent cx="4741545" cy="3302000"/>
                  <wp:effectExtent l="0" t="0" r="1905"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06BCC" w:rsidRPr="007B3A78" w14:paraId="01689068" w14:textId="77777777" w:rsidTr="006849F8">
        <w:trPr>
          <w:trHeight w:val="170"/>
        </w:trPr>
        <w:tc>
          <w:tcPr>
            <w:tcW w:w="1792" w:type="dxa"/>
            <w:vMerge/>
            <w:shd w:val="clear" w:color="auto" w:fill="auto"/>
            <w:tcMar>
              <w:left w:w="0" w:type="dxa"/>
            </w:tcMar>
          </w:tcPr>
          <w:p w14:paraId="43ECD43A" w14:textId="77777777" w:rsidR="00106BCC" w:rsidRDefault="00106BCC" w:rsidP="006849F8">
            <w:pPr>
              <w:pStyle w:val="Marginlie"/>
            </w:pPr>
          </w:p>
        </w:tc>
        <w:tc>
          <w:tcPr>
            <w:tcW w:w="203" w:type="dxa"/>
            <w:vMerge/>
            <w:shd w:val="clear" w:color="auto" w:fill="auto"/>
            <w:tcMar>
              <w:left w:w="0" w:type="dxa"/>
            </w:tcMar>
          </w:tcPr>
          <w:p w14:paraId="6F968FCE" w14:textId="77777777" w:rsidR="00106BCC" w:rsidRDefault="00106BCC" w:rsidP="006849F8">
            <w:pPr>
              <w:pStyle w:val="Textpoznpodarou"/>
              <w:jc w:val="both"/>
              <w:rPr>
                <w:spacing w:val="-4"/>
              </w:rPr>
            </w:pPr>
          </w:p>
        </w:tc>
        <w:tc>
          <w:tcPr>
            <w:tcW w:w="7674" w:type="dxa"/>
            <w:shd w:val="clear" w:color="auto" w:fill="auto"/>
            <w:tcMar>
              <w:left w:w="0" w:type="dxa"/>
            </w:tcMar>
          </w:tcPr>
          <w:p w14:paraId="7E17D0C3" w14:textId="77777777" w:rsidR="00106BCC" w:rsidRDefault="00106BCC" w:rsidP="006849F8">
            <w:pPr>
              <w:tabs>
                <w:tab w:val="right" w:pos="7683"/>
              </w:tabs>
              <w:spacing w:after="0" w:line="240" w:lineRule="auto"/>
              <w:jc w:val="left"/>
              <w:rPr>
                <w:sz w:val="16"/>
                <w:szCs w:val="16"/>
              </w:rPr>
            </w:pPr>
            <w:r>
              <w:rPr>
                <w:spacing w:val="-2"/>
                <w:sz w:val="14"/>
                <w:szCs w:val="14"/>
              </w:rPr>
              <w:t>Poznámka: Údaje očištěné o vliv prostředků z EU a Finančních mechanismů jsou k dispozici od roku 2013.</w:t>
            </w:r>
          </w:p>
          <w:p w14:paraId="72B0BDA6" w14:textId="0020260B" w:rsidR="00106BCC" w:rsidRPr="00764654" w:rsidRDefault="00106BCC" w:rsidP="00E159C6">
            <w:pPr>
              <w:tabs>
                <w:tab w:val="right" w:pos="7683"/>
              </w:tabs>
              <w:spacing w:after="200" w:line="240" w:lineRule="auto"/>
              <w:jc w:val="left"/>
              <w:rPr>
                <w:sz w:val="14"/>
                <w:szCs w:val="14"/>
              </w:rPr>
            </w:pPr>
            <w:r w:rsidRPr="002777A9">
              <w:rPr>
                <w:sz w:val="14"/>
                <w:szCs w:val="14"/>
              </w:rPr>
              <w:t>*</w:t>
            </w:r>
            <w:r w:rsidR="00E159C6">
              <w:rPr>
                <w:sz w:val="14"/>
                <w:szCs w:val="14"/>
              </w:rPr>
              <w:t xml:space="preserve">Ostatní daně a poplatky zahrnují </w:t>
            </w:r>
            <w:r>
              <w:rPr>
                <w:sz w:val="14"/>
                <w:szCs w:val="14"/>
              </w:rPr>
              <w:t>zejména daň z nemovitých věcí, d</w:t>
            </w:r>
            <w:r w:rsidRPr="001F4360">
              <w:rPr>
                <w:sz w:val="14"/>
                <w:szCs w:val="14"/>
              </w:rPr>
              <w:t>aň z hazardních her</w:t>
            </w:r>
            <w:r>
              <w:rPr>
                <w:sz w:val="14"/>
                <w:szCs w:val="14"/>
              </w:rPr>
              <w:t>, d</w:t>
            </w:r>
            <w:r w:rsidRPr="001F4360">
              <w:rPr>
                <w:sz w:val="14"/>
                <w:szCs w:val="14"/>
              </w:rPr>
              <w:t>álniční poplatek</w:t>
            </w:r>
            <w:r>
              <w:rPr>
                <w:sz w:val="14"/>
                <w:szCs w:val="14"/>
              </w:rPr>
              <w:t>, mýtné a v roce 2023 nově rovněž o</w:t>
            </w:r>
            <w:r w:rsidRPr="003C78E5">
              <w:rPr>
                <w:sz w:val="14"/>
                <w:szCs w:val="14"/>
              </w:rPr>
              <w:t>dvod z nadměrných příjmů</w:t>
            </w:r>
            <w:r>
              <w:rPr>
                <w:sz w:val="14"/>
                <w:szCs w:val="14"/>
              </w:rPr>
              <w:t xml:space="preserve">.              </w:t>
            </w:r>
            <w:r w:rsidR="00E159C6">
              <w:rPr>
                <w:sz w:val="14"/>
                <w:szCs w:val="14"/>
              </w:rPr>
              <w:t xml:space="preserve">                 </w:t>
            </w:r>
            <w:r>
              <w:rPr>
                <w:sz w:val="14"/>
                <w:szCs w:val="14"/>
              </w:rPr>
              <w:t xml:space="preserve">                                                                    </w:t>
            </w:r>
            <w:r w:rsidRPr="002777A9">
              <w:rPr>
                <w:sz w:val="14"/>
                <w:szCs w:val="14"/>
              </w:rPr>
              <w:t>Zdroj: MF ČR</w:t>
            </w:r>
          </w:p>
        </w:tc>
      </w:tr>
      <w:tr w:rsidR="00106BCC" w:rsidRPr="007B3A78" w14:paraId="5E12D22A" w14:textId="77777777" w:rsidTr="006849F8">
        <w:trPr>
          <w:trHeight w:val="170"/>
        </w:trPr>
        <w:tc>
          <w:tcPr>
            <w:tcW w:w="1792" w:type="dxa"/>
            <w:shd w:val="clear" w:color="auto" w:fill="auto"/>
            <w:tcMar>
              <w:left w:w="0" w:type="dxa"/>
            </w:tcMar>
          </w:tcPr>
          <w:p w14:paraId="23788614" w14:textId="77777777" w:rsidR="00106BCC" w:rsidRDefault="00106BCC" w:rsidP="006849F8">
            <w:pPr>
              <w:pStyle w:val="Marginlie"/>
            </w:pPr>
            <w:r>
              <w:t xml:space="preserve">Potřeba mimořádných transferů se promítala do svižného růstu celkových výdajů SR, jejichž tempo </w:t>
            </w:r>
            <w:r>
              <w:lastRenderedPageBreak/>
              <w:t>převyšovalo rozpočtové očekávání.</w:t>
            </w:r>
          </w:p>
        </w:tc>
        <w:tc>
          <w:tcPr>
            <w:tcW w:w="203" w:type="dxa"/>
            <w:shd w:val="clear" w:color="auto" w:fill="auto"/>
            <w:tcMar>
              <w:left w:w="0" w:type="dxa"/>
            </w:tcMar>
          </w:tcPr>
          <w:p w14:paraId="61BC6BC1" w14:textId="77777777" w:rsidR="00106BCC" w:rsidRDefault="00106BCC" w:rsidP="006849F8">
            <w:pPr>
              <w:pStyle w:val="Textpoznpodarou"/>
              <w:jc w:val="both"/>
              <w:rPr>
                <w:spacing w:val="-4"/>
              </w:rPr>
            </w:pPr>
          </w:p>
        </w:tc>
        <w:tc>
          <w:tcPr>
            <w:tcW w:w="7674" w:type="dxa"/>
            <w:shd w:val="clear" w:color="auto" w:fill="auto"/>
            <w:tcMar>
              <w:left w:w="0" w:type="dxa"/>
            </w:tcMar>
          </w:tcPr>
          <w:p w14:paraId="147EC330" w14:textId="77777777" w:rsidR="00106BCC" w:rsidRPr="001843D5" w:rsidRDefault="00106BCC" w:rsidP="006849F8">
            <w:pPr>
              <w:spacing w:after="220"/>
              <w:rPr>
                <w:color w:val="0D0D0D" w:themeColor="text1" w:themeTint="F2"/>
                <w:spacing w:val="-4"/>
              </w:rPr>
            </w:pPr>
            <w:r w:rsidRPr="008F130B">
              <w:rPr>
                <w:color w:val="0D0D0D" w:themeColor="text1" w:themeTint="F2"/>
                <w:spacing w:val="-5"/>
              </w:rPr>
              <w:t>Celkové výdaje SR v 1.</w:t>
            </w:r>
            <w:r>
              <w:rPr>
                <w:color w:val="0D0D0D" w:themeColor="text1" w:themeTint="F2"/>
                <w:spacing w:val="-5"/>
              </w:rPr>
              <w:t xml:space="preserve"> polol</w:t>
            </w:r>
            <w:r w:rsidRPr="008F130B">
              <w:rPr>
                <w:color w:val="0D0D0D" w:themeColor="text1" w:themeTint="F2"/>
                <w:spacing w:val="-5"/>
              </w:rPr>
              <w:t>etí 2023 me</w:t>
            </w:r>
            <w:r>
              <w:rPr>
                <w:color w:val="0D0D0D" w:themeColor="text1" w:themeTint="F2"/>
                <w:spacing w:val="-5"/>
              </w:rPr>
              <w:t>ziročně vzrostly o 16,8</w:t>
            </w:r>
            <w:r w:rsidRPr="008F130B">
              <w:rPr>
                <w:color w:val="0D0D0D" w:themeColor="text1" w:themeTint="F2"/>
                <w:spacing w:val="-5"/>
              </w:rPr>
              <w:t xml:space="preserve"> %</w:t>
            </w:r>
            <w:r>
              <w:rPr>
                <w:color w:val="0D0D0D" w:themeColor="text1" w:themeTint="F2"/>
                <w:spacing w:val="-5"/>
              </w:rPr>
              <w:t xml:space="preserve"> (+162,6</w:t>
            </w:r>
            <w:r w:rsidRPr="008F130B">
              <w:rPr>
                <w:color w:val="0D0D0D" w:themeColor="text1" w:themeTint="F2"/>
                <w:spacing w:val="-5"/>
              </w:rPr>
              <w:t xml:space="preserve"> </w:t>
            </w:r>
            <w:r>
              <w:rPr>
                <w:color w:val="0D0D0D" w:themeColor="text1" w:themeTint="F2"/>
                <w:spacing w:val="-5"/>
              </w:rPr>
              <w:t>mld. korun), jejich tempo zatím převyšovalo celoroční rozpočtové očekávání (o 4 p. b.).</w:t>
            </w:r>
            <w:r w:rsidRPr="008F130B">
              <w:rPr>
                <w:color w:val="0D0D0D" w:themeColor="text1" w:themeTint="F2"/>
                <w:spacing w:val="-4"/>
              </w:rPr>
              <w:t xml:space="preserve"> </w:t>
            </w:r>
            <w:r>
              <w:rPr>
                <w:spacing w:val="-2"/>
              </w:rPr>
              <w:t xml:space="preserve">Do </w:t>
            </w:r>
            <w:r>
              <w:rPr>
                <w:color w:val="0D0D0D" w:themeColor="text1" w:themeTint="F2"/>
                <w:spacing w:val="-2"/>
              </w:rPr>
              <w:t>silného</w:t>
            </w:r>
            <w:r w:rsidRPr="003A4FAE">
              <w:rPr>
                <w:color w:val="0D0D0D" w:themeColor="text1" w:themeTint="F2"/>
                <w:spacing w:val="-2"/>
              </w:rPr>
              <w:t xml:space="preserve"> růstu výdajů SR </w:t>
            </w:r>
            <w:r>
              <w:rPr>
                <w:spacing w:val="-2"/>
              </w:rPr>
              <w:t xml:space="preserve">se promítala jak pomoc státu související s vysokými cenami energií (dosud nedostatečně kompenzovaná mimořádnými příjmy ze zdanění vybraných sektorů </w:t>
            </w:r>
            <w:r>
              <w:rPr>
                <w:spacing w:val="-2"/>
              </w:rPr>
              <w:lastRenderedPageBreak/>
              <w:t xml:space="preserve">ekonomiky), tak dopady přetrvávající pádivé inflace (valorizace důchodů, vyšší objem vyplacených sociálních dávek, rostoucí splátky státního dluhu). Na rozdíl od 1. pololetí 2022 přispěly letos k meziročnímu růstu výdajů SR nejen investice, ale i běžné výdaje. </w:t>
            </w:r>
          </w:p>
        </w:tc>
      </w:tr>
      <w:tr w:rsidR="00106BCC" w:rsidRPr="007B3A78" w14:paraId="7C7A2886" w14:textId="77777777" w:rsidTr="006849F8">
        <w:trPr>
          <w:trHeight w:val="170"/>
        </w:trPr>
        <w:tc>
          <w:tcPr>
            <w:tcW w:w="1792" w:type="dxa"/>
            <w:shd w:val="clear" w:color="auto" w:fill="auto"/>
            <w:tcMar>
              <w:left w:w="0" w:type="dxa"/>
            </w:tcMar>
          </w:tcPr>
          <w:p w14:paraId="13158B46" w14:textId="77777777" w:rsidR="00106BCC" w:rsidRDefault="00106BCC" w:rsidP="006849F8">
            <w:pPr>
              <w:pStyle w:val="Marginlie"/>
            </w:pPr>
            <w:r>
              <w:lastRenderedPageBreak/>
              <w:t>Fiskální expanze v</w:t>
            </w:r>
            <w:r>
              <w:rPr>
                <w:spacing w:val="-4"/>
              </w:rPr>
              <w:t> </w:t>
            </w:r>
            <w:r>
              <w:t>1.</w:t>
            </w:r>
            <w:r>
              <w:rPr>
                <w:spacing w:val="-4"/>
              </w:rPr>
              <w:t> </w:t>
            </w:r>
            <w:r>
              <w:t xml:space="preserve">pololetí souvisela primárně se zákonnými valorizacemi důchodů. </w:t>
            </w:r>
          </w:p>
          <w:p w14:paraId="3C8CB321" w14:textId="77777777" w:rsidR="00106BCC" w:rsidRDefault="00106BCC" w:rsidP="006849F8">
            <w:pPr>
              <w:pStyle w:val="Marginlie"/>
            </w:pPr>
          </w:p>
          <w:p w14:paraId="7CC0C364" w14:textId="77777777" w:rsidR="00106BCC" w:rsidRDefault="00106BCC" w:rsidP="006849F8">
            <w:pPr>
              <w:pStyle w:val="Marginlie"/>
            </w:pPr>
          </w:p>
          <w:p w14:paraId="0A14BB55" w14:textId="77777777" w:rsidR="00106BCC" w:rsidRDefault="00106BCC" w:rsidP="006849F8">
            <w:pPr>
              <w:pStyle w:val="Marginlie"/>
            </w:pPr>
          </w:p>
          <w:p w14:paraId="586363D9" w14:textId="77777777" w:rsidR="00106BCC" w:rsidRDefault="00106BCC" w:rsidP="006849F8">
            <w:pPr>
              <w:pStyle w:val="Marginlie"/>
            </w:pPr>
          </w:p>
          <w:p w14:paraId="77FA6FF8" w14:textId="77777777" w:rsidR="00106BCC" w:rsidRDefault="00106BCC" w:rsidP="006849F8">
            <w:pPr>
              <w:pStyle w:val="Marginlie"/>
            </w:pPr>
          </w:p>
          <w:p w14:paraId="5DA66BC3" w14:textId="77777777" w:rsidR="00106BCC" w:rsidRDefault="00106BCC" w:rsidP="006849F8">
            <w:pPr>
              <w:pStyle w:val="Marginlie"/>
            </w:pPr>
            <w:r>
              <w:t>Pokles počtu příjemců starobních důchodů navzdory vyššímu zájmu o předčasné penze pokračoval.</w:t>
            </w:r>
          </w:p>
        </w:tc>
        <w:tc>
          <w:tcPr>
            <w:tcW w:w="203" w:type="dxa"/>
            <w:shd w:val="clear" w:color="auto" w:fill="auto"/>
            <w:tcMar>
              <w:left w:w="0" w:type="dxa"/>
            </w:tcMar>
          </w:tcPr>
          <w:p w14:paraId="5480FC9E" w14:textId="77777777" w:rsidR="00106BCC" w:rsidRDefault="00106BCC" w:rsidP="006849F8">
            <w:pPr>
              <w:pStyle w:val="Textpoznpodarou"/>
              <w:jc w:val="both"/>
              <w:rPr>
                <w:spacing w:val="-4"/>
              </w:rPr>
            </w:pPr>
          </w:p>
        </w:tc>
        <w:tc>
          <w:tcPr>
            <w:tcW w:w="7674" w:type="dxa"/>
            <w:shd w:val="clear" w:color="auto" w:fill="auto"/>
            <w:tcMar>
              <w:left w:w="0" w:type="dxa"/>
            </w:tcMar>
          </w:tcPr>
          <w:p w14:paraId="73681F00" w14:textId="77777777" w:rsidR="00106BCC" w:rsidRPr="008F130B" w:rsidRDefault="00106BCC" w:rsidP="006849F8">
            <w:pPr>
              <w:spacing w:after="200"/>
              <w:rPr>
                <w:color w:val="0D0D0D" w:themeColor="text1" w:themeTint="F2"/>
                <w:spacing w:val="-4"/>
              </w:rPr>
            </w:pPr>
            <w:r>
              <w:rPr>
                <w:color w:val="0D0D0D" w:themeColor="text1" w:themeTint="F2"/>
                <w:spacing w:val="-5"/>
              </w:rPr>
              <w:t>Běžné výdaje SR v 1. pololetí meziročně posílily o 16,8 % (+151,7 mld. korun), což představovalo nejvyšší tempo v současném miléniu</w:t>
            </w:r>
            <w:r>
              <w:rPr>
                <w:rStyle w:val="Znakapoznpodarou"/>
                <w:color w:val="0D0D0D" w:themeColor="text1" w:themeTint="F2"/>
                <w:spacing w:val="-5"/>
              </w:rPr>
              <w:footnoteReference w:id="13"/>
            </w:r>
            <w:r>
              <w:rPr>
                <w:color w:val="0D0D0D" w:themeColor="text1" w:themeTint="F2"/>
                <w:spacing w:val="-5"/>
              </w:rPr>
              <w:t xml:space="preserve">. Hlavní zdroj fiskální expanze představovaly výdaje na sociální dávky, jejichž objem narostl o šestinu (resp. 62,5 mld. korun). Klíčovou roli u nich tradičně sehrály </w:t>
            </w:r>
            <w:r w:rsidRPr="00583942">
              <w:rPr>
                <w:color w:val="0D0D0D" w:themeColor="text1" w:themeTint="F2"/>
                <w:spacing w:val="-4"/>
              </w:rPr>
              <w:t>výdaje na důchody, jež vystoupaly na 342</w:t>
            </w:r>
            <w:r>
              <w:rPr>
                <w:color w:val="0D0D0D" w:themeColor="text1" w:themeTint="F2"/>
                <w:spacing w:val="-4"/>
              </w:rPr>
              <w:t>,2</w:t>
            </w:r>
            <w:r w:rsidRPr="00583942">
              <w:rPr>
                <w:color w:val="0D0D0D" w:themeColor="text1" w:themeTint="F2"/>
                <w:spacing w:val="-4"/>
              </w:rPr>
              <w:t xml:space="preserve"> mld. korun a úroveň z 1. pololetí loňského roku překonaly o rekordních 19,8 %</w:t>
            </w:r>
            <w:r w:rsidRPr="00862F80">
              <w:rPr>
                <w:rStyle w:val="Znakapoznpodarou"/>
                <w:spacing w:val="-4"/>
                <w:szCs w:val="20"/>
              </w:rPr>
              <w:footnoteReference w:id="14"/>
            </w:r>
            <w:r w:rsidRPr="00583942">
              <w:rPr>
                <w:color w:val="0D0D0D" w:themeColor="text1" w:themeTint="F2"/>
                <w:spacing w:val="-4"/>
              </w:rPr>
              <w:t xml:space="preserve">. </w:t>
            </w:r>
            <w:r>
              <w:rPr>
                <w:color w:val="0D0D0D" w:themeColor="text1" w:themeTint="F2"/>
                <w:spacing w:val="-4"/>
              </w:rPr>
              <w:t>V jejich dynamice se kromě loňských navýšení promítá i řádná zákonná valorizace od ledna 2023 (+4,7 %) a mimořádné zvýšení od června (za již upravených legislativních podmínek, o</w:t>
            </w:r>
            <w:r>
              <w:rPr>
                <w:color w:val="0D0D0D" w:themeColor="text1" w:themeTint="F2"/>
                <w:spacing w:val="-5"/>
              </w:rPr>
              <w:t> </w:t>
            </w:r>
            <w:r>
              <w:rPr>
                <w:color w:val="0D0D0D" w:themeColor="text1" w:themeTint="F2"/>
                <w:spacing w:val="-4"/>
              </w:rPr>
              <w:t>3,9</w:t>
            </w:r>
            <w:r>
              <w:rPr>
                <w:color w:val="0D0D0D" w:themeColor="text1" w:themeTint="F2"/>
                <w:spacing w:val="-5"/>
              </w:rPr>
              <w:t> </w:t>
            </w:r>
            <w:r>
              <w:rPr>
                <w:color w:val="0D0D0D" w:themeColor="text1" w:themeTint="F2"/>
                <w:spacing w:val="-4"/>
              </w:rPr>
              <w:t>%) a dále také nově zavedený pravidelný příspěvek za každé vychované dítě (500 korun). Počet příjemců důchodů navzdory vyššímu zájmu o předčasné penze</w:t>
            </w:r>
            <w:r>
              <w:rPr>
                <w:rStyle w:val="Znakapoznpodarou"/>
                <w:color w:val="0D0D0D" w:themeColor="text1" w:themeTint="F2"/>
                <w:spacing w:val="-4"/>
              </w:rPr>
              <w:footnoteReference w:id="15"/>
            </w:r>
            <w:r>
              <w:rPr>
                <w:color w:val="0D0D0D" w:themeColor="text1" w:themeTint="F2"/>
                <w:spacing w:val="-4"/>
              </w:rPr>
              <w:t xml:space="preserve"> klesal, byť mírnějším tempem (-0,3 % meziročně) než v předchozích dvou letech. </w:t>
            </w:r>
            <w:r>
              <w:rPr>
                <w:spacing w:val="-6"/>
              </w:rPr>
              <w:t>Ačkoliv stále d</w:t>
            </w:r>
            <w:r w:rsidRPr="00791977">
              <w:rPr>
                <w:spacing w:val="-6"/>
              </w:rPr>
              <w:t>obr</w:t>
            </w:r>
            <w:r>
              <w:rPr>
                <w:spacing w:val="-6"/>
              </w:rPr>
              <w:t>á kondice tuzemského trhu práce podporovala</w:t>
            </w:r>
            <w:r>
              <w:rPr>
                <w:spacing w:val="-4"/>
              </w:rPr>
              <w:t xml:space="preserve"> pokračující solidní růst</w:t>
            </w:r>
            <w:r w:rsidRPr="00862F80">
              <w:rPr>
                <w:spacing w:val="-4"/>
              </w:rPr>
              <w:t xml:space="preserve"> příjmů </w:t>
            </w:r>
            <w:r>
              <w:rPr>
                <w:rFonts w:cs="Arial"/>
                <w:color w:val="0D0D0D" w:themeColor="text1" w:themeTint="F2"/>
                <w:spacing w:val="-4"/>
              </w:rPr>
              <w:t>důchodového pojištění, jeho meziroční tempo nebylo letos oproti výdajům na důchody ani poloviční (+8,9</w:t>
            </w:r>
            <w:r>
              <w:rPr>
                <w:color w:val="0D0D0D" w:themeColor="text1" w:themeTint="F2"/>
                <w:spacing w:val="-5"/>
              </w:rPr>
              <w:t> </w:t>
            </w:r>
            <w:r>
              <w:rPr>
                <w:rFonts w:cs="Arial"/>
                <w:color w:val="0D0D0D" w:themeColor="text1" w:themeTint="F2"/>
                <w:spacing w:val="-4"/>
              </w:rPr>
              <w:t>%)</w:t>
            </w:r>
            <w:r>
              <w:rPr>
                <w:rStyle w:val="Znakapoznpodarou"/>
                <w:color w:val="0D0D0D" w:themeColor="text1" w:themeTint="F2"/>
                <w:spacing w:val="-4"/>
              </w:rPr>
              <w:footnoteReference w:id="16"/>
            </w:r>
            <w:r>
              <w:rPr>
                <w:rFonts w:cs="Arial"/>
                <w:color w:val="0D0D0D" w:themeColor="text1" w:themeTint="F2"/>
                <w:spacing w:val="-4"/>
              </w:rPr>
              <w:t>. Saldo</w:t>
            </w:r>
            <w:r w:rsidRPr="00862F80">
              <w:rPr>
                <w:rFonts w:cs="Arial"/>
                <w:color w:val="0D0D0D" w:themeColor="text1" w:themeTint="F2"/>
                <w:spacing w:val="-4"/>
              </w:rPr>
              <w:t xml:space="preserve"> </w:t>
            </w:r>
            <w:r>
              <w:rPr>
                <w:rFonts w:cs="Arial"/>
                <w:color w:val="0D0D0D" w:themeColor="text1" w:themeTint="F2"/>
                <w:spacing w:val="-4"/>
              </w:rPr>
              <w:t xml:space="preserve">systému </w:t>
            </w:r>
            <w:r>
              <w:rPr>
                <w:rFonts w:cs="Arial"/>
                <w:color w:val="0D0D0D" w:themeColor="text1" w:themeTint="F2"/>
                <w:spacing w:val="-2"/>
              </w:rPr>
              <w:t>důchodového pojištění</w:t>
            </w:r>
            <w:r w:rsidRPr="001C3185">
              <w:rPr>
                <w:rStyle w:val="Znakapoznpodarou"/>
                <w:color w:val="0D0D0D" w:themeColor="text1" w:themeTint="F2"/>
                <w:spacing w:val="-2"/>
              </w:rPr>
              <w:footnoteReference w:id="17"/>
            </w:r>
            <w:r>
              <w:rPr>
                <w:rFonts w:cs="Arial"/>
                <w:color w:val="0D0D0D" w:themeColor="text1" w:themeTint="F2"/>
                <w:spacing w:val="-2"/>
              </w:rPr>
              <w:t xml:space="preserve"> se proto v 1. pololetí propadlo do rekordního</w:t>
            </w:r>
            <w:r w:rsidRPr="001C3185">
              <w:rPr>
                <w:rFonts w:cs="Arial"/>
                <w:color w:val="0D0D0D" w:themeColor="text1" w:themeTint="F2"/>
                <w:spacing w:val="-2"/>
              </w:rPr>
              <w:t xml:space="preserve"> deficitu (</w:t>
            </w:r>
            <w:r>
              <w:rPr>
                <w:rFonts w:cs="Arial"/>
                <w:color w:val="0D0D0D" w:themeColor="text1" w:themeTint="F2"/>
                <w:spacing w:val="-2"/>
              </w:rPr>
              <w:t>−40,3 mld. korun), meziročně čtyřnásobně vyššího.</w:t>
            </w:r>
            <w:r w:rsidRPr="009431D5">
              <w:rPr>
                <w:color w:val="0D0D0D" w:themeColor="text1" w:themeTint="F2"/>
                <w:spacing w:val="-4"/>
              </w:rPr>
              <w:t xml:space="preserve"> </w:t>
            </w:r>
          </w:p>
        </w:tc>
      </w:tr>
      <w:tr w:rsidR="00106BCC" w:rsidRPr="007B3A78" w14:paraId="2DF26F03" w14:textId="77777777" w:rsidTr="006849F8">
        <w:trPr>
          <w:trHeight w:val="170"/>
        </w:trPr>
        <w:tc>
          <w:tcPr>
            <w:tcW w:w="1792" w:type="dxa"/>
            <w:shd w:val="clear" w:color="auto" w:fill="auto"/>
            <w:tcMar>
              <w:left w:w="0" w:type="dxa"/>
            </w:tcMar>
          </w:tcPr>
          <w:p w14:paraId="7571A1AD" w14:textId="77777777" w:rsidR="00106BCC" w:rsidRDefault="00106BCC" w:rsidP="006849F8">
            <w:pPr>
              <w:pStyle w:val="Marginlie"/>
            </w:pPr>
            <w:r>
              <w:t>K meziročnímu zrychlení růstu výdajů na nedůchodové sociální dávky nejvíce přispělo vyšší čerpání příspěvků na bydlení.</w:t>
            </w:r>
          </w:p>
          <w:p w14:paraId="23545393" w14:textId="77777777" w:rsidR="00106BCC" w:rsidRDefault="00106BCC" w:rsidP="006849F8">
            <w:pPr>
              <w:pStyle w:val="Marginlie"/>
            </w:pPr>
          </w:p>
          <w:p w14:paraId="7516ED44" w14:textId="77777777" w:rsidR="00106BCC" w:rsidRDefault="00106BCC" w:rsidP="006849F8">
            <w:pPr>
              <w:pStyle w:val="Marginlie"/>
            </w:pPr>
          </w:p>
          <w:p w14:paraId="0B9932C2" w14:textId="77777777" w:rsidR="00106BCC" w:rsidRDefault="00106BCC" w:rsidP="006849F8">
            <w:pPr>
              <w:pStyle w:val="Marginlie"/>
            </w:pPr>
          </w:p>
          <w:p w14:paraId="0F3CE311" w14:textId="77777777" w:rsidR="00106BCC" w:rsidRDefault="00106BCC" w:rsidP="006849F8">
            <w:pPr>
              <w:pStyle w:val="Marginlie"/>
            </w:pPr>
          </w:p>
          <w:p w14:paraId="2DDFCB8F" w14:textId="77777777" w:rsidR="00106BCC" w:rsidRDefault="00106BCC" w:rsidP="006849F8">
            <w:pPr>
              <w:pStyle w:val="Marginlie"/>
            </w:pPr>
          </w:p>
          <w:p w14:paraId="7D90F241" w14:textId="77777777" w:rsidR="00106BCC" w:rsidRDefault="00106BCC" w:rsidP="006849F8">
            <w:pPr>
              <w:pStyle w:val="Marginlie"/>
            </w:pPr>
          </w:p>
          <w:p w14:paraId="3CAAA87E" w14:textId="77777777" w:rsidR="00106BCC" w:rsidRDefault="00106BCC" w:rsidP="006849F8">
            <w:pPr>
              <w:pStyle w:val="Marginlie"/>
            </w:pPr>
          </w:p>
          <w:p w14:paraId="7A0EAD6E" w14:textId="77777777" w:rsidR="00106BCC" w:rsidRDefault="00106BCC" w:rsidP="006849F8">
            <w:pPr>
              <w:pStyle w:val="Marginlie"/>
            </w:pPr>
          </w:p>
          <w:p w14:paraId="202055FD" w14:textId="77777777" w:rsidR="00106BCC" w:rsidRDefault="00106BCC" w:rsidP="006849F8">
            <w:pPr>
              <w:pStyle w:val="Marginlie"/>
            </w:pPr>
          </w:p>
          <w:p w14:paraId="138F9CA9" w14:textId="77777777" w:rsidR="00106BCC" w:rsidRDefault="00106BCC" w:rsidP="006849F8">
            <w:pPr>
              <w:pStyle w:val="Marginlie"/>
            </w:pPr>
          </w:p>
          <w:p w14:paraId="0779B965" w14:textId="77777777" w:rsidR="00106BCC" w:rsidRDefault="00106BCC" w:rsidP="006849F8">
            <w:pPr>
              <w:pStyle w:val="Marginlie"/>
            </w:pPr>
          </w:p>
          <w:p w14:paraId="63C9FB6E" w14:textId="77777777" w:rsidR="00106BCC" w:rsidRDefault="00106BCC" w:rsidP="006849F8">
            <w:pPr>
              <w:pStyle w:val="Marginlie"/>
            </w:pPr>
          </w:p>
          <w:p w14:paraId="56BF9D73" w14:textId="77777777" w:rsidR="00106BCC" w:rsidRDefault="00106BCC" w:rsidP="006849F8">
            <w:pPr>
              <w:pStyle w:val="Marginlie"/>
            </w:pPr>
          </w:p>
          <w:p w14:paraId="10083399" w14:textId="77777777" w:rsidR="00106BCC" w:rsidRDefault="00106BCC" w:rsidP="006849F8">
            <w:pPr>
              <w:pStyle w:val="Marginlie"/>
            </w:pPr>
            <w:r>
              <w:t>Výdaje na rodičovské příspěvky, podobně jako na dávky nemocenského pojištění, klesly třetím rokem v řadě.</w:t>
            </w:r>
          </w:p>
          <w:p w14:paraId="25B040DC" w14:textId="77777777" w:rsidR="00106BCC" w:rsidRDefault="00106BCC" w:rsidP="006849F8">
            <w:pPr>
              <w:pStyle w:val="Marginlie"/>
            </w:pPr>
          </w:p>
        </w:tc>
        <w:tc>
          <w:tcPr>
            <w:tcW w:w="203" w:type="dxa"/>
            <w:shd w:val="clear" w:color="auto" w:fill="auto"/>
            <w:tcMar>
              <w:left w:w="0" w:type="dxa"/>
            </w:tcMar>
          </w:tcPr>
          <w:p w14:paraId="75B50E50" w14:textId="77777777" w:rsidR="00106BCC" w:rsidRDefault="00106BCC" w:rsidP="006849F8">
            <w:pPr>
              <w:pStyle w:val="Textpoznpodarou"/>
              <w:jc w:val="both"/>
              <w:rPr>
                <w:spacing w:val="-4"/>
              </w:rPr>
            </w:pPr>
          </w:p>
        </w:tc>
        <w:tc>
          <w:tcPr>
            <w:tcW w:w="7674" w:type="dxa"/>
            <w:shd w:val="clear" w:color="auto" w:fill="auto"/>
            <w:tcMar>
              <w:left w:w="0" w:type="dxa"/>
            </w:tcMar>
          </w:tcPr>
          <w:p w14:paraId="3DF2FD76" w14:textId="77777777" w:rsidR="00106BCC" w:rsidRPr="00F603D7" w:rsidRDefault="00106BCC" w:rsidP="006849F8">
            <w:pPr>
              <w:spacing w:after="0"/>
              <w:rPr>
                <w:color w:val="0D0D0D" w:themeColor="text1" w:themeTint="F2"/>
                <w:spacing w:val="-4"/>
              </w:rPr>
            </w:pPr>
            <w:r w:rsidRPr="00F603D7">
              <w:rPr>
                <w:color w:val="0D0D0D" w:themeColor="text1" w:themeTint="F2"/>
                <w:spacing w:val="-4"/>
              </w:rPr>
              <w:t xml:space="preserve">Na </w:t>
            </w:r>
            <w:r w:rsidRPr="00F603D7">
              <w:rPr>
                <w:rFonts w:cs="Arial"/>
                <w:color w:val="0D0D0D" w:themeColor="text1" w:themeTint="F2"/>
                <w:spacing w:val="-4"/>
              </w:rPr>
              <w:t xml:space="preserve">nedůchodové sociální dávky putovalo ze SR v 1. pololetí </w:t>
            </w:r>
            <w:r w:rsidRPr="00F603D7">
              <w:rPr>
                <w:color w:val="0D0D0D" w:themeColor="text1" w:themeTint="F2"/>
                <w:spacing w:val="-4"/>
              </w:rPr>
              <w:t>93,3 mld. korun a meziroční růst výdajů zrychlil na 6,9 % (skoro dvojnásobné tempo než o rok dříve). K letošnímu růstu zásadně přispěly výdaje na státní sociální podporu (SSP, +5,3 mld. korun), u nichž došlo k výraznému zvýšení objemu vyplacených příspěvků na bydlení</w:t>
            </w:r>
            <w:r w:rsidRPr="00F603D7">
              <w:rPr>
                <w:rStyle w:val="Znakapoznpodarou"/>
                <w:color w:val="0D0D0D" w:themeColor="text1" w:themeTint="F2"/>
                <w:spacing w:val="-4"/>
              </w:rPr>
              <w:footnoteReference w:id="18"/>
            </w:r>
            <w:r w:rsidRPr="00F603D7">
              <w:rPr>
                <w:color w:val="0D0D0D" w:themeColor="text1" w:themeTint="F2"/>
                <w:spacing w:val="-4"/>
              </w:rPr>
              <w:t xml:space="preserve"> (+</w:t>
            </w:r>
            <w:r>
              <w:rPr>
                <w:color w:val="0D0D0D" w:themeColor="text1" w:themeTint="F2"/>
                <w:spacing w:val="-4"/>
              </w:rPr>
              <w:t xml:space="preserve">113 %, hlavně </w:t>
            </w:r>
            <w:r w:rsidRPr="00F603D7">
              <w:rPr>
                <w:color w:val="0D0D0D" w:themeColor="text1" w:themeTint="F2"/>
                <w:spacing w:val="-4"/>
              </w:rPr>
              <w:t xml:space="preserve">v důsledku vysokých cen energií a </w:t>
            </w:r>
            <w:r w:rsidRPr="00F603D7">
              <w:rPr>
                <w:spacing w:val="-4"/>
              </w:rPr>
              <w:t xml:space="preserve">zvýšení nákladů uznatelných pro výplatu, dále růstu povědomí o možnosti čerpání této pomoci v populaci, jakož i zjednodušení procedury podání žádosti o dávku). Rostl také objem vyplacených přídavků na dítě (+62 %, zejména vlivem jejich plošného navýšení i nárůstu životního minima). Opačně působil pokles čerpání stále váhově dominantní položky SSP </w:t>
            </w:r>
            <w:r w:rsidRPr="00F603D7">
              <w:rPr>
                <w:rFonts w:cs="Arial"/>
                <w:color w:val="0D0D0D" w:themeColor="text1" w:themeTint="F2"/>
                <w:spacing w:val="-4"/>
              </w:rPr>
              <w:t>−</w:t>
            </w:r>
            <w:r w:rsidRPr="00F603D7">
              <w:rPr>
                <w:spacing w:val="-4"/>
              </w:rPr>
              <w:t xml:space="preserve"> rodičovských příspěvků (</w:t>
            </w:r>
            <w:r w:rsidRPr="00F603D7">
              <w:rPr>
                <w:color w:val="0D0D0D" w:themeColor="text1" w:themeTint="F2"/>
                <w:spacing w:val="-4"/>
              </w:rPr>
              <w:t>−5,7 %</w:t>
            </w:r>
            <w:r w:rsidRPr="00F603D7">
              <w:rPr>
                <w:spacing w:val="-4"/>
              </w:rPr>
              <w:t xml:space="preserve">). K němu došlo (po skokovém navýšení v roce 2020) třetím rokem v řadě. Z dalších podpor se zvýšily dávky sociální péče (+1 mld. korun). Zatímco loni stála za jejich prudkým růstem hlavně nově zavedená humanitární dávka pro </w:t>
            </w:r>
            <w:r w:rsidRPr="00F603D7">
              <w:rPr>
                <w:rFonts w:cs="Arial"/>
                <w:color w:val="0D0D0D" w:themeColor="text1" w:themeTint="F2"/>
                <w:spacing w:val="-4"/>
              </w:rPr>
              <w:t xml:space="preserve">uprchlíky z Ukrajiny, letos to byly příspěvky na živobytí (+30 %), které pomáhají jednotlivcům či rodinám při nedostatečném příjmu (čerpání humanitárních dávek se současně mírně snížilo – o 6 %). Svižně rostly také objemově méně významné dávky pro zdravotně postižené, především vlivem vyšších příspěvků na mobilitu. Po loňském poklesu letos v 1. pololetí mírně </w:t>
            </w:r>
            <w:r>
              <w:rPr>
                <w:rFonts w:cs="Arial"/>
                <w:color w:val="0D0D0D" w:themeColor="text1" w:themeTint="F2"/>
                <w:spacing w:val="-4"/>
              </w:rPr>
              <w:t>rostl</w:t>
            </w:r>
            <w:r w:rsidRPr="00F603D7">
              <w:rPr>
                <w:rFonts w:cs="Arial"/>
                <w:color w:val="0D0D0D" w:themeColor="text1" w:themeTint="F2"/>
                <w:spacing w:val="-4"/>
              </w:rPr>
              <w:t xml:space="preserve"> </w:t>
            </w:r>
            <w:r>
              <w:rPr>
                <w:rFonts w:cs="Arial"/>
                <w:color w:val="0D0D0D" w:themeColor="text1" w:themeTint="F2"/>
                <w:spacing w:val="-4"/>
              </w:rPr>
              <w:t xml:space="preserve">objem vyplacených podpor </w:t>
            </w:r>
            <w:r w:rsidRPr="00F603D7">
              <w:rPr>
                <w:rFonts w:cs="Arial"/>
                <w:color w:val="0D0D0D" w:themeColor="text1" w:themeTint="F2"/>
                <w:spacing w:val="-4"/>
              </w:rPr>
              <w:t>v nezaměstnanosti (+6,7 %), a to při stagnaci počtu registrovaných uchazečů o práci</w:t>
            </w:r>
            <w:r w:rsidRPr="00F603D7">
              <w:rPr>
                <w:rStyle w:val="Znakapoznpodarou"/>
                <w:color w:val="0D0D0D" w:themeColor="text1" w:themeTint="F2"/>
                <w:spacing w:val="-4"/>
              </w:rPr>
              <w:footnoteReference w:id="19"/>
            </w:r>
            <w:r w:rsidRPr="00F603D7">
              <w:rPr>
                <w:rFonts w:cs="Arial"/>
                <w:color w:val="0D0D0D" w:themeColor="text1" w:themeTint="F2"/>
                <w:spacing w:val="-4"/>
              </w:rPr>
              <w:t xml:space="preserve">. Výdaje na </w:t>
            </w:r>
            <w:r w:rsidRPr="00F603D7">
              <w:rPr>
                <w:spacing w:val="-4"/>
              </w:rPr>
              <w:t>dávky nemocenského pojištění se díky zlepšení epidemické situace meziročně snížily (−4,9 %), a to třetím rokem v řadě. Stále však</w:t>
            </w:r>
            <w:r w:rsidRPr="00F603D7">
              <w:rPr>
                <w:rFonts w:cs="Arial"/>
                <w:color w:val="0D0D0D" w:themeColor="text1" w:themeTint="F2"/>
                <w:spacing w:val="-4"/>
              </w:rPr>
              <w:t> </w:t>
            </w:r>
            <w:r w:rsidRPr="00F603D7">
              <w:rPr>
                <w:spacing w:val="-4"/>
              </w:rPr>
              <w:t>více než o pětinu převyšovaly úroveň z 1. pololetí 2019 a představovaly tak pro SR nezanedbatelný výdaj (24,2</w:t>
            </w:r>
            <w:r w:rsidRPr="00F603D7">
              <w:rPr>
                <w:rFonts w:cs="Arial"/>
                <w:color w:val="0D0D0D" w:themeColor="text1" w:themeTint="F2"/>
                <w:spacing w:val="-4"/>
              </w:rPr>
              <w:t> </w:t>
            </w:r>
            <w:r w:rsidRPr="00F603D7">
              <w:rPr>
                <w:spacing w:val="-4"/>
              </w:rPr>
              <w:t>mld. korun). Navzdory svižnému růstu výběru pojistného tyto dávky i letos převyšovaly příjmy z pojistného, tento schodek se nicméně meziročně zredukoval na polovinu (o 3 mld. korun).</w:t>
            </w:r>
          </w:p>
        </w:tc>
      </w:tr>
      <w:tr w:rsidR="00106BCC" w:rsidRPr="007B3A78" w14:paraId="4984AD2F" w14:textId="77777777" w:rsidTr="006849F8">
        <w:trPr>
          <w:trHeight w:val="170"/>
        </w:trPr>
        <w:tc>
          <w:tcPr>
            <w:tcW w:w="1792" w:type="dxa"/>
            <w:shd w:val="clear" w:color="auto" w:fill="auto"/>
            <w:tcMar>
              <w:left w:w="0" w:type="dxa"/>
            </w:tcMar>
          </w:tcPr>
          <w:p w14:paraId="48998315" w14:textId="77777777" w:rsidR="00106BCC" w:rsidRDefault="00106BCC" w:rsidP="006849F8">
            <w:pPr>
              <w:pStyle w:val="Marginlie"/>
            </w:pPr>
            <w:r>
              <w:lastRenderedPageBreak/>
              <w:t xml:space="preserve">Prudký růst neinvestičních dotací podnikatelům souvisel se zastropováním cen energií pro zákazníky. Potřeba těchto mimořádných výdajů ale ve 2. čtvrtletí slábla. </w:t>
            </w:r>
          </w:p>
        </w:tc>
        <w:tc>
          <w:tcPr>
            <w:tcW w:w="203" w:type="dxa"/>
            <w:shd w:val="clear" w:color="auto" w:fill="auto"/>
            <w:tcMar>
              <w:left w:w="0" w:type="dxa"/>
            </w:tcMar>
          </w:tcPr>
          <w:p w14:paraId="444690EC" w14:textId="77777777" w:rsidR="00106BCC" w:rsidRDefault="00106BCC" w:rsidP="006849F8">
            <w:pPr>
              <w:pStyle w:val="Textpoznpodarou"/>
              <w:jc w:val="both"/>
              <w:rPr>
                <w:spacing w:val="-4"/>
              </w:rPr>
            </w:pPr>
          </w:p>
        </w:tc>
        <w:tc>
          <w:tcPr>
            <w:tcW w:w="7674" w:type="dxa"/>
            <w:shd w:val="clear" w:color="auto" w:fill="auto"/>
            <w:tcMar>
              <w:left w:w="0" w:type="dxa"/>
            </w:tcMar>
          </w:tcPr>
          <w:p w14:paraId="623294D5" w14:textId="77777777" w:rsidR="00106BCC" w:rsidRDefault="00106BCC" w:rsidP="006849F8">
            <w:pPr>
              <w:spacing w:after="200"/>
              <w:rPr>
                <w:color w:val="0D0D0D" w:themeColor="text1" w:themeTint="F2"/>
                <w:spacing w:val="-5"/>
              </w:rPr>
            </w:pPr>
            <w:r>
              <w:rPr>
                <w:color w:val="0D0D0D" w:themeColor="text1" w:themeTint="F2"/>
                <w:spacing w:val="-5"/>
              </w:rPr>
              <w:t>Na silném růstu celkových běžných výdajů SR se vedle sociálních transferů letos významně podílely také neinvestiční výdaje podnikatelům, jejichž meziroční růst v 1. pololetí akceleroval na 128 % (+43,7 mld. korun) a dosahoval již více než 90 % celoroční rozpočtované výše.</w:t>
            </w:r>
            <w:r>
              <w:rPr>
                <w:color w:val="0D0D0D" w:themeColor="text1" w:themeTint="F2"/>
                <w:spacing w:val="-4"/>
              </w:rPr>
              <w:t xml:space="preserve"> Jsou zde zahrnuty především mimořádné výdaje – zejména kompenzace za dodávky elektřiny a plynu zákazníkům a ztráty kvůli zastropování jejich cen (32,6 mld. korun, z toho +23,9 mld. korun připadalo na 1. čtvrtletí 2023)</w:t>
            </w:r>
            <w:r>
              <w:rPr>
                <w:rStyle w:val="Znakapoznpodarou"/>
                <w:color w:val="0D0D0D" w:themeColor="text1" w:themeTint="F2"/>
                <w:spacing w:val="-4"/>
              </w:rPr>
              <w:footnoteReference w:id="20"/>
            </w:r>
            <w:r>
              <w:rPr>
                <w:color w:val="0D0D0D" w:themeColor="text1" w:themeTint="F2"/>
                <w:spacing w:val="-4"/>
              </w:rPr>
              <w:t>, dále dotace provozovatelům přenosové soustavy (7,2 mld.) či pomoc firmám v energeticky náročných odvětvích (4,6 mld.). Menší vliv na vývoj transferů podnikatelům měly vyšší zálohové dotace na obnovitelné zdroje energie či pokles v</w:t>
            </w:r>
            <w:r w:rsidRPr="00517B82">
              <w:rPr>
                <w:color w:val="0D0D0D" w:themeColor="text1" w:themeTint="F2"/>
                <w:spacing w:val="-4"/>
              </w:rPr>
              <w:t>ýdajů SR na řešení dopadů souvisejících s pandemi</w:t>
            </w:r>
            <w:r>
              <w:rPr>
                <w:color w:val="0D0D0D" w:themeColor="text1" w:themeTint="F2"/>
                <w:spacing w:val="-4"/>
              </w:rPr>
              <w:t>í</w:t>
            </w:r>
            <w:r w:rsidRPr="00517B82">
              <w:rPr>
                <w:color w:val="0D0D0D" w:themeColor="text1" w:themeTint="F2"/>
                <w:spacing w:val="-4"/>
              </w:rPr>
              <w:t>.</w:t>
            </w:r>
          </w:p>
        </w:tc>
      </w:tr>
      <w:tr w:rsidR="00106BCC" w:rsidRPr="007B3A78" w14:paraId="324B2A3A" w14:textId="77777777" w:rsidTr="006849F8">
        <w:trPr>
          <w:trHeight w:val="170"/>
        </w:trPr>
        <w:tc>
          <w:tcPr>
            <w:tcW w:w="1792" w:type="dxa"/>
            <w:shd w:val="clear" w:color="auto" w:fill="auto"/>
            <w:tcMar>
              <w:left w:w="0" w:type="dxa"/>
            </w:tcMar>
          </w:tcPr>
          <w:p w14:paraId="01F4BCF1" w14:textId="77777777" w:rsidR="00106BCC" w:rsidRDefault="00106BCC" w:rsidP="006849F8">
            <w:pPr>
              <w:pStyle w:val="Marginlie"/>
            </w:pPr>
            <w:r>
              <w:t xml:space="preserve">Na svižném růstu běžných transferů územním rozpočtům se podílelo široké spektrum faktorů. </w:t>
            </w:r>
          </w:p>
          <w:p w14:paraId="25012D5D" w14:textId="77777777" w:rsidR="00106BCC" w:rsidRDefault="00106BCC" w:rsidP="006849F8">
            <w:pPr>
              <w:pStyle w:val="Marginlie"/>
            </w:pPr>
          </w:p>
          <w:p w14:paraId="39360B06" w14:textId="77777777" w:rsidR="00106BCC" w:rsidRDefault="00106BCC" w:rsidP="006849F8">
            <w:pPr>
              <w:pStyle w:val="Marginlie"/>
            </w:pPr>
          </w:p>
          <w:p w14:paraId="6951C589" w14:textId="77777777" w:rsidR="00106BCC" w:rsidRDefault="00106BCC" w:rsidP="006849F8">
            <w:pPr>
              <w:pStyle w:val="Marginlie"/>
            </w:pPr>
          </w:p>
          <w:p w14:paraId="0114093E" w14:textId="77777777" w:rsidR="00106BCC" w:rsidRDefault="00106BCC" w:rsidP="006849F8">
            <w:pPr>
              <w:pStyle w:val="Marginlie"/>
            </w:pPr>
          </w:p>
          <w:p w14:paraId="78B33549" w14:textId="77777777" w:rsidR="00106BCC" w:rsidRDefault="00106BCC" w:rsidP="006849F8">
            <w:pPr>
              <w:pStyle w:val="Marginlie"/>
            </w:pPr>
          </w:p>
          <w:p w14:paraId="0E102058" w14:textId="77777777" w:rsidR="00106BCC" w:rsidRDefault="00106BCC" w:rsidP="006849F8">
            <w:pPr>
              <w:pStyle w:val="Marginlie"/>
            </w:pPr>
            <w:r>
              <w:t xml:space="preserve">Naopak růst výdajů na obsluhu státního dluhu na rekordní úroveň měl zřejmý základ ve výplatě protiinflačních dluhopisů. </w:t>
            </w:r>
          </w:p>
        </w:tc>
        <w:tc>
          <w:tcPr>
            <w:tcW w:w="203" w:type="dxa"/>
            <w:shd w:val="clear" w:color="auto" w:fill="auto"/>
            <w:tcMar>
              <w:left w:w="0" w:type="dxa"/>
            </w:tcMar>
          </w:tcPr>
          <w:p w14:paraId="1BB58180" w14:textId="77777777" w:rsidR="00106BCC" w:rsidRDefault="00106BCC" w:rsidP="006849F8">
            <w:pPr>
              <w:pStyle w:val="Textpoznpodarou"/>
              <w:jc w:val="both"/>
              <w:rPr>
                <w:spacing w:val="-4"/>
              </w:rPr>
            </w:pPr>
          </w:p>
        </w:tc>
        <w:tc>
          <w:tcPr>
            <w:tcW w:w="7674" w:type="dxa"/>
            <w:shd w:val="clear" w:color="auto" w:fill="auto"/>
            <w:tcMar>
              <w:left w:w="0" w:type="dxa"/>
            </w:tcMar>
          </w:tcPr>
          <w:p w14:paraId="1D35C173" w14:textId="77777777" w:rsidR="00106BCC" w:rsidRDefault="00106BCC" w:rsidP="006849F8">
            <w:pPr>
              <w:spacing w:after="200"/>
              <w:rPr>
                <w:color w:val="0D0D0D" w:themeColor="text1" w:themeTint="F2"/>
                <w:spacing w:val="-5"/>
              </w:rPr>
            </w:pPr>
            <w:r>
              <w:rPr>
                <w:color w:val="0D0D0D" w:themeColor="text1" w:themeTint="F2"/>
                <w:spacing w:val="-5"/>
              </w:rPr>
              <w:t>Výrazně posílily rovněž váhově významné</w:t>
            </w:r>
            <w:r w:rsidRPr="00FF1775">
              <w:rPr>
                <w:color w:val="0D0D0D" w:themeColor="text1" w:themeTint="F2"/>
                <w:spacing w:val="-5"/>
              </w:rPr>
              <w:t xml:space="preserve"> běžné </w:t>
            </w:r>
            <w:r w:rsidRPr="00FF1775">
              <w:rPr>
                <w:color w:val="0D0D0D" w:themeColor="text1" w:themeTint="F2"/>
                <w:spacing w:val="-4"/>
              </w:rPr>
              <w:t xml:space="preserve">transfery územním rozpočtům, </w:t>
            </w:r>
            <w:r>
              <w:rPr>
                <w:color w:val="0D0D0D" w:themeColor="text1" w:themeTint="F2"/>
                <w:spacing w:val="-4"/>
              </w:rPr>
              <w:t xml:space="preserve">jež byly </w:t>
            </w:r>
            <w:r w:rsidRPr="00FF1775">
              <w:rPr>
                <w:color w:val="0D0D0D" w:themeColor="text1" w:themeTint="F2"/>
                <w:spacing w:val="-4"/>
              </w:rPr>
              <w:t xml:space="preserve">oproti </w:t>
            </w:r>
            <w:r>
              <w:rPr>
                <w:color w:val="0D0D0D" w:themeColor="text1" w:themeTint="F2"/>
                <w:spacing w:val="-4"/>
              </w:rPr>
              <w:t>1.</w:t>
            </w:r>
            <w:r>
              <w:rPr>
                <w:color w:val="0D0D0D" w:themeColor="text1" w:themeTint="F2"/>
                <w:spacing w:val="-5"/>
              </w:rPr>
              <w:t> </w:t>
            </w:r>
            <w:r>
              <w:rPr>
                <w:color w:val="0D0D0D" w:themeColor="text1" w:themeTint="F2"/>
                <w:spacing w:val="-4"/>
              </w:rPr>
              <w:t>pololetí 2022</w:t>
            </w:r>
            <w:r w:rsidRPr="00FF1775">
              <w:rPr>
                <w:color w:val="0D0D0D" w:themeColor="text1" w:themeTint="F2"/>
                <w:spacing w:val="-4"/>
              </w:rPr>
              <w:t xml:space="preserve"> vyšší o šestinu (+26</w:t>
            </w:r>
            <w:r>
              <w:rPr>
                <w:color w:val="0D0D0D" w:themeColor="text1" w:themeTint="F2"/>
                <w:spacing w:val="-4"/>
              </w:rPr>
              <w:t>,0</w:t>
            </w:r>
            <w:r w:rsidRPr="00FF1775">
              <w:rPr>
                <w:color w:val="0D0D0D" w:themeColor="text1" w:themeTint="F2"/>
                <w:spacing w:val="-4"/>
              </w:rPr>
              <w:t xml:space="preserve"> mld. korun).</w:t>
            </w:r>
            <w:r>
              <w:rPr>
                <w:color w:val="0D0D0D" w:themeColor="text1" w:themeTint="F2"/>
                <w:spacing w:val="-4"/>
              </w:rPr>
              <w:t xml:space="preserve"> To souviselo s posílením výdajů do oblasti regionálního školství (+9,2 mld. korun, primárně na navýšení platových tarifů pedagogů i ostatních pracovníků), sociálních služeb či na kompenzační příspěvek na ubytování uprchlíků z Ukrajiny. Rostly i výdaje na spolufinancování programů v oblasti vzdělávání, podpořených z rozpočtu EU. SR výrazně zatížily také očekávané prudce rostoucí výdaje na obsluhu státního dluhu (+14,5 mld. korun)</w:t>
            </w:r>
            <w:r>
              <w:rPr>
                <w:rStyle w:val="Znakapoznpodarou"/>
                <w:spacing w:val="-4"/>
              </w:rPr>
              <w:footnoteReference w:id="21"/>
            </w:r>
            <w:r>
              <w:rPr>
                <w:color w:val="0D0D0D" w:themeColor="text1" w:themeTint="F2"/>
                <w:spacing w:val="-4"/>
              </w:rPr>
              <w:t>. Pololetní výše těchto výdajů dosáhla 37,5 mld. korun (a o bezmála čtvrtinu převýšila rekordní dluhové výdaje z roku 2013). Zásadní vliv zde měly výplaty protiinflačních státních dluhopisů občanům, dílčí roli pak rostoucí úrokové sazby u dalších instrumentů dluhového financování. Poslední položkou, k</w:t>
            </w:r>
            <w:r w:rsidRPr="00F3788B">
              <w:rPr>
                <w:color w:val="0D0D0D" w:themeColor="text1" w:themeTint="F2"/>
                <w:spacing w:val="-4"/>
              </w:rPr>
              <w:t xml:space="preserve">terá letos významněji podpořila fiskální expanzi, byly výdaje na platy v organizačních </w:t>
            </w:r>
            <w:r>
              <w:rPr>
                <w:color w:val="0D0D0D" w:themeColor="text1" w:themeTint="F2"/>
                <w:spacing w:val="-4"/>
              </w:rPr>
              <w:t xml:space="preserve">složkách státu. Ty po předchozích dvou letech stagnace letos v 1. pololetí vzrostly meziročně o desetinu (+6,2 mld. korun), což souviselo zejména s lednovým navýšením platových tarifů příslušníků bezpečnostních sborů a vojáků a loňským zářijovým navýšením u zaměstnanců ve státní službě. Po zmrazení během pandemie se navíc citelně zvýšily i výdaje na platy ústavních činitelů. </w:t>
            </w:r>
          </w:p>
        </w:tc>
      </w:tr>
      <w:tr w:rsidR="00106BCC" w:rsidRPr="007B3A78" w14:paraId="7D77FA5C" w14:textId="77777777" w:rsidTr="006849F8">
        <w:trPr>
          <w:trHeight w:val="170"/>
        </w:trPr>
        <w:tc>
          <w:tcPr>
            <w:tcW w:w="1792" w:type="dxa"/>
            <w:shd w:val="clear" w:color="auto" w:fill="auto"/>
            <w:tcMar>
              <w:left w:w="0" w:type="dxa"/>
            </w:tcMar>
          </w:tcPr>
          <w:p w14:paraId="089FB78F" w14:textId="77777777" w:rsidR="00106BCC" w:rsidRDefault="00106BCC" w:rsidP="006849F8">
            <w:pPr>
              <w:pStyle w:val="Marginlie"/>
            </w:pPr>
            <w:r>
              <w:t xml:space="preserve">Výdaje na neinvestiční nákupy státu se snížily vlivem nižší potřeby mimořádných výdajů ve zdravotnictví či </w:t>
            </w:r>
            <w:r>
              <w:br/>
              <w:t>u hmotných rezerv.</w:t>
            </w:r>
          </w:p>
        </w:tc>
        <w:tc>
          <w:tcPr>
            <w:tcW w:w="203" w:type="dxa"/>
            <w:shd w:val="clear" w:color="auto" w:fill="auto"/>
            <w:tcMar>
              <w:left w:w="0" w:type="dxa"/>
            </w:tcMar>
          </w:tcPr>
          <w:p w14:paraId="72519D2C" w14:textId="77777777" w:rsidR="00106BCC" w:rsidRDefault="00106BCC" w:rsidP="006849F8">
            <w:pPr>
              <w:pStyle w:val="Textpoznpodarou"/>
              <w:jc w:val="both"/>
              <w:rPr>
                <w:spacing w:val="-4"/>
              </w:rPr>
            </w:pPr>
          </w:p>
        </w:tc>
        <w:tc>
          <w:tcPr>
            <w:tcW w:w="7674" w:type="dxa"/>
            <w:shd w:val="clear" w:color="auto" w:fill="auto"/>
            <w:tcMar>
              <w:left w:w="0" w:type="dxa"/>
            </w:tcMar>
          </w:tcPr>
          <w:p w14:paraId="400791FA" w14:textId="77777777" w:rsidR="00106BCC" w:rsidRDefault="00106BCC" w:rsidP="006849F8">
            <w:pPr>
              <w:spacing w:after="200"/>
              <w:rPr>
                <w:color w:val="0D0D0D" w:themeColor="text1" w:themeTint="F2"/>
                <w:spacing w:val="-5"/>
              </w:rPr>
            </w:pPr>
            <w:r>
              <w:rPr>
                <w:color w:val="0D0D0D" w:themeColor="text1" w:themeTint="F2"/>
                <w:spacing w:val="-5"/>
              </w:rPr>
              <w:t xml:space="preserve">I </w:t>
            </w:r>
            <w:r w:rsidRPr="0052326C">
              <w:rPr>
                <w:color w:val="0D0D0D" w:themeColor="text1" w:themeTint="F2"/>
                <w:spacing w:val="-4"/>
              </w:rPr>
              <w:t xml:space="preserve">přes výše uvedené stále existovaly oblasti, které </w:t>
            </w:r>
            <w:r>
              <w:rPr>
                <w:color w:val="0D0D0D" w:themeColor="text1" w:themeTint="F2"/>
                <w:spacing w:val="-4"/>
              </w:rPr>
              <w:t xml:space="preserve">tlumily </w:t>
            </w:r>
            <w:r w:rsidRPr="0052326C">
              <w:rPr>
                <w:color w:val="0D0D0D" w:themeColor="text1" w:themeTint="F2"/>
                <w:spacing w:val="-4"/>
              </w:rPr>
              <w:t>prudký růst běžných výdajů SR. Patřily se</w:t>
            </w:r>
            <w:r>
              <w:rPr>
                <w:color w:val="0D0D0D" w:themeColor="text1" w:themeTint="F2"/>
                <w:spacing w:val="-4"/>
              </w:rPr>
              <w:t>m</w:t>
            </w:r>
            <w:r w:rsidRPr="0052326C">
              <w:rPr>
                <w:color w:val="0D0D0D" w:themeColor="text1" w:themeTint="F2"/>
                <w:spacing w:val="-4"/>
              </w:rPr>
              <w:t xml:space="preserve"> h</w:t>
            </w:r>
            <w:r>
              <w:rPr>
                <w:color w:val="0D0D0D" w:themeColor="text1" w:themeTint="F2"/>
                <w:spacing w:val="-4"/>
              </w:rPr>
              <w:t>lavně neinvestiční nákupy, jejichž objem meziročně snižovaly především výdaje</w:t>
            </w:r>
            <w:r w:rsidRPr="0052326C">
              <w:rPr>
                <w:color w:val="0D0D0D" w:themeColor="text1" w:themeTint="F2"/>
                <w:spacing w:val="-4"/>
              </w:rPr>
              <w:t xml:space="preserve"> na pořízení vakcín (-5,0 mld. Kč) či </w:t>
            </w:r>
            <w:r>
              <w:rPr>
                <w:color w:val="0D0D0D" w:themeColor="text1" w:themeTint="F2"/>
                <w:spacing w:val="-4"/>
              </w:rPr>
              <w:t xml:space="preserve">oblast </w:t>
            </w:r>
            <w:r w:rsidRPr="0052326C">
              <w:rPr>
                <w:color w:val="0D0D0D" w:themeColor="text1" w:themeTint="F2"/>
                <w:spacing w:val="-4"/>
              </w:rPr>
              <w:t>státních hmotných rezerv (-5,6 mld. Kč).</w:t>
            </w:r>
            <w:r>
              <w:rPr>
                <w:color w:val="0D0D0D" w:themeColor="text1" w:themeTint="F2"/>
                <w:spacing w:val="-4"/>
              </w:rPr>
              <w:t xml:space="preserve"> N</w:t>
            </w:r>
            <w:r>
              <w:rPr>
                <w:color w:val="0D0D0D" w:themeColor="text1" w:themeTint="F2"/>
              </w:rPr>
              <w:t>a druhou stranu vysoký cenový růst zde stále prodražoval některé běžné provozní výdaje (</w:t>
            </w:r>
            <w:r>
              <w:rPr>
                <w:spacing w:val="-4"/>
              </w:rPr>
              <w:t xml:space="preserve">např. u nákupů vody, paliv, energií či služeb). Mírně poklesly také běžné transfery státním fondům, zejména do oblasti zemědělství. </w:t>
            </w:r>
          </w:p>
        </w:tc>
      </w:tr>
      <w:tr w:rsidR="00106BCC" w:rsidRPr="007B3A78" w14:paraId="6E7D9726" w14:textId="77777777" w:rsidTr="006849F8">
        <w:trPr>
          <w:trHeight w:val="170"/>
        </w:trPr>
        <w:tc>
          <w:tcPr>
            <w:tcW w:w="1792" w:type="dxa"/>
            <w:shd w:val="clear" w:color="auto" w:fill="auto"/>
            <w:tcMar>
              <w:left w:w="0" w:type="dxa"/>
            </w:tcMar>
          </w:tcPr>
          <w:p w14:paraId="7ECC93C1" w14:textId="77777777" w:rsidR="00106BCC" w:rsidRDefault="00106BCC" w:rsidP="006849F8">
            <w:pPr>
              <w:pStyle w:val="Marginlie"/>
            </w:pPr>
            <w:r>
              <w:t>Kapitálové výdaje významně vzrostly, zejména díky realizaci Národního plánu obnovy.</w:t>
            </w:r>
          </w:p>
          <w:p w14:paraId="094D4888" w14:textId="77777777" w:rsidR="00106BCC" w:rsidRDefault="00106BCC" w:rsidP="006849F8">
            <w:pPr>
              <w:pStyle w:val="Marginlie"/>
            </w:pPr>
          </w:p>
          <w:p w14:paraId="74E42ECB" w14:textId="77777777" w:rsidR="00106BCC" w:rsidRDefault="00106BCC" w:rsidP="006849F8">
            <w:pPr>
              <w:pStyle w:val="Marginlie"/>
            </w:pPr>
          </w:p>
          <w:p w14:paraId="70E41416" w14:textId="77777777" w:rsidR="00106BCC" w:rsidRDefault="00106BCC" w:rsidP="006849F8">
            <w:pPr>
              <w:pStyle w:val="Marginlie"/>
            </w:pPr>
          </w:p>
          <w:p w14:paraId="78E37105" w14:textId="77777777" w:rsidR="00106BCC" w:rsidRDefault="00106BCC" w:rsidP="006849F8">
            <w:pPr>
              <w:pStyle w:val="Marginlie"/>
            </w:pPr>
          </w:p>
          <w:p w14:paraId="4873D5B6" w14:textId="77777777" w:rsidR="00106BCC" w:rsidRDefault="00106BCC" w:rsidP="006849F8">
            <w:pPr>
              <w:pStyle w:val="Marginlie"/>
            </w:pPr>
          </w:p>
          <w:p w14:paraId="1EDA7B90" w14:textId="77777777" w:rsidR="00106BCC" w:rsidRDefault="00106BCC" w:rsidP="006849F8">
            <w:pPr>
              <w:pStyle w:val="Marginlie"/>
            </w:pPr>
          </w:p>
          <w:p w14:paraId="3EC311FD" w14:textId="77777777" w:rsidR="00106BCC" w:rsidRDefault="00106BCC" w:rsidP="006849F8">
            <w:pPr>
              <w:pStyle w:val="Marginlie"/>
            </w:pPr>
            <w:r>
              <w:t xml:space="preserve">Podíl investic na celkových výdajích SR dosáhl průměrných 7 %. </w:t>
            </w:r>
          </w:p>
        </w:tc>
        <w:tc>
          <w:tcPr>
            <w:tcW w:w="203" w:type="dxa"/>
            <w:shd w:val="clear" w:color="auto" w:fill="auto"/>
            <w:tcMar>
              <w:left w:w="0" w:type="dxa"/>
            </w:tcMar>
          </w:tcPr>
          <w:p w14:paraId="5C95E61C" w14:textId="77777777" w:rsidR="00106BCC" w:rsidRDefault="00106BCC" w:rsidP="006849F8">
            <w:pPr>
              <w:pStyle w:val="Textpoznpodarou"/>
              <w:jc w:val="both"/>
              <w:rPr>
                <w:spacing w:val="-4"/>
              </w:rPr>
            </w:pPr>
          </w:p>
        </w:tc>
        <w:tc>
          <w:tcPr>
            <w:tcW w:w="7674" w:type="dxa"/>
            <w:shd w:val="clear" w:color="auto" w:fill="auto"/>
            <w:tcMar>
              <w:left w:w="0" w:type="dxa"/>
            </w:tcMar>
          </w:tcPr>
          <w:p w14:paraId="7DA999C8" w14:textId="77777777" w:rsidR="00106BCC" w:rsidRDefault="00106BCC" w:rsidP="00607E1D">
            <w:pPr>
              <w:spacing w:after="0"/>
              <w:rPr>
                <w:color w:val="0D0D0D" w:themeColor="text1" w:themeTint="F2"/>
                <w:spacing w:val="-4"/>
              </w:rPr>
            </w:pPr>
            <w:r w:rsidRPr="00756EE6">
              <w:rPr>
                <w:color w:val="0D0D0D" w:themeColor="text1" w:themeTint="F2"/>
                <w:spacing w:val="-4"/>
              </w:rPr>
              <w:t xml:space="preserve">Kapitálové výdaje </w:t>
            </w:r>
            <w:r w:rsidRPr="007D6F48">
              <w:rPr>
                <w:color w:val="0D0D0D" w:themeColor="text1" w:themeTint="F2"/>
                <w:spacing w:val="-4"/>
              </w:rPr>
              <w:t>SR</w:t>
            </w:r>
            <w:r>
              <w:rPr>
                <w:color w:val="0D0D0D" w:themeColor="text1" w:themeTint="F2"/>
                <w:spacing w:val="-4"/>
              </w:rPr>
              <w:t xml:space="preserve"> se v 1. pololetí meziročně zvýšily o významných 16,1 % (na </w:t>
            </w:r>
            <w:r>
              <w:rPr>
                <w:color w:val="0D0D0D" w:themeColor="text1" w:themeTint="F2"/>
                <w:spacing w:val="-4"/>
              </w:rPr>
              <w:br/>
              <w:t xml:space="preserve">79 mld. korun). Ve svižném růstu se </w:t>
            </w:r>
            <w:r w:rsidRPr="00756EE6">
              <w:rPr>
                <w:color w:val="0D0D0D" w:themeColor="text1" w:themeTint="F2"/>
                <w:spacing w:val="-4"/>
              </w:rPr>
              <w:t xml:space="preserve">zčásti odráží efekt slabší loňské základny </w:t>
            </w:r>
            <w:r>
              <w:rPr>
                <w:color w:val="0D0D0D" w:themeColor="text1" w:themeTint="F2"/>
                <w:spacing w:val="-4"/>
              </w:rPr>
              <w:br/>
            </w:r>
            <w:r w:rsidRPr="00756EE6">
              <w:rPr>
                <w:color w:val="0D0D0D" w:themeColor="text1" w:themeTint="F2"/>
                <w:spacing w:val="-4"/>
              </w:rPr>
              <w:t xml:space="preserve">(v 1. čtvrtletí 2022 </w:t>
            </w:r>
            <w:r w:rsidRPr="00F545A1">
              <w:rPr>
                <w:color w:val="0D0D0D" w:themeColor="text1" w:themeTint="F2"/>
                <w:spacing w:val="-4"/>
              </w:rPr>
              <w:t>hospodařil SR v režimu rozpočtového provizoria</w:t>
            </w:r>
            <w:r w:rsidRPr="00F545A1">
              <w:rPr>
                <w:color w:val="0D0D0D" w:themeColor="text1" w:themeTint="F2"/>
                <w:vertAlign w:val="superscript"/>
              </w:rPr>
              <w:footnoteReference w:id="22"/>
            </w:r>
            <w:r>
              <w:rPr>
                <w:color w:val="0D0D0D" w:themeColor="text1" w:themeTint="F2"/>
                <w:spacing w:val="-4"/>
              </w:rPr>
              <w:t>).</w:t>
            </w:r>
            <w:r w:rsidRPr="00F545A1">
              <w:rPr>
                <w:color w:val="0D0D0D" w:themeColor="text1" w:themeTint="F2"/>
                <w:spacing w:val="-4"/>
              </w:rPr>
              <w:t xml:space="preserve"> Dosud bylo letos proinvestováno 38</w:t>
            </w:r>
            <w:r>
              <w:rPr>
                <w:color w:val="0D0D0D" w:themeColor="text1" w:themeTint="F2"/>
                <w:spacing w:val="-4"/>
              </w:rPr>
              <w:t>,1 </w:t>
            </w:r>
            <w:r w:rsidRPr="00F545A1">
              <w:rPr>
                <w:color w:val="0D0D0D" w:themeColor="text1" w:themeTint="F2"/>
                <w:spacing w:val="-4"/>
              </w:rPr>
              <w:t>% celoroční rozpočtované výše kapitálových výdajů</w:t>
            </w:r>
            <w:r>
              <w:rPr>
                <w:color w:val="0D0D0D" w:themeColor="text1" w:themeTint="F2"/>
                <w:spacing w:val="-4"/>
              </w:rPr>
              <w:t xml:space="preserve"> (loni na konci pololetí 33,5 %, v roce 2022 ovšem 46,3 %)</w:t>
            </w:r>
            <w:r w:rsidRPr="00F545A1">
              <w:rPr>
                <w:color w:val="0D0D0D" w:themeColor="text1" w:themeTint="F2"/>
                <w:spacing w:val="-4"/>
              </w:rPr>
              <w:t xml:space="preserve">. </w:t>
            </w:r>
            <w:r>
              <w:rPr>
                <w:color w:val="0D0D0D" w:themeColor="text1" w:themeTint="F2"/>
                <w:spacing w:val="-4"/>
              </w:rPr>
              <w:t>Největší objem investic směřoval tradičně na oblast dopravní infrastruktury (25,5 mld. korun), k jejich růstu ovšem přispěl</w:t>
            </w:r>
            <w:r w:rsidRPr="00F545A1">
              <w:rPr>
                <w:color w:val="0D0D0D" w:themeColor="text1" w:themeTint="F2"/>
                <w:spacing w:val="-4"/>
              </w:rPr>
              <w:t xml:space="preserve"> zejména </w:t>
            </w:r>
            <w:r>
              <w:rPr>
                <w:color w:val="0D0D0D" w:themeColor="text1" w:themeTint="F2"/>
                <w:spacing w:val="-4"/>
              </w:rPr>
              <w:t>program Nová zelená úsporám v rámci Národního plánu obnovy (kde bylo alokováno</w:t>
            </w:r>
            <w:r w:rsidRPr="00F545A1">
              <w:rPr>
                <w:color w:val="0D0D0D" w:themeColor="text1" w:themeTint="F2"/>
                <w:spacing w:val="-4"/>
              </w:rPr>
              <w:t xml:space="preserve"> </w:t>
            </w:r>
            <w:r>
              <w:rPr>
                <w:color w:val="0D0D0D" w:themeColor="text1" w:themeTint="F2"/>
                <w:spacing w:val="-4"/>
              </w:rPr>
              <w:br/>
            </w:r>
            <w:r w:rsidRPr="00F545A1">
              <w:rPr>
                <w:color w:val="0D0D0D" w:themeColor="text1" w:themeTint="F2"/>
                <w:spacing w:val="-4"/>
              </w:rPr>
              <w:t>8,9 m</w:t>
            </w:r>
            <w:r>
              <w:rPr>
                <w:color w:val="0D0D0D" w:themeColor="text1" w:themeTint="F2"/>
                <w:spacing w:val="-4"/>
              </w:rPr>
              <w:t>ld., meziročně téměř dvojnásobek</w:t>
            </w:r>
            <w:r w:rsidRPr="00F545A1">
              <w:rPr>
                <w:color w:val="0D0D0D" w:themeColor="text1" w:themeTint="F2"/>
                <w:spacing w:val="-4"/>
              </w:rPr>
              <w:t>)</w:t>
            </w:r>
            <w:r>
              <w:rPr>
                <w:color w:val="0D0D0D" w:themeColor="text1" w:themeTint="F2"/>
                <w:spacing w:val="-4"/>
              </w:rPr>
              <w:t xml:space="preserve"> a též realizace</w:t>
            </w:r>
            <w:r w:rsidRPr="00F545A1">
              <w:rPr>
                <w:color w:val="0D0D0D" w:themeColor="text1" w:themeTint="F2"/>
                <w:spacing w:val="-4"/>
              </w:rPr>
              <w:t xml:space="preserve"> projektů v rámci Operačního programu Podnikání a inovace</w:t>
            </w:r>
            <w:r>
              <w:rPr>
                <w:color w:val="0D0D0D" w:themeColor="text1" w:themeTint="F2"/>
                <w:spacing w:val="-4"/>
              </w:rPr>
              <w:t xml:space="preserve"> pro konkurenceschopnost 2014+ či</w:t>
            </w:r>
            <w:r w:rsidRPr="00F545A1">
              <w:rPr>
                <w:color w:val="0D0D0D" w:themeColor="text1" w:themeTint="F2"/>
                <w:spacing w:val="-4"/>
              </w:rPr>
              <w:t xml:space="preserve"> Integrovaného regio</w:t>
            </w:r>
            <w:r>
              <w:rPr>
                <w:color w:val="0D0D0D" w:themeColor="text1" w:themeTint="F2"/>
                <w:spacing w:val="-4"/>
              </w:rPr>
              <w:t>nálního operačního programu 2014+</w:t>
            </w:r>
            <w:r w:rsidRPr="00F545A1">
              <w:rPr>
                <w:color w:val="0D0D0D" w:themeColor="text1" w:themeTint="F2"/>
                <w:spacing w:val="-4"/>
              </w:rPr>
              <w:t>.</w:t>
            </w:r>
            <w:r>
              <w:rPr>
                <w:color w:val="0D0D0D" w:themeColor="text1" w:themeTint="F2"/>
                <w:spacing w:val="-4"/>
              </w:rPr>
              <w:t xml:space="preserve"> Celkové investice se na všech výdajích SR dosud letos podílely rovnými 7 % (obdobně jako v 1. pololetí 2022), z dlouhodobého pohledu se jedná o průměrnou hodnotu. Mírně nadpoloviční objem dosud letos uvolněných investic ze SR souvisel se společnými projekty ČR a EU.</w:t>
            </w:r>
          </w:p>
        </w:tc>
      </w:tr>
      <w:tr w:rsidR="00106BCC" w:rsidRPr="007B3A78" w14:paraId="49E3AF28" w14:textId="77777777" w:rsidTr="006849F8">
        <w:trPr>
          <w:trHeight w:val="170"/>
        </w:trPr>
        <w:tc>
          <w:tcPr>
            <w:tcW w:w="1792" w:type="dxa"/>
            <w:shd w:val="clear" w:color="auto" w:fill="auto"/>
            <w:tcMar>
              <w:left w:w="0" w:type="dxa"/>
            </w:tcMar>
          </w:tcPr>
          <w:p w14:paraId="631C72A1" w14:textId="77777777" w:rsidR="00106BCC" w:rsidRDefault="00106BCC" w:rsidP="006849F8">
            <w:pPr>
              <w:pStyle w:val="Marginlie"/>
            </w:pPr>
            <w:r>
              <w:lastRenderedPageBreak/>
              <w:t xml:space="preserve">Čistá kladná pozice ČR ve vztahu k rozpočtu EU meziročně posílila. </w:t>
            </w:r>
          </w:p>
        </w:tc>
        <w:tc>
          <w:tcPr>
            <w:tcW w:w="203" w:type="dxa"/>
            <w:shd w:val="clear" w:color="auto" w:fill="auto"/>
            <w:tcMar>
              <w:left w:w="0" w:type="dxa"/>
            </w:tcMar>
          </w:tcPr>
          <w:p w14:paraId="556684FF" w14:textId="77777777" w:rsidR="00106BCC" w:rsidRDefault="00106BCC" w:rsidP="006849F8">
            <w:pPr>
              <w:pStyle w:val="Textpoznpodarou"/>
              <w:jc w:val="both"/>
              <w:rPr>
                <w:spacing w:val="-4"/>
              </w:rPr>
            </w:pPr>
          </w:p>
        </w:tc>
        <w:tc>
          <w:tcPr>
            <w:tcW w:w="7674" w:type="dxa"/>
            <w:shd w:val="clear" w:color="auto" w:fill="auto"/>
            <w:tcMar>
              <w:left w:w="0" w:type="dxa"/>
            </w:tcMar>
          </w:tcPr>
          <w:p w14:paraId="590903CD" w14:textId="77777777" w:rsidR="00106BCC" w:rsidRPr="00756EE6" w:rsidRDefault="00106BCC" w:rsidP="006849F8">
            <w:pPr>
              <w:spacing w:after="200"/>
              <w:rPr>
                <w:color w:val="0D0D0D" w:themeColor="text1" w:themeTint="F2"/>
                <w:spacing w:val="-4"/>
              </w:rPr>
            </w:pPr>
            <w:r w:rsidRPr="009261BA">
              <w:rPr>
                <w:color w:val="0D0D0D" w:themeColor="text1" w:themeTint="F2"/>
                <w:spacing w:val="-4"/>
              </w:rPr>
              <w:t xml:space="preserve">Česko zůstává nadále ve vztahu k rozpočtu EU v pozici čistého příjemce. V 1. pololetí 2023 obdržela ČR z rozpočtu EU 54,6 mld. korun (meziročně +13,0 %), opačným směrem putovalo 33,9 mld. korun (+4,2 %). ČR tak zatím letos obdržela o 20,8 mld. korun více, než </w:t>
            </w:r>
            <w:r>
              <w:rPr>
                <w:color w:val="0D0D0D" w:themeColor="text1" w:themeTint="F2"/>
                <w:spacing w:val="-4"/>
              </w:rPr>
              <w:t xml:space="preserve">odvedla </w:t>
            </w:r>
            <w:r w:rsidRPr="009261BA">
              <w:rPr>
                <w:color w:val="0D0D0D" w:themeColor="text1" w:themeTint="F2"/>
                <w:spacing w:val="-4"/>
              </w:rPr>
              <w:t>do rozpočtu EU</w:t>
            </w:r>
            <w:r>
              <w:rPr>
                <w:color w:val="0D0D0D" w:themeColor="text1" w:themeTint="F2"/>
                <w:spacing w:val="-4"/>
              </w:rPr>
              <w:t>.</w:t>
            </w:r>
            <w:r w:rsidRPr="009261BA">
              <w:rPr>
                <w:color w:val="0D0D0D" w:themeColor="text1" w:themeTint="F2"/>
                <w:spacing w:val="-4"/>
              </w:rPr>
              <w:t xml:space="preserve"> Při započítání </w:t>
            </w:r>
            <w:r>
              <w:rPr>
                <w:color w:val="0D0D0D" w:themeColor="text1" w:themeTint="F2"/>
                <w:spacing w:val="-4"/>
              </w:rPr>
              <w:t xml:space="preserve">prudce rostoucích </w:t>
            </w:r>
            <w:r w:rsidRPr="009261BA">
              <w:rPr>
                <w:color w:val="0D0D0D" w:themeColor="text1" w:themeTint="F2"/>
                <w:spacing w:val="-4"/>
              </w:rPr>
              <w:t xml:space="preserve">příjmů z Nástroje EU na </w:t>
            </w:r>
            <w:r>
              <w:rPr>
                <w:color w:val="0D0D0D" w:themeColor="text1" w:themeTint="F2"/>
                <w:spacing w:val="-4"/>
              </w:rPr>
              <w:t>podporu oživení (+225 %</w:t>
            </w:r>
            <w:r w:rsidRPr="009261BA">
              <w:rPr>
                <w:color w:val="0D0D0D" w:themeColor="text1" w:themeTint="F2"/>
                <w:spacing w:val="-4"/>
              </w:rPr>
              <w:t>) činí celkové kladné saldo 45,6 mld. korun (</w:t>
            </w:r>
            <w:r>
              <w:rPr>
                <w:color w:val="0D0D0D" w:themeColor="text1" w:themeTint="F2"/>
                <w:spacing w:val="-4"/>
              </w:rPr>
              <w:t>druhá nejvyšší pololetní hodnota za posledních sedm let). K meziročnímu růstu příjmů přispěly podobným dílem vyšší prostředky v oblasti Strukturálních fondů, Fondu soudržnosti i na přímé platby v zemědělství. Mírně se naopak snížily prostředky na rozvoj venkova (-0,9 mld. korun).</w:t>
            </w:r>
          </w:p>
        </w:tc>
      </w:tr>
      <w:tr w:rsidR="00106BCC" w:rsidRPr="00F704D2" w14:paraId="635257CA" w14:textId="77777777" w:rsidTr="006849F8">
        <w:trPr>
          <w:trHeight w:val="170"/>
        </w:trPr>
        <w:tc>
          <w:tcPr>
            <w:tcW w:w="1792" w:type="dxa"/>
            <w:vMerge w:val="restart"/>
            <w:shd w:val="clear" w:color="auto" w:fill="auto"/>
            <w:tcMar>
              <w:left w:w="0" w:type="dxa"/>
            </w:tcMar>
          </w:tcPr>
          <w:p w14:paraId="3EC369A6" w14:textId="77777777" w:rsidR="00106BCC" w:rsidRDefault="00106BCC" w:rsidP="006849F8">
            <w:pPr>
              <w:pStyle w:val="Marginlie"/>
            </w:pPr>
          </w:p>
        </w:tc>
        <w:tc>
          <w:tcPr>
            <w:tcW w:w="203" w:type="dxa"/>
            <w:vMerge w:val="restart"/>
            <w:shd w:val="clear" w:color="auto" w:fill="auto"/>
            <w:tcMar>
              <w:left w:w="0" w:type="dxa"/>
            </w:tcMar>
          </w:tcPr>
          <w:p w14:paraId="69B8D028" w14:textId="77777777" w:rsidR="00106BCC" w:rsidRDefault="00106BCC" w:rsidP="006849F8">
            <w:pPr>
              <w:pStyle w:val="Textpoznpodarou"/>
              <w:jc w:val="both"/>
              <w:rPr>
                <w:spacing w:val="-4"/>
              </w:rPr>
            </w:pPr>
          </w:p>
        </w:tc>
        <w:tc>
          <w:tcPr>
            <w:tcW w:w="7674" w:type="dxa"/>
            <w:shd w:val="clear" w:color="auto" w:fill="auto"/>
            <w:tcMar>
              <w:left w:w="0" w:type="dxa"/>
            </w:tcMar>
          </w:tcPr>
          <w:p w14:paraId="721679FA" w14:textId="14EDB73D" w:rsidR="00106BCC" w:rsidRPr="0033093B" w:rsidRDefault="00FA2C07" w:rsidP="006849F8">
            <w:pPr>
              <w:spacing w:after="20" w:line="240" w:lineRule="auto"/>
              <w:jc w:val="left"/>
              <w:rPr>
                <w:rFonts w:cs="Arial"/>
                <w:bCs/>
                <w:spacing w:val="-3"/>
              </w:rPr>
            </w:pPr>
            <w:r>
              <w:rPr>
                <w:b/>
                <w:spacing w:val="-3"/>
              </w:rPr>
              <w:t>Graf č. 18</w:t>
            </w:r>
            <w:r w:rsidR="00106BCC" w:rsidRPr="0033093B">
              <w:rPr>
                <w:b/>
                <w:spacing w:val="-3"/>
              </w:rPr>
              <w:t xml:space="preserve"> </w:t>
            </w:r>
            <w:r w:rsidR="00106BCC" w:rsidRPr="0033093B">
              <w:rPr>
                <w:rFonts w:cs="Arial"/>
                <w:b/>
                <w:bCs/>
                <w:spacing w:val="-3"/>
              </w:rPr>
              <w:t>Vyb</w:t>
            </w:r>
            <w:r w:rsidR="00106BCC">
              <w:rPr>
                <w:rFonts w:cs="Arial"/>
                <w:b/>
                <w:bCs/>
                <w:spacing w:val="-3"/>
              </w:rPr>
              <w:t xml:space="preserve">rané výdaje státního rozpočtu </w:t>
            </w:r>
            <w:r w:rsidR="00106BCC">
              <w:rPr>
                <w:rFonts w:cs="Arial"/>
                <w:bCs/>
                <w:spacing w:val="-3"/>
              </w:rPr>
              <w:t xml:space="preserve">(kumulace za 1. pololetí, </w:t>
            </w:r>
            <w:r w:rsidR="00106BCC" w:rsidRPr="008223D7">
              <w:rPr>
                <w:rFonts w:cs="Arial"/>
                <w:bCs/>
                <w:spacing w:val="-3"/>
              </w:rPr>
              <w:t>v</w:t>
            </w:r>
            <w:r w:rsidR="00106BCC" w:rsidRPr="0033093B">
              <w:rPr>
                <w:rFonts w:cs="Arial"/>
                <w:bCs/>
                <w:spacing w:val="-3"/>
              </w:rPr>
              <w:t xml:space="preserve"> mld. korun)</w:t>
            </w:r>
          </w:p>
        </w:tc>
      </w:tr>
      <w:tr w:rsidR="00106BCC" w14:paraId="797E142B" w14:textId="77777777" w:rsidTr="006849F8">
        <w:tblPrEx>
          <w:tblCellMar>
            <w:left w:w="70" w:type="dxa"/>
            <w:right w:w="70" w:type="dxa"/>
          </w:tblCellMar>
        </w:tblPrEx>
        <w:trPr>
          <w:trHeight w:val="170"/>
        </w:trPr>
        <w:tc>
          <w:tcPr>
            <w:tcW w:w="1792" w:type="dxa"/>
            <w:vMerge/>
            <w:shd w:val="clear" w:color="auto" w:fill="auto"/>
          </w:tcPr>
          <w:p w14:paraId="68FED6D8" w14:textId="77777777" w:rsidR="00106BCC" w:rsidRDefault="00106BCC" w:rsidP="006849F8">
            <w:pPr>
              <w:pStyle w:val="Marginlie"/>
            </w:pPr>
          </w:p>
        </w:tc>
        <w:tc>
          <w:tcPr>
            <w:tcW w:w="203" w:type="dxa"/>
            <w:vMerge/>
            <w:shd w:val="clear" w:color="auto" w:fill="auto"/>
          </w:tcPr>
          <w:p w14:paraId="1384FCFB" w14:textId="77777777" w:rsidR="00106BCC" w:rsidRDefault="00106BCC" w:rsidP="006849F8">
            <w:pPr>
              <w:pStyle w:val="Textpoznpodarou"/>
              <w:jc w:val="both"/>
              <w:rPr>
                <w:spacing w:val="-4"/>
              </w:rPr>
            </w:pPr>
          </w:p>
        </w:tc>
        <w:tc>
          <w:tcPr>
            <w:tcW w:w="7674" w:type="dxa"/>
            <w:shd w:val="clear" w:color="auto" w:fill="auto"/>
          </w:tcPr>
          <w:p w14:paraId="6FE9DADC" w14:textId="77777777" w:rsidR="00106BCC" w:rsidRPr="0067514E" w:rsidRDefault="00106BCC" w:rsidP="006849F8">
            <w:pPr>
              <w:spacing w:after="0"/>
              <w:rPr>
                <w:spacing w:val="-6"/>
              </w:rPr>
            </w:pPr>
            <w:r>
              <w:rPr>
                <w:noProof/>
              </w:rPr>
              <w:drawing>
                <wp:inline distT="0" distB="0" distL="0" distR="0" wp14:anchorId="780596F6" wp14:editId="097D4AB7">
                  <wp:extent cx="4720355" cy="3401149"/>
                  <wp:effectExtent l="0" t="0" r="4445" b="889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06BCC" w:rsidRPr="00343AC1" w14:paraId="46559CB1" w14:textId="77777777" w:rsidTr="006849F8">
        <w:trPr>
          <w:trHeight w:val="170"/>
        </w:trPr>
        <w:tc>
          <w:tcPr>
            <w:tcW w:w="1792" w:type="dxa"/>
            <w:vMerge/>
            <w:shd w:val="clear" w:color="auto" w:fill="auto"/>
            <w:tcMar>
              <w:left w:w="0" w:type="dxa"/>
            </w:tcMar>
          </w:tcPr>
          <w:p w14:paraId="74D8A556" w14:textId="77777777" w:rsidR="00106BCC" w:rsidRDefault="00106BCC" w:rsidP="006849F8">
            <w:pPr>
              <w:pStyle w:val="Marginlie"/>
            </w:pPr>
          </w:p>
        </w:tc>
        <w:tc>
          <w:tcPr>
            <w:tcW w:w="203" w:type="dxa"/>
            <w:vMerge/>
            <w:shd w:val="clear" w:color="auto" w:fill="auto"/>
            <w:tcMar>
              <w:left w:w="0" w:type="dxa"/>
            </w:tcMar>
          </w:tcPr>
          <w:p w14:paraId="364BCDDA" w14:textId="77777777" w:rsidR="00106BCC" w:rsidRDefault="00106BCC" w:rsidP="006849F8">
            <w:pPr>
              <w:pStyle w:val="Textpoznpodarou"/>
              <w:jc w:val="both"/>
              <w:rPr>
                <w:spacing w:val="-4"/>
              </w:rPr>
            </w:pPr>
          </w:p>
        </w:tc>
        <w:tc>
          <w:tcPr>
            <w:tcW w:w="7674" w:type="dxa"/>
            <w:shd w:val="clear" w:color="auto" w:fill="auto"/>
            <w:tcMar>
              <w:left w:w="0" w:type="dxa"/>
            </w:tcMar>
          </w:tcPr>
          <w:p w14:paraId="1524F68B" w14:textId="77777777" w:rsidR="00106BCC" w:rsidRPr="008F2BE2" w:rsidRDefault="00106BCC" w:rsidP="006849F8">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4612FDE0" w14:textId="77777777" w:rsidR="00106BCC" w:rsidRPr="008F2BE2" w:rsidRDefault="00106BCC" w:rsidP="006849F8">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61A249DF" w14:textId="77777777" w:rsidR="00106BCC" w:rsidRDefault="00106BCC" w:rsidP="006849F8">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29F8E580" w14:textId="77777777" w:rsidR="00106BCC" w:rsidRDefault="00106BCC" w:rsidP="006849F8">
            <w:pPr>
              <w:pStyle w:val="Textpoznpodarou"/>
              <w:rPr>
                <w:spacing w:val="-4"/>
                <w:sz w:val="14"/>
                <w:szCs w:val="14"/>
              </w:rPr>
            </w:pPr>
            <w:r>
              <w:rPr>
                <w:spacing w:val="-4"/>
                <w:sz w:val="14"/>
                <w:szCs w:val="14"/>
              </w:rPr>
              <w:t>***** Odpovídá saldu rozpočtové kapitoly Státní dluh.</w:t>
            </w:r>
          </w:p>
          <w:p w14:paraId="4C893225" w14:textId="77777777" w:rsidR="00106BCC" w:rsidRPr="00D94406" w:rsidRDefault="00106BCC" w:rsidP="006849F8">
            <w:pPr>
              <w:pStyle w:val="Textpoznpodarou"/>
              <w:spacing w:after="160"/>
              <w:rPr>
                <w:sz w:val="16"/>
                <w:szCs w:val="16"/>
              </w:rPr>
            </w:pPr>
            <w:r w:rsidRPr="000F45E7">
              <w:rPr>
                <w:spacing w:val="-4"/>
                <w:sz w:val="14"/>
                <w:szCs w:val="14"/>
              </w:rPr>
              <w:t>Zdroj: MF ČR, MPSV</w:t>
            </w:r>
          </w:p>
        </w:tc>
      </w:tr>
    </w:tbl>
    <w:p w14:paraId="5D6917AD" w14:textId="77777777" w:rsidR="00106BCC" w:rsidRDefault="00106BCC" w:rsidP="00106BCC">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106BCC" w:rsidRPr="004B2C92" w14:paraId="444D1690" w14:textId="77777777" w:rsidTr="20D21749">
        <w:trPr>
          <w:trHeight w:val="145"/>
        </w:trPr>
        <w:tc>
          <w:tcPr>
            <w:tcW w:w="1780" w:type="dxa"/>
            <w:shd w:val="clear" w:color="auto" w:fill="auto"/>
            <w:tcMar>
              <w:left w:w="0" w:type="dxa"/>
            </w:tcMar>
          </w:tcPr>
          <w:p w14:paraId="23BE3ED6" w14:textId="77777777" w:rsidR="00106BCC" w:rsidRDefault="00106BCC" w:rsidP="006849F8">
            <w:pPr>
              <w:pStyle w:val="Marginlie"/>
            </w:pPr>
            <w:r w:rsidRPr="005B591B">
              <w:t>Státní dluh</w:t>
            </w:r>
            <w:r>
              <w:t xml:space="preserve"> pokořil na konci 1. pololetí poprvé v historii hranici</w:t>
            </w:r>
            <w:r w:rsidRPr="005B591B">
              <w:t xml:space="preserve"> 3 bilion</w:t>
            </w:r>
            <w:r>
              <w:t>ů</w:t>
            </w:r>
            <w:r w:rsidRPr="005B591B">
              <w:t xml:space="preserve"> korun. </w:t>
            </w:r>
          </w:p>
          <w:p w14:paraId="547D5C4D" w14:textId="77777777" w:rsidR="00106BCC" w:rsidRDefault="00106BCC" w:rsidP="006849F8">
            <w:pPr>
              <w:pStyle w:val="Marginlie"/>
            </w:pPr>
          </w:p>
          <w:p w14:paraId="684AD787" w14:textId="77777777" w:rsidR="00106BCC" w:rsidRDefault="00106BCC" w:rsidP="006849F8">
            <w:pPr>
              <w:pStyle w:val="Marginlie"/>
            </w:pPr>
          </w:p>
          <w:p w14:paraId="6E82E1EC" w14:textId="05212AF9" w:rsidR="00106BCC" w:rsidRDefault="00106BCC" w:rsidP="006849F8">
            <w:pPr>
              <w:pStyle w:val="Marginlie"/>
            </w:pPr>
          </w:p>
          <w:p w14:paraId="2E220F8D" w14:textId="77777777" w:rsidR="00106BCC" w:rsidRDefault="00106BCC" w:rsidP="006849F8">
            <w:pPr>
              <w:pStyle w:val="Marginlie"/>
            </w:pPr>
          </w:p>
          <w:p w14:paraId="6BBB4E97" w14:textId="77777777" w:rsidR="00106BCC" w:rsidRDefault="00106BCC" w:rsidP="006849F8">
            <w:pPr>
              <w:pStyle w:val="Marginlie"/>
            </w:pPr>
            <w:r>
              <w:t>Rostla výhradně vnitřní zadluženost, korunová hodnota vnějšího dluhu se snižovala.</w:t>
            </w:r>
          </w:p>
          <w:p w14:paraId="0BC2E3CE" w14:textId="77777777" w:rsidR="00106BCC" w:rsidRPr="005B591B" w:rsidRDefault="00106BCC" w:rsidP="006849F8">
            <w:pPr>
              <w:pStyle w:val="Marginlie"/>
            </w:pPr>
          </w:p>
        </w:tc>
        <w:tc>
          <w:tcPr>
            <w:tcW w:w="219" w:type="dxa"/>
            <w:shd w:val="clear" w:color="auto" w:fill="auto"/>
            <w:tcMar>
              <w:left w:w="0" w:type="dxa"/>
            </w:tcMar>
          </w:tcPr>
          <w:p w14:paraId="4EAA0D82" w14:textId="77777777" w:rsidR="00106BCC" w:rsidRDefault="00106BCC" w:rsidP="006849F8">
            <w:pPr>
              <w:pStyle w:val="Textpoznpodarou"/>
              <w:jc w:val="both"/>
              <w:rPr>
                <w:spacing w:val="-4"/>
              </w:rPr>
            </w:pPr>
          </w:p>
        </w:tc>
        <w:tc>
          <w:tcPr>
            <w:tcW w:w="7670" w:type="dxa"/>
            <w:shd w:val="clear" w:color="auto" w:fill="auto"/>
            <w:tcMar>
              <w:left w:w="0" w:type="dxa"/>
            </w:tcMar>
          </w:tcPr>
          <w:p w14:paraId="6CD50C7D" w14:textId="043FD343" w:rsidR="00106BCC" w:rsidRDefault="00106BCC" w:rsidP="006849F8">
            <w:pPr>
              <w:spacing w:after="200"/>
              <w:rPr>
                <w:color w:val="0D0D0D" w:themeColor="text1" w:themeTint="F2"/>
                <w:spacing w:val="-2"/>
              </w:rPr>
            </w:pPr>
            <w:r>
              <w:rPr>
                <w:color w:val="0D0D0D" w:themeColor="text1" w:themeTint="F2"/>
                <w:spacing w:val="-2"/>
              </w:rPr>
              <w:t>Přetrvávající hluboké rozpočtové schod</w:t>
            </w:r>
            <w:r w:rsidRPr="00BE22C9">
              <w:rPr>
                <w:color w:val="0D0D0D" w:themeColor="text1" w:themeTint="F2"/>
                <w:spacing w:val="-2"/>
              </w:rPr>
              <w:t>k</w:t>
            </w:r>
            <w:r>
              <w:rPr>
                <w:color w:val="0D0D0D" w:themeColor="text1" w:themeTint="F2"/>
                <w:spacing w:val="-2"/>
              </w:rPr>
              <w:t>y spolu s plánovanými splátkami dluhu se promítaly ve vysoké výpůjční potřebě státu</w:t>
            </w:r>
            <w:r w:rsidRPr="00CA654D">
              <w:rPr>
                <w:color w:val="0D0D0D" w:themeColor="text1" w:themeTint="F2"/>
                <w:spacing w:val="-2"/>
              </w:rPr>
              <w:t xml:space="preserve">. Státní dluh </w:t>
            </w:r>
            <w:r>
              <w:rPr>
                <w:color w:val="0D0D0D" w:themeColor="text1" w:themeTint="F2"/>
                <w:spacing w:val="-2"/>
              </w:rPr>
              <w:t xml:space="preserve">tak </w:t>
            </w:r>
            <w:r>
              <w:rPr>
                <w:spacing w:val="-2"/>
              </w:rPr>
              <w:t xml:space="preserve">na konci letošního června </w:t>
            </w:r>
            <w:r w:rsidRPr="001830C5">
              <w:rPr>
                <w:color w:val="0D0D0D" w:themeColor="text1" w:themeTint="F2"/>
                <w:spacing w:val="-2"/>
              </w:rPr>
              <w:t xml:space="preserve">vystoupal </w:t>
            </w:r>
            <w:r>
              <w:rPr>
                <w:spacing w:val="-2"/>
              </w:rPr>
              <w:t>na rekordních 3 04</w:t>
            </w:r>
            <w:r w:rsidR="00F23927">
              <w:rPr>
                <w:spacing w:val="-2"/>
              </w:rPr>
              <w:t>4 mld. korun a meziročně se zvýšil</w:t>
            </w:r>
            <w:r>
              <w:rPr>
                <w:spacing w:val="-2"/>
              </w:rPr>
              <w:t xml:space="preserve"> o 337 mld. (12,4 %). Meziroční procentní tempo bylo sice obdobné jako loni na konci června, růst dluhu za samotné první letošní pololetí (+150 mld. korun) ale oproti 1. pololetí 2022 zvolnil (+242 mld.). Za navýšením dluhu proti počátku roku stála letos především emise středně a dlouhodobých státních dluhopisů</w:t>
            </w:r>
            <w:r>
              <w:rPr>
                <w:rStyle w:val="Znakapoznpodarou"/>
                <w:spacing w:val="-2"/>
              </w:rPr>
              <w:footnoteReference w:id="23"/>
            </w:r>
            <w:r>
              <w:rPr>
                <w:spacing w:val="-2"/>
              </w:rPr>
              <w:t xml:space="preserve">, ve stejném období vloni k ní ale navíc významně přistupoval i zvýšený objem krátkodobých zápůjček. Především vlivem výše uvedeného došlo k razantnímu navýšení vnitřního státního dluhu (meziročně o 352 mld. korun, z toho od počátku letošního roku o 257 mld.). Naopak korunová hodnota vnějšího dluhu se meziročně mírně snížila a hlavně díky splátce krátkodobých zápůjček během </w:t>
            </w:r>
            <w:r>
              <w:rPr>
                <w:spacing w:val="-2"/>
              </w:rPr>
              <w:br/>
              <w:t>1. čtvrtletí 2023 poklesla o více než třetinu</w:t>
            </w:r>
            <w:r>
              <w:rPr>
                <w:rStyle w:val="Znakapoznpodarou"/>
                <w:spacing w:val="-2"/>
              </w:rPr>
              <w:footnoteReference w:id="24"/>
            </w:r>
            <w:r>
              <w:rPr>
                <w:spacing w:val="-2"/>
              </w:rPr>
              <w:t>.</w:t>
            </w:r>
          </w:p>
        </w:tc>
      </w:tr>
      <w:tr w:rsidR="00106BCC" w:rsidRPr="004B2C92" w14:paraId="5DBD756F" w14:textId="77777777" w:rsidTr="20D21749">
        <w:trPr>
          <w:trHeight w:val="145"/>
        </w:trPr>
        <w:tc>
          <w:tcPr>
            <w:tcW w:w="1780" w:type="dxa"/>
            <w:shd w:val="clear" w:color="auto" w:fill="auto"/>
            <w:tcMar>
              <w:left w:w="0" w:type="dxa"/>
            </w:tcMar>
          </w:tcPr>
          <w:p w14:paraId="5C677597" w14:textId="77777777" w:rsidR="00106BCC" w:rsidRDefault="00106BCC" w:rsidP="006849F8">
            <w:pPr>
              <w:pStyle w:val="Marginlie"/>
            </w:pPr>
            <w:r>
              <w:lastRenderedPageBreak/>
              <w:t xml:space="preserve">Schodek hospodaření sektoru vládních institucí se v 1. čtvrtletí meziročně navýšil o 32 mld. korun. </w:t>
            </w:r>
          </w:p>
          <w:p w14:paraId="0817158C" w14:textId="77777777" w:rsidR="00106BCC" w:rsidRDefault="00106BCC" w:rsidP="006849F8">
            <w:pPr>
              <w:pStyle w:val="Marginlie"/>
            </w:pPr>
          </w:p>
          <w:p w14:paraId="78A260B7" w14:textId="77777777" w:rsidR="00106BCC" w:rsidRDefault="00106BCC" w:rsidP="006849F8">
            <w:pPr>
              <w:pStyle w:val="Marginlie"/>
            </w:pPr>
          </w:p>
          <w:p w14:paraId="086549EA" w14:textId="77777777" w:rsidR="00106BCC" w:rsidRDefault="00106BCC" w:rsidP="006849F8">
            <w:pPr>
              <w:pStyle w:val="Marginlie"/>
            </w:pPr>
          </w:p>
          <w:p w14:paraId="30D14C2F" w14:textId="77777777" w:rsidR="00106BCC" w:rsidRDefault="00106BCC" w:rsidP="006849F8">
            <w:pPr>
              <w:pStyle w:val="Marginlie"/>
            </w:pPr>
          </w:p>
          <w:p w14:paraId="68646710" w14:textId="77777777" w:rsidR="00106BCC" w:rsidRDefault="00106BCC" w:rsidP="006849F8">
            <w:pPr>
              <w:pStyle w:val="Marginlie"/>
            </w:pPr>
            <w:r>
              <w:t xml:space="preserve">Sezónně očištěný deficit činil 4,2 % HDP, oproti </w:t>
            </w:r>
            <w:r>
              <w:br/>
              <w:t xml:space="preserve">2. pololetí 2022 se zatím neprohluboval. </w:t>
            </w:r>
          </w:p>
          <w:p w14:paraId="6ED2AF4B" w14:textId="77777777" w:rsidR="00106BCC" w:rsidRPr="005B591B" w:rsidRDefault="00106BCC" w:rsidP="006849F8">
            <w:pPr>
              <w:pStyle w:val="Marginlie"/>
            </w:pPr>
          </w:p>
        </w:tc>
        <w:tc>
          <w:tcPr>
            <w:tcW w:w="219" w:type="dxa"/>
            <w:shd w:val="clear" w:color="auto" w:fill="auto"/>
            <w:tcMar>
              <w:left w:w="0" w:type="dxa"/>
            </w:tcMar>
          </w:tcPr>
          <w:p w14:paraId="239BD253" w14:textId="77777777" w:rsidR="00106BCC" w:rsidRDefault="00106BCC" w:rsidP="006849F8">
            <w:pPr>
              <w:pStyle w:val="Textpoznpodarou"/>
              <w:jc w:val="both"/>
              <w:rPr>
                <w:spacing w:val="-4"/>
              </w:rPr>
            </w:pPr>
          </w:p>
        </w:tc>
        <w:tc>
          <w:tcPr>
            <w:tcW w:w="7670" w:type="dxa"/>
            <w:shd w:val="clear" w:color="auto" w:fill="auto"/>
            <w:tcMar>
              <w:left w:w="0" w:type="dxa"/>
            </w:tcMar>
          </w:tcPr>
          <w:p w14:paraId="2BE07A38" w14:textId="777C0E29" w:rsidR="00106BCC" w:rsidRPr="00F603D7" w:rsidRDefault="00106BCC" w:rsidP="00440D2A">
            <w:pPr>
              <w:spacing w:after="200"/>
              <w:rPr>
                <w:spacing w:val="-4"/>
                <w:szCs w:val="20"/>
              </w:rPr>
            </w:pPr>
            <w:r w:rsidRPr="20D21749">
              <w:rPr>
                <w:color w:val="0D0D0D" w:themeColor="text1" w:themeTint="F2"/>
                <w:spacing w:val="-4"/>
              </w:rPr>
              <w:t xml:space="preserve">Celý sektor vládních institucí (VI) </w:t>
            </w:r>
            <w:r w:rsidRPr="20D21749">
              <w:rPr>
                <w:spacing w:val="-4"/>
              </w:rPr>
              <w:t>hospodařil v 1. čtvrtletí 2023</w:t>
            </w:r>
            <w:r w:rsidRPr="00F603D7">
              <w:rPr>
                <w:rStyle w:val="Znakapoznpodarou"/>
                <w:color w:val="0D0D0D" w:themeColor="text1" w:themeTint="F2"/>
                <w:spacing w:val="-4"/>
              </w:rPr>
              <w:footnoteReference w:id="25"/>
            </w:r>
            <w:r w:rsidR="58FD3BB8" w:rsidRPr="20D21749">
              <w:rPr>
                <w:spacing w:val="-4"/>
              </w:rPr>
              <w:t xml:space="preserve"> s deficitem ve výši </w:t>
            </w:r>
            <w:r w:rsidRPr="20D21749">
              <w:rPr>
                <w:spacing w:val="-4"/>
              </w:rPr>
              <w:t>100,9</w:t>
            </w:r>
            <w:r>
              <w:rPr>
                <w:spacing w:val="-4"/>
                <w:szCs w:val="20"/>
              </w:rPr>
              <w:t> </w:t>
            </w:r>
            <w:r w:rsidRPr="20D21749">
              <w:rPr>
                <w:spacing w:val="-4"/>
              </w:rPr>
              <w:t>mld. korun</w:t>
            </w:r>
            <w:r w:rsidRPr="00F603D7">
              <w:rPr>
                <w:rStyle w:val="Znakapoznpodarou"/>
                <w:color w:val="0D0D0D" w:themeColor="text1" w:themeTint="F2"/>
                <w:spacing w:val="-4"/>
              </w:rPr>
              <w:footnoteReference w:id="26"/>
            </w:r>
            <w:r w:rsidRPr="00F603D7">
              <w:rPr>
                <w:spacing w:val="-4"/>
                <w:szCs w:val="20"/>
              </w:rPr>
              <w:t xml:space="preserve">. </w:t>
            </w:r>
            <w:r w:rsidRPr="20D21749">
              <w:rPr>
                <w:spacing w:val="-4"/>
              </w:rPr>
              <w:t>Schodek se meziročně skoro o polovinu prohloubil a v rámci 1. čtvrtletí</w:t>
            </w:r>
            <w:r w:rsidR="7E2BC7B5" w:rsidRPr="20D21749">
              <w:rPr>
                <w:spacing w:val="-4"/>
              </w:rPr>
              <w:t xml:space="preserve"> šlo o druhý nejvyšší deficit</w:t>
            </w:r>
            <w:r w:rsidRPr="20D21749">
              <w:rPr>
                <w:spacing w:val="-4"/>
              </w:rPr>
              <w:t xml:space="preserve"> v novodobé historii ČR (po roce 2021, kdy vrcholila pandemie). Citelné meziroční zvýšení deficitu souviselo s růstem výdajů (na 16 %), do nichž se promítal</w:t>
            </w:r>
            <w:r w:rsidR="58FD3BB8" w:rsidRPr="20D21749">
              <w:rPr>
                <w:spacing w:val="-4"/>
              </w:rPr>
              <w:t>o</w:t>
            </w:r>
            <w:r w:rsidRPr="20D21749">
              <w:rPr>
                <w:spacing w:val="-4"/>
              </w:rPr>
              <w:t xml:space="preserve"> řešení energetické krize i další, zejména mandatorní závazky. Prohloubení schodku šlo takřka výhradně za ústředními vládními institucemi (které dosáhly deficitu 137</w:t>
            </w:r>
            <w:r w:rsidR="58FD3BB8">
              <w:rPr>
                <w:spacing w:val="-4"/>
                <w:szCs w:val="20"/>
              </w:rPr>
              <w:t> </w:t>
            </w:r>
            <w:r w:rsidRPr="20D21749">
              <w:rPr>
                <w:spacing w:val="-4"/>
              </w:rPr>
              <w:t>mld. korun), naopak místní vládní instituce vykázaly přebytek 35 mld. (meziročně vyšší o 30 mld.) a mírně kladné saldo hospodaření si udržely i</w:t>
            </w:r>
            <w:r>
              <w:rPr>
                <w:spacing w:val="-4"/>
                <w:szCs w:val="20"/>
              </w:rPr>
              <w:t> </w:t>
            </w:r>
            <w:r w:rsidRPr="20D21749">
              <w:rPr>
                <w:spacing w:val="-4"/>
              </w:rPr>
              <w:t>zdravotní pojišťovny. Dle sezónně očištěných údajů činil schodek celého sektoru VI 4,2 % HDP, meziročně se prohloubil o</w:t>
            </w:r>
            <w:r w:rsidR="58FD3BB8">
              <w:rPr>
                <w:spacing w:val="-4"/>
                <w:szCs w:val="20"/>
              </w:rPr>
              <w:t> </w:t>
            </w:r>
            <w:r w:rsidRPr="20D21749">
              <w:rPr>
                <w:spacing w:val="-4"/>
              </w:rPr>
              <w:t>1,3</w:t>
            </w:r>
            <w:r w:rsidR="58FD3BB8">
              <w:rPr>
                <w:spacing w:val="-4"/>
                <w:szCs w:val="20"/>
              </w:rPr>
              <w:t> </w:t>
            </w:r>
            <w:r w:rsidRPr="20D21749">
              <w:rPr>
                <w:spacing w:val="-4"/>
              </w:rPr>
              <w:t>p. b., oproti druhému loňskému pololetí lze však pozorovat náznak stabilizace.</w:t>
            </w:r>
          </w:p>
        </w:tc>
      </w:tr>
      <w:tr w:rsidR="00106BCC" w:rsidRPr="004B2C92" w14:paraId="342D9757" w14:textId="77777777" w:rsidTr="20D21749">
        <w:trPr>
          <w:trHeight w:val="145"/>
        </w:trPr>
        <w:tc>
          <w:tcPr>
            <w:tcW w:w="1780" w:type="dxa"/>
            <w:shd w:val="clear" w:color="auto" w:fill="auto"/>
            <w:tcMar>
              <w:left w:w="0" w:type="dxa"/>
            </w:tcMar>
          </w:tcPr>
          <w:p w14:paraId="484EFAEA" w14:textId="77777777" w:rsidR="00106BCC" w:rsidRPr="005B591B" w:rsidRDefault="00106BCC" w:rsidP="006849F8">
            <w:pPr>
              <w:pStyle w:val="Marginlie"/>
            </w:pPr>
            <w:r>
              <w:t>Růst příjmů sektoru VI byl tažen hlavně běžnými daněni z důchodů. Nominální růst výběru daní navázaných na spotřebu zaostával za inflací.</w:t>
            </w:r>
          </w:p>
        </w:tc>
        <w:tc>
          <w:tcPr>
            <w:tcW w:w="219" w:type="dxa"/>
            <w:shd w:val="clear" w:color="auto" w:fill="auto"/>
            <w:tcMar>
              <w:left w:w="0" w:type="dxa"/>
            </w:tcMar>
          </w:tcPr>
          <w:p w14:paraId="18FCC9D0" w14:textId="77777777" w:rsidR="00106BCC" w:rsidRDefault="00106BCC" w:rsidP="006849F8">
            <w:pPr>
              <w:pStyle w:val="Textpoznpodarou"/>
              <w:jc w:val="both"/>
              <w:rPr>
                <w:spacing w:val="-4"/>
              </w:rPr>
            </w:pPr>
          </w:p>
        </w:tc>
        <w:tc>
          <w:tcPr>
            <w:tcW w:w="7670" w:type="dxa"/>
            <w:shd w:val="clear" w:color="auto" w:fill="auto"/>
            <w:tcMar>
              <w:left w:w="0" w:type="dxa"/>
            </w:tcMar>
          </w:tcPr>
          <w:p w14:paraId="34D6EC22" w14:textId="77777777" w:rsidR="00106BCC" w:rsidRPr="00F603D7" w:rsidRDefault="00106BCC" w:rsidP="006849F8">
            <w:pPr>
              <w:spacing w:after="200"/>
              <w:rPr>
                <w:spacing w:val="-4"/>
              </w:rPr>
            </w:pPr>
            <w:r w:rsidRPr="00F603D7">
              <w:rPr>
                <w:spacing w:val="-4"/>
                <w:szCs w:val="20"/>
              </w:rPr>
              <w:t>K meziročnímu růstu příjmů sektoru VI (+78,0 mld. korun) přispěly v 1. čtvrtletí nejvíce</w:t>
            </w:r>
            <w:r w:rsidRPr="00F603D7">
              <w:rPr>
                <w:spacing w:val="-4"/>
              </w:rPr>
              <w:t xml:space="preserve"> běžné daně z důchodů a jmění (+29,0 mld.), přijaté čisté sociální příspěvky (+22,4 mld.) a daně z výroby a dovozu (+14,2 mld.), které byly posílené o mimořádnou položku (daně z</w:t>
            </w:r>
            <w:r>
              <w:rPr>
                <w:spacing w:val="-4"/>
              </w:rPr>
              <w:t> </w:t>
            </w:r>
            <w:r w:rsidRPr="00F603D7">
              <w:rPr>
                <w:spacing w:val="-4"/>
              </w:rPr>
              <w:t>nadměrných zisků). Příspěvek daní navázaných na spotřebu byl slabší, neboť jejich výnos zaostával za inflací. Na růstu celkových výdajů sektoru VI (+109,9 mld. korun) se podílely zejména sociální dávky a naturální sociální transfery (+38,0 mld. korun) a též placené dotace (+30,2 mld. korun), jež zahrnovaly především kompenzace za dodávku elektřiny a</w:t>
            </w:r>
            <w:r>
              <w:rPr>
                <w:spacing w:val="-4"/>
              </w:rPr>
              <w:t> </w:t>
            </w:r>
            <w:r w:rsidRPr="00F603D7">
              <w:rPr>
                <w:spacing w:val="-4"/>
              </w:rPr>
              <w:t>plynu.). Posílil i meziroční růst mezispotřeby (+14,5 mld. korun) a náhrad zaměstnancům (+13,9 mld.). Vysoká úroveň úrokových sazeb dál ovlivňovala přírůstek placených důchodů z vlastnictví (+8,9 mld. korun). Výrazně meziročně nižší byly placené kapitálové transfery (−7,4 mld. korun).</w:t>
            </w:r>
          </w:p>
        </w:tc>
      </w:tr>
      <w:tr w:rsidR="00106BCC" w:rsidRPr="00D52ED2" w14:paraId="47B2814F" w14:textId="77777777" w:rsidTr="20D21749">
        <w:trPr>
          <w:trHeight w:val="145"/>
        </w:trPr>
        <w:tc>
          <w:tcPr>
            <w:tcW w:w="1780" w:type="dxa"/>
            <w:shd w:val="clear" w:color="auto" w:fill="auto"/>
            <w:tcMar>
              <w:left w:w="0" w:type="dxa"/>
            </w:tcMar>
          </w:tcPr>
          <w:p w14:paraId="4C0A7E0E" w14:textId="77777777" w:rsidR="00106BCC" w:rsidRDefault="00106BCC" w:rsidP="006849F8">
            <w:pPr>
              <w:pStyle w:val="Marginlie"/>
            </w:pPr>
          </w:p>
        </w:tc>
        <w:tc>
          <w:tcPr>
            <w:tcW w:w="219" w:type="dxa"/>
            <w:shd w:val="clear" w:color="auto" w:fill="auto"/>
            <w:tcMar>
              <w:left w:w="0" w:type="dxa"/>
            </w:tcMar>
          </w:tcPr>
          <w:p w14:paraId="4992ABAA" w14:textId="77777777" w:rsidR="00106BCC" w:rsidRDefault="00106BCC" w:rsidP="006849F8">
            <w:pPr>
              <w:pStyle w:val="Textpoznpodarou"/>
              <w:jc w:val="both"/>
              <w:rPr>
                <w:spacing w:val="-4"/>
              </w:rPr>
            </w:pPr>
          </w:p>
        </w:tc>
        <w:tc>
          <w:tcPr>
            <w:tcW w:w="7670" w:type="dxa"/>
            <w:shd w:val="clear" w:color="auto" w:fill="auto"/>
            <w:tcMar>
              <w:left w:w="0" w:type="dxa"/>
            </w:tcMar>
          </w:tcPr>
          <w:p w14:paraId="1AD064AA" w14:textId="5D029440" w:rsidR="00106BCC" w:rsidRDefault="00FA2C07" w:rsidP="006849F8">
            <w:pPr>
              <w:spacing w:after="40"/>
              <w:rPr>
                <w:color w:val="0D0D0D" w:themeColor="text1" w:themeTint="F2"/>
                <w:spacing w:val="-4"/>
              </w:rPr>
            </w:pPr>
            <w:r>
              <w:rPr>
                <w:b/>
                <w:spacing w:val="-2"/>
              </w:rPr>
              <w:t>Graf č. 19</w:t>
            </w:r>
            <w:r w:rsidR="00106BCC" w:rsidRPr="00C4556A">
              <w:rPr>
                <w:b/>
                <w:spacing w:val="-2"/>
              </w:rPr>
              <w:t xml:space="preserve"> </w:t>
            </w:r>
            <w:r w:rsidR="00106BCC" w:rsidRPr="00C4556A">
              <w:rPr>
                <w:rFonts w:cs="Arial"/>
                <w:b/>
                <w:bCs/>
                <w:spacing w:val="-2"/>
              </w:rPr>
              <w:t>Saldo hospodaření</w:t>
            </w:r>
            <w:r w:rsidR="00106BCC">
              <w:rPr>
                <w:rFonts w:cs="Arial"/>
                <w:b/>
                <w:bCs/>
                <w:spacing w:val="-2"/>
              </w:rPr>
              <w:t xml:space="preserve"> </w:t>
            </w:r>
            <w:r w:rsidR="00106BCC" w:rsidRPr="00C4556A">
              <w:rPr>
                <w:rFonts w:cs="Arial"/>
                <w:b/>
                <w:bCs/>
                <w:spacing w:val="-2"/>
              </w:rPr>
              <w:t xml:space="preserve">sektoru vládních </w:t>
            </w:r>
            <w:r w:rsidR="00106BCC">
              <w:rPr>
                <w:rFonts w:cs="Arial"/>
                <w:b/>
                <w:bCs/>
                <w:spacing w:val="-2"/>
              </w:rPr>
              <w:t>institucí v Česku, EU a v jejích vybraných členských státech</w:t>
            </w:r>
            <w:r w:rsidR="00106BCC" w:rsidRPr="00C4556A">
              <w:rPr>
                <w:rFonts w:cs="Arial"/>
                <w:b/>
                <w:bCs/>
                <w:spacing w:val="-2"/>
              </w:rPr>
              <w:t xml:space="preserve"> </w:t>
            </w:r>
            <w:r w:rsidR="00106BCC" w:rsidRPr="00C4556A">
              <w:rPr>
                <w:rFonts w:cs="Arial"/>
                <w:bCs/>
                <w:spacing w:val="-2"/>
              </w:rPr>
              <w:t>(</w:t>
            </w:r>
            <w:r w:rsidR="00106BCC">
              <w:rPr>
                <w:rFonts w:cs="Arial"/>
                <w:bCs/>
                <w:spacing w:val="-2"/>
              </w:rPr>
              <w:t>jednotlivá čtvrtletí, sezónně očištěno, v % HDP)</w:t>
            </w:r>
          </w:p>
        </w:tc>
      </w:tr>
      <w:tr w:rsidR="00106BCC" w:rsidRPr="00D52ED2" w14:paraId="672FCC20" w14:textId="77777777" w:rsidTr="20D21749">
        <w:tblPrEx>
          <w:tblCellMar>
            <w:left w:w="70" w:type="dxa"/>
            <w:right w:w="70" w:type="dxa"/>
          </w:tblCellMar>
        </w:tblPrEx>
        <w:trPr>
          <w:trHeight w:val="145"/>
        </w:trPr>
        <w:tc>
          <w:tcPr>
            <w:tcW w:w="1780" w:type="dxa"/>
            <w:shd w:val="clear" w:color="auto" w:fill="auto"/>
          </w:tcPr>
          <w:p w14:paraId="26178C57" w14:textId="77777777" w:rsidR="00106BCC" w:rsidRDefault="00106BCC" w:rsidP="006849F8">
            <w:pPr>
              <w:pStyle w:val="Marginlie"/>
            </w:pPr>
          </w:p>
        </w:tc>
        <w:tc>
          <w:tcPr>
            <w:tcW w:w="219" w:type="dxa"/>
            <w:shd w:val="clear" w:color="auto" w:fill="auto"/>
          </w:tcPr>
          <w:p w14:paraId="706FBADF" w14:textId="77777777" w:rsidR="00106BCC" w:rsidRDefault="00106BCC" w:rsidP="006849F8">
            <w:pPr>
              <w:pStyle w:val="Textpoznpodarou"/>
              <w:jc w:val="both"/>
              <w:rPr>
                <w:spacing w:val="-4"/>
              </w:rPr>
            </w:pPr>
          </w:p>
        </w:tc>
        <w:tc>
          <w:tcPr>
            <w:tcW w:w="7670" w:type="dxa"/>
            <w:shd w:val="clear" w:color="auto" w:fill="auto"/>
          </w:tcPr>
          <w:p w14:paraId="0960F1FA" w14:textId="77777777" w:rsidR="00106BCC" w:rsidRPr="00C4556A" w:rsidRDefault="00106BCC" w:rsidP="006849F8">
            <w:pPr>
              <w:spacing w:after="0"/>
              <w:rPr>
                <w:b/>
                <w:spacing w:val="-2"/>
              </w:rPr>
            </w:pPr>
            <w:r>
              <w:rPr>
                <w:noProof/>
              </w:rPr>
              <w:drawing>
                <wp:inline distT="0" distB="0" distL="0" distR="0" wp14:anchorId="26A7FEF6" wp14:editId="6E14597D">
                  <wp:extent cx="4719955" cy="3180522"/>
                  <wp:effectExtent l="0" t="0" r="4445" b="127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159C6" w:rsidRPr="00D52ED2" w14:paraId="50F3D703" w14:textId="77777777" w:rsidTr="20D21749">
        <w:trPr>
          <w:trHeight w:val="145"/>
        </w:trPr>
        <w:tc>
          <w:tcPr>
            <w:tcW w:w="1780" w:type="dxa"/>
            <w:shd w:val="clear" w:color="auto" w:fill="auto"/>
            <w:tcMar>
              <w:left w:w="0" w:type="dxa"/>
            </w:tcMar>
          </w:tcPr>
          <w:p w14:paraId="76795970" w14:textId="77777777" w:rsidR="00E159C6" w:rsidRDefault="00E159C6" w:rsidP="00E159C6">
            <w:pPr>
              <w:pStyle w:val="Marginlie"/>
            </w:pPr>
          </w:p>
        </w:tc>
        <w:tc>
          <w:tcPr>
            <w:tcW w:w="219" w:type="dxa"/>
            <w:shd w:val="clear" w:color="auto" w:fill="auto"/>
            <w:tcMar>
              <w:left w:w="0" w:type="dxa"/>
            </w:tcMar>
          </w:tcPr>
          <w:p w14:paraId="28691F17" w14:textId="77777777" w:rsidR="00E159C6" w:rsidRDefault="00E159C6" w:rsidP="00E159C6">
            <w:pPr>
              <w:pStyle w:val="Textpoznpodarou"/>
              <w:jc w:val="both"/>
              <w:rPr>
                <w:spacing w:val="-4"/>
              </w:rPr>
            </w:pPr>
          </w:p>
        </w:tc>
        <w:tc>
          <w:tcPr>
            <w:tcW w:w="7670" w:type="dxa"/>
            <w:shd w:val="clear" w:color="auto" w:fill="auto"/>
            <w:tcMar>
              <w:left w:w="0" w:type="dxa"/>
            </w:tcMar>
          </w:tcPr>
          <w:p w14:paraId="63DA8381" w14:textId="43CF1C3E" w:rsidR="00E159C6" w:rsidRDefault="00E159C6" w:rsidP="00E159C6">
            <w:pPr>
              <w:spacing w:after="200"/>
              <w:rPr>
                <w:spacing w:val="-4"/>
                <w:sz w:val="14"/>
                <w:szCs w:val="14"/>
              </w:rPr>
            </w:pPr>
            <w:r>
              <w:rPr>
                <w:spacing w:val="-4"/>
                <w:sz w:val="14"/>
                <w:szCs w:val="14"/>
              </w:rPr>
              <w:t>Zdroj: Eurostat</w:t>
            </w:r>
          </w:p>
        </w:tc>
      </w:tr>
      <w:tr w:rsidR="00E159C6" w:rsidRPr="00F603D7" w14:paraId="209BEC03" w14:textId="77777777" w:rsidTr="20D21749">
        <w:trPr>
          <w:trHeight w:val="145"/>
        </w:trPr>
        <w:tc>
          <w:tcPr>
            <w:tcW w:w="1780" w:type="dxa"/>
            <w:shd w:val="clear" w:color="auto" w:fill="auto"/>
            <w:tcMar>
              <w:left w:w="0" w:type="dxa"/>
            </w:tcMar>
          </w:tcPr>
          <w:p w14:paraId="6E378F95" w14:textId="77777777" w:rsidR="00E159C6" w:rsidRPr="00E159C6" w:rsidRDefault="00E159C6" w:rsidP="00AC5C92">
            <w:pPr>
              <w:pStyle w:val="Marginlie"/>
              <w:rPr>
                <w:sz w:val="20"/>
                <w:szCs w:val="20"/>
              </w:rPr>
            </w:pPr>
            <w:r w:rsidRPr="00E159C6">
              <w:rPr>
                <w:sz w:val="20"/>
                <w:szCs w:val="20"/>
              </w:rPr>
              <w:t>Míra zadlužení sektoru VI nadále rostla.</w:t>
            </w:r>
          </w:p>
        </w:tc>
        <w:tc>
          <w:tcPr>
            <w:tcW w:w="219" w:type="dxa"/>
            <w:shd w:val="clear" w:color="auto" w:fill="auto"/>
            <w:tcMar>
              <w:left w:w="0" w:type="dxa"/>
            </w:tcMar>
          </w:tcPr>
          <w:p w14:paraId="648C417C" w14:textId="77777777" w:rsidR="00E159C6" w:rsidRDefault="00E159C6" w:rsidP="00AC5C92">
            <w:pPr>
              <w:pStyle w:val="Textpoznpodarou"/>
              <w:jc w:val="both"/>
              <w:rPr>
                <w:spacing w:val="-4"/>
              </w:rPr>
            </w:pPr>
          </w:p>
        </w:tc>
        <w:tc>
          <w:tcPr>
            <w:tcW w:w="7670" w:type="dxa"/>
            <w:shd w:val="clear" w:color="auto" w:fill="auto"/>
            <w:tcMar>
              <w:left w:w="0" w:type="dxa"/>
            </w:tcMar>
          </w:tcPr>
          <w:p w14:paraId="73B923B6" w14:textId="1E40C520" w:rsidR="00E159C6" w:rsidRPr="00607E1D" w:rsidRDefault="00E159C6" w:rsidP="00607E1D">
            <w:pPr>
              <w:spacing w:after="0"/>
              <w:rPr>
                <w:noProof/>
                <w:spacing w:val="-4"/>
                <w:szCs w:val="20"/>
              </w:rPr>
            </w:pPr>
            <w:r w:rsidRPr="00607E1D">
              <w:rPr>
                <w:noProof/>
                <w:spacing w:val="-4"/>
                <w:szCs w:val="20"/>
              </w:rPr>
              <w:t xml:space="preserve">Dluh sektoru vládních institucí v 1. čtvrtletí </w:t>
            </w:r>
            <w:r w:rsidR="00607E1D">
              <w:rPr>
                <w:noProof/>
                <w:spacing w:val="-4"/>
                <w:szCs w:val="20"/>
              </w:rPr>
              <w:t xml:space="preserve">2023 dosáhl 3 099,4 mld. korun </w:t>
            </w:r>
            <w:r w:rsidRPr="00607E1D">
              <w:rPr>
                <w:noProof/>
                <w:spacing w:val="-4"/>
                <w:szCs w:val="20"/>
              </w:rPr>
              <w:t>a meziročně vzrostl o 415,3 mld. Míra zadlužení vládních institucí byla meziročně vyšší o 1,7 p. b. na 44,5 % HDP. K růstu relativního zadlužení přispělo 6,0 p. b. navýšení nominálního dluhu, a</w:t>
            </w:r>
            <w:r w:rsidR="00607E1D">
              <w:rPr>
                <w:noProof/>
                <w:spacing w:val="-4"/>
                <w:szCs w:val="20"/>
              </w:rPr>
              <w:t> </w:t>
            </w:r>
            <w:r w:rsidRPr="00607E1D">
              <w:rPr>
                <w:noProof/>
                <w:spacing w:val="-4"/>
                <w:szCs w:val="20"/>
              </w:rPr>
              <w:t>naopak růst HDP přispěl k poklesu 4,3 p. b.</w:t>
            </w:r>
          </w:p>
        </w:tc>
      </w:tr>
    </w:tbl>
    <w:p w14:paraId="6FD91E5A" w14:textId="70121934" w:rsidR="00106BCC" w:rsidRPr="001C3855" w:rsidRDefault="00106BCC" w:rsidP="00607E1D">
      <w:pPr>
        <w:pStyle w:val="Nadpis11"/>
        <w:rPr>
          <w:sz w:val="2"/>
          <w:szCs w:val="2"/>
        </w:rPr>
      </w:pPr>
    </w:p>
    <w:sectPr w:rsidR="00106BCC" w:rsidRPr="001C3855" w:rsidSect="006F245A">
      <w:headerReference w:type="even" r:id="rId15"/>
      <w:headerReference w:type="default" r:id="rId16"/>
      <w:footerReference w:type="even" r:id="rId17"/>
      <w:footerReference w:type="default" r:id="rId18"/>
      <w:pgSz w:w="11906" w:h="16838" w:code="9"/>
      <w:pgMar w:top="1134" w:right="1134" w:bottom="1418" w:left="1134" w:header="680" w:footer="737"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39EAB" w14:textId="77777777" w:rsidR="00B762B1" w:rsidRDefault="00B762B1" w:rsidP="00E71A58">
      <w:r>
        <w:separator/>
      </w:r>
    </w:p>
  </w:endnote>
  <w:endnote w:type="continuationSeparator" w:id="0">
    <w:p w14:paraId="5AA40A35" w14:textId="77777777" w:rsidR="00B762B1" w:rsidRDefault="00B762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73CEF946" w:rsidR="00DA0121" w:rsidRPr="00932443" w:rsidRDefault="00DA0121"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6F245A">
      <w:rPr>
        <w:szCs w:val="16"/>
      </w:rPr>
      <w:t>38</w:t>
    </w:r>
    <w:r w:rsidRPr="00932443">
      <w:rPr>
        <w:szCs w:val="16"/>
      </w:rPr>
      <w:fldChar w:fldCharType="end"/>
    </w:r>
    <w:r w:rsidRPr="00932443">
      <w:rPr>
        <w:szCs w:val="16"/>
      </w:rPr>
      <w:tab/>
    </w:r>
    <w:r>
      <w:rPr>
        <w:szCs w:val="16"/>
      </w:rPr>
      <w:t>1. pololetí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13326F0" w:rsidR="00DA0121" w:rsidRPr="00932443" w:rsidRDefault="00DA0121" w:rsidP="00FA6CB6">
    <w:pPr>
      <w:pStyle w:val="Zpat"/>
      <w:rPr>
        <w:szCs w:val="16"/>
      </w:rPr>
    </w:pPr>
    <w:r w:rsidRPr="00FA6CB6">
      <w:rPr>
        <w:szCs w:val="16"/>
      </w:rPr>
      <w:tab/>
    </w:r>
    <w:r>
      <w:rPr>
        <w:szCs w:val="16"/>
      </w:rPr>
      <w:t>1. pololetí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6F245A">
      <w:rPr>
        <w:rStyle w:val="ZpatChar"/>
        <w:szCs w:val="16"/>
      </w:rPr>
      <w:t>39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CF67C" w14:textId="77777777" w:rsidR="00B762B1" w:rsidRDefault="00B762B1" w:rsidP="00A21B4D">
      <w:pPr>
        <w:spacing w:after="0"/>
      </w:pPr>
      <w:r>
        <w:separator/>
      </w:r>
    </w:p>
  </w:footnote>
  <w:footnote w:type="continuationSeparator" w:id="0">
    <w:p w14:paraId="377DD854" w14:textId="77777777" w:rsidR="00B762B1" w:rsidRDefault="00B762B1" w:rsidP="00E71A58">
      <w:r>
        <w:continuationSeparator/>
      </w:r>
    </w:p>
  </w:footnote>
  <w:footnote w:id="1">
    <w:p w14:paraId="3CFA6B9C" w14:textId="77777777" w:rsidR="00DA0121" w:rsidRPr="008522D6" w:rsidRDefault="00DA0121" w:rsidP="00106BCC">
      <w:pPr>
        <w:pStyle w:val="Textpoznpodarou"/>
        <w:jc w:val="both"/>
        <w:rPr>
          <w:sz w:val="16"/>
          <w:szCs w:val="16"/>
        </w:rPr>
      </w:pPr>
      <w:r w:rsidRPr="008522D6">
        <w:rPr>
          <w:rStyle w:val="Znakapoznpodarou"/>
          <w:sz w:val="16"/>
          <w:szCs w:val="16"/>
        </w:rPr>
        <w:footnoteRef/>
      </w:r>
      <w:r w:rsidRPr="008522D6">
        <w:rPr>
          <w:sz w:val="16"/>
          <w:szCs w:val="16"/>
        </w:rPr>
        <w:t xml:space="preserve"> </w:t>
      </w:r>
      <w:r w:rsidRPr="008522D6">
        <w:rPr>
          <w:color w:val="0D0D0D" w:themeColor="text1" w:themeTint="F2"/>
          <w:sz w:val="16"/>
          <w:szCs w:val="16"/>
        </w:rPr>
        <w:t xml:space="preserve">Pokud není uvedeno jinak, vycházejí všechny údaje týkající se státního rozpočtu </w:t>
      </w:r>
      <w:r w:rsidRPr="008522D6">
        <w:rPr>
          <w:rFonts w:cs="Arial"/>
          <w:color w:val="0D0D0D" w:themeColor="text1" w:themeTint="F2"/>
          <w:sz w:val="16"/>
          <w:szCs w:val="16"/>
        </w:rPr>
        <w:t>z dat Ministerstva financí o pokladním plnění.</w:t>
      </w:r>
    </w:p>
  </w:footnote>
  <w:footnote w:id="2">
    <w:p w14:paraId="6DFF2546" w14:textId="77777777" w:rsidR="00DA0121" w:rsidRPr="008522D6" w:rsidRDefault="00DA0121" w:rsidP="00106BCC">
      <w:pPr>
        <w:pStyle w:val="Textpoznpodarou"/>
        <w:rPr>
          <w:sz w:val="16"/>
          <w:szCs w:val="16"/>
        </w:rPr>
      </w:pPr>
      <w:r w:rsidRPr="008522D6">
        <w:rPr>
          <w:rStyle w:val="Znakapoznpodarou"/>
          <w:sz w:val="16"/>
          <w:szCs w:val="16"/>
        </w:rPr>
        <w:footnoteRef/>
      </w:r>
      <w:r>
        <w:rPr>
          <w:sz w:val="16"/>
          <w:szCs w:val="16"/>
        </w:rPr>
        <w:t xml:space="preserve"> Dle zákona č. 449/2023 Sb.</w:t>
      </w:r>
      <w:r w:rsidRPr="008522D6">
        <w:rPr>
          <w:sz w:val="16"/>
          <w:szCs w:val="16"/>
        </w:rPr>
        <w:t xml:space="preserve"> o státním</w:t>
      </w:r>
      <w:r>
        <w:rPr>
          <w:sz w:val="16"/>
          <w:szCs w:val="16"/>
        </w:rPr>
        <w:t xml:space="preserve"> rozpočtu na rok 2023 schváleného</w:t>
      </w:r>
      <w:r w:rsidRPr="008522D6">
        <w:rPr>
          <w:sz w:val="16"/>
          <w:szCs w:val="16"/>
        </w:rPr>
        <w:t xml:space="preserve"> 30. listopadu 2022.</w:t>
      </w:r>
    </w:p>
  </w:footnote>
  <w:footnote w:id="3">
    <w:p w14:paraId="7045D3F4" w14:textId="1C908765" w:rsidR="00DA0121" w:rsidRPr="00563E75" w:rsidRDefault="00DA0121" w:rsidP="00106BCC">
      <w:pPr>
        <w:pStyle w:val="Textpoznpodarou"/>
        <w:rPr>
          <w:spacing w:val="-2"/>
        </w:rPr>
      </w:pPr>
      <w:r w:rsidRPr="00563E75">
        <w:rPr>
          <w:rStyle w:val="Znakapoznpodarou"/>
          <w:spacing w:val="-2"/>
          <w:sz w:val="16"/>
          <w:szCs w:val="16"/>
        </w:rPr>
        <w:footnoteRef/>
      </w:r>
      <w:r w:rsidRPr="00563E75">
        <w:rPr>
          <w:spacing w:val="-2"/>
        </w:rPr>
        <w:t xml:space="preserve"> </w:t>
      </w:r>
      <w:r w:rsidRPr="00563E75">
        <w:rPr>
          <w:spacing w:val="-2"/>
          <w:sz w:val="16"/>
          <w:szCs w:val="16"/>
        </w:rPr>
        <w:t>Na očekávaném růstu souhrnných příjmů SR za rok 2023 (+19,5 %) by se měly zásadně podílet inkasa „sektorové“ daně u podn</w:t>
      </w:r>
      <w:r>
        <w:rPr>
          <w:spacing w:val="-2"/>
          <w:sz w:val="16"/>
          <w:szCs w:val="16"/>
        </w:rPr>
        <w:t>iků z neočekávaných zisků a odvody</w:t>
      </w:r>
      <w:r w:rsidRPr="00563E75">
        <w:rPr>
          <w:spacing w:val="-2"/>
          <w:sz w:val="16"/>
          <w:szCs w:val="16"/>
        </w:rPr>
        <w:t xml:space="preserve"> z nadměrných příjmů (prvotně odhadované na 100 mld. korun, aktuálně na 64,5 mld.), dále např. navýšení očekávaných příjmů z emisních povolenek (na 82,5 mld.) a významně posílený převod z tzv. privatizačního účtu (na 45 mld.).</w:t>
      </w:r>
    </w:p>
  </w:footnote>
  <w:footnote w:id="4">
    <w:p w14:paraId="41E13CA3" w14:textId="77777777" w:rsidR="00DA0121" w:rsidRPr="00C230B9" w:rsidRDefault="00DA0121" w:rsidP="00106BCC">
      <w:pPr>
        <w:pStyle w:val="Textpoznpodarou"/>
        <w:rPr>
          <w:sz w:val="16"/>
          <w:szCs w:val="16"/>
        </w:rPr>
      </w:pPr>
      <w:r w:rsidRPr="00C230B9">
        <w:rPr>
          <w:rStyle w:val="Znakapoznpodarou"/>
          <w:sz w:val="16"/>
          <w:szCs w:val="16"/>
        </w:rPr>
        <w:footnoteRef/>
      </w:r>
      <w:r w:rsidRPr="00C230B9">
        <w:rPr>
          <w:sz w:val="16"/>
          <w:szCs w:val="16"/>
        </w:rPr>
        <w:t xml:space="preserve"> Zahrnují příjmy z rozpočtu Evropské Unie a z</w:t>
      </w:r>
      <w:r>
        <w:rPr>
          <w:sz w:val="16"/>
          <w:szCs w:val="16"/>
        </w:rPr>
        <w:t xml:space="preserve"> Finančních mechanismů </w:t>
      </w:r>
      <w:r w:rsidRPr="00C230B9">
        <w:rPr>
          <w:sz w:val="16"/>
          <w:szCs w:val="16"/>
        </w:rPr>
        <w:t xml:space="preserve">EHP/Norska/Švýcarska. </w:t>
      </w:r>
    </w:p>
  </w:footnote>
  <w:footnote w:id="5">
    <w:p w14:paraId="78E022EF" w14:textId="77777777" w:rsidR="00DA0121" w:rsidRPr="008B3D4E" w:rsidRDefault="00DA0121" w:rsidP="00106BCC">
      <w:pPr>
        <w:pStyle w:val="Textpoznpodarou"/>
        <w:rPr>
          <w:sz w:val="16"/>
          <w:szCs w:val="16"/>
        </w:rPr>
      </w:pPr>
      <w:r w:rsidRPr="008B3D4E">
        <w:rPr>
          <w:rStyle w:val="Znakapoznpodarou"/>
          <w:sz w:val="16"/>
          <w:szCs w:val="16"/>
        </w:rPr>
        <w:footnoteRef/>
      </w:r>
      <w:r w:rsidRPr="008B3D4E">
        <w:rPr>
          <w:sz w:val="16"/>
          <w:szCs w:val="16"/>
        </w:rPr>
        <w:t xml:space="preserve"> Tento odvod (zdaněný 90% sazbou) představuje rozdíl mezi sku</w:t>
      </w:r>
      <w:r>
        <w:rPr>
          <w:sz w:val="16"/>
          <w:szCs w:val="16"/>
        </w:rPr>
        <w:t>tečným příjmem a stropem tržního</w:t>
      </w:r>
      <w:r w:rsidRPr="008B3D4E">
        <w:rPr>
          <w:sz w:val="16"/>
          <w:szCs w:val="16"/>
        </w:rPr>
        <w:t xml:space="preserve"> příjmu z prodeje elektřiny nad stanovenou hranici (za období od 1. prosince 2022 do konce roku 2023).</w:t>
      </w:r>
    </w:p>
  </w:footnote>
  <w:footnote w:id="6">
    <w:p w14:paraId="49A93657" w14:textId="77777777" w:rsidR="00DA0121" w:rsidRPr="00CA30CB" w:rsidRDefault="00DA0121" w:rsidP="00106BCC">
      <w:pPr>
        <w:pStyle w:val="Textpoznpodarou"/>
        <w:rPr>
          <w:sz w:val="16"/>
          <w:szCs w:val="16"/>
        </w:rPr>
      </w:pPr>
      <w:r w:rsidRPr="00CA30CB">
        <w:rPr>
          <w:rStyle w:val="Znakapoznpodarou"/>
          <w:sz w:val="16"/>
          <w:szCs w:val="16"/>
        </w:rPr>
        <w:footnoteRef/>
      </w:r>
      <w:r w:rsidRPr="00CA30CB">
        <w:rPr>
          <w:sz w:val="16"/>
          <w:szCs w:val="16"/>
        </w:rPr>
        <w:t xml:space="preserve"> Ta se týká energetických, petrochemických a těžebních firem a zahrnuje rovněž velké banky.</w:t>
      </w:r>
    </w:p>
  </w:footnote>
  <w:footnote w:id="7">
    <w:p w14:paraId="7B9689D5" w14:textId="77777777" w:rsidR="00DA0121" w:rsidRPr="0034442A" w:rsidRDefault="00DA0121" w:rsidP="00106BCC">
      <w:pPr>
        <w:pStyle w:val="Textpoznpodarou"/>
        <w:rPr>
          <w:sz w:val="16"/>
          <w:szCs w:val="16"/>
        </w:rPr>
      </w:pPr>
      <w:r w:rsidRPr="0034442A">
        <w:rPr>
          <w:rStyle w:val="Znakapoznpodarou"/>
          <w:sz w:val="16"/>
          <w:szCs w:val="16"/>
        </w:rPr>
        <w:footnoteRef/>
      </w:r>
      <w:r w:rsidRPr="0034442A">
        <w:rPr>
          <w:sz w:val="16"/>
          <w:szCs w:val="16"/>
        </w:rPr>
        <w:t xml:space="preserve"> </w:t>
      </w:r>
      <w:r w:rsidRPr="0034442A">
        <w:rPr>
          <w:spacing w:val="-4"/>
          <w:sz w:val="16"/>
          <w:szCs w:val="16"/>
        </w:rPr>
        <w:t>Nicméně původní rozpočtový odhad tohoto celoročního inkasa byl již letos v dubnu razantně revidován (z 85 mld. korun na 28 mld. korun)</w:t>
      </w:r>
      <w:r>
        <w:rPr>
          <w:spacing w:val="-4"/>
          <w:sz w:val="16"/>
          <w:szCs w:val="16"/>
        </w:rPr>
        <w:t xml:space="preserve">, v srpnu pak došlo k dílčí korekci očekáváného výnosu směrem </w:t>
      </w:r>
      <w:r w:rsidRPr="00563E75">
        <w:rPr>
          <w:spacing w:val="-4"/>
          <w:sz w:val="16"/>
          <w:szCs w:val="16"/>
        </w:rPr>
        <w:t>nahoru (na 46 mld. korun).</w:t>
      </w:r>
    </w:p>
  </w:footnote>
  <w:footnote w:id="8">
    <w:p w14:paraId="5932B59A" w14:textId="77777777" w:rsidR="00DA0121" w:rsidRPr="00D223A1" w:rsidRDefault="00DA0121" w:rsidP="00106BCC">
      <w:pPr>
        <w:pStyle w:val="Textpoznpodarou"/>
        <w:rPr>
          <w:sz w:val="16"/>
          <w:szCs w:val="16"/>
        </w:rPr>
      </w:pPr>
      <w:r w:rsidRPr="00D223A1">
        <w:rPr>
          <w:rStyle w:val="Znakapoznpodarou"/>
          <w:sz w:val="16"/>
          <w:szCs w:val="16"/>
        </w:rPr>
        <w:footnoteRef/>
      </w:r>
      <w:r w:rsidRPr="00D223A1">
        <w:rPr>
          <w:sz w:val="16"/>
          <w:szCs w:val="16"/>
        </w:rPr>
        <w:t xml:space="preserve"> </w:t>
      </w:r>
      <w:r w:rsidRPr="00D223A1">
        <w:rPr>
          <w:spacing w:val="-4"/>
          <w:sz w:val="16"/>
          <w:szCs w:val="16"/>
        </w:rPr>
        <w:t xml:space="preserve">Celostátní inkaso DPFO </w:t>
      </w:r>
      <w:r>
        <w:rPr>
          <w:spacing w:val="-4"/>
          <w:sz w:val="16"/>
          <w:szCs w:val="16"/>
        </w:rPr>
        <w:t xml:space="preserve">ze závislé činnosti </w:t>
      </w:r>
      <w:r w:rsidRPr="00D223A1">
        <w:rPr>
          <w:spacing w:val="-4"/>
          <w:sz w:val="16"/>
          <w:szCs w:val="16"/>
        </w:rPr>
        <w:t>(na úrovni všech veřejn</w:t>
      </w:r>
      <w:r>
        <w:rPr>
          <w:spacing w:val="-4"/>
          <w:sz w:val="16"/>
          <w:szCs w:val="16"/>
        </w:rPr>
        <w:t xml:space="preserve">ých rozpočtů) letos ovšem stále zaostávalo o celou pětinu za úrovní </w:t>
      </w:r>
      <w:r>
        <w:rPr>
          <w:spacing w:val="-4"/>
          <w:sz w:val="16"/>
          <w:szCs w:val="16"/>
        </w:rPr>
        <w:br/>
        <w:t xml:space="preserve">z 1. pololetí 2019. </w:t>
      </w:r>
      <w:r w:rsidRPr="00D223A1">
        <w:rPr>
          <w:spacing w:val="-4"/>
          <w:sz w:val="16"/>
          <w:szCs w:val="16"/>
        </w:rPr>
        <w:t>Klíčovou roli zde sehrálo snížení daňového zatížení práce od roku 2021 (v souvislosti se zrušením tzv. superhrubé mzdy).</w:t>
      </w:r>
    </w:p>
  </w:footnote>
  <w:footnote w:id="9">
    <w:p w14:paraId="096DAD4A" w14:textId="77777777" w:rsidR="00DA0121" w:rsidRDefault="00DA0121" w:rsidP="00106BCC">
      <w:pPr>
        <w:pStyle w:val="Textpoznpodarou"/>
      </w:pPr>
      <w:r w:rsidRPr="004466A0">
        <w:rPr>
          <w:rStyle w:val="Znakapoznpodarou"/>
          <w:sz w:val="16"/>
          <w:szCs w:val="16"/>
        </w:rPr>
        <w:footnoteRef/>
      </w:r>
      <w:r>
        <w:rPr>
          <w:sz w:val="16"/>
          <w:szCs w:val="16"/>
        </w:rPr>
        <w:t xml:space="preserve"> V červenci </w:t>
      </w:r>
      <w:r w:rsidRPr="00597B33">
        <w:rPr>
          <w:spacing w:val="-4"/>
          <w:sz w:val="16"/>
          <w:szCs w:val="16"/>
        </w:rPr>
        <w:t>měla na výběr této daně pozitivní dopad úhrada vyrovnání za zdaňovací období roku 202</w:t>
      </w:r>
      <w:r>
        <w:rPr>
          <w:sz w:val="16"/>
          <w:szCs w:val="16"/>
        </w:rPr>
        <w:t>2. Inkaso daně od ledna do července zaostalo za loňskou úrovní již jen o 3 %. Schválený státní rozpočet počítá na letošní rok s celoročním poklesem výběru této daně.</w:t>
      </w:r>
    </w:p>
  </w:footnote>
  <w:footnote w:id="10">
    <w:p w14:paraId="4F9DA947" w14:textId="032A004E" w:rsidR="00DA0121" w:rsidRPr="00FF7F61" w:rsidRDefault="00DA0121" w:rsidP="00106BCC">
      <w:pPr>
        <w:pStyle w:val="Textpoznpodarou"/>
        <w:rPr>
          <w:sz w:val="16"/>
          <w:szCs w:val="16"/>
        </w:rPr>
      </w:pPr>
      <w:r w:rsidRPr="00FF7F61">
        <w:rPr>
          <w:rStyle w:val="Znakapoznpodarou"/>
          <w:sz w:val="16"/>
          <w:szCs w:val="16"/>
        </w:rPr>
        <w:footnoteRef/>
      </w:r>
      <w:r w:rsidRPr="00FF7F61">
        <w:rPr>
          <w:sz w:val="16"/>
          <w:szCs w:val="16"/>
        </w:rPr>
        <w:t xml:space="preserve"> Ve 2. čtvrtletí 2023 se však mezikvartální pokles výdajů na konečnou spotřebu domácností </w:t>
      </w:r>
      <w:r>
        <w:rPr>
          <w:sz w:val="16"/>
          <w:szCs w:val="16"/>
        </w:rPr>
        <w:t xml:space="preserve">zastavil </w:t>
      </w:r>
      <w:r w:rsidRPr="00FF7F61">
        <w:rPr>
          <w:sz w:val="16"/>
          <w:szCs w:val="16"/>
        </w:rPr>
        <w:t>(+0,2 %).</w:t>
      </w:r>
    </w:p>
  </w:footnote>
  <w:footnote w:id="11">
    <w:p w14:paraId="6E73E7E0" w14:textId="77777777" w:rsidR="00DA0121" w:rsidRPr="00694B41" w:rsidRDefault="00DA0121" w:rsidP="00106BCC">
      <w:pPr>
        <w:pStyle w:val="Textpoznpodarou"/>
        <w:rPr>
          <w:sz w:val="16"/>
          <w:szCs w:val="16"/>
        </w:rPr>
      </w:pPr>
      <w:r w:rsidRPr="00694B41">
        <w:rPr>
          <w:rStyle w:val="Znakapoznpodarou"/>
          <w:sz w:val="16"/>
          <w:szCs w:val="16"/>
        </w:rPr>
        <w:footnoteRef/>
      </w:r>
      <w:r w:rsidRPr="00694B41">
        <w:rPr>
          <w:sz w:val="16"/>
          <w:szCs w:val="16"/>
        </w:rPr>
        <w:t xml:space="preserve"> Jde o zvýšení </w:t>
      </w:r>
      <w:r>
        <w:rPr>
          <w:sz w:val="16"/>
          <w:szCs w:val="16"/>
        </w:rPr>
        <w:t>z</w:t>
      </w:r>
      <w:r w:rsidRPr="00694B41">
        <w:rPr>
          <w:sz w:val="16"/>
          <w:szCs w:val="16"/>
        </w:rPr>
        <w:t> 1 na 2 mil. korun, které vstoupilo v platnost od ledna 2023.</w:t>
      </w:r>
    </w:p>
  </w:footnote>
  <w:footnote w:id="12">
    <w:p w14:paraId="6F936978" w14:textId="77777777" w:rsidR="00DA0121" w:rsidRDefault="00DA0121" w:rsidP="00106BCC">
      <w:pPr>
        <w:pStyle w:val="Textpoznpodarou"/>
      </w:pPr>
      <w:r w:rsidRPr="008B3D4E">
        <w:rPr>
          <w:rStyle w:val="Znakapoznpodarou"/>
          <w:sz w:val="16"/>
          <w:szCs w:val="16"/>
        </w:rPr>
        <w:footnoteRef/>
      </w:r>
      <w:r w:rsidRPr="008B3D4E">
        <w:rPr>
          <w:sz w:val="16"/>
          <w:szCs w:val="16"/>
        </w:rPr>
        <w:t xml:space="preserve"> </w:t>
      </w:r>
      <w:r w:rsidRPr="008B3D4E">
        <w:rPr>
          <w:spacing w:val="-4"/>
          <w:sz w:val="16"/>
          <w:szCs w:val="16"/>
        </w:rPr>
        <w:t xml:space="preserve">Od </w:t>
      </w:r>
      <w:r w:rsidRPr="008B3D4E">
        <w:rPr>
          <w:color w:val="0D0D0D" w:themeColor="text1" w:themeTint="F2"/>
          <w:spacing w:val="-4"/>
          <w:sz w:val="16"/>
          <w:szCs w:val="16"/>
        </w:rPr>
        <w:t>června do konce září 2022 byla snížena sazba spotřební daně z be</w:t>
      </w:r>
      <w:r>
        <w:rPr>
          <w:color w:val="0D0D0D" w:themeColor="text1" w:themeTint="F2"/>
          <w:spacing w:val="-4"/>
          <w:sz w:val="16"/>
          <w:szCs w:val="16"/>
        </w:rPr>
        <w:t>nzínu a motorové nafty o 1,5 korun na 8,45 korun</w:t>
      </w:r>
      <w:r w:rsidRPr="008B3D4E">
        <w:rPr>
          <w:color w:val="0D0D0D" w:themeColor="text1" w:themeTint="F2"/>
          <w:spacing w:val="-4"/>
          <w:sz w:val="16"/>
          <w:szCs w:val="16"/>
        </w:rPr>
        <w:t xml:space="preserve"> na litr. U nafty bylo toto opat</w:t>
      </w:r>
      <w:r>
        <w:rPr>
          <w:color w:val="0D0D0D" w:themeColor="text1" w:themeTint="F2"/>
          <w:spacing w:val="-4"/>
          <w:sz w:val="16"/>
          <w:szCs w:val="16"/>
        </w:rPr>
        <w:t>ření prodlouženo až do konce července 2023.</w:t>
      </w:r>
    </w:p>
  </w:footnote>
  <w:footnote w:id="13">
    <w:p w14:paraId="05420C6B" w14:textId="77777777" w:rsidR="00DA0121" w:rsidRPr="009E140D" w:rsidRDefault="00DA0121" w:rsidP="00106BCC">
      <w:pPr>
        <w:pStyle w:val="Textpoznpodarou"/>
        <w:rPr>
          <w:sz w:val="16"/>
          <w:szCs w:val="16"/>
        </w:rPr>
      </w:pPr>
      <w:r w:rsidRPr="009E140D">
        <w:rPr>
          <w:rStyle w:val="Znakapoznpodarou"/>
          <w:sz w:val="16"/>
          <w:szCs w:val="16"/>
        </w:rPr>
        <w:footnoteRef/>
      </w:r>
      <w:r w:rsidRPr="009E140D">
        <w:rPr>
          <w:sz w:val="16"/>
          <w:szCs w:val="16"/>
        </w:rPr>
        <w:t xml:space="preserve"> V 1. pololetí 2020, resp. 2021,</w:t>
      </w:r>
      <w:r>
        <w:rPr>
          <w:sz w:val="16"/>
          <w:szCs w:val="16"/>
        </w:rPr>
        <w:t xml:space="preserve"> kdy byly běžné výdaje SR razantn</w:t>
      </w:r>
      <w:r w:rsidRPr="009E140D">
        <w:rPr>
          <w:sz w:val="16"/>
          <w:szCs w:val="16"/>
        </w:rPr>
        <w:t>ě navýšeny transfery souvisejí</w:t>
      </w:r>
      <w:r>
        <w:rPr>
          <w:sz w:val="16"/>
          <w:szCs w:val="16"/>
        </w:rPr>
        <w:t>cími</w:t>
      </w:r>
      <w:r w:rsidRPr="009E140D">
        <w:rPr>
          <w:sz w:val="16"/>
          <w:szCs w:val="16"/>
        </w:rPr>
        <w:t xml:space="preserve"> s pandemií, činilo jejich růstové tempo „jen“ 15,5 %, resp. 10,6 %.</w:t>
      </w:r>
    </w:p>
  </w:footnote>
  <w:footnote w:id="14">
    <w:p w14:paraId="51E32708" w14:textId="77777777" w:rsidR="00DA0121" w:rsidRPr="00AC0B00" w:rsidRDefault="00DA0121" w:rsidP="00106BCC">
      <w:pPr>
        <w:pStyle w:val="Textpoznpodarou"/>
        <w:rPr>
          <w:sz w:val="16"/>
          <w:szCs w:val="16"/>
        </w:rPr>
      </w:pPr>
      <w:r w:rsidRPr="00AC0B00">
        <w:rPr>
          <w:rStyle w:val="Znakapoznpodarou"/>
          <w:sz w:val="16"/>
          <w:szCs w:val="16"/>
        </w:rPr>
        <w:footnoteRef/>
      </w:r>
      <w:r w:rsidRPr="00AC0B00">
        <w:rPr>
          <w:sz w:val="16"/>
          <w:szCs w:val="16"/>
        </w:rPr>
        <w:t xml:space="preserve"> </w:t>
      </w:r>
      <w:r>
        <w:rPr>
          <w:sz w:val="16"/>
          <w:szCs w:val="16"/>
        </w:rPr>
        <w:t xml:space="preserve">Průměrný měsíční starobní důchod (bez souběhu s ostatními důchody) tak letos v červnu poprvé překonal hranici 20 tis. korun. U mužů dosáhl 21 520 korun, u žen 19 038 korun. Díky zavedení „výchovného“ se významně snížil rozdíl v úrovni důchodů mezi muži </w:t>
      </w:r>
      <w:r>
        <w:rPr>
          <w:sz w:val="16"/>
          <w:szCs w:val="16"/>
        </w:rPr>
        <w:br/>
        <w:t xml:space="preserve">a ženami. Sólo starobní důchod u žen zaostával za úrovní mužů o 11,5 % (o rok dříve o 16,5 %). Relativní rozdíl důchodů mezi pohlavími byl tak letos již mírně nižší než v případě průměrných mezd. </w:t>
      </w:r>
    </w:p>
  </w:footnote>
  <w:footnote w:id="15">
    <w:p w14:paraId="125D46A9" w14:textId="77777777" w:rsidR="00DA0121" w:rsidRPr="004A6934" w:rsidRDefault="00DA0121" w:rsidP="00106BCC">
      <w:pPr>
        <w:pStyle w:val="Textpoznpodarou"/>
        <w:rPr>
          <w:sz w:val="16"/>
          <w:szCs w:val="16"/>
        </w:rPr>
      </w:pPr>
      <w:r w:rsidRPr="004A6934">
        <w:rPr>
          <w:rStyle w:val="Znakapoznpodarou"/>
          <w:sz w:val="16"/>
          <w:szCs w:val="16"/>
        </w:rPr>
        <w:footnoteRef/>
      </w:r>
      <w:r w:rsidRPr="004A6934">
        <w:rPr>
          <w:sz w:val="16"/>
          <w:szCs w:val="16"/>
        </w:rPr>
        <w:t xml:space="preserve"> Růst počtu všech příjemců trvale krácených starobních důchodů letos zrychloval (ve 2. čtvrtletí na 3,5 % meziročně, nejvíce za posledních sedm let). Do tohoto počtu nejsou zahrnuty osoby, které podaly žádost o předčasný důchod, ale zahájení jeho výplaty si odložily. Zvýšený zájem o předčasné penze pramenil primárně z výhodnosti valorizačního mechanismu, naopak vliv</w:t>
      </w:r>
      <w:r>
        <w:rPr>
          <w:sz w:val="16"/>
          <w:szCs w:val="16"/>
        </w:rPr>
        <w:t xml:space="preserve"> možného</w:t>
      </w:r>
      <w:r w:rsidRPr="004A6934">
        <w:rPr>
          <w:sz w:val="16"/>
          <w:szCs w:val="16"/>
        </w:rPr>
        <w:t xml:space="preserve"> zhoršeného postavení osob v předdůchodovém věku na pracovním trhu hrál patrně spíše jen doplňkovou roli.</w:t>
      </w:r>
    </w:p>
  </w:footnote>
  <w:footnote w:id="16">
    <w:p w14:paraId="1F6C7253" w14:textId="77777777" w:rsidR="00DA0121" w:rsidRPr="00F7046D" w:rsidRDefault="00DA0121" w:rsidP="00106BCC">
      <w:pPr>
        <w:pStyle w:val="Textpoznpodarou"/>
        <w:rPr>
          <w:sz w:val="16"/>
          <w:szCs w:val="16"/>
        </w:rPr>
      </w:pPr>
      <w:r w:rsidRPr="00F7046D">
        <w:rPr>
          <w:rStyle w:val="Znakapoznpodarou"/>
          <w:sz w:val="16"/>
          <w:szCs w:val="16"/>
        </w:rPr>
        <w:footnoteRef/>
      </w:r>
      <w:r w:rsidRPr="00F7046D">
        <w:rPr>
          <w:sz w:val="16"/>
          <w:szCs w:val="16"/>
        </w:rPr>
        <w:t xml:space="preserve"> Jen okrajový negativní vliv na výši inkasa pojistného mělo letošní zavedení slevy na odvodech pro zaměstnavatele poskytující kratší úvazky rodičům menších dětí, osobám pečujícím o své blízké či lidem nad 55 let. Od února do července uplatnily firmy tyto slevy pro </w:t>
      </w:r>
      <w:r>
        <w:rPr>
          <w:sz w:val="16"/>
          <w:szCs w:val="16"/>
        </w:rPr>
        <w:br/>
      </w:r>
      <w:r w:rsidRPr="00F7046D">
        <w:rPr>
          <w:sz w:val="16"/>
          <w:szCs w:val="16"/>
        </w:rPr>
        <w:t xml:space="preserve">86 tis. zaměstnanců, a to </w:t>
      </w:r>
      <w:r>
        <w:rPr>
          <w:sz w:val="16"/>
          <w:szCs w:val="16"/>
        </w:rPr>
        <w:t>v celkové</w:t>
      </w:r>
      <w:r w:rsidRPr="00F7046D">
        <w:rPr>
          <w:sz w:val="16"/>
          <w:szCs w:val="16"/>
        </w:rPr>
        <w:t xml:space="preserve"> výši 416 mil. korun.</w:t>
      </w:r>
    </w:p>
  </w:footnote>
  <w:footnote w:id="17">
    <w:p w14:paraId="1E6AA515" w14:textId="77777777" w:rsidR="00DA0121" w:rsidRPr="009431D5" w:rsidRDefault="00DA0121" w:rsidP="00106BCC">
      <w:pPr>
        <w:pStyle w:val="Textpoznpodarou"/>
        <w:jc w:val="both"/>
        <w:rPr>
          <w:rFonts w:cs="Arial"/>
          <w:color w:val="000000" w:themeColor="text1"/>
          <w:spacing w:val="-4"/>
          <w:sz w:val="16"/>
          <w:szCs w:val="16"/>
        </w:rPr>
      </w:pPr>
      <w:r w:rsidRPr="00EC2E06">
        <w:rPr>
          <w:rStyle w:val="Znakapoznpodarou"/>
          <w:spacing w:val="-4"/>
          <w:sz w:val="16"/>
          <w:szCs w:val="16"/>
        </w:rPr>
        <w:footnoteRef/>
      </w:r>
      <w:r>
        <w:rPr>
          <w:spacing w:val="-4"/>
          <w:sz w:val="16"/>
          <w:szCs w:val="16"/>
        </w:rPr>
        <w:t xml:space="preserve"> To vyjadřuje r</w:t>
      </w:r>
      <w:r>
        <w:rPr>
          <w:rFonts w:cs="Arial"/>
          <w:color w:val="000000" w:themeColor="text1"/>
          <w:spacing w:val="-4"/>
          <w:sz w:val="16"/>
          <w:szCs w:val="16"/>
        </w:rPr>
        <w:t>ozdíl mezi příjmy</w:t>
      </w:r>
      <w:r w:rsidRPr="009431D5">
        <w:rPr>
          <w:rFonts w:cs="Arial"/>
          <w:color w:val="000000" w:themeColor="text1"/>
          <w:spacing w:val="-4"/>
          <w:sz w:val="16"/>
          <w:szCs w:val="16"/>
        </w:rPr>
        <w:t xml:space="preserve"> z pojistného na důchodové pojištění</w:t>
      </w:r>
      <w:r>
        <w:rPr>
          <w:rFonts w:ascii="Segoe UI" w:eastAsia="Times New Roman" w:hAnsi="Segoe UI" w:cs="Segoe UI"/>
          <w:b/>
          <w:bCs/>
          <w:color w:val="000000"/>
          <w:sz w:val="18"/>
          <w:szCs w:val="18"/>
        </w:rPr>
        <w:t xml:space="preserve"> </w:t>
      </w:r>
      <w:r>
        <w:rPr>
          <w:rFonts w:cs="Arial"/>
          <w:color w:val="000000" w:themeColor="text1"/>
          <w:spacing w:val="-4"/>
          <w:sz w:val="16"/>
          <w:szCs w:val="16"/>
        </w:rPr>
        <w:t xml:space="preserve">a výdaji na dávky </w:t>
      </w:r>
      <w:r w:rsidRPr="00EC2E06">
        <w:rPr>
          <w:rFonts w:cs="Arial"/>
          <w:color w:val="000000" w:themeColor="text1"/>
          <w:spacing w:val="-4"/>
          <w:sz w:val="16"/>
          <w:szCs w:val="16"/>
        </w:rPr>
        <w:t xml:space="preserve">důchodového </w:t>
      </w:r>
      <w:r w:rsidRPr="00EC2E06">
        <w:rPr>
          <w:rFonts w:cs="Arial"/>
          <w:color w:val="0D0D0D" w:themeColor="text1" w:themeTint="F2"/>
          <w:spacing w:val="-4"/>
          <w:sz w:val="16"/>
          <w:szCs w:val="16"/>
        </w:rPr>
        <w:t>pojištění</w:t>
      </w:r>
      <w:r>
        <w:rPr>
          <w:rFonts w:cs="Arial"/>
          <w:color w:val="000000" w:themeColor="text1"/>
          <w:spacing w:val="-4"/>
          <w:sz w:val="16"/>
          <w:szCs w:val="16"/>
        </w:rPr>
        <w:t xml:space="preserve"> (včetně nákladů</w:t>
      </w:r>
      <w:r w:rsidRPr="00EC2E06">
        <w:rPr>
          <w:rFonts w:cs="Arial"/>
          <w:color w:val="000000" w:themeColor="text1"/>
          <w:spacing w:val="-4"/>
          <w:sz w:val="16"/>
          <w:szCs w:val="16"/>
        </w:rPr>
        <w:t xml:space="preserve"> na </w:t>
      </w:r>
      <w:r>
        <w:rPr>
          <w:rFonts w:cs="Arial"/>
          <w:color w:val="000000" w:themeColor="text1"/>
          <w:spacing w:val="-4"/>
          <w:sz w:val="16"/>
          <w:szCs w:val="16"/>
        </w:rPr>
        <w:t>jeho správu).</w:t>
      </w:r>
    </w:p>
  </w:footnote>
  <w:footnote w:id="18">
    <w:p w14:paraId="7C4BE2AE" w14:textId="77777777" w:rsidR="00DA0121" w:rsidRPr="00A01FE0" w:rsidRDefault="00DA0121" w:rsidP="00106BCC">
      <w:pPr>
        <w:pStyle w:val="Textpoznpodarou"/>
        <w:rPr>
          <w:sz w:val="16"/>
          <w:szCs w:val="16"/>
        </w:rPr>
      </w:pPr>
      <w:r w:rsidRPr="00A01FE0">
        <w:rPr>
          <w:rStyle w:val="Znakapoznpodarou"/>
          <w:sz w:val="16"/>
          <w:szCs w:val="16"/>
        </w:rPr>
        <w:footnoteRef/>
      </w:r>
      <w:r w:rsidRPr="00A01FE0">
        <w:rPr>
          <w:sz w:val="16"/>
          <w:szCs w:val="16"/>
        </w:rPr>
        <w:t xml:space="preserve"> Na tomto příspěvku bylo od počátku roku vyplaceno 8,2 mld. korun</w:t>
      </w:r>
      <w:r>
        <w:rPr>
          <w:sz w:val="16"/>
          <w:szCs w:val="16"/>
        </w:rPr>
        <w:t xml:space="preserve">, </w:t>
      </w:r>
      <w:r w:rsidRPr="00A01FE0">
        <w:rPr>
          <w:sz w:val="16"/>
          <w:szCs w:val="16"/>
        </w:rPr>
        <w:t>rekordní byl i počet jeho příjemců (</w:t>
      </w:r>
      <w:r>
        <w:rPr>
          <w:sz w:val="16"/>
          <w:szCs w:val="16"/>
        </w:rPr>
        <w:t>jen za letošní</w:t>
      </w:r>
      <w:r w:rsidRPr="00A01FE0">
        <w:rPr>
          <w:sz w:val="16"/>
          <w:szCs w:val="16"/>
        </w:rPr>
        <w:t xml:space="preserve"> červen </w:t>
      </w:r>
      <w:r>
        <w:rPr>
          <w:sz w:val="16"/>
          <w:szCs w:val="16"/>
        </w:rPr>
        <w:t xml:space="preserve">šlo </w:t>
      </w:r>
      <w:r>
        <w:rPr>
          <w:sz w:val="16"/>
          <w:szCs w:val="16"/>
        </w:rPr>
        <w:br/>
        <w:t xml:space="preserve">o </w:t>
      </w:r>
      <w:r w:rsidRPr="00A01FE0">
        <w:rPr>
          <w:sz w:val="16"/>
          <w:szCs w:val="16"/>
        </w:rPr>
        <w:t xml:space="preserve">267 tis. domácností při průměrné výší dávky 6 134 korun). </w:t>
      </w:r>
    </w:p>
  </w:footnote>
  <w:footnote w:id="19">
    <w:p w14:paraId="06441511" w14:textId="77777777" w:rsidR="00DA0121" w:rsidRPr="003B3184" w:rsidRDefault="00DA0121" w:rsidP="00106BCC">
      <w:pPr>
        <w:pStyle w:val="Textpoznpodarou"/>
        <w:rPr>
          <w:sz w:val="16"/>
          <w:szCs w:val="16"/>
        </w:rPr>
      </w:pPr>
      <w:r w:rsidRPr="003B3184">
        <w:rPr>
          <w:rStyle w:val="Znakapoznpodarou"/>
          <w:sz w:val="16"/>
          <w:szCs w:val="16"/>
        </w:rPr>
        <w:footnoteRef/>
      </w:r>
      <w:r w:rsidRPr="003B3184">
        <w:rPr>
          <w:sz w:val="16"/>
          <w:szCs w:val="16"/>
        </w:rPr>
        <w:t xml:space="preserve"> Nárok na podporu v nez</w:t>
      </w:r>
      <w:r>
        <w:rPr>
          <w:sz w:val="16"/>
          <w:szCs w:val="16"/>
        </w:rPr>
        <w:t>aměstnanosti mělo letos v červnu 70 tis. registrovaných uchazečů o práci (28 % z jejich celkového počtu).</w:t>
      </w:r>
    </w:p>
  </w:footnote>
  <w:footnote w:id="20">
    <w:p w14:paraId="7CE8D75B" w14:textId="18AF8BFD" w:rsidR="00DA0121" w:rsidRDefault="00DA0121" w:rsidP="00106BCC">
      <w:pPr>
        <w:pStyle w:val="Textpoznpodarou"/>
      </w:pPr>
      <w:r w:rsidRPr="00781816">
        <w:rPr>
          <w:rStyle w:val="Znakapoznpodarou"/>
          <w:sz w:val="16"/>
          <w:szCs w:val="16"/>
        </w:rPr>
        <w:footnoteRef/>
      </w:r>
      <w:r w:rsidRPr="00781816">
        <w:rPr>
          <w:sz w:val="16"/>
          <w:szCs w:val="16"/>
        </w:rPr>
        <w:t xml:space="preserve"> </w:t>
      </w:r>
      <w:r w:rsidRPr="00652F08">
        <w:rPr>
          <w:sz w:val="16"/>
          <w:szCs w:val="16"/>
        </w:rPr>
        <w:t xml:space="preserve">Rovněž červencové údaje dokládají, že potřeba této mimořádné pomoci se během letošního roku (v souvislosti s příznivým trendem vývoje cen plynu elektřiny na světových trzích) postupně snižuje. Od počátku roku bylo na kompenzacích firmám vlivem zastropování cen ze SR vyplaceno 36,4 mld. korun. Navíc výplata pomoci podnikům v energeticky náročných odvětvích se ve 2. čtvrtletí fakticky zastavila. Naopak dotace provozovateli přenosové soustavy byly ve významné výši vyplaceny i v červenci a </w:t>
      </w:r>
      <w:r w:rsidR="00E159C6">
        <w:rPr>
          <w:sz w:val="16"/>
          <w:szCs w:val="16"/>
        </w:rPr>
        <w:t xml:space="preserve">v </w:t>
      </w:r>
      <w:r w:rsidRPr="00652F08">
        <w:rPr>
          <w:sz w:val="16"/>
          <w:szCs w:val="16"/>
        </w:rPr>
        <w:t>kumulac</w:t>
      </w:r>
      <w:r w:rsidR="00E159C6">
        <w:rPr>
          <w:sz w:val="16"/>
          <w:szCs w:val="16"/>
        </w:rPr>
        <w:t>i</w:t>
      </w:r>
      <w:r w:rsidRPr="00652F08">
        <w:rPr>
          <w:sz w:val="16"/>
          <w:szCs w:val="16"/>
        </w:rPr>
        <w:t xml:space="preserve"> od ledna činily již 10,1 mld. korun.</w:t>
      </w:r>
    </w:p>
  </w:footnote>
  <w:footnote w:id="21">
    <w:p w14:paraId="0B9AC861" w14:textId="77777777" w:rsidR="00DA0121" w:rsidRPr="00614788" w:rsidRDefault="00DA0121" w:rsidP="00106BCC">
      <w:pPr>
        <w:pStyle w:val="Textpoznpodarou"/>
        <w:rPr>
          <w:spacing w:val="-2"/>
          <w:sz w:val="16"/>
          <w:szCs w:val="16"/>
        </w:rPr>
      </w:pPr>
      <w:r w:rsidRPr="00614788">
        <w:rPr>
          <w:rStyle w:val="Znakapoznpodarou"/>
          <w:spacing w:val="-2"/>
          <w:sz w:val="16"/>
          <w:szCs w:val="16"/>
        </w:rPr>
        <w:footnoteRef/>
      </w:r>
      <w:r w:rsidRPr="00614788">
        <w:rPr>
          <w:spacing w:val="-2"/>
          <w:sz w:val="16"/>
          <w:szCs w:val="16"/>
        </w:rPr>
        <w:t xml:space="preserve"> Čisté výdaje odpovídají saldu rozpočtov</w:t>
      </w:r>
      <w:r>
        <w:rPr>
          <w:spacing w:val="-2"/>
          <w:sz w:val="16"/>
          <w:szCs w:val="16"/>
        </w:rPr>
        <w:t>é kapitoly Státní dluh (č. 396).</w:t>
      </w:r>
    </w:p>
  </w:footnote>
  <w:footnote w:id="22">
    <w:p w14:paraId="4C05F0B4" w14:textId="77777777" w:rsidR="00DA0121" w:rsidRPr="00271248" w:rsidRDefault="00DA0121" w:rsidP="00106BCC">
      <w:pPr>
        <w:pStyle w:val="Textpoznpodarou"/>
        <w:rPr>
          <w:sz w:val="16"/>
          <w:szCs w:val="16"/>
        </w:rPr>
      </w:pPr>
      <w:r w:rsidRPr="00271248">
        <w:rPr>
          <w:rStyle w:val="Znakapoznpodarou"/>
          <w:sz w:val="16"/>
          <w:szCs w:val="16"/>
        </w:rPr>
        <w:footnoteRef/>
      </w:r>
      <w:r w:rsidRPr="00271248">
        <w:rPr>
          <w:sz w:val="16"/>
          <w:szCs w:val="16"/>
        </w:rPr>
        <w:t xml:space="preserve"> Úhrn měsíčních výdajů ve všech organi</w:t>
      </w:r>
      <w:r>
        <w:rPr>
          <w:sz w:val="16"/>
          <w:szCs w:val="16"/>
        </w:rPr>
        <w:t>začních složkách státu tak mohl</w:t>
      </w:r>
      <w:r w:rsidRPr="00271248">
        <w:rPr>
          <w:sz w:val="16"/>
          <w:szCs w:val="16"/>
        </w:rPr>
        <w:t xml:space="preserve"> dosáhnout maximálně jedné dvanáctiny celkových výdajů SR stanovených </w:t>
      </w:r>
      <w:r>
        <w:rPr>
          <w:sz w:val="16"/>
          <w:szCs w:val="16"/>
        </w:rPr>
        <w:t>dle schváleného zákona o SR z roku 2021).</w:t>
      </w:r>
      <w:r w:rsidRPr="00862F80">
        <w:rPr>
          <w:sz w:val="16"/>
          <w:szCs w:val="16"/>
        </w:rPr>
        <w:t xml:space="preserve"> </w:t>
      </w:r>
      <w:r>
        <w:rPr>
          <w:sz w:val="16"/>
          <w:szCs w:val="16"/>
        </w:rPr>
        <w:t>To vedlo na počátku roku mj. k odkladu zbytných provozních výdajů i investic.</w:t>
      </w:r>
    </w:p>
  </w:footnote>
  <w:footnote w:id="23">
    <w:p w14:paraId="1AEFFD76" w14:textId="77777777" w:rsidR="00DA0121" w:rsidRPr="00CA2DF7" w:rsidRDefault="00DA0121" w:rsidP="00106BCC">
      <w:pPr>
        <w:pStyle w:val="Textpoznpodarou"/>
        <w:rPr>
          <w:sz w:val="16"/>
          <w:szCs w:val="16"/>
        </w:rPr>
      </w:pPr>
      <w:r w:rsidRPr="00CA2DF7">
        <w:rPr>
          <w:rStyle w:val="Znakapoznpodarou"/>
          <w:sz w:val="16"/>
          <w:szCs w:val="16"/>
        </w:rPr>
        <w:footnoteRef/>
      </w:r>
      <w:r w:rsidRPr="00CA2DF7">
        <w:rPr>
          <w:sz w:val="16"/>
          <w:szCs w:val="16"/>
        </w:rPr>
        <w:t xml:space="preserve"> Během 1. pololetí 2023 byly vydány korunové státní dluhopisy (se splatností nad 1 rok) ve výši 287 mld. korun (meziročně zhruba </w:t>
      </w:r>
      <w:r>
        <w:rPr>
          <w:sz w:val="16"/>
          <w:szCs w:val="16"/>
        </w:rPr>
        <w:br/>
      </w:r>
      <w:r w:rsidRPr="00CA2DF7">
        <w:rPr>
          <w:sz w:val="16"/>
          <w:szCs w:val="16"/>
        </w:rPr>
        <w:t xml:space="preserve">o desetinu více, ale oproti rokům 2020 i 2021 znatelně méně). Z toho na fixně úročené dluhopisy připadalo 253 mld. korun (s průměrnou zbytkovou dobou splatnosti 8,7 let a průměrným výnosem 4,6 % p. a.). </w:t>
      </w:r>
      <w:r>
        <w:rPr>
          <w:sz w:val="16"/>
          <w:szCs w:val="16"/>
        </w:rPr>
        <w:t xml:space="preserve">Čistá emise středně a dlouhodobých dluhopisů (po odečtení uskutečněných splátek) činila dosud letos 142 mld. korun. </w:t>
      </w:r>
      <w:r>
        <w:rPr>
          <w:spacing w:val="-4"/>
          <w:sz w:val="16"/>
          <w:szCs w:val="16"/>
        </w:rPr>
        <w:t>Hodnota veškerých domácích</w:t>
      </w:r>
      <w:r w:rsidRPr="00790DFB">
        <w:rPr>
          <w:spacing w:val="-4"/>
          <w:sz w:val="16"/>
          <w:szCs w:val="16"/>
        </w:rPr>
        <w:t xml:space="preserve"> státních dluhopisů v oběhu </w:t>
      </w:r>
      <w:r>
        <w:rPr>
          <w:spacing w:val="-4"/>
          <w:sz w:val="16"/>
          <w:szCs w:val="16"/>
        </w:rPr>
        <w:t>(zahrnujících i státní pokladniční poukázky) vystoupala letos na konci června na 2 868 mld. korun. Z nich bylo 27,9 %  v držbě nerezidentů, 65,9 % připadalo na tuzemské finanční instituce (především banky a penzijní fondy), významnější podíl vlastnily dále ještě domácnosti (3,7 %).</w:t>
      </w:r>
    </w:p>
  </w:footnote>
  <w:footnote w:id="24">
    <w:p w14:paraId="03DB6A11" w14:textId="77777777" w:rsidR="00DA0121" w:rsidRPr="00552F88" w:rsidRDefault="00DA0121" w:rsidP="00106BCC">
      <w:pPr>
        <w:pStyle w:val="Textpoznpodarou"/>
        <w:rPr>
          <w:sz w:val="16"/>
          <w:szCs w:val="16"/>
        </w:rPr>
      </w:pPr>
      <w:r w:rsidRPr="00552F88">
        <w:rPr>
          <w:rStyle w:val="Znakapoznpodarou"/>
          <w:sz w:val="16"/>
          <w:szCs w:val="16"/>
        </w:rPr>
        <w:footnoteRef/>
      </w:r>
      <w:r>
        <w:rPr>
          <w:sz w:val="16"/>
          <w:szCs w:val="16"/>
        </w:rPr>
        <w:t xml:space="preserve"> V</w:t>
      </w:r>
      <w:r w:rsidRPr="00552F88">
        <w:rPr>
          <w:sz w:val="16"/>
          <w:szCs w:val="16"/>
        </w:rPr>
        <w:t xml:space="preserve">nější zadluženost </w:t>
      </w:r>
      <w:r>
        <w:rPr>
          <w:sz w:val="16"/>
          <w:szCs w:val="16"/>
        </w:rPr>
        <w:t>se na celkovém státním dluhu</w:t>
      </w:r>
      <w:r w:rsidRPr="00552F88">
        <w:rPr>
          <w:sz w:val="16"/>
          <w:szCs w:val="16"/>
        </w:rPr>
        <w:t xml:space="preserve"> n</w:t>
      </w:r>
      <w:r>
        <w:rPr>
          <w:sz w:val="16"/>
          <w:szCs w:val="16"/>
        </w:rPr>
        <w:t>a konci letošního června podílela pouze 5,9 %.</w:t>
      </w:r>
    </w:p>
  </w:footnote>
  <w:footnote w:id="25">
    <w:p w14:paraId="1380CB9F" w14:textId="2204EB45" w:rsidR="00DA0121" w:rsidRDefault="00DA0121" w:rsidP="00106BCC">
      <w:pPr>
        <w:pStyle w:val="Textpoznpodarou"/>
        <w:rPr>
          <w:sz w:val="16"/>
          <w:szCs w:val="16"/>
        </w:rPr>
      </w:pPr>
      <w:r w:rsidRPr="008C2F4A">
        <w:rPr>
          <w:rStyle w:val="Znakapoznpodarou"/>
          <w:sz w:val="16"/>
          <w:szCs w:val="16"/>
        </w:rPr>
        <w:footnoteRef/>
      </w:r>
      <w:r w:rsidR="20D21749" w:rsidRPr="008C2F4A">
        <w:rPr>
          <w:sz w:val="16"/>
          <w:szCs w:val="16"/>
        </w:rPr>
        <w:t xml:space="preserve"> </w:t>
      </w:r>
      <w:r w:rsidR="20D21749">
        <w:rPr>
          <w:sz w:val="16"/>
          <w:szCs w:val="16"/>
        </w:rPr>
        <w:t xml:space="preserve">Údaje o hospodaření vládních institucí za 2. čtvrtletí 2023 zveřejní ČSÚ 2. října 2023, Eurostat analogicky 23. října 2023. Detailnější zhodnocení tuzemského vývoje za 1. čtvrtletí 2023 je obsaženo v publikaci </w:t>
      </w:r>
      <w:r w:rsidR="20D21749" w:rsidRPr="20D21749">
        <w:rPr>
          <w:i/>
          <w:iCs/>
          <w:sz w:val="16"/>
          <w:szCs w:val="16"/>
        </w:rPr>
        <w:t>Analýza sektorových účtů</w:t>
      </w:r>
      <w:r w:rsidR="20D21749">
        <w:rPr>
          <w:sz w:val="16"/>
          <w:szCs w:val="16"/>
        </w:rPr>
        <w:t>:</w:t>
      </w:r>
    </w:p>
    <w:p w14:paraId="4F104424" w14:textId="77777777" w:rsidR="00DA0121" w:rsidRPr="009831FA" w:rsidRDefault="00DA0121" w:rsidP="00106BCC">
      <w:pPr>
        <w:pStyle w:val="Textpoznpodarou"/>
        <w:rPr>
          <w:sz w:val="16"/>
          <w:szCs w:val="16"/>
        </w:rPr>
      </w:pPr>
      <w:r w:rsidRPr="009831FA">
        <w:rPr>
          <w:rStyle w:val="Hypertextovodkaz"/>
          <w:sz w:val="16"/>
          <w:szCs w:val="16"/>
        </w:rPr>
        <w:t>https://www.czso.cz/csu/czso/cri/analyza-ctvrtletnich-sektorovych-uctu-1-ctvrtleti-2023</w:t>
      </w:r>
    </w:p>
  </w:footnote>
  <w:footnote w:id="26">
    <w:p w14:paraId="3E12E774" w14:textId="77777777" w:rsidR="00DA0121" w:rsidRPr="00654E54" w:rsidRDefault="00DA0121" w:rsidP="00106BCC">
      <w:pPr>
        <w:pStyle w:val="Textpoznpodarou"/>
        <w:rPr>
          <w:sz w:val="16"/>
          <w:szCs w:val="16"/>
        </w:rPr>
      </w:pPr>
      <w:r w:rsidRPr="00654E54">
        <w:rPr>
          <w:rStyle w:val="Znakapoznpodarou"/>
          <w:sz w:val="16"/>
          <w:szCs w:val="16"/>
        </w:rPr>
        <w:footnoteRef/>
      </w:r>
      <w:r>
        <w:rPr>
          <w:sz w:val="16"/>
          <w:szCs w:val="16"/>
        </w:rPr>
        <w:t xml:space="preserve"> Není-li uvedeno jinak, jsou ú</w:t>
      </w:r>
      <w:r w:rsidRPr="00654E54">
        <w:rPr>
          <w:sz w:val="16"/>
          <w:szCs w:val="16"/>
        </w:rPr>
        <w:t xml:space="preserve">daje o hospodaření sektoru VI v ČR </w:t>
      </w:r>
      <w:r>
        <w:rPr>
          <w:sz w:val="16"/>
          <w:szCs w:val="16"/>
        </w:rPr>
        <w:t>vyjádře</w:t>
      </w:r>
      <w:r w:rsidRPr="00654E54">
        <w:rPr>
          <w:sz w:val="16"/>
          <w:szCs w:val="16"/>
        </w:rPr>
        <w:t>ny bez sezónního očištění.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DA0121" w:rsidRDefault="00DA0121" w:rsidP="00937AE2">
    <w:pPr>
      <w:pStyle w:val="Zhlav"/>
    </w:pPr>
    <w:r>
      <w:t>Vývoj ekonomiky České republiky</w:t>
    </w:r>
  </w:p>
  <w:p w14:paraId="3E881AB3" w14:textId="77777777" w:rsidR="00DA0121" w:rsidRPr="006F5416" w:rsidRDefault="00DA0121"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DA0121" w:rsidRDefault="00DA0121" w:rsidP="00937AE2">
    <w:pPr>
      <w:pStyle w:val="Zhlav"/>
    </w:pPr>
    <w:r>
      <w:t>Vývoj ekonomiky České republiky</w:t>
    </w:r>
  </w:p>
  <w:p w14:paraId="57266714" w14:textId="77777777" w:rsidR="00DA0121" w:rsidRPr="006F5416" w:rsidRDefault="00DA0121"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4FD"/>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405FA"/>
    <w:rsid w:val="00140D1A"/>
    <w:rsid w:val="00141184"/>
    <w:rsid w:val="00141315"/>
    <w:rsid w:val="0014152B"/>
    <w:rsid w:val="00141AA0"/>
    <w:rsid w:val="001425C3"/>
    <w:rsid w:val="0014262D"/>
    <w:rsid w:val="00142B29"/>
    <w:rsid w:val="00144108"/>
    <w:rsid w:val="00144588"/>
    <w:rsid w:val="001447DD"/>
    <w:rsid w:val="00145358"/>
    <w:rsid w:val="001459BC"/>
    <w:rsid w:val="0014779E"/>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45A"/>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1B1"/>
    <w:rsid w:val="0080734C"/>
    <w:rsid w:val="00807C82"/>
    <w:rsid w:val="008107EE"/>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2B1"/>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257"/>
    <w:rsid w:val="00C54697"/>
    <w:rsid w:val="00C550CE"/>
    <w:rsid w:val="00C553A5"/>
    <w:rsid w:val="00C55402"/>
    <w:rsid w:val="00C5603B"/>
    <w:rsid w:val="00C6020C"/>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7973"/>
    <w:rsid w:val="00D27F07"/>
    <w:rsid w:val="00D27F3A"/>
    <w:rsid w:val="00D31537"/>
    <w:rsid w:val="00D31E1E"/>
    <w:rsid w:val="00D322A0"/>
    <w:rsid w:val="00D32824"/>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209"/>
    <w:rsid w:val="00DE63AE"/>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523CDF2"/>
    <w:rsid w:val="06B1A837"/>
    <w:rsid w:val="08A648BF"/>
    <w:rsid w:val="0EBE9DEC"/>
    <w:rsid w:val="0FBB85B6"/>
    <w:rsid w:val="12650F4E"/>
    <w:rsid w:val="1394E51D"/>
    <w:rsid w:val="17513AF8"/>
    <w:rsid w:val="1B53A8C8"/>
    <w:rsid w:val="1BEE6986"/>
    <w:rsid w:val="20D21749"/>
    <w:rsid w:val="224482AD"/>
    <w:rsid w:val="23E0530E"/>
    <w:rsid w:val="24FC0D77"/>
    <w:rsid w:val="2A0E9F3A"/>
    <w:rsid w:val="2A2A6298"/>
    <w:rsid w:val="37D604A5"/>
    <w:rsid w:val="38C72AFC"/>
    <w:rsid w:val="3C7646FC"/>
    <w:rsid w:val="3E4A9713"/>
    <w:rsid w:val="3E77F3B4"/>
    <w:rsid w:val="40C3BF09"/>
    <w:rsid w:val="47207A7B"/>
    <w:rsid w:val="48038D4B"/>
    <w:rsid w:val="49E8263C"/>
    <w:rsid w:val="4A567F3C"/>
    <w:rsid w:val="50A35788"/>
    <w:rsid w:val="52944939"/>
    <w:rsid w:val="53942896"/>
    <w:rsid w:val="5536E42E"/>
    <w:rsid w:val="58FD3BB8"/>
    <w:rsid w:val="5CF587E8"/>
    <w:rsid w:val="5DD689BF"/>
    <w:rsid w:val="60B2C930"/>
    <w:rsid w:val="67F8BB57"/>
    <w:rsid w:val="6AEA4E8B"/>
    <w:rsid w:val="6AEC8A78"/>
    <w:rsid w:val="6D951AA9"/>
    <w:rsid w:val="7059F910"/>
    <w:rsid w:val="74EA3077"/>
    <w:rsid w:val="75B5B795"/>
    <w:rsid w:val="78058569"/>
    <w:rsid w:val="785B85D1"/>
    <w:rsid w:val="78E73CD1"/>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St&#225;tn&#237;%20rozpo&#269;et\Grafy-st&#225;tn&#237;%20rozpo&#269;et-2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St&#225;tn&#237;%20rozpo&#269;et\Grafy-st&#225;tn&#237;%20rozpo&#269;et-2q-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menicky3604\JKAM%20CSU\PUBLIKACE\PUBLIKACE\2023\Qmakro\2q%202023\St&#225;tn&#237;%20rozpo&#269;et\Grafy-st&#225;tn&#237;%20rozpo&#269;et-2q-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7E-2"/>
          <c:y val="1.7107238390107422E-2"/>
          <c:w val="0.84230585710151396"/>
          <c:h val="0.76669654531406162"/>
        </c:manualLayout>
      </c:layout>
      <c:barChart>
        <c:barDir val="col"/>
        <c:grouping val="stacked"/>
        <c:varyColors val="0"/>
        <c:ser>
          <c:idx val="1"/>
          <c:order val="1"/>
          <c:tx>
            <c:strRef>
              <c:f>'G1-SR-příjmy-příspěvky'!$A$30</c:f>
              <c:strCache>
                <c:ptCount val="1"/>
                <c:pt idx="0">
                  <c:v>Ostatní daně a poplatky</c:v>
                </c:pt>
              </c:strCache>
            </c:strRef>
          </c:tx>
          <c:spPr>
            <a:solidFill>
              <a:schemeClr val="bg1">
                <a:lumMod val="75000"/>
              </a:schemeClr>
            </a:solidFill>
            <a:ln w="12700">
              <a:noFill/>
              <a:prstDash val="solid"/>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'G1-SR-příjmy-příspěvky'!$E$30:$T$30</c:f>
              <c:numCache>
                <c:formatCode>0.0</c:formatCode>
                <c:ptCount val="16"/>
                <c:pt idx="0">
                  <c:v>0.46668473188209741</c:v>
                </c:pt>
                <c:pt idx="1">
                  <c:v>-0.46157268379491317</c:v>
                </c:pt>
                <c:pt idx="2">
                  <c:v>0.49531003312387017</c:v>
                </c:pt>
                <c:pt idx="3">
                  <c:v>1.0955064214410246</c:v>
                </c:pt>
                <c:pt idx="4">
                  <c:v>-0.43477551457132529</c:v>
                </c:pt>
                <c:pt idx="5">
                  <c:v>-8.2653412292815628E-2</c:v>
                </c:pt>
                <c:pt idx="6">
                  <c:v>0.17424975798643627</c:v>
                </c:pt>
                <c:pt idx="7">
                  <c:v>0.53125962426855433</c:v>
                </c:pt>
                <c:pt idx="8">
                  <c:v>0.4452267550217508</c:v>
                </c:pt>
                <c:pt idx="9">
                  <c:v>0.31769363901467662</c:v>
                </c:pt>
                <c:pt idx="10">
                  <c:v>0.37441716268589137</c:v>
                </c:pt>
                <c:pt idx="11">
                  <c:v>0.32332107581403829</c:v>
                </c:pt>
                <c:pt idx="12">
                  <c:v>0.37604522895516257</c:v>
                </c:pt>
                <c:pt idx="13">
                  <c:v>-0.57557094156431787</c:v>
                </c:pt>
                <c:pt idx="14">
                  <c:v>0.78502585428938476</c:v>
                </c:pt>
                <c:pt idx="15">
                  <c:v>2.1808038994090801</c:v>
                </c:pt>
              </c:numCache>
            </c:numRef>
          </c:val>
          <c:extLst>
            <c:ext xmlns:c16="http://schemas.microsoft.com/office/drawing/2014/chart" uri="{C3380CC4-5D6E-409C-BE32-E72D297353CC}">
              <c16:uniqueId val="{00000000-16FB-4D4B-84D9-E316447A3F10}"/>
            </c:ext>
          </c:extLst>
        </c:ser>
        <c:ser>
          <c:idx val="3"/>
          <c:order val="2"/>
          <c:tx>
            <c:strRef>
              <c:f>'G1-SR-příjmy-příspěvky'!$A$31</c:f>
              <c:strCache>
                <c:ptCount val="1"/>
                <c:pt idx="0">
                  <c:v>Daně z příjmů fyzických osob</c:v>
                </c:pt>
              </c:strCache>
            </c:strRef>
          </c:tx>
          <c:spPr>
            <a:solidFill>
              <a:srgbClr val="EA6C75"/>
            </a:solidFill>
            <a:ln w="19050">
              <a:noFill/>
              <a:prstDash val="sysDot"/>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'G1-SR-příjmy-příspěvky'!$E$31:$T$31</c:f>
              <c:numCache>
                <c:formatCode>0.0</c:formatCode>
                <c:ptCount val="16"/>
                <c:pt idx="0">
                  <c:v>-0.3763586547436259</c:v>
                </c:pt>
                <c:pt idx="1">
                  <c:v>-2.6470915359804263</c:v>
                </c:pt>
                <c:pt idx="2">
                  <c:v>0.47364021917469201</c:v>
                </c:pt>
                <c:pt idx="3">
                  <c:v>-0.13443551385830171</c:v>
                </c:pt>
                <c:pt idx="4">
                  <c:v>0.76868928621709276</c:v>
                </c:pt>
                <c:pt idx="5">
                  <c:v>0.58399074131873752</c:v>
                </c:pt>
                <c:pt idx="6">
                  <c:v>1.3331489420550413</c:v>
                </c:pt>
                <c:pt idx="7">
                  <c:v>-0.27717893440098468</c:v>
                </c:pt>
                <c:pt idx="8">
                  <c:v>2.7153655001035397</c:v>
                </c:pt>
                <c:pt idx="9">
                  <c:v>2.0958296782759192</c:v>
                </c:pt>
                <c:pt idx="10">
                  <c:v>2.6381964014740942</c:v>
                </c:pt>
                <c:pt idx="11">
                  <c:v>2.871775803257643</c:v>
                </c:pt>
                <c:pt idx="12">
                  <c:v>-3.7310659863948681</c:v>
                </c:pt>
                <c:pt idx="13">
                  <c:v>-4.8292639350837536</c:v>
                </c:pt>
                <c:pt idx="14">
                  <c:v>2.498181077988765</c:v>
                </c:pt>
                <c:pt idx="15">
                  <c:v>3.6561447845365653</c:v>
                </c:pt>
              </c:numCache>
            </c:numRef>
          </c:val>
          <c:extLst>
            <c:ext xmlns:c16="http://schemas.microsoft.com/office/drawing/2014/chart" uri="{C3380CC4-5D6E-409C-BE32-E72D297353CC}">
              <c16:uniqueId val="{00000001-16FB-4D4B-84D9-E316447A3F10}"/>
            </c:ext>
          </c:extLst>
        </c:ser>
        <c:ser>
          <c:idx val="4"/>
          <c:order val="3"/>
          <c:tx>
            <c:strRef>
              <c:f>'G1-SR-příjmy-příspěvky'!$A$32</c:f>
              <c:strCache>
                <c:ptCount val="1"/>
                <c:pt idx="0">
                  <c:v>Daně z příjmů právnických osob</c:v>
                </c:pt>
              </c:strCache>
            </c:strRef>
          </c:tx>
          <c:spPr>
            <a:solidFill>
              <a:schemeClr val="accent6">
                <a:lumMod val="60000"/>
                <a:lumOff val="40000"/>
              </a:schemeClr>
            </a:solidFill>
            <a:ln w="19050">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'G1-SR-příjmy-příspěvky'!$E$32:$T$32</c:f>
              <c:numCache>
                <c:formatCode>0.0</c:formatCode>
                <c:ptCount val="16"/>
                <c:pt idx="0">
                  <c:v>5.913347183331835</c:v>
                </c:pt>
                <c:pt idx="1">
                  <c:v>-5.8002446891335824</c:v>
                </c:pt>
                <c:pt idx="2">
                  <c:v>2.2877132154908217</c:v>
                </c:pt>
                <c:pt idx="3">
                  <c:v>-3.0948771488229756</c:v>
                </c:pt>
                <c:pt idx="4">
                  <c:v>-0.35196395889060872</c:v>
                </c:pt>
                <c:pt idx="5">
                  <c:v>-0.52038778929392226</c:v>
                </c:pt>
                <c:pt idx="6">
                  <c:v>1.5378232609597577</c:v>
                </c:pt>
                <c:pt idx="7">
                  <c:v>1.545015912124013</c:v>
                </c:pt>
                <c:pt idx="8">
                  <c:v>2.3012010768275002</c:v>
                </c:pt>
                <c:pt idx="9">
                  <c:v>1.5576471703928501</c:v>
                </c:pt>
                <c:pt idx="10">
                  <c:v>-1.5174506828525799E-2</c:v>
                </c:pt>
                <c:pt idx="11">
                  <c:v>1.196403404196051</c:v>
                </c:pt>
                <c:pt idx="12">
                  <c:v>-4.739051072241133</c:v>
                </c:pt>
                <c:pt idx="13">
                  <c:v>8.0545419061014698</c:v>
                </c:pt>
                <c:pt idx="14">
                  <c:v>3.4196071209305683</c:v>
                </c:pt>
                <c:pt idx="15">
                  <c:v>5.00899869514065</c:v>
                </c:pt>
              </c:numCache>
            </c:numRef>
          </c:val>
          <c:extLst>
            <c:ext xmlns:c16="http://schemas.microsoft.com/office/drawing/2014/chart" uri="{C3380CC4-5D6E-409C-BE32-E72D297353CC}">
              <c16:uniqueId val="{00000002-16FB-4D4B-84D9-E316447A3F10}"/>
            </c:ext>
          </c:extLst>
        </c:ser>
        <c:ser>
          <c:idx val="2"/>
          <c:order val="4"/>
          <c:tx>
            <c:strRef>
              <c:f>'G1-SR-příjmy-příspěvky'!$A$33</c:f>
              <c:strCache>
                <c:ptCount val="1"/>
                <c:pt idx="0">
                  <c:v>Spotřební daň</c:v>
                </c:pt>
              </c:strCache>
            </c:strRef>
          </c:tx>
          <c:spPr>
            <a:solidFill>
              <a:schemeClr val="accent5">
                <a:lumMod val="40000"/>
                <a:lumOff val="60000"/>
              </a:schemeClr>
            </a:solidFill>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'G1-SR-příjmy-příspěvky'!$E$33:$T$33</c:f>
              <c:numCache>
                <c:formatCode>0.0</c:formatCode>
                <c:ptCount val="16"/>
                <c:pt idx="0">
                  <c:v>0.59615210911390337</c:v>
                </c:pt>
                <c:pt idx="1">
                  <c:v>-0.7841174507841181</c:v>
                </c:pt>
                <c:pt idx="2">
                  <c:v>2.1855555211590265</c:v>
                </c:pt>
                <c:pt idx="3">
                  <c:v>1.2127799548067872</c:v>
                </c:pt>
                <c:pt idx="4">
                  <c:v>-0.51809094748697671</c:v>
                </c:pt>
                <c:pt idx="5">
                  <c:v>-0.60422804423572263</c:v>
                </c:pt>
                <c:pt idx="6">
                  <c:v>1.9416401604204101</c:v>
                </c:pt>
                <c:pt idx="7">
                  <c:v>-0.71604558053587786</c:v>
                </c:pt>
                <c:pt idx="8">
                  <c:v>1.4107475667840155</c:v>
                </c:pt>
                <c:pt idx="9">
                  <c:v>0.14462173119324545</c:v>
                </c:pt>
                <c:pt idx="10">
                  <c:v>0.15174506828528178</c:v>
                </c:pt>
                <c:pt idx="11">
                  <c:v>0.59514445319462672</c:v>
                </c:pt>
                <c:pt idx="12">
                  <c:v>-1.01914715114842</c:v>
                </c:pt>
                <c:pt idx="13">
                  <c:v>-1.7143225663620505</c:v>
                </c:pt>
                <c:pt idx="14">
                  <c:v>2.2001267292613389</c:v>
                </c:pt>
                <c:pt idx="15">
                  <c:v>-1.0170175871507843</c:v>
                </c:pt>
              </c:numCache>
            </c:numRef>
          </c:val>
          <c:extLst>
            <c:ext xmlns:c16="http://schemas.microsoft.com/office/drawing/2014/chart" uri="{C3380CC4-5D6E-409C-BE32-E72D297353CC}">
              <c16:uniqueId val="{00000003-16FB-4D4B-84D9-E316447A3F10}"/>
            </c:ext>
          </c:extLst>
        </c:ser>
        <c:ser>
          <c:idx val="5"/>
          <c:order val="5"/>
          <c:tx>
            <c:strRef>
              <c:f>'G1-SR-příjmy-příspěvky'!$A$34</c:f>
              <c:strCache>
                <c:ptCount val="1"/>
                <c:pt idx="0">
                  <c:v>DPH</c:v>
                </c:pt>
              </c:strCache>
            </c:strRef>
          </c:tx>
          <c:spPr>
            <a:solidFill>
              <a:srgbClr val="92D050"/>
            </a:solidFill>
            <a:ln>
              <a:noFill/>
            </a:ln>
          </c:spPr>
          <c:invertIfNegative val="0"/>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1.6830759040134924</c:v>
                </c:pt>
                <c:pt idx="1">
                  <c:v>-0.48659770881993442</c:v>
                </c:pt>
                <c:pt idx="2">
                  <c:v>2.7861189363217047</c:v>
                </c:pt>
                <c:pt idx="3">
                  <c:v>2.5056491519121336</c:v>
                </c:pt>
                <c:pt idx="4">
                  <c:v>-2.0695480782767839</c:v>
                </c:pt>
                <c:pt idx="5">
                  <c:v>5.148948070735984</c:v>
                </c:pt>
                <c:pt idx="6">
                  <c:v>2.7824643894343817</c:v>
                </c:pt>
                <c:pt idx="7">
                  <c:v>-1.9351195975772466</c:v>
                </c:pt>
                <c:pt idx="8">
                  <c:v>2.3089666597639278</c:v>
                </c:pt>
                <c:pt idx="9">
                  <c:v>5.2514284359515502</c:v>
                </c:pt>
                <c:pt idx="10">
                  <c:v>3.210492087578587</c:v>
                </c:pt>
                <c:pt idx="11">
                  <c:v>1.1536019195484919</c:v>
                </c:pt>
                <c:pt idx="12">
                  <c:v>-2.336937549422708</c:v>
                </c:pt>
                <c:pt idx="13">
                  <c:v>3.7083912152981693</c:v>
                </c:pt>
                <c:pt idx="14">
                  <c:v>9.7528438385958296</c:v>
                </c:pt>
                <c:pt idx="15">
                  <c:v>2.6897010351263337</c:v>
                </c:pt>
              </c:numCache>
            </c:numRef>
          </c:val>
          <c:extLst>
            <c:ext xmlns:c16="http://schemas.microsoft.com/office/drawing/2014/chart" uri="{C3380CC4-5D6E-409C-BE32-E72D297353CC}">
              <c16:uniqueId val="{00000004-16FB-4D4B-84D9-E316447A3F10}"/>
            </c:ext>
          </c:extLst>
        </c:ser>
        <c:dLbls>
          <c:showLegendKey val="0"/>
          <c:showVal val="0"/>
          <c:showCatName val="0"/>
          <c:showSerName val="0"/>
          <c:showPercent val="0"/>
          <c:showBubbleSize val="0"/>
        </c:dLbls>
        <c:gapWidth val="105"/>
        <c:overlap val="100"/>
        <c:axId val="125014400"/>
        <c:axId val="125016320"/>
      </c:barChart>
      <c:lineChart>
        <c:grouping val="standard"/>
        <c:varyColors val="0"/>
        <c:ser>
          <c:idx val="0"/>
          <c:order val="0"/>
          <c:tx>
            <c:strRef>
              <c:f>'G1-SR-příjmy-příspěvky'!$A$29</c:f>
              <c:strCache>
                <c:ptCount val="1"/>
                <c:pt idx="0">
                  <c:v>Celkové daň.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'G1-SR-příjmy-příspěvky'!$E$29:$T$29</c:f>
              <c:numCache>
                <c:formatCode>0.0</c:formatCode>
                <c:ptCount val="16"/>
                <c:pt idx="0">
                  <c:v>8.2829012735976733</c:v>
                </c:pt>
                <c:pt idx="1">
                  <c:v>-10.179624068512966</c:v>
                </c:pt>
                <c:pt idx="2">
                  <c:v>8.2283379252700986</c:v>
                </c:pt>
                <c:pt idx="3">
                  <c:v>1.5846228654786643</c:v>
                </c:pt>
                <c:pt idx="4">
                  <c:v>-2.6056892130086027</c:v>
                </c:pt>
                <c:pt idx="5">
                  <c:v>4.525669566232267</c:v>
                </c:pt>
                <c:pt idx="6">
                  <c:v>7.7693265108560166</c:v>
                </c:pt>
                <c:pt idx="7">
                  <c:v>-0.85206857612153941</c:v>
                </c:pt>
                <c:pt idx="8">
                  <c:v>9.1815075585007477</c:v>
                </c:pt>
                <c:pt idx="9">
                  <c:v>9.3672206548282375</c:v>
                </c:pt>
                <c:pt idx="10">
                  <c:v>6.3596762131953142</c:v>
                </c:pt>
                <c:pt idx="11">
                  <c:v>6.1402466560108495</c:v>
                </c:pt>
                <c:pt idx="12">
                  <c:v>-11.450156530251975</c:v>
                </c:pt>
                <c:pt idx="13">
                  <c:v>4.643775678389515</c:v>
                </c:pt>
                <c:pt idx="14">
                  <c:v>18.655784621065884</c:v>
                </c:pt>
                <c:pt idx="15">
                  <c:v>12.518630827061839</c:v>
                </c:pt>
              </c:numCache>
            </c:numRef>
          </c:val>
          <c:smooth val="0"/>
          <c:extLst>
            <c:ext xmlns:c16="http://schemas.microsoft.com/office/drawing/2014/chart" uri="{C3380CC4-5D6E-409C-BE32-E72D297353CC}">
              <c16:uniqueId val="{00000005-16FB-4D4B-84D9-E316447A3F10}"/>
            </c:ext>
          </c:extLst>
        </c:ser>
        <c:dLbls>
          <c:showLegendKey val="0"/>
          <c:showVal val="0"/>
          <c:showCatName val="0"/>
          <c:showSerName val="0"/>
          <c:showPercent val="0"/>
          <c:showBubbleSize val="0"/>
        </c:dLbls>
        <c:marker val="1"/>
        <c:smooth val="0"/>
        <c:axId val="125014400"/>
        <c:axId val="125016320"/>
      </c:lineChart>
      <c:lineChart>
        <c:grouping val="standard"/>
        <c:varyColors val="0"/>
        <c:ser>
          <c:idx val="6"/>
          <c:order val="6"/>
          <c:tx>
            <c:strRef>
              <c:f>'G1-SR-příjmy-příspěvky'!$A$35</c:f>
              <c:strCache>
                <c:ptCount val="1"/>
                <c:pt idx="0">
                  <c:v>Saldo státního rozpočtu (pravá osa)</c:v>
                </c:pt>
              </c:strCache>
            </c:strRef>
          </c:tx>
          <c:spPr>
            <a:ln w="19050">
              <a:solidFill>
                <a:schemeClr val="tx1">
                  <a:lumMod val="65000"/>
                  <a:lumOff val="35000"/>
                </a:schemeClr>
              </a:solidFill>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 ##0.0</c:formatCode>
                <c:ptCount val="16"/>
                <c:pt idx="0">
                  <c:v>-5.6519999999999975</c:v>
                </c:pt>
                <c:pt idx="1">
                  <c:v>-68.259</c:v>
                </c:pt>
                <c:pt idx="2">
                  <c:v>-75.661999999999992</c:v>
                </c:pt>
                <c:pt idx="3">
                  <c:v>-62.856000000000002</c:v>
                </c:pt>
                <c:pt idx="4">
                  <c:v>-71.721999999999994</c:v>
                </c:pt>
                <c:pt idx="5">
                  <c:v>-31.52</c:v>
                </c:pt>
                <c:pt idx="6">
                  <c:v>1.45</c:v>
                </c:pt>
                <c:pt idx="7">
                  <c:v>22.650000000000013</c:v>
                </c:pt>
                <c:pt idx="8">
                  <c:v>40.65</c:v>
                </c:pt>
                <c:pt idx="9">
                  <c:v>4.6199999999999966</c:v>
                </c:pt>
                <c:pt idx="10">
                  <c:v>-5.88</c:v>
                </c:pt>
                <c:pt idx="11">
                  <c:v>-20.68</c:v>
                </c:pt>
                <c:pt idx="12">
                  <c:v>-195.24722774568033</c:v>
                </c:pt>
                <c:pt idx="13">
                  <c:v>-265.05468517271026</c:v>
                </c:pt>
                <c:pt idx="14">
                  <c:v>-182.95611616665985</c:v>
                </c:pt>
                <c:pt idx="15">
                  <c:v>-215.35088808858023</c:v>
                </c:pt>
              </c:numCache>
            </c:numRef>
          </c:val>
          <c:smooth val="0"/>
          <c:extLst>
            <c:ext xmlns:c16="http://schemas.microsoft.com/office/drawing/2014/chart" uri="{C3380CC4-5D6E-409C-BE32-E72D297353CC}">
              <c16:uniqueId val="{00000006-16FB-4D4B-84D9-E316447A3F10}"/>
            </c:ext>
          </c:extLst>
        </c:ser>
        <c:ser>
          <c:idx val="7"/>
          <c:order val="7"/>
          <c:tx>
            <c:strRef>
              <c:f>'G1-SR-příjmy-příspěvky'!$A$36</c:f>
              <c:strCache>
                <c:ptCount val="1"/>
                <c:pt idx="0">
                  <c:v>Saldo SR očištěné o vliv EU a FM* (pr. osa)</c:v>
                </c:pt>
              </c:strCache>
            </c:strRef>
          </c:tx>
          <c:spPr>
            <a:ln w="19050">
              <a:solidFill>
                <a:schemeClr val="bg1">
                  <a:lumMod val="50000"/>
                </a:schemeClr>
              </a:solidFill>
              <a:prstDash val="sysDash"/>
            </a:ln>
          </c:spPr>
          <c:marker>
            <c:symbol val="none"/>
          </c:marker>
          <c:cat>
            <c:numRef>
              <c:f>'G1-SR-příjmy-příspěvky'!$E$28:$T$28</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General</c:formatCode>
                <c:ptCount val="16"/>
                <c:pt idx="5" formatCode="#\ ##0.0">
                  <c:v>-69.3</c:v>
                </c:pt>
                <c:pt idx="6" formatCode="#\ ##0.0">
                  <c:v>-42.6</c:v>
                </c:pt>
                <c:pt idx="7" formatCode="#\ ##0.0">
                  <c:v>-47.7</c:v>
                </c:pt>
                <c:pt idx="8" formatCode="#\ ##0.0">
                  <c:v>-30.8</c:v>
                </c:pt>
                <c:pt idx="9" formatCode="#\ ##0.0">
                  <c:v>-13.2</c:v>
                </c:pt>
                <c:pt idx="10" formatCode="#\ ##0.0">
                  <c:v>-28.4</c:v>
                </c:pt>
                <c:pt idx="11" formatCode="#\ ##0.0">
                  <c:v>-22.810324545670142</c:v>
                </c:pt>
                <c:pt idx="12" formatCode="#\ ##0.0">
                  <c:v>-195.76510804611019</c:v>
                </c:pt>
                <c:pt idx="13" formatCode="#\ ##0.0">
                  <c:v>-269.57233075196973</c:v>
                </c:pt>
                <c:pt idx="14" formatCode="#\ ##0.0">
                  <c:v>-182.84126075267989</c:v>
                </c:pt>
                <c:pt idx="15" formatCode="#\ ##0.0">
                  <c:v>-251.4076983125903</c:v>
                </c:pt>
              </c:numCache>
            </c:numRef>
          </c:val>
          <c:smooth val="0"/>
          <c:extLst>
            <c:ext xmlns:c16="http://schemas.microsoft.com/office/drawing/2014/chart" uri="{C3380CC4-5D6E-409C-BE32-E72D297353CC}">
              <c16:uniqueId val="{00000007-16FB-4D4B-84D9-E316447A3F10}"/>
            </c:ext>
          </c:extLst>
        </c:ser>
        <c:dLbls>
          <c:showLegendKey val="0"/>
          <c:showVal val="0"/>
          <c:showCatName val="0"/>
          <c:showSerName val="0"/>
          <c:showPercent val="0"/>
          <c:showBubbleSize val="0"/>
        </c:dLbls>
        <c:marker val="1"/>
        <c:smooth val="0"/>
        <c:axId val="125069952"/>
        <c:axId val="125068032"/>
      </c:lineChart>
      <c:catAx>
        <c:axId val="125014400"/>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25016320"/>
        <c:crosses val="autoZero"/>
        <c:auto val="1"/>
        <c:lblAlgn val="ctr"/>
        <c:lblOffset val="0"/>
        <c:noMultiLvlLbl val="0"/>
      </c:catAx>
      <c:valAx>
        <c:axId val="125016320"/>
        <c:scaling>
          <c:orientation val="minMax"/>
          <c:max val="20"/>
          <c:min val="-28"/>
        </c:scaling>
        <c:delete val="0"/>
        <c:axPos val="l"/>
        <c:majorGridlines>
          <c:spPr>
            <a:ln w="6350">
              <a:solidFill>
                <a:schemeClr val="bg1">
                  <a:lumMod val="75000"/>
                </a:schemeClr>
              </a:solidFill>
            </a:ln>
          </c:spPr>
        </c:majorGridlines>
        <c:title>
          <c:tx>
            <c:rich>
              <a:bodyPr/>
              <a:lstStyle/>
              <a:p>
                <a:pPr>
                  <a:defRPr b="0"/>
                </a:pPr>
                <a:r>
                  <a:rPr lang="cs-CZ" b="0"/>
                  <a:t>Příspěvek k růstu celkových daňových příjmů</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25014400"/>
        <c:crosses val="autoZero"/>
        <c:crossBetween val="between"/>
        <c:majorUnit val="4"/>
      </c:valAx>
      <c:valAx>
        <c:axId val="125068032"/>
        <c:scaling>
          <c:orientation val="minMax"/>
          <c:max val="200"/>
          <c:min val="-280"/>
        </c:scaling>
        <c:delete val="0"/>
        <c:axPos val="r"/>
        <c:title>
          <c:tx>
            <c:rich>
              <a:bodyPr/>
              <a:lstStyle/>
              <a:p>
                <a:pPr>
                  <a:defRPr b="0"/>
                </a:pPr>
                <a:r>
                  <a:rPr lang="cs-CZ" b="0"/>
                  <a:t>Saldo státního rozpočtu</a:t>
                </a:r>
              </a:p>
            </c:rich>
          </c:tx>
          <c:layout>
            <c:manualLayout>
              <c:xMode val="edge"/>
              <c:yMode val="edge"/>
              <c:x val="0.97036646544776517"/>
              <c:y val="0.20963215506367219"/>
            </c:manualLayout>
          </c:layout>
          <c:overlay val="0"/>
        </c:title>
        <c:numFmt formatCode="#,##0" sourceLinked="0"/>
        <c:majorTickMark val="out"/>
        <c:minorTickMark val="none"/>
        <c:tickLblPos val="nextTo"/>
        <c:txPr>
          <a:bodyPr/>
          <a:lstStyle/>
          <a:p>
            <a:pPr>
              <a:defRPr sz="800" b="0" i="0"/>
            </a:pPr>
            <a:endParaRPr lang="cs-CZ"/>
          </a:p>
        </c:txPr>
        <c:crossAx val="125069952"/>
        <c:crosses val="max"/>
        <c:crossBetween val="between"/>
        <c:majorUnit val="40"/>
      </c:valAx>
      <c:catAx>
        <c:axId val="125069952"/>
        <c:scaling>
          <c:orientation val="minMax"/>
        </c:scaling>
        <c:delete val="1"/>
        <c:axPos val="b"/>
        <c:numFmt formatCode="General" sourceLinked="1"/>
        <c:majorTickMark val="out"/>
        <c:minorTickMark val="none"/>
        <c:tickLblPos val="none"/>
        <c:crossAx val="125068032"/>
        <c:crosses val="autoZero"/>
        <c:auto val="1"/>
        <c:lblAlgn val="ctr"/>
        <c:lblOffset val="100"/>
        <c:noMultiLvlLbl val="0"/>
      </c:catAx>
      <c:spPr>
        <a:ln w="6350">
          <a:solidFill>
            <a:schemeClr val="tx1"/>
          </a:solidFill>
        </a:ln>
      </c:spPr>
    </c:plotArea>
    <c:legend>
      <c:legendPos val="b"/>
      <c:layout>
        <c:manualLayout>
          <c:xMode val="edge"/>
          <c:yMode val="edge"/>
          <c:x val="1.6002535606353459E-2"/>
          <c:y val="0.86475571084322012"/>
          <c:w val="0.96733761965525111"/>
          <c:h val="0.1242422828760682"/>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575647382449E-2"/>
          <c:y val="2.1433051007174374E-2"/>
          <c:w val="0.8431399757009802"/>
          <c:h val="0.70569386992454641"/>
        </c:manualLayout>
      </c:layout>
      <c:barChart>
        <c:barDir val="col"/>
        <c:grouping val="clustered"/>
        <c:varyColors val="0"/>
        <c:ser>
          <c:idx val="0"/>
          <c:order val="0"/>
          <c:tx>
            <c:strRef>
              <c:f>'G2-St.rozpočet-výdaje'!$B$31</c:f>
              <c:strCache>
                <c:ptCount val="1"/>
                <c:pt idx="0">
                  <c:v>Běžné výdaje celkem (pravá osa)</c:v>
                </c:pt>
              </c:strCache>
            </c:strRef>
          </c:tx>
          <c:spPr>
            <a:solidFill>
              <a:schemeClr val="bg1">
                <a:lumMod val="9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'G2-St.rozpočet-výdaje'!$B$35:$B$50</c:f>
              <c:numCache>
                <c:formatCode>0.0</c:formatCode>
                <c:ptCount val="16"/>
                <c:pt idx="0">
                  <c:v>488.71899999999965</c:v>
                </c:pt>
                <c:pt idx="1">
                  <c:v>523.79999999999995</c:v>
                </c:pt>
                <c:pt idx="2">
                  <c:v>527.73400000000004</c:v>
                </c:pt>
                <c:pt idx="3">
                  <c:v>523.22</c:v>
                </c:pt>
                <c:pt idx="4">
                  <c:v>534.4299999999995</c:v>
                </c:pt>
                <c:pt idx="5">
                  <c:v>544.65</c:v>
                </c:pt>
                <c:pt idx="6">
                  <c:v>552.71100000000001</c:v>
                </c:pt>
                <c:pt idx="7">
                  <c:v>564.13</c:v>
                </c:pt>
                <c:pt idx="8">
                  <c:v>575.57000000000005</c:v>
                </c:pt>
                <c:pt idx="9">
                  <c:v>609.53</c:v>
                </c:pt>
                <c:pt idx="10">
                  <c:v>660.76</c:v>
                </c:pt>
                <c:pt idx="11">
                  <c:v>718.74153402591969</c:v>
                </c:pt>
                <c:pt idx="12">
                  <c:v>829.93717826878003</c:v>
                </c:pt>
                <c:pt idx="13">
                  <c:v>918.12541435127969</c:v>
                </c:pt>
                <c:pt idx="14">
                  <c:v>901.89641601966002</c:v>
                </c:pt>
                <c:pt idx="15">
                  <c:v>1053.5517284801001</c:v>
                </c:pt>
              </c:numCache>
            </c:numRef>
          </c:val>
          <c:extLst>
            <c:ext xmlns:c16="http://schemas.microsoft.com/office/drawing/2014/chart" uri="{C3380CC4-5D6E-409C-BE32-E72D297353CC}">
              <c16:uniqueId val="{00000000-0020-4EA5-8D20-81D025182175}"/>
            </c:ext>
          </c:extLst>
        </c:ser>
        <c:ser>
          <c:idx val="1"/>
          <c:order val="1"/>
          <c:tx>
            <c:strRef>
              <c:f>'G2-St.rozpočet-výdaje'!$C$31</c:f>
              <c:strCache>
                <c:ptCount val="1"/>
                <c:pt idx="0">
                  <c:v>z toho výdaje na důchody (pr. osa)</c:v>
                </c:pt>
              </c:strCache>
            </c:strRef>
          </c:tx>
          <c:spPr>
            <a:solidFill>
              <a:schemeClr val="bg1">
                <a:lumMod val="7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'G2-St.rozpočet-výdaje'!$C$35:$C$50</c:f>
              <c:numCache>
                <c:formatCode>0.0</c:formatCode>
                <c:ptCount val="16"/>
                <c:pt idx="0">
                  <c:v>147.84300000000002</c:v>
                </c:pt>
                <c:pt idx="1">
                  <c:v>165.148</c:v>
                </c:pt>
                <c:pt idx="2">
                  <c:v>169.67399999999998</c:v>
                </c:pt>
                <c:pt idx="3">
                  <c:v>181.59700000000001</c:v>
                </c:pt>
                <c:pt idx="4">
                  <c:v>187.47399999999999</c:v>
                </c:pt>
                <c:pt idx="5">
                  <c:v>184.07900000000001</c:v>
                </c:pt>
                <c:pt idx="6">
                  <c:v>184.58800000000011</c:v>
                </c:pt>
                <c:pt idx="7">
                  <c:v>189.53800000000001</c:v>
                </c:pt>
                <c:pt idx="8">
                  <c:v>197.32600000000011</c:v>
                </c:pt>
                <c:pt idx="9">
                  <c:v>210.6</c:v>
                </c:pt>
                <c:pt idx="10">
                  <c:v>218.4</c:v>
                </c:pt>
                <c:pt idx="11">
                  <c:v>234.8</c:v>
                </c:pt>
                <c:pt idx="12">
                  <c:v>253.4</c:v>
                </c:pt>
                <c:pt idx="13">
                  <c:v>267.63183364663979</c:v>
                </c:pt>
                <c:pt idx="14">
                  <c:v>285.69003688876995</c:v>
                </c:pt>
                <c:pt idx="15">
                  <c:v>342.15011523327979</c:v>
                </c:pt>
              </c:numCache>
            </c:numRef>
          </c:val>
          <c:extLst>
            <c:ext xmlns:c16="http://schemas.microsoft.com/office/drawing/2014/chart" uri="{C3380CC4-5D6E-409C-BE32-E72D297353CC}">
              <c16:uniqueId val="{00000001-0020-4EA5-8D20-81D025182175}"/>
            </c:ext>
          </c:extLst>
        </c:ser>
        <c:dLbls>
          <c:showLegendKey val="0"/>
          <c:showVal val="0"/>
          <c:showCatName val="0"/>
          <c:showSerName val="0"/>
          <c:showPercent val="0"/>
          <c:showBubbleSize val="0"/>
        </c:dLbls>
        <c:gapWidth val="82"/>
        <c:overlap val="100"/>
        <c:axId val="85933440"/>
        <c:axId val="85931520"/>
      </c:barChart>
      <c:lineChart>
        <c:grouping val="standard"/>
        <c:varyColors val="0"/>
        <c:ser>
          <c:idx val="6"/>
          <c:order val="2"/>
          <c:tx>
            <c:strRef>
              <c:f>'G2-St.rozpočet-výdaje'!$D$31</c:f>
              <c:strCache>
                <c:ptCount val="1"/>
                <c:pt idx="0">
                  <c:v>Platy státních zaměstnanců*</c:v>
                </c:pt>
              </c:strCache>
            </c:strRef>
          </c:tx>
          <c:spPr>
            <a:ln w="15875">
              <a:solidFill>
                <a:schemeClr val="accent6">
                  <a:lumMod val="60000"/>
                  <a:lumOff val="40000"/>
                </a:schemeClr>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'G2-St.rozpočet-výdaje'!$D$35:$D$50</c:f>
              <c:numCache>
                <c:formatCode>0.0</c:formatCode>
                <c:ptCount val="16"/>
                <c:pt idx="0">
                  <c:v>37.730000000000011</c:v>
                </c:pt>
                <c:pt idx="1">
                  <c:v>38.980000000000004</c:v>
                </c:pt>
                <c:pt idx="2">
                  <c:v>39.36</c:v>
                </c:pt>
                <c:pt idx="3">
                  <c:v>35.700000000000003</c:v>
                </c:pt>
                <c:pt idx="4">
                  <c:v>36.300000000000004</c:v>
                </c:pt>
                <c:pt idx="5">
                  <c:v>36.880000000000003</c:v>
                </c:pt>
                <c:pt idx="6">
                  <c:v>38.090000000000003</c:v>
                </c:pt>
                <c:pt idx="7">
                  <c:v>41.88</c:v>
                </c:pt>
                <c:pt idx="8">
                  <c:v>43.220000000000013</c:v>
                </c:pt>
                <c:pt idx="9">
                  <c:v>46.52</c:v>
                </c:pt>
                <c:pt idx="10">
                  <c:v>53.13</c:v>
                </c:pt>
                <c:pt idx="11">
                  <c:v>57.572759809110011</c:v>
                </c:pt>
                <c:pt idx="12">
                  <c:v>60.066088983770015</c:v>
                </c:pt>
                <c:pt idx="13">
                  <c:v>60.729182157669982</c:v>
                </c:pt>
                <c:pt idx="14">
                  <c:v>60.913936425969993</c:v>
                </c:pt>
                <c:pt idx="15">
                  <c:v>67.069920296660001</c:v>
                </c:pt>
              </c:numCache>
            </c:numRef>
          </c:val>
          <c:smooth val="0"/>
          <c:extLst>
            <c:ext xmlns:c16="http://schemas.microsoft.com/office/drawing/2014/chart" uri="{C3380CC4-5D6E-409C-BE32-E72D297353CC}">
              <c16:uniqueId val="{00000002-0020-4EA5-8D20-81D025182175}"/>
            </c:ext>
          </c:extLst>
        </c:ser>
        <c:ser>
          <c:idx val="7"/>
          <c:order val="3"/>
          <c:tx>
            <c:strRef>
              <c:f>'G2-St.rozpočet-výdaje'!$E$31</c:f>
              <c:strCache>
                <c:ptCount val="1"/>
                <c:pt idx="0">
                  <c:v>Podpora v nezaměstnanosti</c:v>
                </c:pt>
              </c:strCache>
            </c:strRef>
          </c:tx>
          <c:spPr>
            <a:ln w="15875">
              <a:solidFill>
                <a:srgbClr val="996633"/>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'G2-St.rozpočet-výdaje'!$E$35:$E$50</c:f>
              <c:numCache>
                <c:formatCode>0.0</c:formatCode>
                <c:ptCount val="16"/>
                <c:pt idx="0">
                  <c:v>3.56</c:v>
                </c:pt>
                <c:pt idx="1">
                  <c:v>7.3049999999999962</c:v>
                </c:pt>
                <c:pt idx="2">
                  <c:v>7.7700000000000014</c:v>
                </c:pt>
                <c:pt idx="3">
                  <c:v>6.2279999999999962</c:v>
                </c:pt>
                <c:pt idx="4">
                  <c:v>4.8410000000000002</c:v>
                </c:pt>
                <c:pt idx="5">
                  <c:v>5.3579999999999961</c:v>
                </c:pt>
                <c:pt idx="6">
                  <c:v>5.2690000000000001</c:v>
                </c:pt>
                <c:pt idx="7">
                  <c:v>4.6149999999999958</c:v>
                </c:pt>
                <c:pt idx="8">
                  <c:v>4.4829999999999997</c:v>
                </c:pt>
                <c:pt idx="9">
                  <c:v>4.3310000000000004</c:v>
                </c:pt>
                <c:pt idx="10">
                  <c:v>3.98</c:v>
                </c:pt>
                <c:pt idx="11">
                  <c:v>4.2361097359900031</c:v>
                </c:pt>
                <c:pt idx="12">
                  <c:v>5.1359402661699924</c:v>
                </c:pt>
                <c:pt idx="13">
                  <c:v>5.4746733001600036</c:v>
                </c:pt>
                <c:pt idx="14">
                  <c:v>5.0541544272099905</c:v>
                </c:pt>
                <c:pt idx="15">
                  <c:v>5.391785374559996</c:v>
                </c:pt>
              </c:numCache>
            </c:numRef>
          </c:val>
          <c:smooth val="0"/>
          <c:extLst>
            <c:ext xmlns:c16="http://schemas.microsoft.com/office/drawing/2014/chart" uri="{C3380CC4-5D6E-409C-BE32-E72D297353CC}">
              <c16:uniqueId val="{00000003-0020-4EA5-8D20-81D025182175}"/>
            </c:ext>
          </c:extLst>
        </c:ser>
        <c:ser>
          <c:idx val="2"/>
          <c:order val="4"/>
          <c:tx>
            <c:strRef>
              <c:f>'G2-St.rozpočet-výdaje'!$F$31</c:f>
              <c:strCache>
                <c:ptCount val="1"/>
                <c:pt idx="0">
                  <c:v>Státní sociální podpora**</c:v>
                </c:pt>
              </c:strCache>
            </c:strRef>
          </c:tx>
          <c:spPr>
            <a:ln w="15875">
              <a:solidFill>
                <a:srgbClr val="D5D00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'G2-St.rozpočet-výdaje'!$F$35:$F$50</c:f>
              <c:numCache>
                <c:formatCode>0.0</c:formatCode>
                <c:ptCount val="16"/>
                <c:pt idx="0">
                  <c:v>21.52</c:v>
                </c:pt>
                <c:pt idx="1">
                  <c:v>20.594999999999999</c:v>
                </c:pt>
                <c:pt idx="2">
                  <c:v>20.64</c:v>
                </c:pt>
                <c:pt idx="3">
                  <c:v>18.405999999999981</c:v>
                </c:pt>
                <c:pt idx="4">
                  <c:v>17.881</c:v>
                </c:pt>
                <c:pt idx="5">
                  <c:v>18.681999999999999</c:v>
                </c:pt>
                <c:pt idx="6">
                  <c:v>18.91</c:v>
                </c:pt>
                <c:pt idx="7">
                  <c:v>18.873999999999999</c:v>
                </c:pt>
                <c:pt idx="8">
                  <c:v>18.963999999999981</c:v>
                </c:pt>
                <c:pt idx="9">
                  <c:v>18.741999999999987</c:v>
                </c:pt>
                <c:pt idx="10">
                  <c:v>19.53</c:v>
                </c:pt>
                <c:pt idx="11">
                  <c:v>19.019425010610014</c:v>
                </c:pt>
                <c:pt idx="12">
                  <c:v>25.639216971080003</c:v>
                </c:pt>
                <c:pt idx="13">
                  <c:v>24.537899226790014</c:v>
                </c:pt>
                <c:pt idx="14">
                  <c:v>24.157147190200014</c:v>
                </c:pt>
                <c:pt idx="15">
                  <c:v>29.487497482729971</c:v>
                </c:pt>
              </c:numCache>
            </c:numRef>
          </c:val>
          <c:smooth val="0"/>
          <c:extLst>
            <c:ext xmlns:c16="http://schemas.microsoft.com/office/drawing/2014/chart" uri="{C3380CC4-5D6E-409C-BE32-E72D297353CC}">
              <c16:uniqueId val="{00000004-0020-4EA5-8D20-81D025182175}"/>
            </c:ext>
          </c:extLst>
        </c:ser>
        <c:ser>
          <c:idx val="3"/>
          <c:order val="5"/>
          <c:tx>
            <c:strRef>
              <c:f>'G2-St.rozpočet-výdaje'!$G$31</c:f>
              <c:strCache>
                <c:ptCount val="1"/>
                <c:pt idx="0">
                  <c:v>Dávky nemocenského pojištění</c:v>
                </c:pt>
              </c:strCache>
            </c:strRef>
          </c:tx>
          <c:spPr>
            <a:ln w="15875">
              <a:solidFill>
                <a:srgbClr val="70BDD2"/>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'G2-St.rozpočet-výdaje'!$G$35:$G$50</c:f>
              <c:numCache>
                <c:formatCode>0.00</c:formatCode>
                <c:ptCount val="16"/>
                <c:pt idx="0">
                  <c:v>16.734000000000005</c:v>
                </c:pt>
                <c:pt idx="1">
                  <c:v>14.089</c:v>
                </c:pt>
                <c:pt idx="2">
                  <c:v>11.56</c:v>
                </c:pt>
                <c:pt idx="3">
                  <c:v>11.773</c:v>
                </c:pt>
                <c:pt idx="4">
                  <c:v>10.244</c:v>
                </c:pt>
                <c:pt idx="5">
                  <c:v>10.609</c:v>
                </c:pt>
                <c:pt idx="6">
                  <c:v>11.201000000000001</c:v>
                </c:pt>
                <c:pt idx="7">
                  <c:v>12.429</c:v>
                </c:pt>
                <c:pt idx="8">
                  <c:v>13.566000000000004</c:v>
                </c:pt>
                <c:pt idx="9">
                  <c:v>14.758000000000001</c:v>
                </c:pt>
                <c:pt idx="10">
                  <c:v>17.3</c:v>
                </c:pt>
                <c:pt idx="11">
                  <c:v>19.93</c:v>
                </c:pt>
                <c:pt idx="12">
                  <c:v>30.150000000000013</c:v>
                </c:pt>
                <c:pt idx="13">
                  <c:v>28.650000000000013</c:v>
                </c:pt>
                <c:pt idx="14">
                  <c:v>25.56</c:v>
                </c:pt>
                <c:pt idx="15">
                  <c:v>24.3</c:v>
                </c:pt>
              </c:numCache>
            </c:numRef>
          </c:val>
          <c:smooth val="0"/>
          <c:extLst>
            <c:ext xmlns:c16="http://schemas.microsoft.com/office/drawing/2014/chart" uri="{C3380CC4-5D6E-409C-BE32-E72D297353CC}">
              <c16:uniqueId val="{00000005-0020-4EA5-8D20-81D025182175}"/>
            </c:ext>
          </c:extLst>
        </c:ser>
        <c:ser>
          <c:idx val="4"/>
          <c:order val="6"/>
          <c:tx>
            <c:strRef>
              <c:f>'G2-St.rozpočet-výdaje'!$H$31</c:f>
              <c:strCache>
                <c:ptCount val="1"/>
                <c:pt idx="0">
                  <c:v>Dávky sociální péče***</c:v>
                </c:pt>
              </c:strCache>
            </c:strRef>
          </c:tx>
          <c:spPr>
            <a:ln w="15875">
              <a:solidFill>
                <a:srgbClr val="00B050"/>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'G2-St.rozpočet-výdaje'!$H$35:$H$50</c:f>
              <c:numCache>
                <c:formatCode>0.00</c:formatCode>
                <c:ptCount val="16"/>
                <c:pt idx="0">
                  <c:v>13.247</c:v>
                </c:pt>
                <c:pt idx="1">
                  <c:v>13.003</c:v>
                </c:pt>
                <c:pt idx="2">
                  <c:v>13.486000000000002</c:v>
                </c:pt>
                <c:pt idx="3">
                  <c:v>12.911000000000001</c:v>
                </c:pt>
                <c:pt idx="4">
                  <c:v>13.282</c:v>
                </c:pt>
                <c:pt idx="5">
                  <c:v>15.668000000000001</c:v>
                </c:pt>
                <c:pt idx="6">
                  <c:v>16.734999999999999</c:v>
                </c:pt>
                <c:pt idx="7">
                  <c:v>16.93</c:v>
                </c:pt>
                <c:pt idx="8">
                  <c:v>16.779999999999987</c:v>
                </c:pt>
                <c:pt idx="9">
                  <c:v>17.489999999999977</c:v>
                </c:pt>
                <c:pt idx="10">
                  <c:v>17.100000000000001</c:v>
                </c:pt>
                <c:pt idx="11">
                  <c:v>17.32</c:v>
                </c:pt>
                <c:pt idx="12">
                  <c:v>20.09</c:v>
                </c:pt>
                <c:pt idx="13">
                  <c:v>20.37</c:v>
                </c:pt>
                <c:pt idx="14">
                  <c:v>26.55</c:v>
                </c:pt>
                <c:pt idx="15">
                  <c:v>27.539400000000001</c:v>
                </c:pt>
              </c:numCache>
            </c:numRef>
          </c:val>
          <c:smooth val="0"/>
          <c:extLst>
            <c:ext xmlns:c16="http://schemas.microsoft.com/office/drawing/2014/chart" uri="{C3380CC4-5D6E-409C-BE32-E72D297353CC}">
              <c16:uniqueId val="{00000006-0020-4EA5-8D20-81D025182175}"/>
            </c:ext>
          </c:extLst>
        </c:ser>
        <c:ser>
          <c:idx val="5"/>
          <c:order val="7"/>
          <c:tx>
            <c:strRef>
              <c:f>'G2-St.rozpočet-výdaje'!$I$31</c:f>
              <c:strCache>
                <c:ptCount val="1"/>
                <c:pt idx="0">
                  <c:v>Neinv. nákupy a souvis. výdaje****</c:v>
                </c:pt>
              </c:strCache>
            </c:strRef>
          </c:tx>
          <c:spPr>
            <a:ln w="15875">
              <a:solidFill>
                <a:srgbClr val="EA6C75"/>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'G2-St.rozpočet-výdaje'!$I$35:$I$50</c:f>
              <c:numCache>
                <c:formatCode>0.0</c:formatCode>
                <c:ptCount val="16"/>
                <c:pt idx="0">
                  <c:v>31.934000000000005</c:v>
                </c:pt>
                <c:pt idx="1">
                  <c:v>32.002000000000002</c:v>
                </c:pt>
                <c:pt idx="2">
                  <c:v>31.84</c:v>
                </c:pt>
                <c:pt idx="3">
                  <c:v>29.076999999999988</c:v>
                </c:pt>
                <c:pt idx="4">
                  <c:v>26.950000000000003</c:v>
                </c:pt>
                <c:pt idx="5">
                  <c:v>23.5</c:v>
                </c:pt>
                <c:pt idx="6">
                  <c:v>22.14</c:v>
                </c:pt>
                <c:pt idx="7">
                  <c:v>25.509999999999987</c:v>
                </c:pt>
                <c:pt idx="8">
                  <c:v>25.499999999999989</c:v>
                </c:pt>
                <c:pt idx="9">
                  <c:v>29.889999999999986</c:v>
                </c:pt>
                <c:pt idx="10">
                  <c:v>30.75</c:v>
                </c:pt>
                <c:pt idx="11">
                  <c:v>27.947201055630007</c:v>
                </c:pt>
                <c:pt idx="12">
                  <c:v>35.631314475349974</c:v>
                </c:pt>
                <c:pt idx="13">
                  <c:v>32.201508781230004</c:v>
                </c:pt>
                <c:pt idx="14">
                  <c:v>39.429741521560004</c:v>
                </c:pt>
                <c:pt idx="15">
                  <c:v>33.935016863070011</c:v>
                </c:pt>
              </c:numCache>
            </c:numRef>
          </c:val>
          <c:smooth val="0"/>
          <c:extLst>
            <c:ext xmlns:c16="http://schemas.microsoft.com/office/drawing/2014/chart" uri="{C3380CC4-5D6E-409C-BE32-E72D297353CC}">
              <c16:uniqueId val="{00000007-0020-4EA5-8D20-81D025182175}"/>
            </c:ext>
          </c:extLst>
        </c:ser>
        <c:ser>
          <c:idx val="9"/>
          <c:order val="8"/>
          <c:tx>
            <c:strRef>
              <c:f>'G2-St.rozpočet-výdaje'!$J$31</c:f>
              <c:strCache>
                <c:ptCount val="1"/>
                <c:pt idx="0">
                  <c:v>Státní dluh (čisté výdaje)*****</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'G2-St.rozpočet-výdaje'!$J$35:$J$50</c:f>
              <c:numCache>
                <c:formatCode>0.0</c:formatCode>
                <c:ptCount val="16"/>
                <c:pt idx="0">
                  <c:v>16.5</c:v>
                </c:pt>
                <c:pt idx="1">
                  <c:v>25.770000000000003</c:v>
                </c:pt>
                <c:pt idx="2">
                  <c:v>21.27</c:v>
                </c:pt>
                <c:pt idx="3">
                  <c:v>25.810000000000013</c:v>
                </c:pt>
                <c:pt idx="4">
                  <c:v>26.419999999999987</c:v>
                </c:pt>
                <c:pt idx="5">
                  <c:v>30.400000000000002</c:v>
                </c:pt>
                <c:pt idx="6">
                  <c:v>26.86</c:v>
                </c:pt>
                <c:pt idx="7">
                  <c:v>23.55</c:v>
                </c:pt>
                <c:pt idx="8">
                  <c:v>23.759999999999987</c:v>
                </c:pt>
                <c:pt idx="9">
                  <c:v>18.739999999999988</c:v>
                </c:pt>
                <c:pt idx="10">
                  <c:v>20.110000000000014</c:v>
                </c:pt>
                <c:pt idx="11">
                  <c:v>16.91954772339</c:v>
                </c:pt>
                <c:pt idx="12">
                  <c:v>12.518656263610001</c:v>
                </c:pt>
                <c:pt idx="13">
                  <c:v>18.616192468260014</c:v>
                </c:pt>
                <c:pt idx="14">
                  <c:v>23.000323000499989</c:v>
                </c:pt>
                <c:pt idx="15">
                  <c:v>37.545198524830013</c:v>
                </c:pt>
              </c:numCache>
            </c:numRef>
          </c:val>
          <c:smooth val="0"/>
          <c:extLst>
            <c:ext xmlns:c16="http://schemas.microsoft.com/office/drawing/2014/chart" uri="{C3380CC4-5D6E-409C-BE32-E72D297353CC}">
              <c16:uniqueId val="{00000008-0020-4EA5-8D20-81D025182175}"/>
            </c:ext>
          </c:extLst>
        </c:ser>
        <c:ser>
          <c:idx val="8"/>
          <c:order val="9"/>
          <c:tx>
            <c:strRef>
              <c:f>'G2-St.rozpočet-výdaje'!$K$31</c:f>
              <c:strCache>
                <c:ptCount val="1"/>
                <c:pt idx="0">
                  <c:v>Neinvestič. transfery podnikatelům</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'G2-St.rozpočet-výdaje'!$K$35:$K$50</c:f>
              <c:numCache>
                <c:formatCode>0.0</c:formatCode>
                <c:ptCount val="16"/>
                <c:pt idx="0">
                  <c:v>13.860000000000007</c:v>
                </c:pt>
                <c:pt idx="1">
                  <c:v>13.8</c:v>
                </c:pt>
                <c:pt idx="2">
                  <c:v>15.068</c:v>
                </c:pt>
                <c:pt idx="3">
                  <c:v>15.095000000000002</c:v>
                </c:pt>
                <c:pt idx="4">
                  <c:v>18.314000000000014</c:v>
                </c:pt>
                <c:pt idx="5">
                  <c:v>16.994999999999987</c:v>
                </c:pt>
                <c:pt idx="6">
                  <c:v>19.023</c:v>
                </c:pt>
                <c:pt idx="7">
                  <c:v>18.837000000000014</c:v>
                </c:pt>
                <c:pt idx="8">
                  <c:v>18.061999999999987</c:v>
                </c:pt>
                <c:pt idx="9">
                  <c:v>23.907999999999987</c:v>
                </c:pt>
                <c:pt idx="10">
                  <c:v>28.649000000000001</c:v>
                </c:pt>
                <c:pt idx="11">
                  <c:v>28.899000000000001</c:v>
                </c:pt>
                <c:pt idx="12">
                  <c:v>52.881999999999998</c:v>
                </c:pt>
                <c:pt idx="13">
                  <c:v>85.232597227749963</c:v>
                </c:pt>
                <c:pt idx="14">
                  <c:v>34.100961421429993</c:v>
                </c:pt>
                <c:pt idx="15">
                  <c:v>77.829618817299917</c:v>
                </c:pt>
              </c:numCache>
            </c:numRef>
          </c:val>
          <c:smooth val="0"/>
          <c:extLst>
            <c:ext xmlns:c16="http://schemas.microsoft.com/office/drawing/2014/chart" uri="{C3380CC4-5D6E-409C-BE32-E72D297353CC}">
              <c16:uniqueId val="{00000009-0020-4EA5-8D20-81D025182175}"/>
            </c:ext>
          </c:extLst>
        </c:ser>
        <c:ser>
          <c:idx val="10"/>
          <c:order val="10"/>
          <c:tx>
            <c:strRef>
              <c:f>'G2-St.rozpočet-výdaje'!$L$31</c:f>
              <c:strCache>
                <c:ptCount val="1"/>
                <c:pt idx="0">
                  <c:v>Kapitálové výdaje</c:v>
                </c:pt>
              </c:strCache>
            </c:strRef>
          </c:tx>
          <c:spPr>
            <a:ln w="15875">
              <a:solidFill>
                <a:srgbClr val="706840"/>
              </a:solidFill>
              <a:prstDash val="sysDash"/>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'G2-St.rozpočet-výdaje'!$L$35:$L$50</c:f>
              <c:numCache>
                <c:formatCode>0.0</c:formatCode>
                <c:ptCount val="16"/>
                <c:pt idx="0">
                  <c:v>53.505000000000003</c:v>
                </c:pt>
                <c:pt idx="1">
                  <c:v>51.149000000000001</c:v>
                </c:pt>
                <c:pt idx="2">
                  <c:v>55.873000000000005</c:v>
                </c:pt>
                <c:pt idx="3">
                  <c:v>47.277000000000001</c:v>
                </c:pt>
                <c:pt idx="4">
                  <c:v>41.93</c:v>
                </c:pt>
                <c:pt idx="5">
                  <c:v>36.779000000000003</c:v>
                </c:pt>
                <c:pt idx="6">
                  <c:v>34.894000000000005</c:v>
                </c:pt>
                <c:pt idx="7">
                  <c:v>54.02</c:v>
                </c:pt>
                <c:pt idx="8">
                  <c:v>39.090000000000003</c:v>
                </c:pt>
                <c:pt idx="9">
                  <c:v>20.309999999999999</c:v>
                </c:pt>
                <c:pt idx="10">
                  <c:v>33.25</c:v>
                </c:pt>
                <c:pt idx="11">
                  <c:v>45.820505926130046</c:v>
                </c:pt>
                <c:pt idx="12">
                  <c:v>64.97699930173998</c:v>
                </c:pt>
                <c:pt idx="13">
                  <c:v>59.7056835355</c:v>
                </c:pt>
                <c:pt idx="14">
                  <c:v>68.0711300369599</c:v>
                </c:pt>
                <c:pt idx="15">
                  <c:v>79.024935165610003</c:v>
                </c:pt>
              </c:numCache>
            </c:numRef>
          </c:val>
          <c:smooth val="0"/>
          <c:extLst>
            <c:ext xmlns:c16="http://schemas.microsoft.com/office/drawing/2014/chart" uri="{C3380CC4-5D6E-409C-BE32-E72D297353CC}">
              <c16:uniqueId val="{0000000A-0020-4EA5-8D20-81D025182175}"/>
            </c:ext>
          </c:extLst>
        </c:ser>
        <c:dLbls>
          <c:showLegendKey val="0"/>
          <c:showVal val="0"/>
          <c:showCatName val="0"/>
          <c:showSerName val="0"/>
          <c:showPercent val="0"/>
          <c:showBubbleSize val="0"/>
        </c:dLbls>
        <c:marker val="1"/>
        <c:smooth val="0"/>
        <c:axId val="85841792"/>
        <c:axId val="85843328"/>
      </c:lineChart>
      <c:catAx>
        <c:axId val="85841792"/>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85843328"/>
        <c:crosses val="autoZero"/>
        <c:auto val="1"/>
        <c:lblAlgn val="ctr"/>
        <c:lblOffset val="0"/>
        <c:noMultiLvlLbl val="0"/>
      </c:catAx>
      <c:valAx>
        <c:axId val="85843328"/>
        <c:scaling>
          <c:orientation val="minMax"/>
          <c:max val="88"/>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85841792"/>
        <c:crosses val="autoZero"/>
        <c:crossBetween val="between"/>
        <c:majorUnit val="8"/>
      </c:valAx>
      <c:valAx>
        <c:axId val="85931520"/>
        <c:scaling>
          <c:orientation val="minMax"/>
          <c:max val="1100"/>
          <c:min val="0"/>
        </c:scaling>
        <c:delete val="0"/>
        <c:axPos val="r"/>
        <c:title>
          <c:tx>
            <c:rich>
              <a:bodyPr/>
              <a:lstStyle/>
              <a:p>
                <a:pPr>
                  <a:defRPr sz="700" b="0" i="1"/>
                </a:pPr>
                <a:r>
                  <a:rPr lang="cs-CZ" sz="700" b="0" i="1"/>
                  <a:t>Běžné výdaje celkem, důchody</a:t>
                </a:r>
              </a:p>
            </c:rich>
          </c:tx>
          <c:layout>
            <c:manualLayout>
              <c:xMode val="edge"/>
              <c:yMode val="edge"/>
              <c:x val="0.96904913646362589"/>
              <c:y val="0.25018610067154745"/>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85933440"/>
        <c:crosses val="max"/>
        <c:crossBetween val="between"/>
        <c:majorUnit val="100"/>
        <c:minorUnit val="10"/>
      </c:valAx>
      <c:catAx>
        <c:axId val="85933440"/>
        <c:scaling>
          <c:orientation val="minMax"/>
        </c:scaling>
        <c:delete val="1"/>
        <c:axPos val="b"/>
        <c:numFmt formatCode="General" sourceLinked="1"/>
        <c:majorTickMark val="out"/>
        <c:minorTickMark val="none"/>
        <c:tickLblPos val="none"/>
        <c:crossAx val="85931520"/>
        <c:crosses val="autoZero"/>
        <c:auto val="1"/>
        <c:lblAlgn val="ctr"/>
        <c:lblOffset val="100"/>
        <c:noMultiLvlLbl val="0"/>
      </c:catAx>
      <c:spPr>
        <a:ln w="6350">
          <a:solidFill>
            <a:schemeClr val="tx1"/>
          </a:solidFill>
        </a:ln>
      </c:spPr>
    </c:plotArea>
    <c:legend>
      <c:legendPos val="b"/>
      <c:layout>
        <c:manualLayout>
          <c:xMode val="edge"/>
          <c:yMode val="edge"/>
          <c:x val="6.8616025701456779E-2"/>
          <c:y val="0.80081760605019114"/>
          <c:w val="0.84292643243993381"/>
          <c:h val="0.1954483617154087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63760458694323E-2"/>
          <c:y val="2.1433051007174374E-2"/>
          <c:w val="0.92385424401342764"/>
          <c:h val="0.7803745146125618"/>
        </c:manualLayout>
      </c:layout>
      <c:barChart>
        <c:barDir val="col"/>
        <c:grouping val="clustered"/>
        <c:varyColors val="0"/>
        <c:ser>
          <c:idx val="0"/>
          <c:order val="0"/>
          <c:tx>
            <c:strRef>
              <c:f>'G3-Sektor vlád.institucí'!$Z$104</c:f>
              <c:strCache>
                <c:ptCount val="1"/>
                <c:pt idx="0">
                  <c:v>EU27</c:v>
                </c:pt>
              </c:strCache>
            </c:strRef>
          </c:tx>
          <c:spPr>
            <a:solidFill>
              <a:srgbClr val="E6E3D2"/>
            </a:solidFill>
            <a:ln w="6350">
              <a:solidFill>
                <a:schemeClr val="bg2">
                  <a:lumMod val="50000"/>
                </a:schemeClr>
              </a:solidFill>
            </a:ln>
          </c:spPr>
          <c:invertIfNegative val="0"/>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vlád.institucí'!$AA$104:$BC$104</c:f>
              <c:numCache>
                <c:formatCode>#\ ##0.##########</c:formatCode>
                <c:ptCount val="29"/>
                <c:pt idx="0">
                  <c:v>-1.6</c:v>
                </c:pt>
                <c:pt idx="1">
                  <c:v>-1.4</c:v>
                </c:pt>
                <c:pt idx="2">
                  <c:v>-1.6</c:v>
                </c:pt>
                <c:pt idx="3">
                  <c:v>-0.8</c:v>
                </c:pt>
                <c:pt idx="4">
                  <c:v>-0.9</c:v>
                </c:pt>
                <c:pt idx="5">
                  <c:v>-1.2</c:v>
                </c:pt>
                <c:pt idx="6">
                  <c:v>-0.7000000000000004</c:v>
                </c:pt>
                <c:pt idx="7">
                  <c:v>-0.30000000000000021</c:v>
                </c:pt>
                <c:pt idx="8">
                  <c:v>-0.2</c:v>
                </c:pt>
                <c:pt idx="9">
                  <c:v>-0.1</c:v>
                </c:pt>
                <c:pt idx="10">
                  <c:v>-0.5</c:v>
                </c:pt>
                <c:pt idx="11">
                  <c:v>-0.7000000000000004</c:v>
                </c:pt>
                <c:pt idx="12">
                  <c:v>-0.2</c:v>
                </c:pt>
                <c:pt idx="13">
                  <c:v>-0.2</c:v>
                </c:pt>
                <c:pt idx="14" formatCode="#\ ##0.0">
                  <c:v>-1</c:v>
                </c:pt>
                <c:pt idx="15">
                  <c:v>-0.8</c:v>
                </c:pt>
                <c:pt idx="16">
                  <c:v>-2.7</c:v>
                </c:pt>
                <c:pt idx="17">
                  <c:v>-11.7</c:v>
                </c:pt>
                <c:pt idx="18">
                  <c:v>-6.2</c:v>
                </c:pt>
                <c:pt idx="19">
                  <c:v>-6.8</c:v>
                </c:pt>
                <c:pt idx="20">
                  <c:v>-6.4</c:v>
                </c:pt>
                <c:pt idx="21" formatCode="#\ ##0.0">
                  <c:v>-6</c:v>
                </c:pt>
                <c:pt idx="22">
                  <c:v>-3.8</c:v>
                </c:pt>
                <c:pt idx="23">
                  <c:v>-3.1</c:v>
                </c:pt>
                <c:pt idx="24">
                  <c:v>-2.4</c:v>
                </c:pt>
                <c:pt idx="25">
                  <c:v>-2.2000000000000002</c:v>
                </c:pt>
                <c:pt idx="26">
                  <c:v>-4.3</c:v>
                </c:pt>
                <c:pt idx="27">
                  <c:v>-4.5</c:v>
                </c:pt>
                <c:pt idx="28" formatCode="#\ ##0.0">
                  <c:v>-3</c:v>
                </c:pt>
              </c:numCache>
            </c:numRef>
          </c:val>
          <c:extLst>
            <c:ext xmlns:c16="http://schemas.microsoft.com/office/drawing/2014/chart" uri="{C3380CC4-5D6E-409C-BE32-E72D297353CC}">
              <c16:uniqueId val="{00000000-272B-4DAE-A39D-FB4DCDFD4506}"/>
            </c:ext>
          </c:extLst>
        </c:ser>
        <c:ser>
          <c:idx val="1"/>
          <c:order val="1"/>
          <c:tx>
            <c:strRef>
              <c:f>'G3-Sektor vlád.institucí'!$Z$105</c:f>
              <c:strCache>
                <c:ptCount val="1"/>
                <c:pt idx="0">
                  <c:v>Česko</c:v>
                </c:pt>
              </c:strCache>
            </c:strRef>
          </c:tx>
          <c:spPr>
            <a:solidFill>
              <a:srgbClr val="BBB287"/>
            </a:solidFill>
            <a:ln w="6350">
              <a:noFill/>
            </a:ln>
          </c:spPr>
          <c:invertIfNegative val="0"/>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vlád.institucí'!$AA$105:$BC$105</c:f>
              <c:numCache>
                <c:formatCode>#\ ##0.##########</c:formatCode>
                <c:ptCount val="29"/>
                <c:pt idx="0">
                  <c:v>0.7000000000000004</c:v>
                </c:pt>
                <c:pt idx="1">
                  <c:v>0.8</c:v>
                </c:pt>
                <c:pt idx="2" formatCode="#\ ##0.0">
                  <c:v>1</c:v>
                </c:pt>
                <c:pt idx="3">
                  <c:v>0.4</c:v>
                </c:pt>
                <c:pt idx="4">
                  <c:v>0.9</c:v>
                </c:pt>
                <c:pt idx="5">
                  <c:v>1.7</c:v>
                </c:pt>
                <c:pt idx="6">
                  <c:v>1.7</c:v>
                </c:pt>
                <c:pt idx="7">
                  <c:v>1.7</c:v>
                </c:pt>
                <c:pt idx="8">
                  <c:v>1.1000000000000001</c:v>
                </c:pt>
                <c:pt idx="9">
                  <c:v>1.6</c:v>
                </c:pt>
                <c:pt idx="10">
                  <c:v>0.30000000000000021</c:v>
                </c:pt>
                <c:pt idx="11">
                  <c:v>0.60000000000000042</c:v>
                </c:pt>
                <c:pt idx="12">
                  <c:v>0.9</c:v>
                </c:pt>
                <c:pt idx="13">
                  <c:v>1.1000000000000001</c:v>
                </c:pt>
                <c:pt idx="14">
                  <c:v>-0.1</c:v>
                </c:pt>
                <c:pt idx="15">
                  <c:v>-0.7000000000000004</c:v>
                </c:pt>
                <c:pt idx="16">
                  <c:v>-2.6</c:v>
                </c:pt>
                <c:pt idx="17">
                  <c:v>-8.5</c:v>
                </c:pt>
                <c:pt idx="18" formatCode="#\ ##0.0">
                  <c:v>-5</c:v>
                </c:pt>
                <c:pt idx="19">
                  <c:v>-7.2</c:v>
                </c:pt>
                <c:pt idx="20">
                  <c:v>-7.5</c:v>
                </c:pt>
                <c:pt idx="21">
                  <c:v>-4.9000000000000004</c:v>
                </c:pt>
                <c:pt idx="22">
                  <c:v>-4.0999999999999996</c:v>
                </c:pt>
                <c:pt idx="23" formatCode="#\ ##0.0">
                  <c:v>-4</c:v>
                </c:pt>
                <c:pt idx="24">
                  <c:v>-2.9</c:v>
                </c:pt>
                <c:pt idx="25">
                  <c:v>-2.8</c:v>
                </c:pt>
                <c:pt idx="26">
                  <c:v>-4.5999999999999996</c:v>
                </c:pt>
                <c:pt idx="27">
                  <c:v>-4.2</c:v>
                </c:pt>
                <c:pt idx="28">
                  <c:v>-4.2</c:v>
                </c:pt>
              </c:numCache>
            </c:numRef>
          </c:val>
          <c:extLst>
            <c:ext xmlns:c16="http://schemas.microsoft.com/office/drawing/2014/chart" uri="{C3380CC4-5D6E-409C-BE32-E72D297353CC}">
              <c16:uniqueId val="{00000001-272B-4DAE-A39D-FB4DCDFD4506}"/>
            </c:ext>
          </c:extLst>
        </c:ser>
        <c:dLbls>
          <c:showLegendKey val="0"/>
          <c:showVal val="0"/>
          <c:showCatName val="0"/>
          <c:showSerName val="0"/>
          <c:showPercent val="0"/>
          <c:showBubbleSize val="0"/>
        </c:dLbls>
        <c:gapWidth val="120"/>
        <c:axId val="97374208"/>
        <c:axId val="97375744"/>
      </c:barChart>
      <c:lineChart>
        <c:grouping val="standard"/>
        <c:varyColors val="0"/>
        <c:ser>
          <c:idx val="6"/>
          <c:order val="2"/>
          <c:tx>
            <c:strRef>
              <c:f>'G3-Sektor vlád.institucí'!$Z$106</c:f>
              <c:strCache>
                <c:ptCount val="1"/>
                <c:pt idx="0">
                  <c:v>Slovensko</c:v>
                </c:pt>
              </c:strCache>
            </c:strRef>
          </c:tx>
          <c:spPr>
            <a:ln w="15875">
              <a:solidFill>
                <a:srgbClr val="00B05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vlád.institucí'!$AA$106:$BC$106</c:f>
              <c:numCache>
                <c:formatCode>#\ ##0.0</c:formatCode>
                <c:ptCount val="29"/>
                <c:pt idx="0" formatCode="#\ ##0.##########">
                  <c:v>-3.3</c:v>
                </c:pt>
                <c:pt idx="1">
                  <c:v>-3</c:v>
                </c:pt>
                <c:pt idx="2" formatCode="#\ ##0.##########">
                  <c:v>-2.2999999999999998</c:v>
                </c:pt>
                <c:pt idx="3" formatCode="#\ ##0.##########">
                  <c:v>-1.9000000000000001</c:v>
                </c:pt>
                <c:pt idx="4" formatCode="#\ ##0.##########">
                  <c:v>-2.1</c:v>
                </c:pt>
                <c:pt idx="5" formatCode="#\ ##0.##########">
                  <c:v>-1.2</c:v>
                </c:pt>
                <c:pt idx="6" formatCode="#\ ##0.##########">
                  <c:v>-1.4</c:v>
                </c:pt>
                <c:pt idx="7" formatCode="#\ ##0.##########">
                  <c:v>0.5</c:v>
                </c:pt>
                <c:pt idx="8" formatCode="#\ ##0.##########">
                  <c:v>-1.2</c:v>
                </c:pt>
                <c:pt idx="9">
                  <c:v>-1</c:v>
                </c:pt>
                <c:pt idx="10" formatCode="#\ ##0.##########">
                  <c:v>-1.4</c:v>
                </c:pt>
                <c:pt idx="11" formatCode="#\ ##0.##########">
                  <c:v>-0.30000000000000021</c:v>
                </c:pt>
                <c:pt idx="12" formatCode="#\ ##0.##########">
                  <c:v>-1.1000000000000001</c:v>
                </c:pt>
                <c:pt idx="13" formatCode="#\ ##0.##########">
                  <c:v>-1.2</c:v>
                </c:pt>
                <c:pt idx="14" formatCode="#\ ##0.##########">
                  <c:v>-1.9000000000000001</c:v>
                </c:pt>
                <c:pt idx="15" formatCode="#\ ##0.##########">
                  <c:v>-0.5</c:v>
                </c:pt>
                <c:pt idx="16" formatCode="#\ ##0.##########">
                  <c:v>-2.9</c:v>
                </c:pt>
                <c:pt idx="17" formatCode="#\ ##0.##########">
                  <c:v>-7.4</c:v>
                </c:pt>
                <c:pt idx="18" formatCode="#\ ##0.##########">
                  <c:v>-5.2</c:v>
                </c:pt>
                <c:pt idx="19" formatCode="#\ ##0.##########">
                  <c:v>-5.7</c:v>
                </c:pt>
                <c:pt idx="20" formatCode="#\ ##0.##########">
                  <c:v>-6.1</c:v>
                </c:pt>
                <c:pt idx="21" formatCode="#\ ##0.##########">
                  <c:v>-6.9</c:v>
                </c:pt>
                <c:pt idx="22" formatCode="#\ ##0.##########">
                  <c:v>-3.6</c:v>
                </c:pt>
                <c:pt idx="23" formatCode="#\ ##0.##########">
                  <c:v>-5.2</c:v>
                </c:pt>
                <c:pt idx="24" formatCode="#\ ##0.##########">
                  <c:v>-1.9000000000000001</c:v>
                </c:pt>
                <c:pt idx="25" formatCode="#\ ##0.##########">
                  <c:v>-1.9000000000000001</c:v>
                </c:pt>
                <c:pt idx="26" formatCode="#\ ##0.##########">
                  <c:v>-1.7</c:v>
                </c:pt>
                <c:pt idx="27" formatCode="#\ ##0.##########">
                  <c:v>-2.7</c:v>
                </c:pt>
                <c:pt idx="28" formatCode="#\ ##0.##########">
                  <c:v>-3.8</c:v>
                </c:pt>
              </c:numCache>
            </c:numRef>
          </c:val>
          <c:smooth val="0"/>
          <c:extLst>
            <c:ext xmlns:c16="http://schemas.microsoft.com/office/drawing/2014/chart" uri="{C3380CC4-5D6E-409C-BE32-E72D297353CC}">
              <c16:uniqueId val="{00000002-272B-4DAE-A39D-FB4DCDFD4506}"/>
            </c:ext>
          </c:extLst>
        </c:ser>
        <c:ser>
          <c:idx val="7"/>
          <c:order val="3"/>
          <c:tx>
            <c:strRef>
              <c:f>'G3-Sektor vlád.institucí'!$Z$107</c:f>
              <c:strCache>
                <c:ptCount val="1"/>
                <c:pt idx="0">
                  <c:v>Polsko</c:v>
                </c:pt>
              </c:strCache>
            </c:strRef>
          </c:tx>
          <c:spPr>
            <a:ln w="15875">
              <a:solidFill>
                <a:schemeClr val="accent6">
                  <a:lumMod val="75000"/>
                </a:schemeClr>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vlád.institucí'!$AA$107:$BC$107</c:f>
              <c:numCache>
                <c:formatCode>#\ ##0.##########</c:formatCode>
                <c:ptCount val="29"/>
                <c:pt idx="0">
                  <c:v>-2.2999999999999998</c:v>
                </c:pt>
                <c:pt idx="1">
                  <c:v>-2.2000000000000002</c:v>
                </c:pt>
                <c:pt idx="2">
                  <c:v>-2.4</c:v>
                </c:pt>
                <c:pt idx="3">
                  <c:v>-2.2000000000000002</c:v>
                </c:pt>
                <c:pt idx="4" formatCode="#\ ##0.0">
                  <c:v>-2</c:v>
                </c:pt>
                <c:pt idx="5">
                  <c:v>-1.3</c:v>
                </c:pt>
                <c:pt idx="6">
                  <c:v>-1.4</c:v>
                </c:pt>
                <c:pt idx="7" formatCode="#\ ##0.0">
                  <c:v>-1</c:v>
                </c:pt>
                <c:pt idx="8">
                  <c:v>-0.9</c:v>
                </c:pt>
                <c:pt idx="9">
                  <c:v>0.1</c:v>
                </c:pt>
                <c:pt idx="10">
                  <c:v>-0.30000000000000021</c:v>
                </c:pt>
                <c:pt idx="11">
                  <c:v>0.2</c:v>
                </c:pt>
                <c:pt idx="12">
                  <c:v>0.30000000000000021</c:v>
                </c:pt>
                <c:pt idx="13" formatCode="#\ ##0.0">
                  <c:v>-1</c:v>
                </c:pt>
                <c:pt idx="14">
                  <c:v>-0.7000000000000004</c:v>
                </c:pt>
                <c:pt idx="15">
                  <c:v>-1.6</c:v>
                </c:pt>
                <c:pt idx="16">
                  <c:v>-3.8</c:v>
                </c:pt>
                <c:pt idx="17">
                  <c:v>-16.899999999999999</c:v>
                </c:pt>
                <c:pt idx="18">
                  <c:v>-4.2</c:v>
                </c:pt>
                <c:pt idx="19">
                  <c:v>-2.9</c:v>
                </c:pt>
                <c:pt idx="20">
                  <c:v>-2.7</c:v>
                </c:pt>
                <c:pt idx="21">
                  <c:v>-1.5</c:v>
                </c:pt>
                <c:pt idx="22">
                  <c:v>-0.5</c:v>
                </c:pt>
                <c:pt idx="23">
                  <c:v>-2.8</c:v>
                </c:pt>
                <c:pt idx="24">
                  <c:v>-0.8</c:v>
                </c:pt>
                <c:pt idx="25">
                  <c:v>-1.3</c:v>
                </c:pt>
                <c:pt idx="26">
                  <c:v>-3.8</c:v>
                </c:pt>
                <c:pt idx="27">
                  <c:v>-8.4</c:v>
                </c:pt>
                <c:pt idx="28" formatCode="#\ ##0.0">
                  <c:v>-2</c:v>
                </c:pt>
              </c:numCache>
            </c:numRef>
          </c:val>
          <c:smooth val="0"/>
          <c:extLst>
            <c:ext xmlns:c16="http://schemas.microsoft.com/office/drawing/2014/chart" uri="{C3380CC4-5D6E-409C-BE32-E72D297353CC}">
              <c16:uniqueId val="{00000003-272B-4DAE-A39D-FB4DCDFD4506}"/>
            </c:ext>
          </c:extLst>
        </c:ser>
        <c:ser>
          <c:idx val="2"/>
          <c:order val="4"/>
          <c:tx>
            <c:strRef>
              <c:f>'G3-Sektor vlád.institucí'!$Z$108</c:f>
              <c:strCache>
                <c:ptCount val="1"/>
                <c:pt idx="0">
                  <c:v>Maďarsko</c:v>
                </c:pt>
              </c:strCache>
            </c:strRef>
          </c:tx>
          <c:spPr>
            <a:ln w="15875">
              <a:solidFill>
                <a:srgbClr val="D5D00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vlád.institucí'!$AA$108:$BC$108</c:f>
              <c:numCache>
                <c:formatCode>#\ ##0.##########</c:formatCode>
                <c:ptCount val="29"/>
                <c:pt idx="0">
                  <c:v>-2.5</c:v>
                </c:pt>
                <c:pt idx="1">
                  <c:v>-2.1</c:v>
                </c:pt>
                <c:pt idx="2">
                  <c:v>-0.5</c:v>
                </c:pt>
                <c:pt idx="3">
                  <c:v>-2.1</c:v>
                </c:pt>
                <c:pt idx="4">
                  <c:v>-0.60000000000000042</c:v>
                </c:pt>
                <c:pt idx="5">
                  <c:v>-2.7</c:v>
                </c:pt>
                <c:pt idx="6">
                  <c:v>-5.0999999999999996</c:v>
                </c:pt>
                <c:pt idx="7">
                  <c:v>-1.5</c:v>
                </c:pt>
                <c:pt idx="8">
                  <c:v>-3.5</c:v>
                </c:pt>
                <c:pt idx="9">
                  <c:v>-2.8</c:v>
                </c:pt>
                <c:pt idx="10">
                  <c:v>-1.7</c:v>
                </c:pt>
                <c:pt idx="11">
                  <c:v>-0.4</c:v>
                </c:pt>
                <c:pt idx="12">
                  <c:v>-1.5</c:v>
                </c:pt>
                <c:pt idx="13">
                  <c:v>-1.4</c:v>
                </c:pt>
                <c:pt idx="14">
                  <c:v>-4.5</c:v>
                </c:pt>
                <c:pt idx="15">
                  <c:v>-0.8</c:v>
                </c:pt>
                <c:pt idx="16">
                  <c:v>-3.3</c:v>
                </c:pt>
                <c:pt idx="17">
                  <c:v>-10.8</c:v>
                </c:pt>
                <c:pt idx="18">
                  <c:v>-5.6</c:v>
                </c:pt>
                <c:pt idx="19">
                  <c:v>-10.6</c:v>
                </c:pt>
                <c:pt idx="20">
                  <c:v>-8.9</c:v>
                </c:pt>
                <c:pt idx="21">
                  <c:v>-6.9</c:v>
                </c:pt>
                <c:pt idx="22">
                  <c:v>-6.4</c:v>
                </c:pt>
                <c:pt idx="23">
                  <c:v>-6.5</c:v>
                </c:pt>
                <c:pt idx="24">
                  <c:v>-4.5999999999999996</c:v>
                </c:pt>
                <c:pt idx="25">
                  <c:v>-3.6</c:v>
                </c:pt>
                <c:pt idx="26" formatCode="#\ ##0.0">
                  <c:v>-7</c:v>
                </c:pt>
                <c:pt idx="27">
                  <c:v>-9.4</c:v>
                </c:pt>
                <c:pt idx="28">
                  <c:v>-11.1</c:v>
                </c:pt>
              </c:numCache>
            </c:numRef>
          </c:val>
          <c:smooth val="0"/>
          <c:extLst>
            <c:ext xmlns:c16="http://schemas.microsoft.com/office/drawing/2014/chart" uri="{C3380CC4-5D6E-409C-BE32-E72D297353CC}">
              <c16:uniqueId val="{00000004-272B-4DAE-A39D-FB4DCDFD4506}"/>
            </c:ext>
          </c:extLst>
        </c:ser>
        <c:ser>
          <c:idx val="3"/>
          <c:order val="5"/>
          <c:tx>
            <c:strRef>
              <c:f>'G3-Sektor vlád.institucí'!$Z$109</c:f>
              <c:strCache>
                <c:ptCount val="1"/>
                <c:pt idx="0">
                  <c:v>Německo</c:v>
                </c:pt>
              </c:strCache>
            </c:strRef>
          </c:tx>
          <c:spPr>
            <a:ln w="15875">
              <a:solidFill>
                <a:srgbClr val="7030A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vlád.institucí'!$AA$109:$BC$109</c:f>
              <c:numCache>
                <c:formatCode>#\ ##0.##########</c:formatCode>
                <c:ptCount val="29"/>
                <c:pt idx="0">
                  <c:v>1.1000000000000001</c:v>
                </c:pt>
                <c:pt idx="1">
                  <c:v>0.9</c:v>
                </c:pt>
                <c:pt idx="2">
                  <c:v>0.5</c:v>
                </c:pt>
                <c:pt idx="3">
                  <c:v>2.1</c:v>
                </c:pt>
                <c:pt idx="4">
                  <c:v>1.6</c:v>
                </c:pt>
                <c:pt idx="5">
                  <c:v>0.4</c:v>
                </c:pt>
                <c:pt idx="6">
                  <c:v>1.5</c:v>
                </c:pt>
                <c:pt idx="7">
                  <c:v>1.8</c:v>
                </c:pt>
                <c:pt idx="8">
                  <c:v>2.5</c:v>
                </c:pt>
                <c:pt idx="9">
                  <c:v>2.6</c:v>
                </c:pt>
                <c:pt idx="10">
                  <c:v>1.6</c:v>
                </c:pt>
                <c:pt idx="11">
                  <c:v>1.1000000000000001</c:v>
                </c:pt>
                <c:pt idx="12">
                  <c:v>2.4</c:v>
                </c:pt>
                <c:pt idx="13">
                  <c:v>2.1</c:v>
                </c:pt>
                <c:pt idx="14">
                  <c:v>0.60000000000000042</c:v>
                </c:pt>
                <c:pt idx="15">
                  <c:v>1.1000000000000001</c:v>
                </c:pt>
                <c:pt idx="16">
                  <c:v>0.7000000000000004</c:v>
                </c:pt>
                <c:pt idx="17">
                  <c:v>-8.3000000000000007</c:v>
                </c:pt>
                <c:pt idx="18">
                  <c:v>-5.9</c:v>
                </c:pt>
                <c:pt idx="19">
                  <c:v>-4.2</c:v>
                </c:pt>
                <c:pt idx="20">
                  <c:v>-4.5999999999999996</c:v>
                </c:pt>
                <c:pt idx="21">
                  <c:v>-5.5</c:v>
                </c:pt>
                <c:pt idx="22">
                  <c:v>-3.2</c:v>
                </c:pt>
                <c:pt idx="23">
                  <c:v>-1.8</c:v>
                </c:pt>
                <c:pt idx="24">
                  <c:v>-0.9</c:v>
                </c:pt>
                <c:pt idx="25">
                  <c:v>-1.1000000000000001</c:v>
                </c:pt>
                <c:pt idx="26">
                  <c:v>-5.4</c:v>
                </c:pt>
                <c:pt idx="27">
                  <c:v>-3.5</c:v>
                </c:pt>
                <c:pt idx="28">
                  <c:v>-2.2000000000000002</c:v>
                </c:pt>
              </c:numCache>
            </c:numRef>
          </c:val>
          <c:smooth val="0"/>
          <c:extLst>
            <c:ext xmlns:c16="http://schemas.microsoft.com/office/drawing/2014/chart" uri="{C3380CC4-5D6E-409C-BE32-E72D297353CC}">
              <c16:uniqueId val="{00000005-272B-4DAE-A39D-FB4DCDFD4506}"/>
            </c:ext>
          </c:extLst>
        </c:ser>
        <c:ser>
          <c:idx val="4"/>
          <c:order val="6"/>
          <c:tx>
            <c:strRef>
              <c:f>'G3-Sektor vlád.institucí'!$Z$110</c:f>
              <c:strCache>
                <c:ptCount val="1"/>
                <c:pt idx="0">
                  <c:v>Rakousko</c:v>
                </c:pt>
              </c:strCache>
            </c:strRef>
          </c:tx>
          <c:spPr>
            <a:ln w="15875">
              <a:solidFill>
                <a:srgbClr val="00B0F0"/>
              </a:solidFill>
              <a:prstDash val="sysDash"/>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vlád.institucí'!$AA$110:$BC$110</c:f>
              <c:numCache>
                <c:formatCode>#\ ##0.##########</c:formatCode>
                <c:ptCount val="29"/>
                <c:pt idx="0">
                  <c:v>-1.6</c:v>
                </c:pt>
                <c:pt idx="1">
                  <c:v>-0.8</c:v>
                </c:pt>
                <c:pt idx="2">
                  <c:v>-1.2</c:v>
                </c:pt>
                <c:pt idx="3">
                  <c:v>-2.5</c:v>
                </c:pt>
                <c:pt idx="4">
                  <c:v>-0.2</c:v>
                </c:pt>
                <c:pt idx="5">
                  <c:v>-1.8</c:v>
                </c:pt>
                <c:pt idx="6">
                  <c:v>-0.5</c:v>
                </c:pt>
                <c:pt idx="7">
                  <c:v>-0.7000000000000004</c:v>
                </c:pt>
                <c:pt idx="8">
                  <c:v>0.7000000000000004</c:v>
                </c:pt>
                <c:pt idx="9">
                  <c:v>0.2</c:v>
                </c:pt>
                <c:pt idx="10" formatCode="#\ ##0.0">
                  <c:v>0</c:v>
                </c:pt>
                <c:pt idx="11">
                  <c:v>-0.2</c:v>
                </c:pt>
                <c:pt idx="12">
                  <c:v>-0.1</c:v>
                </c:pt>
                <c:pt idx="13">
                  <c:v>0.7000000000000004</c:v>
                </c:pt>
                <c:pt idx="14">
                  <c:v>0.4</c:v>
                </c:pt>
                <c:pt idx="15">
                  <c:v>1.2</c:v>
                </c:pt>
                <c:pt idx="16">
                  <c:v>-0.2</c:v>
                </c:pt>
                <c:pt idx="17">
                  <c:v>-13.7</c:v>
                </c:pt>
                <c:pt idx="18">
                  <c:v>-7.6</c:v>
                </c:pt>
                <c:pt idx="19">
                  <c:v>-11.1</c:v>
                </c:pt>
                <c:pt idx="20">
                  <c:v>-11.7</c:v>
                </c:pt>
                <c:pt idx="21">
                  <c:v>-7.6</c:v>
                </c:pt>
                <c:pt idx="22">
                  <c:v>-2.5</c:v>
                </c:pt>
                <c:pt idx="23">
                  <c:v>-1.9000000000000001</c:v>
                </c:pt>
                <c:pt idx="24">
                  <c:v>-2.4</c:v>
                </c:pt>
                <c:pt idx="25">
                  <c:v>-0.4</c:v>
                </c:pt>
                <c:pt idx="26">
                  <c:v>-5.2</c:v>
                </c:pt>
                <c:pt idx="27">
                  <c:v>-4.5999999999999996</c:v>
                </c:pt>
                <c:pt idx="28">
                  <c:v>-2.6</c:v>
                </c:pt>
              </c:numCache>
            </c:numRef>
          </c:val>
          <c:smooth val="0"/>
          <c:extLst>
            <c:ext xmlns:c16="http://schemas.microsoft.com/office/drawing/2014/chart" uri="{C3380CC4-5D6E-409C-BE32-E72D297353CC}">
              <c16:uniqueId val="{00000006-272B-4DAE-A39D-FB4DCDFD4506}"/>
            </c:ext>
          </c:extLst>
        </c:ser>
        <c:ser>
          <c:idx val="5"/>
          <c:order val="7"/>
          <c:tx>
            <c:strRef>
              <c:f>'G3-Sektor vlád.institucí'!$Z$111</c:f>
              <c:strCache>
                <c:ptCount val="1"/>
                <c:pt idx="0">
                  <c:v>Dánsko</c:v>
                </c:pt>
              </c:strCache>
            </c:strRef>
          </c:tx>
          <c:spPr>
            <a:ln w="15875">
              <a:solidFill>
                <a:schemeClr val="tx1">
                  <a:lumMod val="50000"/>
                  <a:lumOff val="50000"/>
                </a:schemeClr>
              </a:solidFill>
              <a:prstDash val="solid"/>
            </a:ln>
          </c:spPr>
          <c:marker>
            <c:symbol val="none"/>
          </c:marker>
          <c:cat>
            <c:multiLvlStrRef>
              <c:f>'G3-Sektor vlád.institucí'!$AA$102:$BC$103</c:f>
              <c:multiLvlStrCache>
                <c:ptCount val="2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lvl>
                <c:lvl>
                  <c:pt idx="0">
                    <c:v>2016</c:v>
                  </c:pt>
                  <c:pt idx="4">
                    <c:v>2017</c:v>
                  </c:pt>
                  <c:pt idx="8">
                    <c:v>2018</c:v>
                  </c:pt>
                  <c:pt idx="12">
                    <c:v>2019</c:v>
                  </c:pt>
                  <c:pt idx="16">
                    <c:v>2020</c:v>
                  </c:pt>
                  <c:pt idx="20">
                    <c:v>2021</c:v>
                  </c:pt>
                  <c:pt idx="24">
                    <c:v>2022</c:v>
                  </c:pt>
                  <c:pt idx="28">
                    <c:v>2023</c:v>
                  </c:pt>
                </c:lvl>
              </c:multiLvlStrCache>
            </c:multiLvlStrRef>
          </c:cat>
          <c:val>
            <c:numRef>
              <c:f>'G3-Sektor vlád.institucí'!$AA$111:$BC$111</c:f>
              <c:numCache>
                <c:formatCode>#\ ##0.##########</c:formatCode>
                <c:ptCount val="29"/>
                <c:pt idx="0">
                  <c:v>-0.4</c:v>
                </c:pt>
                <c:pt idx="1">
                  <c:v>-0.60000000000000042</c:v>
                </c:pt>
                <c:pt idx="2">
                  <c:v>-0.4</c:v>
                </c:pt>
                <c:pt idx="3">
                  <c:v>0.60000000000000042</c:v>
                </c:pt>
                <c:pt idx="4">
                  <c:v>2.2000000000000002</c:v>
                </c:pt>
                <c:pt idx="5">
                  <c:v>1.3</c:v>
                </c:pt>
                <c:pt idx="6">
                  <c:v>1.7</c:v>
                </c:pt>
                <c:pt idx="7" formatCode="#\ ##0.0">
                  <c:v>2</c:v>
                </c:pt>
                <c:pt idx="8">
                  <c:v>1.1000000000000001</c:v>
                </c:pt>
                <c:pt idx="9">
                  <c:v>1.2</c:v>
                </c:pt>
                <c:pt idx="10">
                  <c:v>1.7</c:v>
                </c:pt>
                <c:pt idx="11">
                  <c:v>-0.1</c:v>
                </c:pt>
                <c:pt idx="12">
                  <c:v>5.5</c:v>
                </c:pt>
                <c:pt idx="13">
                  <c:v>4.9000000000000004</c:v>
                </c:pt>
                <c:pt idx="14">
                  <c:v>3.3</c:v>
                </c:pt>
                <c:pt idx="15">
                  <c:v>3.1</c:v>
                </c:pt>
                <c:pt idx="16">
                  <c:v>1.8</c:v>
                </c:pt>
                <c:pt idx="17">
                  <c:v>-1.5</c:v>
                </c:pt>
                <c:pt idx="18">
                  <c:v>0.2</c:v>
                </c:pt>
                <c:pt idx="19">
                  <c:v>1.7</c:v>
                </c:pt>
                <c:pt idx="20">
                  <c:v>3.9</c:v>
                </c:pt>
                <c:pt idx="21">
                  <c:v>4.7</c:v>
                </c:pt>
                <c:pt idx="22">
                  <c:v>4.7</c:v>
                </c:pt>
                <c:pt idx="23">
                  <c:v>3.4</c:v>
                </c:pt>
                <c:pt idx="24">
                  <c:v>3.7</c:v>
                </c:pt>
                <c:pt idx="25">
                  <c:v>3.6</c:v>
                </c:pt>
                <c:pt idx="26">
                  <c:v>2.8</c:v>
                </c:pt>
                <c:pt idx="27">
                  <c:v>3.4</c:v>
                </c:pt>
                <c:pt idx="28" formatCode="#\ ##0.0">
                  <c:v>3</c:v>
                </c:pt>
              </c:numCache>
            </c:numRef>
          </c:val>
          <c:smooth val="0"/>
          <c:extLst>
            <c:ext xmlns:c16="http://schemas.microsoft.com/office/drawing/2014/chart" uri="{C3380CC4-5D6E-409C-BE32-E72D297353CC}">
              <c16:uniqueId val="{00000007-272B-4DAE-A39D-FB4DCDFD4506}"/>
            </c:ext>
          </c:extLst>
        </c:ser>
        <c:dLbls>
          <c:showLegendKey val="0"/>
          <c:showVal val="0"/>
          <c:showCatName val="0"/>
          <c:showSerName val="0"/>
          <c:showPercent val="0"/>
          <c:showBubbleSize val="0"/>
        </c:dLbls>
        <c:marker val="1"/>
        <c:smooth val="0"/>
        <c:axId val="97374208"/>
        <c:axId val="97375744"/>
      </c:lineChart>
      <c:catAx>
        <c:axId val="9737420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0"/>
          <a:lstStyle/>
          <a:p>
            <a:pPr>
              <a:defRPr/>
            </a:pPr>
            <a:endParaRPr lang="cs-CZ"/>
          </a:p>
        </c:txPr>
        <c:crossAx val="97375744"/>
        <c:crosses val="autoZero"/>
        <c:auto val="1"/>
        <c:lblAlgn val="ctr"/>
        <c:lblOffset val="0"/>
        <c:noMultiLvlLbl val="0"/>
      </c:catAx>
      <c:valAx>
        <c:axId val="97375744"/>
        <c:scaling>
          <c:orientation val="minMax"/>
          <c:max val="6"/>
          <c:min val="-18"/>
        </c:scaling>
        <c:delete val="0"/>
        <c:axPos val="l"/>
        <c:majorGridlines>
          <c:spPr>
            <a:ln w="6350">
              <a:solidFill>
                <a:schemeClr val="bg1">
                  <a:lumMod val="75000"/>
                </a:schemeClr>
              </a:solidFill>
            </a:ln>
          </c:spPr>
        </c:majorGridlines>
        <c:numFmt formatCode="0" sourceLinked="0"/>
        <c:majorTickMark val="out"/>
        <c:minorTickMark val="none"/>
        <c:tickLblPos val="nextTo"/>
        <c:spPr>
          <a:ln w="6350">
            <a:solidFill>
              <a:schemeClr val="tx1"/>
            </a:solidFill>
          </a:ln>
        </c:spPr>
        <c:crossAx val="97374208"/>
        <c:crosses val="autoZero"/>
        <c:crossBetween val="between"/>
        <c:majorUnit val="3"/>
      </c:valAx>
      <c:spPr>
        <a:ln w="6350">
          <a:solidFill>
            <a:schemeClr val="tx1"/>
          </a:solidFill>
        </a:ln>
      </c:spPr>
    </c:plotArea>
    <c:legend>
      <c:legendPos val="b"/>
      <c:layout>
        <c:manualLayout>
          <c:xMode val="edge"/>
          <c:yMode val="edge"/>
          <c:x val="4.9782696428552584E-2"/>
          <c:y val="0.89790244414461118"/>
          <c:w val="0.92600302307771343"/>
          <c:h val="9.4064682258848537E-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3" ma:contentTypeDescription="Vytvoří nový dokument" ma:contentTypeScope="" ma:versionID="3072f6f3e77686ec6964bf5712aff85a">
  <xsd:schema xmlns:xsd="http://www.w3.org/2001/XMLSchema" xmlns:xs="http://www.w3.org/2001/XMLSchema" xmlns:p="http://schemas.microsoft.com/office/2006/metadata/properties" xmlns:ns2="eabc42bd-08fe-4a27-9645-04f6ad96d74a" targetNamespace="http://schemas.microsoft.com/office/2006/metadata/properties" ma:root="true" ma:fieldsID="572e7ed591a9b745512fd70b2662d46d" ns2:_="">
    <xsd:import namespace="eabc42bd-08fe-4a27-9645-04f6ad96d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CFD8-CD6F-4E0C-A345-781C95A8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4.xml><?xml version="1.0" encoding="utf-8"?>
<ds:datastoreItem xmlns:ds="http://schemas.openxmlformats.org/officeDocument/2006/customXml" ds:itemID="{363E81F2-51E9-43FD-90FD-A9726BF294A4}">
  <ds:schemaRefs>
    <ds:schemaRef ds:uri="http://schemas.openxmlformats.org/officeDocument/2006/bibliography"/>
  </ds:schemaRefs>
</ds:datastoreItem>
</file>

<file path=customXml/itemProps5.xml><?xml version="1.0" encoding="utf-8"?>
<ds:datastoreItem xmlns:ds="http://schemas.openxmlformats.org/officeDocument/2006/customXml" ds:itemID="{CF52A544-5C60-455E-AA3D-2E558CB4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0</TotalTime>
  <Pages>6</Pages>
  <Words>2916</Words>
  <Characters>17211</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3</cp:revision>
  <cp:lastPrinted>2023-06-09T17:23:00Z</cp:lastPrinted>
  <dcterms:created xsi:type="dcterms:W3CDTF">2023-09-14T08:51:00Z</dcterms:created>
  <dcterms:modified xsi:type="dcterms:W3CDTF">2023-09-14T09:40:00Z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