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57CF" w14:textId="7CAD0B4B" w:rsidR="001E1AF1" w:rsidRPr="009110F7" w:rsidRDefault="001E1AF1" w:rsidP="001E1AF1">
      <w:pPr>
        <w:pStyle w:val="Nadpis11"/>
      </w:pPr>
      <w:bookmarkStart w:id="0" w:name="_Toc121993822"/>
      <w:bookmarkStart w:id="1" w:name="_Toc145318534"/>
      <w:bookmarkStart w:id="2" w:name="_Toc153531177"/>
      <w:r>
        <w:t>5. Ceny</w:t>
      </w:r>
      <w:bookmarkEnd w:id="1"/>
      <w:bookmarkEnd w:id="2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4"/>
        <w:gridCol w:w="224"/>
        <w:gridCol w:w="7611"/>
      </w:tblGrid>
      <w:tr w:rsidR="001E1AF1" w:rsidRPr="009110F7" w14:paraId="41A3CC19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3077CBD" w14:textId="77777777" w:rsidR="001E1AF1" w:rsidRPr="00793D78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celkové cenové hladiny ve 3. čtvrtletí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1491EA6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7D29A4CA" w14:textId="77777777" w:rsidR="001E1AF1" w:rsidRPr="00793D78" w:rsidRDefault="001E1AF1" w:rsidP="00D26E6B">
            <w:pPr>
              <w:rPr>
                <w:szCs w:val="20"/>
              </w:rPr>
            </w:pPr>
            <w:r>
              <w:rPr>
                <w:szCs w:val="20"/>
              </w:rPr>
              <w:t>Celková cenová hladina měřená deflátorem HDP se ve 3. čtvrtletí meziročně zvýšila o 7,4 %. Jde o znatelný propad tempa ve srovnání s předchozími dvěma kvartály, kdy cenová hladina vzrostla o více než desetinu. Deflátor výdajů na spotřebu ukázal na meziroční nárůst o 6,9 %, přičemž statky, které spotřebovávaly domácnosti, byly dražší o 7,4 % a vládní spotřeba o 6,0 %. Cenová hladina u kapitálových výdajů meziročně vzrostla o 0,7 %, z toho samotné investiční statky zdražily o 4,2 %. Meziroční směnné relace dosáhly 103,7 %. Výrazně pozitivní byly směnné relace zahraničního obchodu se zbožím (3,8 %) i službami (2,8 %). Mezičtvrtletně se celková cenová hladina zvýšila o 0,8 %, z toho přírůstek u spotřebních statků dosáhl 0,8 %, u výdajů na tvorbu hrubého kapitálu 0,6 % a mezičtvrtletní směnné relace dosáhly 100,2 %.</w:t>
            </w:r>
          </w:p>
        </w:tc>
      </w:tr>
      <w:tr w:rsidR="001E1AF1" w:rsidRPr="009110F7" w14:paraId="0B992DF2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43D9B885" w14:textId="77777777" w:rsidR="001E1AF1" w:rsidRPr="00793D78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dál zpomaloval.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2888D34" w14:textId="77777777" w:rsidR="001E1AF1" w:rsidRPr="00793D78" w:rsidRDefault="001E1AF1" w:rsidP="00D26E6B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B9DB0ED" w14:textId="77777777" w:rsidR="001E1AF1" w:rsidRPr="000316FC" w:rsidRDefault="001E1AF1" w:rsidP="00D26E6B">
            <w:r>
              <w:t>Index spotřebitelských cen ve 3. čtvrtletí 2023 meziročně vzrostl o 8,0 %. Šlo o další zpomalení tempa a nejmírnější přírůstek od 4. čtvrtletí 2021. Zmírnění meziroční dynamiky opět nejvíce ovlivňoval vývoj cen potravin a nealkoholických nápojů a bydlení, vody, energie a paliv. Ve srovnání s 2. čtvrtletím se ale zmírnilo také proinflační působení cen bytového vybavení a zařízení domácnosti a oprav, rekreací a kultury, stravování a ubytování nebo ostatního zboží a služeb</w:t>
            </w:r>
            <w:r>
              <w:rPr>
                <w:rStyle w:val="Znakapoznpodarou"/>
              </w:rPr>
              <w:footnoteReference w:id="1"/>
            </w:r>
            <w:r>
              <w:t>. K celkovému meziročnímu růstu spotřebitelských cen nadále nejvíce přispívalo bydlení a energie, potraviny a nealkoholické nápoje, rekreace a kultura a stravování a ubytování. Ve směru meziročního poklesu působily jen ceny dopravy. Ceny zboží meziročně vzrostly úhrnem o 8,6 % a služeb o 7,1 %. Mezičtvrtletně se spotřebitelské ceny ve 3. kvartálu zvýšily o 0,7 %, což představuje mírné posílení tempa.</w:t>
            </w:r>
          </w:p>
        </w:tc>
      </w:tr>
      <w:tr w:rsidR="001E1AF1" w:rsidRPr="009110F7" w14:paraId="6E914512" w14:textId="77777777" w:rsidTr="08AB0269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0E845916" w14:textId="77777777" w:rsidR="001E1AF1" w:rsidRDefault="001E1AF1" w:rsidP="00D26E6B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065A4F01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1957AB5" w14:textId="77777777" w:rsidR="001E1AF1" w:rsidRDefault="001E1AF1" w:rsidP="00D26E6B">
            <w:pPr>
              <w:spacing w:after="0"/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č. 10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1E1AF1" w:rsidRPr="009110F7" w14:paraId="06FA6695" w14:textId="77777777" w:rsidTr="08AB026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5613C324" w14:textId="77777777" w:rsidR="001E1AF1" w:rsidRDefault="001E1AF1" w:rsidP="00D26E6B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4F3222CE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516E13CC" w14:textId="77777777" w:rsidR="001E1AF1" w:rsidRDefault="001E1AF1" w:rsidP="00D26E6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9005251" wp14:editId="0C62C804">
                  <wp:extent cx="4737600" cy="3553200"/>
                  <wp:effectExtent l="0" t="0" r="6350" b="0"/>
                  <wp:docPr id="8" name="Graf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E1AF1" w:rsidRPr="009110F7" w14:paraId="728E36C2" w14:textId="77777777" w:rsidTr="08AB0269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4F3E2411" w14:textId="77777777" w:rsidR="001E1AF1" w:rsidRDefault="001E1AF1" w:rsidP="00D26E6B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1DFA7406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C41C779" w14:textId="77777777" w:rsidR="001E1AF1" w:rsidRDefault="001E1AF1" w:rsidP="00D26E6B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1E1AF1" w:rsidRPr="009110F7" w14:paraId="3A04266E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54D7AD75" w14:textId="77777777" w:rsidR="001E1AF1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Růst cen bydlení </w:t>
            </w:r>
            <w:r>
              <w:rPr>
                <w:spacing w:val="0"/>
              </w:rPr>
              <w:br/>
              <w:t>a energií zpomalil pod vlivem mírnějšího navýšení cen energií.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1263A71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29CF231" w14:textId="77777777" w:rsidR="001E1AF1" w:rsidRDefault="001E1AF1" w:rsidP="00D26E6B">
            <w:r>
              <w:t xml:space="preserve">Meziroční růst cen bydlení a energií ve 3. čtvrtletí zpomalil na 11,6 %. Hlavním důvodem byla vysoká srovnávací základna loňského roku. Nejvíce ke zpomalení přispělo zmírnění meziročního navýšení cen elektrické a tepelné energie, plynu a paliv </w:t>
            </w:r>
            <w:r>
              <w:lastRenderedPageBreak/>
              <w:t>na 24,7 %. Mírnější byl i růst nákladů na běžnou údržbu a drobné opravy bytu (8,2 %) i imputovaného nájemného</w:t>
            </w:r>
            <w:r>
              <w:rPr>
                <w:rStyle w:val="Znakapoznpodarou"/>
              </w:rPr>
              <w:footnoteReference w:id="2"/>
            </w:r>
            <w:r>
              <w:t xml:space="preserve"> (0,4 %). Ceny ostatních služeb souvisejících s bydlením si udržovaly stabilně silné tempo růstu (15,3 %). Posílil meziroční růst cen nájemného z bytu (7,7 %). Ceny bydlení a energií ve 3. kvartálu mezičtvrtletně vzrostly o 0,4 %.</w:t>
            </w:r>
          </w:p>
        </w:tc>
      </w:tr>
      <w:tr w:rsidR="001E1AF1" w:rsidRPr="009110F7" w14:paraId="05C700BA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4C4321A0" w14:textId="77777777" w:rsidR="001E1AF1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Růst cen potravin </w:t>
            </w:r>
            <w:r>
              <w:rPr>
                <w:spacing w:val="0"/>
              </w:rPr>
              <w:br/>
              <w:t>a nealkoholických nápojů výrazně zbrzdil.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66DE4E5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00F30301" w14:textId="483E8FE5" w:rsidR="001E1AF1" w:rsidRDefault="001E1AF1" w:rsidP="008B02E7">
            <w:r>
              <w:t>Ceny potravin a nealkoholických nápojů ve 3. čtvrtletí meziročně vzrostly o 7,8 %. Tempo tak opět výrazně zpomalilo. Znatelně též zpomalil meziroční přírůstek cen mléka, sýrů a vajec (ze 17,4 % na 4,0 %) a masa (z 8,6 % na 2,5 %). Mírnější, ale stále vysoký byl růst cen cukru, marmelády, medu, čokolády, cukrovinek a cukrářských výrobků (15,8 %), ostatních potravinářských výrobků (12,2 %), pekárenských výrobků a obilovin (10,4 %) a ovoce (9,0 %). Do výrazného meziročního poklesu se dostaly ceny olejů a tuků (−10,8 %). Dál mírně posílil předtím vysoký meziroční růst cen zeleniny (24,6 %). Ceny potravin a nealkoholických nápojů mezičtvrtletně klesly o</w:t>
            </w:r>
            <w:r w:rsidR="008B02E7">
              <w:t> </w:t>
            </w:r>
            <w:r>
              <w:t>1,6 %. Stabilně silný příspěvek k meziročnímu růstu cen mají ceny alkoholických nápojů a tabáku, jejichž dynamika ve 3. čtvrtletí posílila na 7,2 %. Mezičtvrtletně se ceny alkoholických nápojů a tabáku zvýšily o 1,8 %.</w:t>
            </w:r>
          </w:p>
        </w:tc>
      </w:tr>
      <w:tr w:rsidR="001E1AF1" w:rsidRPr="009110F7" w14:paraId="268CC72A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E739E5D" w14:textId="77777777" w:rsidR="001E1AF1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Postupně zpomaluje meziroční růst cen služeb.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48F1CFF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15860F8" w14:textId="77777777" w:rsidR="001E1AF1" w:rsidRDefault="001E1AF1" w:rsidP="00D26E6B">
            <w:r>
              <w:t xml:space="preserve">Ve 3. čtvrtletí zmírnil meziroční růst cen stravování a ubytování na 11,6 %, a to pod vlivem vývoje u stravovacích (11,5 %) i ubytovacích služeb (13,0 %). Mezičtvrtletně se ceny stravování a ubytování zvýšily o 1,8 %. Podobně zmírnila meziroční dynamika u cen rekreací a kultury (9,7 %). Méně zdražovaly dovolené s komplexními službami (13,5 %) i ostatní rekreační vybavení; květiny, zahrady a domácí zvířata (9,4 %). Mezičtvrtletně rekreace a kultura zdražily o výrazných 5,2 %. Ceny ostatního zboží a služeb se meziročně zvýšily o 8,0 % a mezičtvrtletně stagnovaly (−0,1 %). Ceny vzdělávání meziročně vzrostly o 7,0 % a mezičtvrtletně o 2,0 %. Ceny zdraví byly meziročně vyšší o 8,9 % a mezičtvrtletně o 1,0 %. Ceny pošt a telekomunikací byly meziročně vyšší o 4,7 % (posílil zejména růst cen poštovních služeb na 21,3 %) a mezičtvrtletně vzrostly o 1,2 %. </w:t>
            </w:r>
          </w:p>
        </w:tc>
      </w:tr>
      <w:tr w:rsidR="001E1AF1" w:rsidRPr="009110F7" w14:paraId="352C9734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1C14B29" w14:textId="77777777" w:rsidR="001E1AF1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odívání a obuvi nadále silně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F6D2082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48851968" w14:textId="77777777" w:rsidR="001E1AF1" w:rsidRDefault="001E1AF1" w:rsidP="00D26E6B">
            <w:r>
              <w:t xml:space="preserve">Ve 3. čtvrtletí se od sebe odchýlil vývoj cen odívání a obuvi a bytového vybavení a zařízení domácnosti a oprav. V minulých letech pod vlivem zdražení dopravy i materiálů a také pod tlakem rostoucí postpandemické poptávky značně posilovaly ceny v obou oddílech. Zatímco ceny oděvů a obuvi ve 3. čtvrtletí dál silně meziročně rostly (10,4 %) a mezičtvrtletně se zvýšily o 0,3 %, přírůstek cen bytového vybavení </w:t>
            </w:r>
            <w:r>
              <w:br/>
              <w:t>a zařízení a oprav oslabil na 5,2 % a mezičtvrtletně zde došlo k poklesu o 1,0 %.</w:t>
            </w:r>
          </w:p>
        </w:tc>
      </w:tr>
      <w:tr w:rsidR="001E1AF1" w:rsidRPr="009110F7" w14:paraId="2A393105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AB1795D" w14:textId="77777777" w:rsidR="001E1AF1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Jediným oddílem spotřebitelského koše, kde ceny klesaly, byla doprava.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589A599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CA2BCFF" w14:textId="77777777" w:rsidR="001E1AF1" w:rsidRDefault="001E1AF1" w:rsidP="00D26E6B">
            <w:r>
              <w:t xml:space="preserve">Ceny dopravy byly ve 3. čtvrtletí meziročně nižší o 2,4 % a pokles se tak zmírnil. Důvodem byl zejména méně výrazný propad nákladů na provoz osobních dopravních prostředků (4,7 %). Mírnější byl meziroční růst cen dopravních služeb (9,7 %). Do meziročního poklesu se dostaly ceny nákupů automobilů, motocyklů a jízdních kol (−2,3 %). Ceny dopravy mezičtvrtletně vzrostly o 2,0 % </w:t>
            </w:r>
          </w:p>
        </w:tc>
      </w:tr>
      <w:tr w:rsidR="001E1AF1" w:rsidRPr="009110F7" w14:paraId="6538D227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6F1A5100" w14:textId="77777777" w:rsidR="001E1AF1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spotřebitelských cen v EU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FA25214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7133A473" w14:textId="77777777" w:rsidR="001E1AF1" w:rsidRDefault="001E1AF1" w:rsidP="00D26E6B">
            <w:r>
              <w:t>Meziroční přírůstek harmonizovaného indexu spotřebitelských cen (HICP)</w:t>
            </w:r>
            <w:r>
              <w:rPr>
                <w:rStyle w:val="Znakapoznpodarou"/>
              </w:rPr>
              <w:footnoteReference w:id="3"/>
            </w:r>
            <w:r>
              <w:t xml:space="preserve"> v EU ve 3. čtvrtletí zpomalil na 5,7 %. Ke zpomalení přispěl zejména vývoj u cen potravin a nealkoholických nápojů (zpomalení na 10,8 %) a dále bydlení a energií (0,7 %). Mezičtvrtletně se spotřebitelské ceny v EU ve 3. čtvrtletí zvýšily o 0,6 %. Nejvíce přitom rostly ceny rekreací a kultury (2,8 %), stravování a ubytování (2,6 %) a dopravy (1,9 %). Mezičtvrtletně nižší byly v EU ceny oděvů a obuvi (−7,0 %), pošt a telekomunikací (−0,5 %) a shodně o 0,1 % klesly ceny potravin a nealkoholických nápojů a bydlení a energií. Nejsilnější meziroční přírůstek HICP ve 3. čtvrtletí vykázaly Maďarsko </w:t>
            </w:r>
            <w:r>
              <w:lastRenderedPageBreak/>
              <w:t xml:space="preserve">(14,6 %), Slovensko (9,6 %) a Česko (9,5 %). Nejmírněji rostly ceny v Belgii (1,6 %), Dánsku (2,0 %) a Španělsku (2,6 %). V případě mezičtvrtletního růstu HICP vedly žebříček Chorvatsko (2,5 %), Kypr (2,5 %) a Malta (2,0 %). Ceny se mezičtvrtletně snížily v Itálii (−0,7 %), Finsku (−0,3 %) a v Lotyšsku, Litvě a Polsku (shodně o 0,2 %).       </w:t>
            </w:r>
          </w:p>
        </w:tc>
      </w:tr>
      <w:tr w:rsidR="001E1AF1" w:rsidRPr="009110F7" w14:paraId="647C7D51" w14:textId="77777777" w:rsidTr="08AB0269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4FE2FE1B" w14:textId="77777777" w:rsidR="001E1AF1" w:rsidRDefault="001E1AF1" w:rsidP="00D26E6B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523B26C7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424B7962" w14:textId="77777777" w:rsidR="001E1AF1" w:rsidRDefault="001E1AF1" w:rsidP="00D26E6B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11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 Ceny nemovitostí </w:t>
            </w:r>
            <w:r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1E1AF1" w:rsidRPr="009110F7" w14:paraId="7C0A616A" w14:textId="77777777" w:rsidTr="08AB026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16E068AA" w14:textId="77777777" w:rsidR="001E1AF1" w:rsidRDefault="001E1AF1" w:rsidP="00D26E6B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3A1C0C3D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610E48C4" w14:textId="77777777" w:rsidR="001E1AF1" w:rsidRDefault="001E1AF1" w:rsidP="00D26E6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4A00C15" wp14:editId="4AFC582C">
                  <wp:extent cx="4737600" cy="3553200"/>
                  <wp:effectExtent l="0" t="0" r="6350" b="0"/>
                  <wp:docPr id="12" name="Graf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E1AF1" w:rsidRPr="009110F7" w14:paraId="5023946A" w14:textId="77777777" w:rsidTr="08AB0269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35481406" w14:textId="77777777" w:rsidR="001E1AF1" w:rsidRDefault="001E1AF1" w:rsidP="00D26E6B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2934EF0A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EC329B2" w14:textId="77777777" w:rsidR="001E1AF1" w:rsidRDefault="001E1AF1" w:rsidP="00D26E6B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1E1AF1" w:rsidRPr="009110F7" w14:paraId="3C77AF8D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0017F01" w14:textId="77777777" w:rsidR="001E1AF1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bytů ve 3. čtvrtletí meziročně klesaly.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471EA55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13795B9" w14:textId="32CD3A34" w:rsidR="001E1AF1" w:rsidRDefault="001E1AF1" w:rsidP="00D26E6B">
            <w:r>
              <w:t>Ve 3. čtvrtletí 2023 pokračoval pokles nabídkových cen bytů. Celkově v ČR klesly nabídkové ceny mezičtvrtletně o 0,3 % a meziročně o 3,3 %. Meziroční pokles nabídkových cen byl hlubší v případě bytů mimo Prahu (−5,2 %), kde také pokračovalo mezičtvrtletní snižování (−0,6 %). V Praze se nabídkové ceny bytů meziročně snížily o 1,6 % a šlo o jejich první meziroční pokles od 1. čtvrtletí 2012. Mezičtvrtletně ale nabídkové ceny bytů v Praze stagnovaly. Realizované ceny starších bytů v posledních čtvrtletích klesají výrazněji než ty nabídkové a ani ve 3. čtvrtletí 2023 se to nezměnilo. Meziroční pokles realizovaných cen starších bytů v ČR se prohloubil na 7,0 % a mezičtvrtletně ceny klesly o 0,3 %. Ceny starších bytů mimo Prahu se meziročně propadly o 7,4 % a mezičtvrtletně o 0,6 %. V Praze trval meziroční pokles realizovaných cen starších bytů (−5,3 %), mezičtvrtletně ale došlo k nárůstu o 0,8 %. Po čtyřech kvartálech mezičtvrtletních poklesů ve 3. čtvrtletí mírně vzrostly realizované ceny nových bytů v Praze (0,3 %), m</w:t>
            </w:r>
            <w:r w:rsidR="00E47C5D">
              <w:t>eziročně ale stále zaostávaly (−</w:t>
            </w:r>
            <w:r>
              <w:t xml:space="preserve">5,7 %).     </w:t>
            </w:r>
          </w:p>
        </w:tc>
      </w:tr>
      <w:tr w:rsidR="001E1AF1" w:rsidRPr="009110F7" w14:paraId="414CA65B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569689CA" w14:textId="77777777" w:rsidR="001E1AF1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cen průmyslových výrobců opět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830F4DB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92E53AB" w14:textId="77777777" w:rsidR="001E1AF1" w:rsidRDefault="001E1AF1" w:rsidP="00D26E6B">
            <w:r>
              <w:t>Meziroční růst cen průmyslových výrobců se ve 3. čtvrtletí dál zmírnil na 1,3 %. Mezičtvrtletně se ceny průmyslových výrobců snížily o 0,4 %. Hlavní podíl na meziročním zpomalení měly ceny výrobků a služeb zpracovatelského průmyslu, jejichž pokles se prohloubil na 2,4 %. Výrazný vliv silné srovnávací základny byl patrný na surovinách a výrobcích silně na nich závislých, jako jsou koks a rafinované ropné výrobky</w:t>
            </w:r>
            <w:r>
              <w:rPr>
                <w:rStyle w:val="Znakapoznpodarou"/>
              </w:rPr>
              <w:footnoteReference w:id="4"/>
            </w:r>
            <w:r>
              <w:t xml:space="preserve">, dřevo a dřevěné výrobky (−19,5 %), chemické látky a přípravky (−18,2 %), základní kovy (−15,2 %) nebo papír a výrobky z něj (−10,4 %). Meziročně nižší byly také ceny textilií (−1,9 %), pryžových a plastových výrobků (−3,0 %), kovodělných výrobků (−1,8 %). Výrazně zpomalil meziroční růst cen ostatních nekovových </w:t>
            </w:r>
            <w:r>
              <w:lastRenderedPageBreak/>
              <w:t xml:space="preserve">minerálních výrobků (10,0 %), tiskařských a nahrávacích služeb (7,4 %), nábytku (3,5 %) a potravinářských výrobků (3,0 %). Jen mírně zpomalil přírůstek cen strojů a zařízení (7,3 %), ostatních dopravních prostředků a zařízení (6,5 %), počítačů, elektronických a optických přístrojů a zařízení (2,4 %). Stabilní byl růst cen nápojů (12,8 %), oprav, údržby a instalace strojů a zařízení (9,6 %), motorových vozidel (3,3 %) a usní a souvisejících výrobků (2,6 %). Mírně posílil meziroční růst cen oděvů (9,4 %), základních farmaceutických výrobků a přípravků (4,9 %) a elektrických zařízení (2,4 %). </w:t>
            </w:r>
          </w:p>
        </w:tc>
      </w:tr>
      <w:tr w:rsidR="001E1AF1" w:rsidRPr="009110F7" w14:paraId="4BA3441A" w14:textId="77777777" w:rsidTr="08AB0269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3496C5BB" w14:textId="77777777" w:rsidR="001E1AF1" w:rsidRDefault="001E1AF1" w:rsidP="00D26E6B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172C5427" w14:textId="77777777" w:rsidR="001E1AF1" w:rsidRPr="00793D78" w:rsidRDefault="001E1AF1" w:rsidP="00D26E6B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AA51F02" w14:textId="77777777" w:rsidR="001E1AF1" w:rsidRPr="00D75AC1" w:rsidRDefault="001E1AF1" w:rsidP="00D26E6B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12</w:t>
            </w:r>
            <w:r w:rsidRPr="00793D78">
              <w:rPr>
                <w:b/>
                <w:sz w:val="18"/>
                <w:szCs w:val="18"/>
              </w:rPr>
              <w:t xml:space="preserve"> </w:t>
            </w:r>
            <w:r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1E1AF1" w:rsidRPr="009110F7" w14:paraId="40B23094" w14:textId="77777777" w:rsidTr="08AB026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51787203" w14:textId="77777777" w:rsidR="001E1AF1" w:rsidRPr="00793D78" w:rsidRDefault="001E1AF1" w:rsidP="00D26E6B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14BAAB65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584DEE0C" w14:textId="77777777" w:rsidR="001E1AF1" w:rsidRPr="00793D78" w:rsidRDefault="001E1AF1" w:rsidP="00D26E6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DCF61F5" wp14:editId="27EDC2E8">
                  <wp:extent cx="4737600" cy="3553200"/>
                  <wp:effectExtent l="0" t="0" r="6350" b="0"/>
                  <wp:docPr id="20" name="Graf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1E1AF1" w:rsidRPr="009110F7" w14:paraId="0DDAADB4" w14:textId="77777777" w:rsidTr="08AB0269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0EFE7F07" w14:textId="77777777" w:rsidR="001E1AF1" w:rsidRPr="00793D78" w:rsidRDefault="001E1AF1" w:rsidP="00D26E6B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545BDA2D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2CDD7BF" w14:textId="77777777" w:rsidR="001E1AF1" w:rsidRPr="00793D78" w:rsidRDefault="001E1AF1" w:rsidP="00D26E6B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1E1AF1" w:rsidRPr="009110F7" w14:paraId="4348B182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19469AC6" w14:textId="77777777" w:rsidR="001E1AF1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těžby a dobývání nadále silně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4AC633D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467F5AD" w14:textId="77777777" w:rsidR="001E1AF1" w:rsidRDefault="001E1AF1" w:rsidP="00D26E6B">
            <w:r>
              <w:t>Ceny těžby a dobývání ve 3. čtvrtletí meziročně vzrostly o 44,5 %, zejména pod vlivem cen černého a hnědého uhlí a lignitu (71,1 %) a ropy a zemního plynu (22,2 %). Meziročně vyšší byly i ceny ostatní těžby a dobývání nerostných surovin (21,0 %), zahrnující zejména stavební materiály. Meziroční růst cen elektřiny, plynu, páry a klimatizovaného vzduchu se zmírnil na 10,5 % a ceny zásobování vodou a služeb souvisejících s odpadními vodami byly vyšší o 16,3 %.</w:t>
            </w:r>
          </w:p>
        </w:tc>
      </w:tr>
      <w:tr w:rsidR="001E1AF1" w:rsidRPr="009110F7" w14:paraId="7B1E2029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56CEA2E4" w14:textId="77777777" w:rsidR="001E1AF1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průmyslových výrobců v EU se meziročně propadly.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04BD66D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086DE606" w14:textId="77777777" w:rsidR="001E1AF1" w:rsidRDefault="001E1AF1" w:rsidP="00D26E6B">
            <w:r>
              <w:t>Ceny průmyslových výrobců v EU</w:t>
            </w:r>
            <w:r>
              <w:rPr>
                <w:rStyle w:val="Znakapoznpodarou"/>
              </w:rPr>
              <w:footnoteReference w:id="5"/>
            </w:r>
            <w:r>
              <w:t xml:space="preserve"> se ve 3. čtvrtletí meziročně propadly o 9,5 %. Do hlubokého poklesu se dostaly ceny těžby a dobývání (−31,6 %) a elektřiny, plynu, páry a klimatizovaného vzduchu (−31,1 %), meziročně nižší byly i ceny ve zpracovatelském průmyslu (−0,6 %). Ceny průmyslových výrobců ve 3. čtvrtletí meziročně klesly ve většině zemí EU, nejvíce v Irsku (−43,8 %), Bulharsku (−26,2 %) a Itálii (−16,1 %). Česko s přírůstkem 1,3 % patřilo mezi sedmičku výjimek. Nejvíce meziročně rostly ceny průmyslových výrobců v Lucembursku (24,2 %), v Maďarsku (10,9 %) a na Slovensku (9,2 %). Mezičtvrtletně klesly ceny průmyslových výrobců v EU počtvrté v řadě, a to o 1,1 %. Výrazně mezičtvrtletně klesly ceny těžby a dobývání (−5,3 %) i elektřiny, plynu, páry a klimatizovaného vzduchu (−3,2 %) a mírně nižší byly také ve zpracovatelském průmyslu (−0,2 %). Nejvýraznější mezičtvrtletní pokles cen průmyslových výrobců </w:t>
            </w:r>
            <w:r>
              <w:lastRenderedPageBreak/>
              <w:t>zaznamenaly Irsko (−5,3 %), Belgie (−2,8 %) a Polsko (−2,5 %) a naopak nejsilněji rostly ceny v Lucembursku (25,2 %), Řecku (2,2 %) a Chorvatsku (2,2 %).</w:t>
            </w:r>
          </w:p>
        </w:tc>
      </w:tr>
      <w:tr w:rsidR="001E1AF1" w:rsidRPr="009110F7" w14:paraId="149FF9BD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4DC4B6A3" w14:textId="77777777" w:rsidR="001E1AF1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Růst cen stavebních prací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E9F5ADE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26DAD59" w14:textId="77777777" w:rsidR="001E1AF1" w:rsidRPr="00793D78" w:rsidRDefault="001E1AF1" w:rsidP="00D26E6B">
            <w:r>
              <w:t>Ve 3. čtvrtletí se počtvrté v řadě zmírnil meziroční růst cen stavebních prací. Ty byly podle odhadů meziročně vyšší o 4,1 %. Oproti 2. kvartálu vzrostly ceny stavebních prací o 0,3 %. Ceny materiálů a výrobků spotřebovaných ve stavebnictví meziročně prakticky stagnovaly (0,3 %) a mezičtvrtletně klesly o 1,4 %.</w:t>
            </w:r>
          </w:p>
        </w:tc>
      </w:tr>
      <w:tr w:rsidR="001E1AF1" w:rsidRPr="009110F7" w14:paraId="60BF319B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583C894C" w14:textId="77777777" w:rsidR="001E1AF1" w:rsidRPr="00793D78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Zmírnění růstu cen tržních služeb bylo ovlivněno zejména cenami reklamních služeb a průzkumu trhu.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56C06F2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C533FB1" w14:textId="77777777" w:rsidR="001E1AF1" w:rsidRPr="00793D78" w:rsidRDefault="001E1AF1" w:rsidP="00D26E6B">
            <w:r>
              <w:t>Meziroční růst cen tržních služeb ve 3. čtvrtletí oslabil na 5,3 %. Zpomalení bylo ovlivněno zejména vývojem cen reklamních služeb a průzkumu trhu (pokles o 0,8 %) a dále zmírněním růstu cen pozemní a potrubní dopravy na 3,5 %. K meziročnímu růstu cen tržních služeb nejvíce přispívaly ceny služeb v oblasti programování a souvisejícího poradenství (meziroční růst o 8,2 %), ceny služeb v oblasti nemovitostí (6,8 %), ceny služeb v oblasti zaměstnání (22,3 %) a výše zmíněné ceny pozemní a potrubní dopravy. Významnější vliv na celkový růst měly i ceny skladování a podpůrných služeb v dopravě (3,9 %), poštovních a kurýrních služeb (12,9 %), informačních služeb (12,4 %) nebo architektonických a inženýrských služeb a technických zkoušek a analýz (3,9 %). Mezičtvrtletně se ceny tržních služeb snížily o 0,6 %.</w:t>
            </w:r>
          </w:p>
        </w:tc>
      </w:tr>
      <w:tr w:rsidR="001E1AF1" w:rsidRPr="009110F7" w14:paraId="57F8BEBE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21DEEC04" w14:textId="77777777" w:rsidR="001E1AF1" w:rsidRPr="00793D78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rostlinné výroby se vlivem silné základny loňského roku meziročně propadaly.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0110DBA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9485BDC" w14:textId="77777777" w:rsidR="001E1AF1" w:rsidRDefault="001E1AF1" w:rsidP="00D26E6B">
            <w:r>
              <w:t xml:space="preserve">Ceny zemědělské výroby (včetně ryb) se ve 3. čtvrtletí meziročně snížily o 14,7 % a jejich propad se prohloubil. Vliv měla zejména vysoká srovnávací základna loňského roku, zejména v rostlinné výrobě. Mezičtvrtletně se ceny zemědělské výroby snížily o 8,7 %. Ceny rostlinné výroby se propadly meziročně o 22,5 %. Pokles se dále prohluboval u obilovin (−32,4 %, z toho ceny pšenice klesly o 35,8 %, žita o 29,0 %, ječmene o 26,6 %, kukuřice o 26,2 % a ovsa o 10,8 %). Hluboké snížení se týkalo rovněž průmyslových plodin (−30,7 %), zejména olejnin (−35,4 %). Naopak meziročně rostly ceny krmných plodin (8,9 %), zeleniny a zahradnických produktů (16,7 %), výrazně posílil meziroční růst cen brambor (53,9 %) a vyšší byly i ceny ovoce (10,0 %). Ceny živočišné výroby se ve 3. kvartálu meziročně snížily o 2,2 %, poprvé od 2. čtvrtletí 2021. Ceny hospodářských zvířat byly meziročně vyšší o 8,5 %, jejich růst ale zmírnil. Přitom ceny skotu klesly meziročně o 1,5 %, ceny prasat a selat byly vyšší o 24,2 % (téměř neměnné tempo oproti předchozímu čtvrtletí) a drůbeže o 1,0 %. Ceny mléka se meziročně propadly o 12,3 % a růst cen vajec zmírnil na 19,0 %.  </w:t>
            </w:r>
          </w:p>
        </w:tc>
      </w:tr>
      <w:tr w:rsidR="001E1AF1" w:rsidRPr="009110F7" w14:paraId="6DD83625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CBA72DC" w14:textId="77777777" w:rsidR="001E1AF1" w:rsidRPr="00793D78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vývozu meziročně klesly.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7D55B15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F140387" w14:textId="77777777" w:rsidR="001E1AF1" w:rsidRPr="00793D78" w:rsidRDefault="001E1AF1" w:rsidP="00D26E6B">
            <w:r>
              <w:t>Ve 3. čtvrtletí byl meziroční pohyb cen zahraničního obchodu poměrně silně ovlivněn vývojem směnného kurzu. Koruna byla meziročně silnější vůči euru i dolaru a prohlubovala tak meziroční pokles cen</w:t>
            </w:r>
            <w:r>
              <w:rPr>
                <w:rStyle w:val="Znakapoznpodarou"/>
              </w:rPr>
              <w:footnoteReference w:id="6"/>
            </w:r>
            <w:r>
              <w:t>. Ceny vývozu zboží ve 3. čtvrtletí meziročně klesly o 4,4 % a propad se prohloubil. Ceny vývozu zboží mezičtvrtletně mírně vzrostly (0,7 %). Nejvíce meziročně klesaly ceny vývozu ostatních surovin</w:t>
            </w:r>
            <w:r>
              <w:rPr>
                <w:rStyle w:val="Znakapoznpodarou"/>
              </w:rPr>
              <w:footnoteReference w:id="7"/>
            </w:r>
            <w:r>
              <w:t xml:space="preserve"> (−23,0 %), minerálních paliv a maziv (−18,8 %) a chemikálií (−13,4 %). Nižší byly i ceny polotovarů</w:t>
            </w:r>
            <w:r>
              <w:rPr>
                <w:rStyle w:val="Znakapoznpodarou"/>
              </w:rPr>
              <w:footnoteReference w:id="8"/>
            </w:r>
            <w:r>
              <w:t xml:space="preserve"> (−7,4 %) a potravin a živých zvířat (−5,3 %). Naopak silně meziročně rostly ceny exportu nápojů a tabáku (14,7 %) a meziročně vyšší byly ceny strojů a dopravních prostředků (1,5 %) i průmyslového spotřebního zboží (0,9 %). </w:t>
            </w:r>
          </w:p>
        </w:tc>
      </w:tr>
      <w:tr w:rsidR="001E1AF1" w:rsidRPr="009110F7" w14:paraId="5F11BBA6" w14:textId="77777777" w:rsidTr="08AB0269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1AA21D0F" w14:textId="77777777" w:rsidR="001E1AF1" w:rsidRPr="00793D78" w:rsidRDefault="001E1AF1" w:rsidP="00D26E6B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dovozu byly meziročně výrazně nižší.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841866A" w14:textId="77777777" w:rsidR="001E1AF1" w:rsidRPr="00793D78" w:rsidRDefault="001E1AF1" w:rsidP="00D26E6B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4CE72A9" w14:textId="19FD02B8" w:rsidR="001E1AF1" w:rsidRDefault="001E1AF1" w:rsidP="00D26E6B">
            <w:r>
              <w:t xml:space="preserve">Ceny dovozu zboží se ve 3. čtvrtletí meziročně propadly o 11,2 % a mezičtvrtletně byly vyšší o 1,3 %. Podobně jako na straně exportu, také v případě dovozu se nejvíce meziročně propadaly ceny minerálních paliv (−44,7 %), ostatních surovin (−17,2 %) a chemikálií (−12,0 %). Meziročně zaostávaly také ceny polotovarů (−7,1 %) a strojů a dopravních prostředků (−1,9 %). Výrazně meziročně narostly ceny nápojů a tabáku </w:t>
            </w:r>
            <w:r>
              <w:lastRenderedPageBreak/>
              <w:t xml:space="preserve">(20,9 %) a rostly i v případě průmyslového spotřebního zboží (3,8 %) a potravin a živých zvířat (3,1 %). Meziroční směnné relace zahraničního obchodu se zbožím ve 3. čtvrtletí dosáhly 107,7 %. K výrazně kladné hodnotě celkových směnných relací přispěl obchod s minerálními palivy (směnné relace zde dosáhly </w:t>
            </w:r>
            <w:r w:rsidR="3A31F626">
              <w:t>1</w:t>
            </w:r>
            <w:r>
              <w:t>46,8 %) a se stroji a dopravními prostředky (103,5 %). Naopak záporné byly meziroční směnné relace obchodu s potravinami a živými zvířaty (91,</w:t>
            </w:r>
            <w:r w:rsidR="0241D284">
              <w:t>8</w:t>
            </w:r>
            <w:r>
              <w:t xml:space="preserve"> %), ostatními surovinami (93,0 %), nápoji a tabákem (94,9 %), průmyslovým spotřebním zbožím</w:t>
            </w:r>
            <w:r w:rsidR="3AA0BED0">
              <w:t xml:space="preserve"> (97,2 %)</w:t>
            </w:r>
            <w:r>
              <w:t>, chemikáliemi (98,4 %) a polotovary (99,</w:t>
            </w:r>
            <w:r w:rsidR="173F358F">
              <w:t>6</w:t>
            </w:r>
            <w:r>
              <w:t xml:space="preserve"> %). Mezičtvrtletní směnné relace zahraničního obchodu se zbožím byly záporné a činily 99,4 %.     </w:t>
            </w:r>
          </w:p>
        </w:tc>
      </w:tr>
    </w:tbl>
    <w:p w14:paraId="4658AB9E" w14:textId="77777777" w:rsidR="001E1AF1" w:rsidRDefault="001E1AF1" w:rsidP="001E1AF1">
      <w:pPr>
        <w:pStyle w:val="Nadpis11"/>
        <w:spacing w:after="120"/>
      </w:pPr>
    </w:p>
    <w:p w14:paraId="52BC9DD8" w14:textId="77777777" w:rsidR="001E1AF1" w:rsidRDefault="001E1AF1" w:rsidP="001E1AF1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</w:p>
    <w:p w14:paraId="6CC221BC" w14:textId="77777777" w:rsidR="001E1AF1" w:rsidRPr="001C3855" w:rsidRDefault="001E1AF1" w:rsidP="001E1AF1">
      <w:pPr>
        <w:pStyle w:val="Nadpis11"/>
        <w:rPr>
          <w:sz w:val="2"/>
          <w:szCs w:val="2"/>
        </w:rPr>
      </w:pPr>
      <w:bookmarkStart w:id="3" w:name="_GoBack"/>
      <w:bookmarkEnd w:id="0"/>
      <w:bookmarkEnd w:id="3"/>
    </w:p>
    <w:p w14:paraId="6FD91E5A" w14:textId="4E3C7394" w:rsidR="00106BCC" w:rsidRPr="001C3855" w:rsidRDefault="00106BCC" w:rsidP="001E1AF1">
      <w:pPr>
        <w:pStyle w:val="Nadpis11"/>
        <w:rPr>
          <w:sz w:val="2"/>
          <w:szCs w:val="2"/>
        </w:rPr>
      </w:pPr>
    </w:p>
    <w:sectPr w:rsidR="00106BCC" w:rsidRPr="001C3855" w:rsidSect="003C7DAF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E977" w14:textId="77777777" w:rsidR="00EC0EC5" w:rsidRDefault="00EC0EC5" w:rsidP="00E71A58">
      <w:r>
        <w:separator/>
      </w:r>
    </w:p>
  </w:endnote>
  <w:endnote w:type="continuationSeparator" w:id="0">
    <w:p w14:paraId="70265F49" w14:textId="77777777" w:rsidR="00EC0EC5" w:rsidRDefault="00EC0EC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DE93750" w:rsidR="000D7C6F" w:rsidRPr="00932443" w:rsidRDefault="000D7C6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C7DAF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64182EF4" w:rsidR="000D7C6F" w:rsidRPr="00932443" w:rsidRDefault="000D7C6F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C7DAF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8008" w14:textId="77777777" w:rsidR="00EC0EC5" w:rsidRDefault="00EC0EC5" w:rsidP="00A21B4D">
      <w:pPr>
        <w:spacing w:after="0"/>
      </w:pPr>
      <w:r>
        <w:separator/>
      </w:r>
    </w:p>
  </w:footnote>
  <w:footnote w:type="continuationSeparator" w:id="0">
    <w:p w14:paraId="14A6DC10" w14:textId="77777777" w:rsidR="00EC0EC5" w:rsidRDefault="00EC0EC5" w:rsidP="00E71A58">
      <w:r>
        <w:continuationSeparator/>
      </w:r>
    </w:p>
  </w:footnote>
  <w:footnote w:id="1">
    <w:p w14:paraId="675AFC05" w14:textId="77777777" w:rsidR="000D7C6F" w:rsidRPr="00720921" w:rsidRDefault="000D7C6F" w:rsidP="001E1AF1">
      <w:pPr>
        <w:pStyle w:val="Textpoznpodarou"/>
        <w:rPr>
          <w:sz w:val="16"/>
          <w:szCs w:val="16"/>
        </w:rPr>
      </w:pPr>
      <w:r w:rsidRPr="00720921">
        <w:rPr>
          <w:rStyle w:val="Znakapoznpodarou"/>
          <w:sz w:val="16"/>
          <w:szCs w:val="16"/>
        </w:rPr>
        <w:footnoteRef/>
      </w:r>
      <w:r w:rsidRPr="00720921">
        <w:rPr>
          <w:sz w:val="16"/>
          <w:szCs w:val="16"/>
        </w:rPr>
        <w:t xml:space="preserve"> Zahrnuje služby osobní péče</w:t>
      </w:r>
      <w:r>
        <w:rPr>
          <w:sz w:val="16"/>
          <w:szCs w:val="16"/>
        </w:rPr>
        <w:t xml:space="preserve"> a osobní potřeby a doplňky</w:t>
      </w:r>
      <w:r w:rsidRPr="00720921">
        <w:rPr>
          <w:sz w:val="16"/>
          <w:szCs w:val="16"/>
        </w:rPr>
        <w:t>, sociální péči, pojištění a další finanční služby apod.</w:t>
      </w:r>
    </w:p>
  </w:footnote>
  <w:footnote w:id="2">
    <w:p w14:paraId="28833F6F" w14:textId="77777777" w:rsidR="000D7C6F" w:rsidRPr="00114669" w:rsidRDefault="000D7C6F" w:rsidP="001E1AF1">
      <w:pPr>
        <w:pStyle w:val="Textpoznpodarou"/>
        <w:rPr>
          <w:sz w:val="16"/>
          <w:szCs w:val="16"/>
        </w:rPr>
      </w:pPr>
      <w:r w:rsidRPr="000A4298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I</w:t>
      </w:r>
      <w:r w:rsidRPr="000A4298">
        <w:rPr>
          <w:sz w:val="16"/>
          <w:szCs w:val="16"/>
        </w:rPr>
        <w:t>mputované nájemné vyjadřuje náklady vlastnického bydlení.</w:t>
      </w:r>
      <w:r>
        <w:rPr>
          <w:sz w:val="16"/>
          <w:szCs w:val="16"/>
        </w:rPr>
        <w:t xml:space="preserve"> Kromě samotných cen bydlení zahrnuje i náklady na výstavbu a renovace a další poplatky. Více na:</w:t>
      </w:r>
      <w:r w:rsidRPr="000A4298">
        <w:rPr>
          <w:sz w:val="16"/>
          <w:szCs w:val="16"/>
        </w:rPr>
        <w:t xml:space="preserve"> </w:t>
      </w:r>
      <w:hyperlink r:id="rId1" w:history="1">
        <w:r w:rsidRPr="000A4298">
          <w:rPr>
            <w:rStyle w:val="Hypertextovodkaz"/>
            <w:sz w:val="16"/>
            <w:szCs w:val="16"/>
          </w:rPr>
          <w:t>https://www.czso.cz/csu/czso/metodicka-poznamka-k-indexu-spotrebitelskych-cen-imputovane-najemne</w:t>
        </w:r>
      </w:hyperlink>
      <w:r>
        <w:rPr>
          <w:rStyle w:val="Hypertextovodkaz"/>
          <w:sz w:val="16"/>
          <w:szCs w:val="16"/>
          <w:u w:val="none"/>
        </w:rPr>
        <w:t>.</w:t>
      </w:r>
    </w:p>
  </w:footnote>
  <w:footnote w:id="3">
    <w:p w14:paraId="4E254337" w14:textId="77777777" w:rsidR="000D7C6F" w:rsidRPr="00C055FA" w:rsidRDefault="000D7C6F" w:rsidP="001E1AF1">
      <w:pPr>
        <w:pStyle w:val="Textpoznpodarou"/>
        <w:rPr>
          <w:sz w:val="16"/>
          <w:szCs w:val="16"/>
        </w:rPr>
      </w:pPr>
      <w:r w:rsidRPr="00C055FA">
        <w:rPr>
          <w:rStyle w:val="Znakapoznpodarou"/>
          <w:sz w:val="16"/>
          <w:szCs w:val="16"/>
        </w:rPr>
        <w:footnoteRef/>
      </w:r>
      <w:r w:rsidRPr="00C055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Oproti indexu spotřebitelských cen, který ČSÚ pro českou ekonomiku sestavuje, </w:t>
      </w:r>
      <w:r w:rsidRPr="00C055FA">
        <w:rPr>
          <w:sz w:val="16"/>
          <w:szCs w:val="16"/>
        </w:rPr>
        <w:t>HICP neobsahuje imputované nájemné</w:t>
      </w:r>
      <w:r>
        <w:rPr>
          <w:sz w:val="16"/>
          <w:szCs w:val="16"/>
        </w:rPr>
        <w:t>, což bývá zdrojem rozdílů mezi HICP a Indexem spotřebitelských cen</w:t>
      </w:r>
      <w:r w:rsidRPr="00C055FA">
        <w:rPr>
          <w:sz w:val="16"/>
          <w:szCs w:val="16"/>
        </w:rPr>
        <w:t>.</w:t>
      </w:r>
    </w:p>
  </w:footnote>
  <w:footnote w:id="4">
    <w:p w14:paraId="0690702C" w14:textId="77777777" w:rsidR="000D7C6F" w:rsidRPr="005F66A4" w:rsidRDefault="000D7C6F" w:rsidP="001E1AF1">
      <w:pPr>
        <w:pStyle w:val="Textpoznpodarou"/>
        <w:rPr>
          <w:sz w:val="16"/>
          <w:szCs w:val="16"/>
        </w:rPr>
      </w:pPr>
      <w:r w:rsidRPr="005F66A4">
        <w:rPr>
          <w:rStyle w:val="Znakapoznpodarou"/>
          <w:sz w:val="16"/>
          <w:szCs w:val="16"/>
        </w:rPr>
        <w:footnoteRef/>
      </w:r>
      <w:r w:rsidRPr="005F66A4">
        <w:rPr>
          <w:sz w:val="16"/>
          <w:szCs w:val="16"/>
        </w:rPr>
        <w:t xml:space="preserve"> </w:t>
      </w:r>
      <w:r>
        <w:rPr>
          <w:sz w:val="16"/>
          <w:szCs w:val="16"/>
        </w:rPr>
        <w:t>Přesné hodnoty ukazatele nejsou uvedeny kvůli ochraně i</w:t>
      </w:r>
      <w:r w:rsidRPr="005F66A4">
        <w:rPr>
          <w:sz w:val="16"/>
          <w:szCs w:val="16"/>
        </w:rPr>
        <w:t>ndividuální</w:t>
      </w:r>
      <w:r>
        <w:rPr>
          <w:sz w:val="16"/>
          <w:szCs w:val="16"/>
        </w:rPr>
        <w:t>ch</w:t>
      </w:r>
      <w:r w:rsidRPr="005F66A4">
        <w:rPr>
          <w:sz w:val="16"/>
          <w:szCs w:val="16"/>
        </w:rPr>
        <w:t xml:space="preserve"> dat.</w:t>
      </w:r>
    </w:p>
  </w:footnote>
  <w:footnote w:id="5">
    <w:p w14:paraId="6E2BFDA1" w14:textId="77777777" w:rsidR="000D7C6F" w:rsidRPr="000C5F73" w:rsidRDefault="000D7C6F" w:rsidP="001E1AF1">
      <w:pPr>
        <w:pStyle w:val="Textpoznpodarou"/>
        <w:rPr>
          <w:sz w:val="16"/>
          <w:szCs w:val="16"/>
        </w:rPr>
      </w:pPr>
      <w:r w:rsidRPr="000C5F73">
        <w:rPr>
          <w:rStyle w:val="Znakapoznpodarou"/>
          <w:sz w:val="16"/>
          <w:szCs w:val="16"/>
        </w:rPr>
        <w:footnoteRef/>
      </w:r>
      <w:r w:rsidRPr="000C5F73">
        <w:rPr>
          <w:sz w:val="16"/>
          <w:szCs w:val="16"/>
        </w:rPr>
        <w:t xml:space="preserve"> Bez cen zásobování vodou a</w:t>
      </w:r>
      <w:r>
        <w:rPr>
          <w:sz w:val="16"/>
          <w:szCs w:val="16"/>
        </w:rPr>
        <w:t> </w:t>
      </w:r>
      <w:r w:rsidRPr="000C5F73">
        <w:rPr>
          <w:sz w:val="16"/>
          <w:szCs w:val="16"/>
        </w:rPr>
        <w:t>služeb souvisejících s odpadními vodami.</w:t>
      </w:r>
    </w:p>
  </w:footnote>
  <w:footnote w:id="6">
    <w:p w14:paraId="28AE0BCA" w14:textId="77777777" w:rsidR="000D7C6F" w:rsidRPr="00C11C5A" w:rsidRDefault="000D7C6F" w:rsidP="001E1AF1">
      <w:pPr>
        <w:pStyle w:val="Textpoznpodarou"/>
        <w:rPr>
          <w:sz w:val="16"/>
          <w:szCs w:val="16"/>
        </w:rPr>
      </w:pPr>
      <w:r w:rsidRPr="00C11C5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údajů ČNB byl ve 3. čtvrtletí 2023 </w:t>
      </w:r>
      <w:r w:rsidRPr="00C11C5A">
        <w:rPr>
          <w:sz w:val="16"/>
          <w:szCs w:val="16"/>
        </w:rPr>
        <w:t xml:space="preserve">průměrný kurz koruny vůči euru </w:t>
      </w:r>
      <w:r>
        <w:rPr>
          <w:sz w:val="16"/>
          <w:szCs w:val="16"/>
        </w:rPr>
        <w:t>24,136 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V roce 2022</w:t>
      </w:r>
      <w:r w:rsidRPr="00C11C5A">
        <w:rPr>
          <w:sz w:val="16"/>
          <w:szCs w:val="16"/>
        </w:rPr>
        <w:t xml:space="preserve"> to bylo </w:t>
      </w:r>
      <w:r>
        <w:rPr>
          <w:sz w:val="16"/>
          <w:szCs w:val="16"/>
        </w:rPr>
        <w:t xml:space="preserve">24,573 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Kurz dolaru meziročně výrazně posílil</w:t>
      </w:r>
      <w:r w:rsidRPr="00C11C5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Ve 3. čtvrtletí 2022 </w:t>
      </w:r>
      <w:r w:rsidRPr="00C11C5A">
        <w:rPr>
          <w:sz w:val="16"/>
          <w:szCs w:val="16"/>
        </w:rPr>
        <w:t xml:space="preserve">činil </w:t>
      </w:r>
      <w:r>
        <w:rPr>
          <w:sz w:val="16"/>
          <w:szCs w:val="16"/>
        </w:rPr>
        <w:t xml:space="preserve">průměr 24,402 </w:t>
      </w:r>
      <w:r w:rsidRPr="00C11C5A">
        <w:rPr>
          <w:sz w:val="16"/>
          <w:szCs w:val="16"/>
        </w:rPr>
        <w:t>CZK/USD</w:t>
      </w:r>
      <w:r>
        <w:rPr>
          <w:sz w:val="16"/>
          <w:szCs w:val="16"/>
        </w:rPr>
        <w:t xml:space="preserve"> a letos</w:t>
      </w:r>
      <w:r w:rsidRPr="00C11C5A">
        <w:rPr>
          <w:sz w:val="16"/>
          <w:szCs w:val="16"/>
        </w:rPr>
        <w:t xml:space="preserve"> 2</w:t>
      </w:r>
      <w:r>
        <w:rPr>
          <w:sz w:val="16"/>
          <w:szCs w:val="16"/>
        </w:rPr>
        <w:t>2,173 </w:t>
      </w:r>
      <w:r w:rsidRPr="00C11C5A">
        <w:rPr>
          <w:sz w:val="16"/>
          <w:szCs w:val="16"/>
        </w:rPr>
        <w:t>CZK/U</w:t>
      </w:r>
      <w:r>
        <w:rPr>
          <w:sz w:val="16"/>
          <w:szCs w:val="16"/>
        </w:rPr>
        <w:t>SD</w:t>
      </w:r>
      <w:r w:rsidRPr="00C11C5A">
        <w:rPr>
          <w:sz w:val="16"/>
          <w:szCs w:val="16"/>
        </w:rPr>
        <w:t>.</w:t>
      </w:r>
    </w:p>
  </w:footnote>
  <w:footnote w:id="7">
    <w:p w14:paraId="3807196D" w14:textId="77777777" w:rsidR="000D7C6F" w:rsidRPr="00940B11" w:rsidRDefault="000D7C6F" w:rsidP="001E1AF1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</w:t>
      </w:r>
      <w:r>
        <w:rPr>
          <w:sz w:val="16"/>
          <w:szCs w:val="16"/>
        </w:rPr>
        <w:t>.</w:t>
      </w:r>
    </w:p>
  </w:footnote>
  <w:footnote w:id="8">
    <w:p w14:paraId="03674AA9" w14:textId="77777777" w:rsidR="000D7C6F" w:rsidRPr="00940B11" w:rsidRDefault="000D7C6F" w:rsidP="001E1AF1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0D7C6F" w:rsidRDefault="000D7C6F" w:rsidP="00937AE2">
    <w:pPr>
      <w:pStyle w:val="Zhlav"/>
    </w:pPr>
    <w:r>
      <w:t>Vývoj ekonomiky České republiky</w:t>
    </w:r>
  </w:p>
  <w:p w14:paraId="3E881AB3" w14:textId="77777777" w:rsidR="000D7C6F" w:rsidRPr="006F5416" w:rsidRDefault="000D7C6F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0D7C6F" w:rsidRDefault="000D7C6F" w:rsidP="00937AE2">
    <w:pPr>
      <w:pStyle w:val="Zhlav"/>
    </w:pPr>
    <w:r>
      <w:t>Vývoj ekonomiky České republiky</w:t>
    </w:r>
  </w:p>
  <w:p w14:paraId="57266714" w14:textId="77777777" w:rsidR="000D7C6F" w:rsidRPr="006F5416" w:rsidRDefault="000D7C6F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8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33"/>
  </w:num>
  <w:num w:numId="14">
    <w:abstractNumId w:val="14"/>
  </w:num>
  <w:num w:numId="15">
    <w:abstractNumId w:val="21"/>
  </w:num>
  <w:num w:numId="16">
    <w:abstractNumId w:val="17"/>
  </w:num>
  <w:num w:numId="17">
    <w:abstractNumId w:val="34"/>
  </w:num>
  <w:num w:numId="18">
    <w:abstractNumId w:val="26"/>
  </w:num>
  <w:num w:numId="19">
    <w:abstractNumId w:val="36"/>
  </w:num>
  <w:num w:numId="20">
    <w:abstractNumId w:val="37"/>
  </w:num>
  <w:num w:numId="21">
    <w:abstractNumId w:val="32"/>
  </w:num>
  <w:num w:numId="22">
    <w:abstractNumId w:val="20"/>
  </w:num>
  <w:num w:numId="23">
    <w:abstractNumId w:val="18"/>
  </w:num>
  <w:num w:numId="24">
    <w:abstractNumId w:val="19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37"/>
  </w:num>
  <w:num w:numId="30">
    <w:abstractNumId w:val="29"/>
  </w:num>
  <w:num w:numId="31">
    <w:abstractNumId w:val="12"/>
  </w:num>
  <w:num w:numId="32">
    <w:abstractNumId w:val="38"/>
  </w:num>
  <w:num w:numId="33">
    <w:abstractNumId w:val="37"/>
  </w:num>
  <w:num w:numId="34">
    <w:abstractNumId w:val="11"/>
  </w:num>
  <w:num w:numId="35">
    <w:abstractNumId w:val="35"/>
  </w:num>
  <w:num w:numId="36">
    <w:abstractNumId w:val="30"/>
  </w:num>
  <w:num w:numId="37">
    <w:abstractNumId w:val="22"/>
  </w:num>
  <w:num w:numId="38">
    <w:abstractNumId w:val="25"/>
  </w:num>
  <w:num w:numId="39">
    <w:abstractNumId w:val="15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0E42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3EED"/>
    <w:rsid w:val="00144108"/>
    <w:rsid w:val="00144588"/>
    <w:rsid w:val="001447DD"/>
    <w:rsid w:val="00145358"/>
    <w:rsid w:val="001459BC"/>
    <w:rsid w:val="0014779E"/>
    <w:rsid w:val="00147B13"/>
    <w:rsid w:val="00150ECA"/>
    <w:rsid w:val="0015108F"/>
    <w:rsid w:val="00151707"/>
    <w:rsid w:val="00152C86"/>
    <w:rsid w:val="00152EBC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23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1AF1"/>
    <w:rsid w:val="001E3306"/>
    <w:rsid w:val="001E504C"/>
    <w:rsid w:val="001E56AC"/>
    <w:rsid w:val="001E5A17"/>
    <w:rsid w:val="001E6441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A8B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DAF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D6982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07B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7A6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684D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1B24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53DC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5F7B79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0FFC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748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18A4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4A6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23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1E3F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D7F4F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3E08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249F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AA1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2E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3D21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418F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66F8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3063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3A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3132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04C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649"/>
    <w:rsid w:val="00CA0BD5"/>
    <w:rsid w:val="00CA0DA1"/>
    <w:rsid w:val="00CA1BD6"/>
    <w:rsid w:val="00CA2D95"/>
    <w:rsid w:val="00CA37FF"/>
    <w:rsid w:val="00CA423A"/>
    <w:rsid w:val="00CA47BC"/>
    <w:rsid w:val="00CA5EAD"/>
    <w:rsid w:val="00CA6AB4"/>
    <w:rsid w:val="00CA7255"/>
    <w:rsid w:val="00CA79E2"/>
    <w:rsid w:val="00CA7E1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5EE0"/>
    <w:rsid w:val="00CD6331"/>
    <w:rsid w:val="00CD7E9E"/>
    <w:rsid w:val="00CE12FB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6E6B"/>
    <w:rsid w:val="00D27973"/>
    <w:rsid w:val="00D27F07"/>
    <w:rsid w:val="00D27F3A"/>
    <w:rsid w:val="00D31537"/>
    <w:rsid w:val="00D31E1E"/>
    <w:rsid w:val="00D322A0"/>
    <w:rsid w:val="00D32824"/>
    <w:rsid w:val="00D33297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1D57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C5D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B1A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0EC5"/>
    <w:rsid w:val="00EC13A7"/>
    <w:rsid w:val="00EC189D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967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2E7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6667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indexu-spotrebitelskych-cen-imputovane-najem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bojnikova31519.CZSO\Documents\Anal&#253;za\Q\2023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323E-2"/>
          <c:w val="0.92237743255066085"/>
          <c:h val="0.7147157521300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2'!$C$30:$C$52</c:f>
              <c:numCache>
                <c:formatCode>0.0</c:formatCode>
                <c:ptCount val="23"/>
                <c:pt idx="0">
                  <c:v>1.9000000000000001</c:v>
                </c:pt>
                <c:pt idx="1">
                  <c:v>2.2999999999999998</c:v>
                </c:pt>
                <c:pt idx="2">
                  <c:v>2.4</c:v>
                </c:pt>
                <c:pt idx="3">
                  <c:v>2.1</c:v>
                </c:pt>
                <c:pt idx="4">
                  <c:v>2.7</c:v>
                </c:pt>
                <c:pt idx="5">
                  <c:v>2.8</c:v>
                </c:pt>
                <c:pt idx="6">
                  <c:v>2.8</c:v>
                </c:pt>
                <c:pt idx="7">
                  <c:v>3</c:v>
                </c:pt>
                <c:pt idx="8">
                  <c:v>3.6</c:v>
                </c:pt>
                <c:pt idx="9">
                  <c:v>3.1</c:v>
                </c:pt>
                <c:pt idx="10">
                  <c:v>3.3</c:v>
                </c:pt>
                <c:pt idx="11">
                  <c:v>2.6</c:v>
                </c:pt>
                <c:pt idx="12">
                  <c:v>2.2000000000000002</c:v>
                </c:pt>
                <c:pt idx="13">
                  <c:v>2.9</c:v>
                </c:pt>
                <c:pt idx="14">
                  <c:v>4.0999999999999996</c:v>
                </c:pt>
                <c:pt idx="15">
                  <c:v>6.1</c:v>
                </c:pt>
                <c:pt idx="16">
                  <c:v>11.2</c:v>
                </c:pt>
                <c:pt idx="17">
                  <c:v>15.8</c:v>
                </c:pt>
                <c:pt idx="18">
                  <c:v>17.600000000000001</c:v>
                </c:pt>
                <c:pt idx="19">
                  <c:v>15.7</c:v>
                </c:pt>
                <c:pt idx="20">
                  <c:v>16.399999999999999</c:v>
                </c:pt>
                <c:pt idx="21">
                  <c:v>11.1</c:v>
                </c:pt>
                <c:pt idx="2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D-47C0-ADCF-53AFCCC027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17251456"/>
        <c:axId val="117728768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2'!$D$30:$D$52</c:f>
              <c:numCache>
                <c:formatCode>#\ ##0.0_ ;\-#\ ##0.0\ </c:formatCode>
                <c:ptCount val="23"/>
                <c:pt idx="0" formatCode="0.0">
                  <c:v>2.9</c:v>
                </c:pt>
                <c:pt idx="1">
                  <c:v>2.2999999999999998</c:v>
                </c:pt>
                <c:pt idx="2" formatCode="0.0">
                  <c:v>0.6000000000000002</c:v>
                </c:pt>
                <c:pt idx="3" formatCode="0.0">
                  <c:v>-0.5</c:v>
                </c:pt>
                <c:pt idx="4" formatCode="0.0">
                  <c:v>1</c:v>
                </c:pt>
                <c:pt idx="5" formatCode="0.0">
                  <c:v>2.5</c:v>
                </c:pt>
                <c:pt idx="6" formatCode="0.0">
                  <c:v>3.5</c:v>
                </c:pt>
                <c:pt idx="7" formatCode="0.0">
                  <c:v>4.3</c:v>
                </c:pt>
                <c:pt idx="8" formatCode="0.0">
                  <c:v>6.1</c:v>
                </c:pt>
                <c:pt idx="9" formatCode="0.0">
                  <c:v>6.5</c:v>
                </c:pt>
                <c:pt idx="10" formatCode="0.0">
                  <c:v>4</c:v>
                </c:pt>
                <c:pt idx="11" formatCode="0.0">
                  <c:v>1.7</c:v>
                </c:pt>
                <c:pt idx="12" formatCode="0.0">
                  <c:v>0.3000000000000001</c:v>
                </c:pt>
                <c:pt idx="13" formatCode="0.0">
                  <c:v>-0.8</c:v>
                </c:pt>
                <c:pt idx="14" formatCode="0.0">
                  <c:v>1.4</c:v>
                </c:pt>
                <c:pt idx="15" formatCode="0.0">
                  <c:v>2.2999999999999998</c:v>
                </c:pt>
                <c:pt idx="16" formatCode="0.0">
                  <c:v>6.7</c:v>
                </c:pt>
                <c:pt idx="17" formatCode="0.0">
                  <c:v>14.6</c:v>
                </c:pt>
                <c:pt idx="18" formatCode="0.0">
                  <c:v>20</c:v>
                </c:pt>
                <c:pt idx="19" formatCode="0.0">
                  <c:v>25.5</c:v>
                </c:pt>
                <c:pt idx="20" formatCode="0.0">
                  <c:v>24.1</c:v>
                </c:pt>
                <c:pt idx="21" formatCode="0.0">
                  <c:v>14.6</c:v>
                </c:pt>
                <c:pt idx="22" formatCode="0.0">
                  <c:v>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3D-47C0-ADCF-53AFCCC0278E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2'!$F$30:$F$52</c:f>
              <c:numCache>
                <c:formatCode>0.0</c:formatCode>
                <c:ptCount val="23"/>
                <c:pt idx="0">
                  <c:v>2.2999999999999998</c:v>
                </c:pt>
                <c:pt idx="1">
                  <c:v>2.6</c:v>
                </c:pt>
                <c:pt idx="2">
                  <c:v>3.2</c:v>
                </c:pt>
                <c:pt idx="3">
                  <c:v>3.8</c:v>
                </c:pt>
                <c:pt idx="4">
                  <c:v>5.4</c:v>
                </c:pt>
                <c:pt idx="5">
                  <c:v>5.7</c:v>
                </c:pt>
                <c:pt idx="6">
                  <c:v>5.2</c:v>
                </c:pt>
                <c:pt idx="7">
                  <c:v>5</c:v>
                </c:pt>
                <c:pt idx="8">
                  <c:v>4.2</c:v>
                </c:pt>
                <c:pt idx="9">
                  <c:v>3.2</c:v>
                </c:pt>
                <c:pt idx="10">
                  <c:v>2.7</c:v>
                </c:pt>
                <c:pt idx="11">
                  <c:v>1.4</c:v>
                </c:pt>
                <c:pt idx="12">
                  <c:v>0.6000000000000002</c:v>
                </c:pt>
                <c:pt idx="13">
                  <c:v>1.3</c:v>
                </c:pt>
                <c:pt idx="14">
                  <c:v>3.6</c:v>
                </c:pt>
                <c:pt idx="15">
                  <c:v>5.6</c:v>
                </c:pt>
                <c:pt idx="16">
                  <c:v>16</c:v>
                </c:pt>
                <c:pt idx="17">
                  <c:v>21.4</c:v>
                </c:pt>
                <c:pt idx="18">
                  <c:v>23.6</c:v>
                </c:pt>
                <c:pt idx="19">
                  <c:v>14.9</c:v>
                </c:pt>
                <c:pt idx="20">
                  <c:v>22.2</c:v>
                </c:pt>
                <c:pt idx="21">
                  <c:v>16</c:v>
                </c:pt>
                <c:pt idx="22">
                  <c:v>11.6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3D-47C0-ADCF-53AFCCC0278E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2'!$G$30:$G$52</c:f>
              <c:numCache>
                <c:formatCode>0.0</c:formatCode>
                <c:ptCount val="23"/>
                <c:pt idx="0">
                  <c:v>1</c:v>
                </c:pt>
                <c:pt idx="1">
                  <c:v>3</c:v>
                </c:pt>
                <c:pt idx="2">
                  <c:v>4.5</c:v>
                </c:pt>
                <c:pt idx="3">
                  <c:v>2.6</c:v>
                </c:pt>
                <c:pt idx="4">
                  <c:v>0.6000000000000002</c:v>
                </c:pt>
                <c:pt idx="5">
                  <c:v>0.8</c:v>
                </c:pt>
                <c:pt idx="6">
                  <c:v>-0.2</c:v>
                </c:pt>
                <c:pt idx="7">
                  <c:v>0.5</c:v>
                </c:pt>
                <c:pt idx="8" formatCode="General">
                  <c:v>1.7</c:v>
                </c:pt>
                <c:pt idx="9">
                  <c:v>-3.4</c:v>
                </c:pt>
                <c:pt idx="10">
                  <c:v>-0.2</c:v>
                </c:pt>
                <c:pt idx="11">
                  <c:v>0.6000000000000002</c:v>
                </c:pt>
                <c:pt idx="12">
                  <c:v>2.4</c:v>
                </c:pt>
                <c:pt idx="13">
                  <c:v>9.1</c:v>
                </c:pt>
                <c:pt idx="14">
                  <c:v>8.8000000000000007</c:v>
                </c:pt>
                <c:pt idx="15">
                  <c:v>13.1</c:v>
                </c:pt>
                <c:pt idx="16">
                  <c:v>17.2</c:v>
                </c:pt>
                <c:pt idx="17">
                  <c:v>22.7</c:v>
                </c:pt>
                <c:pt idx="18">
                  <c:v>19.7</c:v>
                </c:pt>
                <c:pt idx="19">
                  <c:v>13.1</c:v>
                </c:pt>
                <c:pt idx="20">
                  <c:v>4.5</c:v>
                </c:pt>
                <c:pt idx="21">
                  <c:v>-4</c:v>
                </c:pt>
                <c:pt idx="22">
                  <c:v>-2.4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33D-47C0-ADCF-53AFCCC0278E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2'!$H$30:$H$52</c:f>
              <c:numCache>
                <c:formatCode>0.0</c:formatCode>
                <c:ptCount val="23"/>
                <c:pt idx="0">
                  <c:v>3.5</c:v>
                </c:pt>
                <c:pt idx="1">
                  <c:v>3.6</c:v>
                </c:pt>
                <c:pt idx="2">
                  <c:v>3.5</c:v>
                </c:pt>
                <c:pt idx="3">
                  <c:v>3.7</c:v>
                </c:pt>
                <c:pt idx="4">
                  <c:v>3.8</c:v>
                </c:pt>
                <c:pt idx="5">
                  <c:v>4</c:v>
                </c:pt>
                <c:pt idx="6">
                  <c:v>4.5</c:v>
                </c:pt>
                <c:pt idx="7">
                  <c:v>4.5999999999999996</c:v>
                </c:pt>
                <c:pt idx="8">
                  <c:v>5.5</c:v>
                </c:pt>
                <c:pt idx="9">
                  <c:v>5.0999999999999996</c:v>
                </c:pt>
                <c:pt idx="10">
                  <c:v>4.9000000000000004</c:v>
                </c:pt>
                <c:pt idx="11">
                  <c:v>4.3</c:v>
                </c:pt>
                <c:pt idx="12">
                  <c:v>3</c:v>
                </c:pt>
                <c:pt idx="13">
                  <c:v>2.9</c:v>
                </c:pt>
                <c:pt idx="14">
                  <c:v>4.5999999999999996</c:v>
                </c:pt>
                <c:pt idx="15">
                  <c:v>6.8</c:v>
                </c:pt>
                <c:pt idx="16">
                  <c:v>12.3</c:v>
                </c:pt>
                <c:pt idx="17">
                  <c:v>21.4</c:v>
                </c:pt>
                <c:pt idx="18">
                  <c:v>24.3</c:v>
                </c:pt>
                <c:pt idx="19">
                  <c:v>25.6</c:v>
                </c:pt>
                <c:pt idx="20">
                  <c:v>22.4</c:v>
                </c:pt>
                <c:pt idx="21">
                  <c:v>15.4</c:v>
                </c:pt>
                <c:pt idx="22">
                  <c:v>11.6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33D-47C0-ADCF-53AFCCC0278E}"/>
            </c:ext>
          </c:extLst>
        </c:ser>
        <c:ser>
          <c:idx val="6"/>
          <c:order val="6"/>
          <c:tx>
            <c:strRef>
              <c:f>'Ceny 2'!$I$5</c:f>
              <c:strCache>
                <c:ptCount val="1"/>
                <c:pt idx="0">
                  <c:v>Rekreace a kultura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'Ceny 2'!$A$30:$B$52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2'!$I$30:$I$52</c:f>
              <c:numCache>
                <c:formatCode>General</c:formatCode>
                <c:ptCount val="23"/>
                <c:pt idx="0">
                  <c:v>0.5</c:v>
                </c:pt>
                <c:pt idx="1">
                  <c:v>0.59999999999999432</c:v>
                </c:pt>
                <c:pt idx="2">
                  <c:v>2.2000000000000037</c:v>
                </c:pt>
                <c:pt idx="3">
                  <c:v>0.5</c:v>
                </c:pt>
                <c:pt idx="4">
                  <c:v>1.7000000000000028</c:v>
                </c:pt>
                <c:pt idx="5">
                  <c:v>1</c:v>
                </c:pt>
                <c:pt idx="6">
                  <c:v>1.7000000000000028</c:v>
                </c:pt>
                <c:pt idx="7">
                  <c:v>2.0999999999999943</c:v>
                </c:pt>
                <c:pt idx="8">
                  <c:v>2.0999999999999943</c:v>
                </c:pt>
                <c:pt idx="9">
                  <c:v>2</c:v>
                </c:pt>
                <c:pt idx="10">
                  <c:v>2.2000000000000037</c:v>
                </c:pt>
                <c:pt idx="11">
                  <c:v>2.5</c:v>
                </c:pt>
                <c:pt idx="12">
                  <c:v>1.4000000000000057</c:v>
                </c:pt>
                <c:pt idx="13">
                  <c:v>2</c:v>
                </c:pt>
                <c:pt idx="14">
                  <c:v>3.0999999999999943</c:v>
                </c:pt>
                <c:pt idx="15">
                  <c:v>5.2999999999999972</c:v>
                </c:pt>
                <c:pt idx="16">
                  <c:v>8.5</c:v>
                </c:pt>
                <c:pt idx="17">
                  <c:v>11.3</c:v>
                </c:pt>
                <c:pt idx="18">
                  <c:v>12.599999999999998</c:v>
                </c:pt>
                <c:pt idx="19" formatCode="0.0">
                  <c:v>13.2</c:v>
                </c:pt>
                <c:pt idx="20" formatCode="0.0">
                  <c:v>14</c:v>
                </c:pt>
                <c:pt idx="21" formatCode="0.0">
                  <c:v>11.7</c:v>
                </c:pt>
                <c:pt idx="22" formatCode="0.0">
                  <c:v>9.7000000000000011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33D-47C0-ADCF-53AFCCC027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51456"/>
        <c:axId val="117728768"/>
        <c:extLst>
          <c:ext xmlns:c15="http://schemas.microsoft.com/office/drawing/2012/chart" uri="{02D57815-91ED-43cb-92C2-25804820EDAC}">
            <c15:filteredLineSeries>
              <c15:ser>
                <c:idx val="2"/>
                <c:order val="4"/>
                <c:tx>
                  <c:strRef>
                    <c:extLst>
                      <c:ext uri="{02D57815-91ED-43cb-92C2-25804820EDAC}">
                        <c15:formulaRef>
                          <c15:sqref>'Ceny 2'!$E$5</c15:sqref>
                        </c15:formulaRef>
                      </c:ext>
                    </c:extLst>
                    <c:strCache>
                      <c:ptCount val="1"/>
                      <c:pt idx="0">
                        <c:v>Alkoholické nápoje a tabák</c:v>
                      </c:pt>
                    </c:strCache>
                  </c:strRef>
                </c:tx>
                <c:spPr>
                  <a:ln w="19050">
                    <a:solidFill>
                      <a:schemeClr val="accent2"/>
                    </a:solidFill>
                  </a:ln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'Ceny 2'!$A$30:$B$52</c15:sqref>
                        </c15:formulaRef>
                      </c:ext>
                    </c:extLst>
                    <c:multiLvlStrCache>
                      <c:ptCount val="23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  <c:pt idx="21">
                          <c:v>2</c:v>
                        </c:pt>
                        <c:pt idx="22">
                          <c:v>3</c:v>
                        </c:pt>
                      </c:lvl>
                      <c:lvl>
                        <c:pt idx="0">
                          <c:v>2018</c:v>
                        </c:pt>
                        <c:pt idx="4">
                          <c:v>2019</c:v>
                        </c:pt>
                        <c:pt idx="8">
                          <c:v>2020</c:v>
                        </c:pt>
                        <c:pt idx="12">
                          <c:v>2021</c:v>
                        </c:pt>
                        <c:pt idx="16">
                          <c:v>2022</c:v>
                        </c:pt>
                        <c:pt idx="20">
                          <c:v>2023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'Ceny 2'!$E$26:$E$48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3.4000000000000057</c:v>
                      </c:pt>
                      <c:pt idx="1">
                        <c:v>0.79999999999999716</c:v>
                      </c:pt>
                      <c:pt idx="2" formatCode="0.0">
                        <c:v>1.3</c:v>
                      </c:pt>
                      <c:pt idx="3" formatCode="0.0">
                        <c:v>1.5</c:v>
                      </c:pt>
                      <c:pt idx="4" formatCode="0.0">
                        <c:v>2.5</c:v>
                      </c:pt>
                      <c:pt idx="5" formatCode="0.0">
                        <c:v>3.6</c:v>
                      </c:pt>
                      <c:pt idx="6" formatCode="0.0">
                        <c:v>2.8</c:v>
                      </c:pt>
                      <c:pt idx="7" formatCode="0.0">
                        <c:v>3.1</c:v>
                      </c:pt>
                      <c:pt idx="8" formatCode="0.0">
                        <c:v>3.3</c:v>
                      </c:pt>
                      <c:pt idx="9" formatCode="0.0">
                        <c:v>1.7</c:v>
                      </c:pt>
                      <c:pt idx="10" formatCode="0.0">
                        <c:v>1.9</c:v>
                      </c:pt>
                      <c:pt idx="11" formatCode="0.0">
                        <c:v>1.8</c:v>
                      </c:pt>
                      <c:pt idx="12">
                        <c:v>3.5</c:v>
                      </c:pt>
                      <c:pt idx="13" formatCode="0.0">
                        <c:v>6.6</c:v>
                      </c:pt>
                      <c:pt idx="14" formatCode="0.0">
                        <c:v>10.3</c:v>
                      </c:pt>
                      <c:pt idx="15" formatCode="0.0">
                        <c:v>9.9</c:v>
                      </c:pt>
                      <c:pt idx="16" formatCode="0.0">
                        <c:v>9.9</c:v>
                      </c:pt>
                      <c:pt idx="17" formatCode="0.0">
                        <c:v>9.8000000000000007</c:v>
                      </c:pt>
                      <c:pt idx="18" formatCode="0.0">
                        <c:v>6.5</c:v>
                      </c:pt>
                      <c:pt idx="19" formatCode="0.0">
                        <c:v>7.7</c:v>
                      </c:pt>
                      <c:pt idx="20" formatCode="0.0">
                        <c:v>7.1</c:v>
                      </c:pt>
                      <c:pt idx="21" formatCode="0.0">
                        <c:v>5.6</c:v>
                      </c:pt>
                      <c:pt idx="22" formatCode="0.0">
                        <c:v>6.3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433D-47C0-ADCF-53AFCCC0278E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2'!$J$5</c15:sqref>
                        </c15:formulaRef>
                      </c:ext>
                    </c:extLst>
                    <c:strCache>
                      <c:ptCount val="1"/>
                      <c:pt idx="0">
                        <c:v>Odívání a obuv</c:v>
                      </c:pt>
                    </c:strCache>
                  </c:strRef>
                </c:tx>
                <c:spPr>
                  <a:ln w="19050">
                    <a:solidFill>
                      <a:srgbClr val="E8AFB2"/>
                    </a:solidFill>
                  </a:ln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2'!$A$30:$B$52</c15:sqref>
                        </c15:formulaRef>
                      </c:ext>
                    </c:extLst>
                    <c:multiLvlStrCache>
                      <c:ptCount val="23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  <c:pt idx="21">
                          <c:v>2</c:v>
                        </c:pt>
                        <c:pt idx="22">
                          <c:v>3</c:v>
                        </c:pt>
                      </c:lvl>
                      <c:lvl>
                        <c:pt idx="0">
                          <c:v>2018</c:v>
                        </c:pt>
                        <c:pt idx="4">
                          <c:v>2019</c:v>
                        </c:pt>
                        <c:pt idx="8">
                          <c:v>2020</c:v>
                        </c:pt>
                        <c:pt idx="12">
                          <c:v>2021</c:v>
                        </c:pt>
                        <c:pt idx="16">
                          <c:v>2022</c:v>
                        </c:pt>
                        <c:pt idx="20">
                          <c:v>2023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2'!$J$26:$J$48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0.5</c:v>
                      </c:pt>
                      <c:pt idx="1">
                        <c:v>1</c:v>
                      </c:pt>
                      <c:pt idx="2" formatCode="0.0">
                        <c:v>0.5</c:v>
                      </c:pt>
                      <c:pt idx="3" formatCode="0.0">
                        <c:v>-0.8</c:v>
                      </c:pt>
                      <c:pt idx="4">
                        <c:v>-0.29999999999999716</c:v>
                      </c:pt>
                      <c:pt idx="5">
                        <c:v>-1</c:v>
                      </c:pt>
                      <c:pt idx="6">
                        <c:v>-1.4000000000000057</c:v>
                      </c:pt>
                      <c:pt idx="7">
                        <c:v>-1.7000000000000028</c:v>
                      </c:pt>
                      <c:pt idx="8">
                        <c:v>-1.0999999999999943</c:v>
                      </c:pt>
                      <c:pt idx="9">
                        <c:v>-1.9000000000000057</c:v>
                      </c:pt>
                      <c:pt idx="10">
                        <c:v>-1.5</c:v>
                      </c:pt>
                      <c:pt idx="11">
                        <c:v>-0.29999999999999716</c:v>
                      </c:pt>
                      <c:pt idx="12">
                        <c:v>3.5</c:v>
                      </c:pt>
                      <c:pt idx="13">
                        <c:v>3.4000000000000057</c:v>
                      </c:pt>
                      <c:pt idx="14">
                        <c:v>4.5</c:v>
                      </c:pt>
                      <c:pt idx="15">
                        <c:v>3.4000000000000057</c:v>
                      </c:pt>
                      <c:pt idx="16">
                        <c:v>2.7000000000000028</c:v>
                      </c:pt>
                      <c:pt idx="17">
                        <c:v>2.9000000000000057</c:v>
                      </c:pt>
                      <c:pt idx="18">
                        <c:v>7.7999999999999972</c:v>
                      </c:pt>
                      <c:pt idx="19">
                        <c:v>12.599999999999994</c:v>
                      </c:pt>
                      <c:pt idx="20">
                        <c:v>16.900000000000006</c:v>
                      </c:pt>
                      <c:pt idx="21">
                        <c:v>20</c:v>
                      </c:pt>
                      <c:pt idx="22">
                        <c:v>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33D-47C0-ADCF-53AFCCC0278E}"/>
                  </c:ext>
                </c:extLst>
              </c15:ser>
            </c15:filteredLineSeries>
          </c:ext>
        </c:extLst>
      </c:lineChart>
      <c:catAx>
        <c:axId val="11725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7728768"/>
        <c:crosses val="autoZero"/>
        <c:auto val="1"/>
        <c:lblAlgn val="ctr"/>
        <c:lblOffset val="100"/>
        <c:noMultiLvlLbl val="0"/>
      </c:catAx>
      <c:valAx>
        <c:axId val="11772876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7251456"/>
        <c:crosses val="autoZero"/>
        <c:crossBetween val="between"/>
        <c:majorUnit val="4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35E-2"/>
          <c:y val="0.85802375323651958"/>
          <c:w val="0.92470364741641364"/>
          <c:h val="0.1312535179556455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919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1'!$C$30:$C$52</c:f>
              <c:numCache>
                <c:formatCode>General</c:formatCode>
                <c:ptCount val="23"/>
                <c:pt idx="0">
                  <c:v>9.2000000000000011</c:v>
                </c:pt>
                <c:pt idx="1">
                  <c:v>8</c:v>
                </c:pt>
                <c:pt idx="2">
                  <c:v>9.4000000000000057</c:v>
                </c:pt>
                <c:pt idx="3">
                  <c:v>11.400000000000006</c:v>
                </c:pt>
                <c:pt idx="4">
                  <c:v>11.3</c:v>
                </c:pt>
                <c:pt idx="5">
                  <c:v>10.599999999999998</c:v>
                </c:pt>
                <c:pt idx="6">
                  <c:v>9.5</c:v>
                </c:pt>
                <c:pt idx="7">
                  <c:v>9.4000000000000057</c:v>
                </c:pt>
                <c:pt idx="8">
                  <c:v>10.599999999999998</c:v>
                </c:pt>
                <c:pt idx="9">
                  <c:v>10.200000000000003</c:v>
                </c:pt>
                <c:pt idx="10">
                  <c:v>11.200000000000003</c:v>
                </c:pt>
                <c:pt idx="11">
                  <c:v>13.3</c:v>
                </c:pt>
                <c:pt idx="12">
                  <c:v>15.200000000000003</c:v>
                </c:pt>
                <c:pt idx="13">
                  <c:v>17.900000000000006</c:v>
                </c:pt>
                <c:pt idx="14">
                  <c:v>21.29999999999999</c:v>
                </c:pt>
                <c:pt idx="15">
                  <c:v>25.200000000000003</c:v>
                </c:pt>
                <c:pt idx="16">
                  <c:v>27.29999999999999</c:v>
                </c:pt>
                <c:pt idx="17">
                  <c:v>27.599999999999987</c:v>
                </c:pt>
                <c:pt idx="18">
                  <c:v>23.400000000000006</c:v>
                </c:pt>
                <c:pt idx="19">
                  <c:v>13.8</c:v>
                </c:pt>
                <c:pt idx="20">
                  <c:v>3.7000000000000037</c:v>
                </c:pt>
                <c:pt idx="21">
                  <c:v>-4.0999999999999943</c:v>
                </c:pt>
                <c:pt idx="22">
                  <c:v>-7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B2-4A07-830F-826D171EE131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1'!$D$30:$D$52</c:f>
              <c:numCache>
                <c:formatCode>General</c:formatCode>
                <c:ptCount val="23"/>
                <c:pt idx="0">
                  <c:v>8.3000000000000025</c:v>
                </c:pt>
                <c:pt idx="1">
                  <c:v>4</c:v>
                </c:pt>
                <c:pt idx="2">
                  <c:v>6</c:v>
                </c:pt>
                <c:pt idx="3">
                  <c:v>8.7000000000000011</c:v>
                </c:pt>
                <c:pt idx="4">
                  <c:v>9.4000000000000057</c:v>
                </c:pt>
                <c:pt idx="5">
                  <c:v>8.7000000000000011</c:v>
                </c:pt>
                <c:pt idx="6">
                  <c:v>6.5</c:v>
                </c:pt>
                <c:pt idx="7">
                  <c:v>7.0999999999999943</c:v>
                </c:pt>
                <c:pt idx="8">
                  <c:v>6.2000000000000028</c:v>
                </c:pt>
                <c:pt idx="9">
                  <c:v>8</c:v>
                </c:pt>
                <c:pt idx="10">
                  <c:v>9.4000000000000057</c:v>
                </c:pt>
                <c:pt idx="11">
                  <c:v>10.599999999999998</c:v>
                </c:pt>
                <c:pt idx="12">
                  <c:v>14.3</c:v>
                </c:pt>
                <c:pt idx="13">
                  <c:v>15.8</c:v>
                </c:pt>
                <c:pt idx="14">
                  <c:v>16.599999999999987</c:v>
                </c:pt>
                <c:pt idx="15">
                  <c:v>20</c:v>
                </c:pt>
                <c:pt idx="16">
                  <c:v>19</c:v>
                </c:pt>
                <c:pt idx="17">
                  <c:v>16.700000000000003</c:v>
                </c:pt>
                <c:pt idx="18">
                  <c:v>15.599999999999998</c:v>
                </c:pt>
                <c:pt idx="19">
                  <c:v>8.4000000000000057</c:v>
                </c:pt>
                <c:pt idx="20">
                  <c:v>1.2000000000000028</c:v>
                </c:pt>
                <c:pt idx="21">
                  <c:v>-3.5999999999999943</c:v>
                </c:pt>
                <c:pt idx="22">
                  <c:v>-5.2999999999999972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B2-4A07-830F-826D171EE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18483968"/>
        <c:axId val="120605696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1'!$E$30:$E$52</c:f>
              <c:numCache>
                <c:formatCode>0.0</c:formatCode>
                <c:ptCount val="23"/>
                <c:pt idx="0">
                  <c:v>12.801932367149751</c:v>
                </c:pt>
                <c:pt idx="1">
                  <c:v>12.22570532915358</c:v>
                </c:pt>
                <c:pt idx="2">
                  <c:v>9.4988780852655257</c:v>
                </c:pt>
                <c:pt idx="3">
                  <c:v>8.4609773887673203</c:v>
                </c:pt>
                <c:pt idx="4">
                  <c:v>7.4232690935046488</c:v>
                </c:pt>
                <c:pt idx="5">
                  <c:v>5.7262569832402352</c:v>
                </c:pt>
                <c:pt idx="6">
                  <c:v>5.1912568306010893</c:v>
                </c:pt>
                <c:pt idx="7">
                  <c:v>5.5144586415601955</c:v>
                </c:pt>
                <c:pt idx="8">
                  <c:v>6.0465116279069644</c:v>
                </c:pt>
                <c:pt idx="9">
                  <c:v>7.1334214002641847</c:v>
                </c:pt>
                <c:pt idx="10">
                  <c:v>7.9870129870129887</c:v>
                </c:pt>
                <c:pt idx="11">
                  <c:v>7.6481835564053533</c:v>
                </c:pt>
                <c:pt idx="12">
                  <c:v>7.6441102756892256</c:v>
                </c:pt>
                <c:pt idx="13">
                  <c:v>7.9531442663378558</c:v>
                </c:pt>
                <c:pt idx="14">
                  <c:v>9.3205051112447475</c:v>
                </c:pt>
                <c:pt idx="15">
                  <c:v>12.433392539964474</c:v>
                </c:pt>
                <c:pt idx="16">
                  <c:v>16.8800931315483</c:v>
                </c:pt>
                <c:pt idx="17">
                  <c:v>24.671616219303267</c:v>
                </c:pt>
                <c:pt idx="18">
                  <c:v>22.937293729372925</c:v>
                </c:pt>
                <c:pt idx="19">
                  <c:v>18.325434439178501</c:v>
                </c:pt>
                <c:pt idx="20">
                  <c:v>9.8107569721115624</c:v>
                </c:pt>
                <c:pt idx="21" formatCode="General">
                  <c:v>-0.7329363261566757</c:v>
                </c:pt>
                <c:pt idx="22" formatCode="General">
                  <c:v>-3.3109619686800897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EB2-4A07-830F-826D171EE131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1'!$F$30:$F$52</c:f>
              <c:numCache>
                <c:formatCode>0.0</c:formatCode>
                <c:ptCount val="23"/>
                <c:pt idx="0">
                  <c:v>15.071428571428555</c:v>
                </c:pt>
                <c:pt idx="1">
                  <c:v>14.246386785960068</c:v>
                </c:pt>
                <c:pt idx="2">
                  <c:v>10.732984293193699</c:v>
                </c:pt>
                <c:pt idx="3">
                  <c:v>8.7531486146095574</c:v>
                </c:pt>
                <c:pt idx="4">
                  <c:v>8.3178150217256377</c:v>
                </c:pt>
                <c:pt idx="5">
                  <c:v>4.9397590361445687</c:v>
                </c:pt>
                <c:pt idx="6">
                  <c:v>3.3096926713947985</c:v>
                </c:pt>
                <c:pt idx="7">
                  <c:v>2.9530978575564593</c:v>
                </c:pt>
                <c:pt idx="8">
                  <c:v>3.5530085959885289</c:v>
                </c:pt>
                <c:pt idx="9">
                  <c:v>5.2812858783008068</c:v>
                </c:pt>
                <c:pt idx="10">
                  <c:v>6.2356979405034298</c:v>
                </c:pt>
                <c:pt idx="11">
                  <c:v>5.1743532058492718</c:v>
                </c:pt>
                <c:pt idx="12">
                  <c:v>4.7592695074709628</c:v>
                </c:pt>
                <c:pt idx="13">
                  <c:v>4.5256270447110012</c:v>
                </c:pt>
                <c:pt idx="14">
                  <c:v>6.2466343564889808</c:v>
                </c:pt>
                <c:pt idx="15">
                  <c:v>9.1443850267379485</c:v>
                </c:pt>
                <c:pt idx="16">
                  <c:v>12.255678816693077</c:v>
                </c:pt>
                <c:pt idx="17">
                  <c:v>19.718309859154935</c:v>
                </c:pt>
                <c:pt idx="18">
                  <c:v>18.49974657881398</c:v>
                </c:pt>
                <c:pt idx="19">
                  <c:v>16.903478686918177</c:v>
                </c:pt>
                <c:pt idx="20">
                  <c:v>10.305882352941186</c:v>
                </c:pt>
                <c:pt idx="21" formatCode="General">
                  <c:v>0.30501089324617692</c:v>
                </c:pt>
                <c:pt idx="22" formatCode="General">
                  <c:v>-1.5825491873396085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EB2-4A07-830F-826D171EE1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483968"/>
        <c:axId val="120605696"/>
      </c:lineChart>
      <c:catAx>
        <c:axId val="118483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0605696"/>
        <c:crosses val="autoZero"/>
        <c:auto val="1"/>
        <c:lblAlgn val="ctr"/>
        <c:lblOffset val="100"/>
        <c:noMultiLvlLbl val="0"/>
      </c:catAx>
      <c:valAx>
        <c:axId val="120605696"/>
        <c:scaling>
          <c:orientation val="minMax"/>
          <c:max val="28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8483968"/>
        <c:crosses val="autoZero"/>
        <c:crossBetween val="between"/>
        <c:majorUnit val="4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314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86E-2"/>
          <c:y val="2.1811315924220448E-2"/>
          <c:w val="0.90860161263086836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4'!$A$6:$B$28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4'!$C$6:$C$28</c:f>
              <c:numCache>
                <c:formatCode>General</c:formatCode>
                <c:ptCount val="23"/>
                <c:pt idx="0">
                  <c:v>9.9999999999994357E-2</c:v>
                </c:pt>
                <c:pt idx="1">
                  <c:v>1.5</c:v>
                </c:pt>
                <c:pt idx="2">
                  <c:v>3.2999999999999972</c:v>
                </c:pt>
                <c:pt idx="3">
                  <c:v>3.4000000000000057</c:v>
                </c:pt>
                <c:pt idx="4">
                  <c:v>3.5</c:v>
                </c:pt>
                <c:pt idx="5">
                  <c:v>3.5</c:v>
                </c:pt>
                <c:pt idx="6">
                  <c:v>2</c:v>
                </c:pt>
                <c:pt idx="7">
                  <c:v>1.2999999999999965</c:v>
                </c:pt>
                <c:pt idx="8">
                  <c:v>1.4000000000000057</c:v>
                </c:pt>
                <c:pt idx="9">
                  <c:v>-0.59999999999999432</c:v>
                </c:pt>
                <c:pt idx="10">
                  <c:v>-0.29999999999999738</c:v>
                </c:pt>
                <c:pt idx="11">
                  <c:v>9.9999999999994357E-2</c:v>
                </c:pt>
                <c:pt idx="12">
                  <c:v>1.5</c:v>
                </c:pt>
                <c:pt idx="13">
                  <c:v>5.2999999999999972</c:v>
                </c:pt>
                <c:pt idx="14">
                  <c:v>9</c:v>
                </c:pt>
                <c:pt idx="15">
                  <c:v>12.8</c:v>
                </c:pt>
                <c:pt idx="16">
                  <c:v>21.79999999999999</c:v>
                </c:pt>
                <c:pt idx="17">
                  <c:v>27.700000000000003</c:v>
                </c:pt>
                <c:pt idx="18">
                  <c:v>25.900000000000006</c:v>
                </c:pt>
                <c:pt idx="19">
                  <c:v>21.79999999999999</c:v>
                </c:pt>
                <c:pt idx="20">
                  <c:v>15</c:v>
                </c:pt>
                <c:pt idx="21">
                  <c:v>3.9000000000000057</c:v>
                </c:pt>
                <c:pt idx="22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E0-475B-9DAA-9DEC739E46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117289728"/>
        <c:axId val="117291264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4'!$A$6:$B$28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4'!$D$6:$D$28</c:f>
              <c:numCache>
                <c:formatCode>General</c:formatCode>
                <c:ptCount val="23"/>
                <c:pt idx="0">
                  <c:v>5.4000000000000075</c:v>
                </c:pt>
                <c:pt idx="1">
                  <c:v>6.7000000000000028</c:v>
                </c:pt>
                <c:pt idx="2">
                  <c:v>9.4000000000000057</c:v>
                </c:pt>
                <c:pt idx="3">
                  <c:v>8.8000000000000025</c:v>
                </c:pt>
                <c:pt idx="4">
                  <c:v>7.7000000000000028</c:v>
                </c:pt>
                <c:pt idx="5">
                  <c:v>7.7000000000000028</c:v>
                </c:pt>
                <c:pt idx="6">
                  <c:v>6.7000000000000028</c:v>
                </c:pt>
                <c:pt idx="7">
                  <c:v>3.7000000000000037</c:v>
                </c:pt>
                <c:pt idx="8">
                  <c:v>-2.0999999999999943</c:v>
                </c:pt>
                <c:pt idx="9">
                  <c:v>-3.5</c:v>
                </c:pt>
                <c:pt idx="10">
                  <c:v>-3.5999999999999943</c:v>
                </c:pt>
                <c:pt idx="11">
                  <c:v>-2</c:v>
                </c:pt>
                <c:pt idx="12">
                  <c:v>-0.5</c:v>
                </c:pt>
                <c:pt idx="13">
                  <c:v>0.79999999999999738</c:v>
                </c:pt>
                <c:pt idx="14">
                  <c:v>3.2999999999999972</c:v>
                </c:pt>
                <c:pt idx="15">
                  <c:v>13.8</c:v>
                </c:pt>
                <c:pt idx="16">
                  <c:v>25.200000000000003</c:v>
                </c:pt>
                <c:pt idx="17">
                  <c:v>31.900000000000006</c:v>
                </c:pt>
                <c:pt idx="18">
                  <c:v>30.199999999999992</c:v>
                </c:pt>
                <c:pt idx="19">
                  <c:v>23.29999999999999</c:v>
                </c:pt>
                <c:pt idx="20">
                  <c:v>54</c:v>
                </c:pt>
                <c:pt idx="21">
                  <c:v>47.600000000000009</c:v>
                </c:pt>
                <c:pt idx="22">
                  <c:v>44.5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E0-475B-9DAA-9DEC739E4617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4'!$A$6:$B$28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4'!$E$6:$E$28</c:f>
              <c:numCache>
                <c:formatCode>General</c:formatCode>
                <c:ptCount val="23"/>
                <c:pt idx="0">
                  <c:v>-0.40000000000000568</c:v>
                </c:pt>
                <c:pt idx="1">
                  <c:v>1.2000000000000028</c:v>
                </c:pt>
                <c:pt idx="2">
                  <c:v>3.2000000000000037</c:v>
                </c:pt>
                <c:pt idx="3">
                  <c:v>3.2999999999999972</c:v>
                </c:pt>
                <c:pt idx="4">
                  <c:v>2.5999999999999943</c:v>
                </c:pt>
                <c:pt idx="5">
                  <c:v>2.5999999999999943</c:v>
                </c:pt>
                <c:pt idx="6">
                  <c:v>0.79999999999999738</c:v>
                </c:pt>
                <c:pt idx="7">
                  <c:v>-9.9999999999994357E-2</c:v>
                </c:pt>
                <c:pt idx="8">
                  <c:v>0</c:v>
                </c:pt>
                <c:pt idx="9">
                  <c:v>-2.2999999999999972</c:v>
                </c:pt>
                <c:pt idx="10">
                  <c:v>-1.7999999999999965</c:v>
                </c:pt>
                <c:pt idx="11">
                  <c:v>-1.2000000000000028</c:v>
                </c:pt>
                <c:pt idx="12">
                  <c:v>1.7999999999999965</c:v>
                </c:pt>
                <c:pt idx="13">
                  <c:v>6.5</c:v>
                </c:pt>
                <c:pt idx="14">
                  <c:v>11</c:v>
                </c:pt>
                <c:pt idx="15">
                  <c:v>14.5</c:v>
                </c:pt>
                <c:pt idx="16">
                  <c:v>17.5</c:v>
                </c:pt>
                <c:pt idx="17">
                  <c:v>24.200000000000003</c:v>
                </c:pt>
                <c:pt idx="18">
                  <c:v>20.5</c:v>
                </c:pt>
                <c:pt idx="19">
                  <c:v>16</c:v>
                </c:pt>
                <c:pt idx="20">
                  <c:v>10.3</c:v>
                </c:pt>
                <c:pt idx="21">
                  <c:v>-0.90000000000000568</c:v>
                </c:pt>
                <c:pt idx="22">
                  <c:v>-2.4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9E0-475B-9DAA-9DEC739E4617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4'!$A$6:$B$28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4'!$F$6:$F$28</c:f>
              <c:numCache>
                <c:formatCode>General</c:formatCode>
                <c:ptCount val="23"/>
                <c:pt idx="0">
                  <c:v>1.5</c:v>
                </c:pt>
                <c:pt idx="1">
                  <c:v>1.9000000000000061</c:v>
                </c:pt>
                <c:pt idx="2">
                  <c:v>2.5999999999999943</c:v>
                </c:pt>
                <c:pt idx="3">
                  <c:v>2.7999999999999972</c:v>
                </c:pt>
                <c:pt idx="4">
                  <c:v>7.7000000000000028</c:v>
                </c:pt>
                <c:pt idx="5">
                  <c:v>8.3000000000000025</c:v>
                </c:pt>
                <c:pt idx="6">
                  <c:v>7.7999999999999972</c:v>
                </c:pt>
                <c:pt idx="7">
                  <c:v>8.3000000000000025</c:v>
                </c:pt>
                <c:pt idx="8">
                  <c:v>8.9000000000000057</c:v>
                </c:pt>
                <c:pt idx="9">
                  <c:v>8.2000000000000011</c:v>
                </c:pt>
                <c:pt idx="10">
                  <c:v>7.7999999999999972</c:v>
                </c:pt>
                <c:pt idx="11">
                  <c:v>6.0999999999999943</c:v>
                </c:pt>
                <c:pt idx="12">
                  <c:v>0.29999999999999738</c:v>
                </c:pt>
                <c:pt idx="13">
                  <c:v>9.9999999999994357E-2</c:v>
                </c:pt>
                <c:pt idx="14">
                  <c:v>0.79999999999999738</c:v>
                </c:pt>
                <c:pt idx="15">
                  <c:v>5.5</c:v>
                </c:pt>
                <c:pt idx="16">
                  <c:v>45</c:v>
                </c:pt>
                <c:pt idx="17">
                  <c:v>47.20000000000001</c:v>
                </c:pt>
                <c:pt idx="18">
                  <c:v>56</c:v>
                </c:pt>
                <c:pt idx="19">
                  <c:v>54.300000000000004</c:v>
                </c:pt>
                <c:pt idx="20">
                  <c:v>28.400000000000006</c:v>
                </c:pt>
                <c:pt idx="21">
                  <c:v>18.400000000000006</c:v>
                </c:pt>
                <c:pt idx="22">
                  <c:v>10.5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9E0-475B-9DAA-9DEC739E4617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4'!$A$6:$B$28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4'!$G$6:$G$28</c:f>
              <c:numCache>
                <c:formatCode>General</c:formatCode>
                <c:ptCount val="23"/>
                <c:pt idx="0">
                  <c:v>1.9000000000000061</c:v>
                </c:pt>
                <c:pt idx="1">
                  <c:v>1.9000000000000061</c:v>
                </c:pt>
                <c:pt idx="2">
                  <c:v>1.9000000000000061</c:v>
                </c:pt>
                <c:pt idx="3">
                  <c:v>1.9000000000000061</c:v>
                </c:pt>
                <c:pt idx="4">
                  <c:v>2.9000000000000057</c:v>
                </c:pt>
                <c:pt idx="5">
                  <c:v>2.9000000000000057</c:v>
                </c:pt>
                <c:pt idx="6">
                  <c:v>2.9000000000000057</c:v>
                </c:pt>
                <c:pt idx="7">
                  <c:v>2.9000000000000057</c:v>
                </c:pt>
                <c:pt idx="8">
                  <c:v>5.4000000000000075</c:v>
                </c:pt>
                <c:pt idx="9">
                  <c:v>6.0999999999999943</c:v>
                </c:pt>
                <c:pt idx="10">
                  <c:v>6.4000000000000075</c:v>
                </c:pt>
                <c:pt idx="11">
                  <c:v>6.4000000000000075</c:v>
                </c:pt>
                <c:pt idx="12">
                  <c:v>6.9000000000000075</c:v>
                </c:pt>
                <c:pt idx="13">
                  <c:v>6.2000000000000028</c:v>
                </c:pt>
                <c:pt idx="14">
                  <c:v>5.9000000000000075</c:v>
                </c:pt>
                <c:pt idx="15">
                  <c:v>5.9000000000000075</c:v>
                </c:pt>
                <c:pt idx="16">
                  <c:v>5.2999999999999972</c:v>
                </c:pt>
                <c:pt idx="17">
                  <c:v>5.2999999999999972</c:v>
                </c:pt>
                <c:pt idx="18">
                  <c:v>5.2999999999999972</c:v>
                </c:pt>
                <c:pt idx="19">
                  <c:v>5.2999999999999972</c:v>
                </c:pt>
                <c:pt idx="20">
                  <c:v>16.29999999999999</c:v>
                </c:pt>
                <c:pt idx="21">
                  <c:v>16.29999999999999</c:v>
                </c:pt>
                <c:pt idx="22">
                  <c:v>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9E0-475B-9DAA-9DEC739E46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9728"/>
        <c:axId val="117291264"/>
      </c:lineChart>
      <c:catAx>
        <c:axId val="11728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17291264"/>
        <c:crosses val="autoZero"/>
        <c:auto val="1"/>
        <c:lblAlgn val="ctr"/>
        <c:lblOffset val="100"/>
        <c:noMultiLvlLbl val="0"/>
      </c:catAx>
      <c:valAx>
        <c:axId val="117291264"/>
        <c:scaling>
          <c:orientation val="minMax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7289728"/>
        <c:crosses val="autoZero"/>
        <c:crossBetween val="between"/>
        <c:majorUnit val="5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3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5" ma:contentTypeDescription="Vytvoří nový dokument" ma:contentTypeScope="" ma:versionID="ba9ac22ffeb23664e7e881489bfb3a01">
  <xsd:schema xmlns:xsd="http://www.w3.org/2001/XMLSchema" xmlns:xs="http://www.w3.org/2001/XMLSchema" xmlns:p="http://schemas.microsoft.com/office/2006/metadata/properties" xmlns:ns2="eabc42bd-08fe-4a27-9645-04f6ad96d74a" xmlns:ns3="ea86e659-3cf4-4ff9-8d76-72c2490bfb13" targetNamespace="http://schemas.microsoft.com/office/2006/metadata/properties" ma:root="true" ma:fieldsID="452515690196c05a9ccc85c20d106231" ns2:_="" ns3:_="">
    <xsd:import namespace="eabc42bd-08fe-4a27-9645-04f6ad96d74a"/>
    <xsd:import namespace="ea86e659-3cf4-4ff9-8d76-72c2490bf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e659-3cf4-4ff9-8d76-72c2490bf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7845-9EC0-4146-9549-15917829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ea86e659-3cf4-4ff9-8d76-72c2490bf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4CE8B-BF1F-42DB-9095-786A6425DA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48B7D2-C25D-4196-ACFF-5E7CDD02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1</Pages>
  <Words>2208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6</cp:revision>
  <cp:lastPrinted>2023-06-09T17:23:00Z</cp:lastPrinted>
  <dcterms:created xsi:type="dcterms:W3CDTF">2023-12-15T10:09:00Z</dcterms:created>
  <dcterms:modified xsi:type="dcterms:W3CDTF">2023-12-15T10:26:00Z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