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24AC4" w14:textId="77777777" w:rsidR="00EA1EBB" w:rsidRDefault="00EA1EBB" w:rsidP="00EA1EBB">
      <w:pPr>
        <w:pStyle w:val="Nadpis11"/>
        <w:rPr>
          <w:sz w:val="2"/>
          <w:szCs w:val="2"/>
        </w:rPr>
      </w:pPr>
      <w:bookmarkStart w:id="0" w:name="_Toc121993822"/>
      <w:bookmarkStart w:id="1" w:name="_Toc145318534"/>
      <w:bookmarkStart w:id="2" w:name="_Toc153531176"/>
      <w:bookmarkStart w:id="3" w:name="_Toc161914424"/>
      <w:r>
        <w:t>4</w:t>
      </w:r>
      <w:bookmarkStart w:id="4" w:name="_Toc511215218"/>
      <w:bookmarkStart w:id="5" w:name="_Toc19090679"/>
      <w:bookmarkStart w:id="6" w:name="_Toc74643856"/>
      <w:bookmarkStart w:id="7" w:name="_Toc42852411"/>
      <w:bookmarkStart w:id="8" w:name="_Toc74643857"/>
      <w:bookmarkEnd w:id="4"/>
      <w:bookmarkEnd w:id="5"/>
      <w:r>
        <w:t>. Vnější vztahy</w:t>
      </w:r>
      <w:bookmarkEnd w:id="2"/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21"/>
        <w:gridCol w:w="7670"/>
      </w:tblGrid>
      <w:tr w:rsidR="00EA1EBB" w14:paraId="6BED2C85" w14:textId="77777777" w:rsidTr="00EA1EBB">
        <w:trPr>
          <w:trHeight w:val="145"/>
        </w:trPr>
        <w:tc>
          <w:tcPr>
            <w:tcW w:w="1748" w:type="dxa"/>
            <w:hideMark/>
          </w:tcPr>
          <w:p w14:paraId="50BB4168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Hodnota vývozu zboží loni celkově vzrostla jen mírně.</w:t>
            </w:r>
          </w:p>
        </w:tc>
        <w:tc>
          <w:tcPr>
            <w:tcW w:w="221" w:type="dxa"/>
          </w:tcPr>
          <w:p w14:paraId="3AC90487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4CBF8F66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Celková hodnota vývozu zboží</w:t>
            </w:r>
            <w:r>
              <w:rPr>
                <w:rStyle w:val="Znakapoznpodarou"/>
                <w:spacing w:val="-4"/>
                <w:lang w:eastAsia="en-US"/>
              </w:rPr>
              <w:footnoteReference w:id="1"/>
            </w:r>
            <w:r>
              <w:rPr>
                <w:spacing w:val="-4"/>
                <w:lang w:eastAsia="en-US"/>
              </w:rPr>
              <w:t xml:space="preserve"> v roce 2023 dosáhla 4 452,7 mld. korun, což představovalo nárůst oproti roku 2022 o 45,4 mld. (1,0 %). Vývoj v jednotlivých čtvrtletích roku 2023 byl ale značně různorodý a byl ovlivněn srovnávací základnou roku 2022 i vývojem cen</w:t>
            </w:r>
            <w:r>
              <w:rPr>
                <w:rStyle w:val="Znakapoznpodarou"/>
                <w:spacing w:val="-4"/>
                <w:lang w:eastAsia="en-US"/>
              </w:rPr>
              <w:footnoteReference w:id="2"/>
            </w:r>
            <w:r>
              <w:rPr>
                <w:spacing w:val="-4"/>
                <w:lang w:eastAsia="en-US"/>
              </w:rPr>
              <w:t xml:space="preserve">. Celkový mírný nárůst hodnoty exportu zboží je výsledkem příznivého vývoje v první polovině roku (zejména růst o 10,8 % v 1. čtvrtletí a mírný přírůstek o 1,0 % ve 2. kvartálu). Ve 3. čtvrtletí ale export zboží meziročně klesl o 6,6 %. Ve 4. kvartálu 2023 se pokles zmírnil na 0,6 %. Hodnota vývozu se snížila o 7,4 mld. korun a dosáhla 1 138,7 mld. Podle sezónně očištěných údajů ve 4. čtvrtletí hodnota vývozu mezičtvrtletně vzrostla o 1,6 %.    </w:t>
            </w:r>
          </w:p>
        </w:tc>
      </w:tr>
      <w:tr w:rsidR="00EA1EBB" w14:paraId="19906319" w14:textId="77777777" w:rsidTr="00EA1EBB">
        <w:trPr>
          <w:trHeight w:val="145"/>
        </w:trPr>
        <w:tc>
          <w:tcPr>
            <w:tcW w:w="1748" w:type="dxa"/>
            <w:hideMark/>
          </w:tcPr>
          <w:p w14:paraId="04D1DCD0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Loni vývoz do EU stagnoval. Export mimo EU mírně vzrostl.</w:t>
            </w:r>
          </w:p>
        </w:tc>
        <w:tc>
          <w:tcPr>
            <w:tcW w:w="221" w:type="dxa"/>
          </w:tcPr>
          <w:p w14:paraId="0210B9A9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56AF2E4F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Hodnota vývozu do zemí EU za celý rok 2023 v zásadě stagnovala (růst o 3,2 mld. korun, 0,1 %), protože export začal po silném navýšení v první čtvrtině roku meziročně klesat a propad se ve 2. pololetí dál prohloubil. Dynamika exportu do EU tak nenavázala na dvě výrazná navýšení z let 2021 a 2022. Export do zemí mimo EU loni celkově vzrostl o 41,7 mld. korun (4,9 %). U řady zemí loni vývoz celkově vzrostl jen mírně nebo stagnoval. Zejména u našich geografických sousedů se na vývoji exportu projevily změny cen elektřiny</w:t>
            </w:r>
            <w:r>
              <w:rPr>
                <w:rStyle w:val="Znakapoznpodarou"/>
                <w:spacing w:val="-4"/>
                <w:lang w:eastAsia="en-US"/>
              </w:rPr>
              <w:footnoteReference w:id="3"/>
            </w:r>
            <w:r>
              <w:rPr>
                <w:spacing w:val="-4"/>
                <w:lang w:eastAsia="en-US"/>
              </w:rPr>
              <w:t>. Nejvíce se loni zvýšila hodnota vývozu zboží do Turecka (+17,4 mld. korun, 34,1 %), Velké Británie (+15,1 mld., 9,1 %), Francie (+11,4 mld., 5,3 %), Německa (+13,8 mld., 1,0 %), Polska (+10,0 mld., 3,2 %), na Ukrajinu (+9,7 mld., 38,1 %), do Švýcarska (+7,0 mld., 9,4 %) a do Maďarska (+5,1 mld., 3,9 %). Naproti tomu se loni propadl export zboží na Slovensko (−32,3 mld. korun, −7,2 %), do Rakouska (−22,3 mld., −11,1 %) nebo do Ruska (−16,9 mld., −52,3 %). Hlubší pohled na menší obchodní partnery ukazuje pokračující prudký růst vývozu do Ázerbájdžánu (+1,4 mld. korun, 49,7 %) a výrazné navýšení exportu do Indonésie (+1,6 mld., 74,0 %). V samotném 4. čtvrtletí 2023 se vývoz do Evropské unie meziročně propadl o 20,0 mld. korun (−2,2 %). Naopak hodnota zboží vyvezeného mimo EU vzrostla (+12,4 mld. korun, 5,4 %). Nejvíce se meziročně snížila hodnota vývozu do Německa (−15,2 mld. korun, −4,5 %) a Rakouska (−7,5 mld., −15,2 %). Pokles byl zaznamenán také u exportu do Španělska (−3,4 mld. korun, −10,0 %), na Slovensko (−2,9 mld., −2,5 %), do Itálie (−2,4 mld., −5,0 %), do Ruska (−2,2 mld., −36,0 %) nebo Nizozemska (−2,0 mld., −5,2 %). Naopak vývoz do Turecka (+4,9 mld., 32,3 %), Polska (+4,6 mld. korun, 5,8 %), Velké Británie (+4,1 mld., 9,6 %) nebo Francie (+2,5 mld., 4,4 %) meziročně vzrostl.</w:t>
            </w:r>
          </w:p>
        </w:tc>
      </w:tr>
      <w:tr w:rsidR="00EA1EBB" w14:paraId="625706A3" w14:textId="77777777" w:rsidTr="00EA1EBB">
        <w:trPr>
          <w:trHeight w:val="170"/>
        </w:trPr>
        <w:tc>
          <w:tcPr>
            <w:tcW w:w="1748" w:type="dxa"/>
            <w:hideMark/>
          </w:tcPr>
          <w:p w14:paraId="53366AC1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Vývoz většiny druhů zboží loni klesl. Celkový nárůst byl výsledkem příznivého vývoje </w:t>
            </w:r>
            <w:r>
              <w:rPr>
                <w:lang w:eastAsia="en-US"/>
              </w:rPr>
              <w:br/>
              <w:t xml:space="preserve">u několika exportně významných průmyslových komodit. </w:t>
            </w:r>
          </w:p>
        </w:tc>
        <w:tc>
          <w:tcPr>
            <w:tcW w:w="221" w:type="dxa"/>
          </w:tcPr>
          <w:p w14:paraId="69AA628D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48939F67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Poměrně mírný nárůst hodnoty exportu byl loni ovlivněn protichůdným působením vývoje u mnoha artiklů, jejichž ceny se propadaly a jejichž vývoz tak klesl, a naopak oživením u řady exportně významných průmyslových komodit. Nejvíce se loni zvýšila hodnota vývozu motorových vozidel (+183,8 mld. korun, 17,6 %), elektrických zařízení (+42,4 mld., 10,2 %), strojů a zařízení (+25,9 mld., 5,2 %) a potravinářských výrobků (+18,4 mld., 12,4 %). Dařilo se také vývozcům ostatních dopravních prostředků (+8,2 mld. korun, 12,5 %). Export většiny druhů zboží ale loni klesl, nejvíce se spolu s cenami propadl vývoz elektřiny, plynu, páry a klimatizovaného vzduchu (−67,4 mld. korun, −56,5 %), základních kovů (−35,4 mld., −18,2 %), chemických látek a výrobků (−29,2 mld., −12,4 %), dřeva a výrobků z něj (−15,4 mld., −25,6 %), ropy a zemního plynu (−13,2 mld., −98,5 %) a produktů lesnictví a těžby dřeva (−10,9 mld., −43,8 %). Silně klesl také export počítačů, elektronických a optických přístrojů (−24,4 mld., −5,9 %) a výraznější pokles byl zaznamenán také u vývozu služeb sběru, likvidace a zpracování odpadu (−8,0 mld., −17,0 %), koksu </w:t>
            </w:r>
            <w:r>
              <w:rPr>
                <w:spacing w:val="-4"/>
                <w:lang w:eastAsia="en-US"/>
              </w:rPr>
              <w:lastRenderedPageBreak/>
              <w:t>a rafinovaných ropných produktů (−7,3 mld., −12,5 %), produktů zemědělství a myslivosti (−6,3 mld., −10,2 %), kovodělných výrobků (−6,2 mld., −2,3 %), nebo ostatních nekovových minerálních výrobků (−6,1 mld., −6,8 %).</w:t>
            </w:r>
          </w:p>
        </w:tc>
      </w:tr>
      <w:tr w:rsidR="00EA1EBB" w14:paraId="5774C5FB" w14:textId="77777777" w:rsidTr="00EA1EBB">
        <w:trPr>
          <w:trHeight w:val="170"/>
        </w:trPr>
        <w:tc>
          <w:tcPr>
            <w:tcW w:w="1748" w:type="dxa"/>
            <w:hideMark/>
          </w:tcPr>
          <w:p w14:paraId="3FA67B59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Ve 4. čtvrtletí se vývoz většiny druhů zboží snížil.</w:t>
            </w:r>
          </w:p>
        </w:tc>
        <w:tc>
          <w:tcPr>
            <w:tcW w:w="221" w:type="dxa"/>
          </w:tcPr>
          <w:p w14:paraId="70D6E0E4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7E7E89AE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V 4. čtvrtletí meziročně klesl vývoz většiny komodit. K celkovému meziročnímu poklesu exportu nejvíce přispěl propad hodnoty exportu elektřiny, plynu, páry a klimatizovaného vzduchu (−16,7 mld. korun, −56,7 %), počítačů, elektronických a optických přístrojů (−10,2 mld., −8,8 %) a základních kovů (−5,9 mld., −14,2 %). Nižší byla také hodnota vývozu elektrických zařízení (−4,7 mld. korun, −4,0 %), ropy a zemního plynu (−4,3 mld., −98,8 %), chemických látek a přípravků (−3,5 mld., −6,2 %), strojů a zařízení (−3,4 mld., −2,6 %), koksu a rafinovaných ropných výrobků (−2,4 mld., −15,8 %), produktů lesnictví a těžby dřeva (−2,4 mld., −44,0 %), dřeva a výrobků z něj (−2,3 mld., −18,0 %) nebo ostatních nekovových minerálních výrobků (−2,2 mld., −10,0 %). Z mála druhů zboží, u kterého export vzrostl, se nejvíce meziročně zvýšil vývoz motorových vozidel (+48,5 mld. korun, 17,6 %). Výraznější přírůstek měl i vývoz potravinářských výrobků (+3,3 mld. korun, 8,1 %).    </w:t>
            </w:r>
          </w:p>
        </w:tc>
      </w:tr>
      <w:tr w:rsidR="00EA1EBB" w14:paraId="60C8FEAA" w14:textId="77777777" w:rsidTr="00EA1EBB">
        <w:trPr>
          <w:trHeight w:val="126"/>
        </w:trPr>
        <w:tc>
          <w:tcPr>
            <w:tcW w:w="1748" w:type="dxa"/>
            <w:vMerge w:val="restart"/>
          </w:tcPr>
          <w:p w14:paraId="35DC0C12" w14:textId="77777777" w:rsidR="00EA1EBB" w:rsidRDefault="00EA1EBB">
            <w:pPr>
              <w:pStyle w:val="Marginlie"/>
              <w:rPr>
                <w:lang w:eastAsia="en-US"/>
              </w:rPr>
            </w:pPr>
          </w:p>
        </w:tc>
        <w:tc>
          <w:tcPr>
            <w:tcW w:w="221" w:type="dxa"/>
            <w:vMerge w:val="restart"/>
          </w:tcPr>
          <w:p w14:paraId="55C7D8DE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6ED79DAE" w14:textId="4D22C4B6" w:rsidR="00EA1EBB" w:rsidRDefault="00EA1EBB" w:rsidP="00174ED1">
            <w:pPr>
              <w:spacing w:after="0"/>
              <w:rPr>
                <w:spacing w:val="-4"/>
                <w:lang w:eastAsia="en-US"/>
              </w:rPr>
            </w:pPr>
            <w:r>
              <w:rPr>
                <w:b/>
                <w:bCs/>
                <w:spacing w:val="-4"/>
                <w:lang w:eastAsia="en-US"/>
              </w:rPr>
              <w:t>Graf č. </w:t>
            </w:r>
            <w:r w:rsidR="00174ED1">
              <w:rPr>
                <w:b/>
                <w:bCs/>
                <w:spacing w:val="-4"/>
                <w:lang w:eastAsia="en-US"/>
              </w:rPr>
              <w:t>9</w:t>
            </w:r>
            <w:r>
              <w:rPr>
                <w:b/>
                <w:bCs/>
                <w:spacing w:val="-4"/>
                <w:lang w:eastAsia="en-US"/>
              </w:rPr>
              <w:t xml:space="preserve"> Vývoz a dovoz zboží </w:t>
            </w:r>
            <w:r>
              <w:rPr>
                <w:spacing w:val="-4"/>
                <w:lang w:eastAsia="en-US"/>
              </w:rPr>
              <w:t>(meziroční změna, v %)</w:t>
            </w:r>
            <w:r>
              <w:rPr>
                <w:b/>
                <w:bCs/>
                <w:spacing w:val="-4"/>
                <w:lang w:eastAsia="en-US"/>
              </w:rPr>
              <w:t xml:space="preserve"> a bilance zahraničního obchodu se zbožím </w:t>
            </w:r>
            <w:r>
              <w:rPr>
                <w:spacing w:val="-4"/>
                <w:lang w:eastAsia="en-US"/>
              </w:rPr>
              <w:t>(v mld. korun, pravá osa)</w:t>
            </w:r>
          </w:p>
        </w:tc>
      </w:tr>
      <w:tr w:rsidR="00EA1EBB" w14:paraId="005DCA28" w14:textId="77777777" w:rsidTr="00EA1EBB">
        <w:trPr>
          <w:trHeight w:val="125"/>
        </w:trPr>
        <w:tc>
          <w:tcPr>
            <w:tcW w:w="0" w:type="auto"/>
            <w:vMerge/>
            <w:vAlign w:val="center"/>
            <w:hideMark/>
          </w:tcPr>
          <w:p w14:paraId="19DEB3AD" w14:textId="77777777" w:rsidR="00EA1EBB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FA740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00CF3" w14:textId="1CBCB6A4" w:rsidR="00EA1EBB" w:rsidRDefault="00EA1EBB">
            <w:pPr>
              <w:spacing w:after="0"/>
              <w:rPr>
                <w:spacing w:val="-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F683D4" wp14:editId="0A132D47">
                  <wp:extent cx="4769485" cy="3542030"/>
                  <wp:effectExtent l="0" t="0" r="0" b="1270"/>
                  <wp:docPr id="26" name="Graf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34A376-5955-451A-B8E8-536A257FF3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A1EBB" w14:paraId="038FF672" w14:textId="77777777" w:rsidTr="00EA1EBB">
        <w:trPr>
          <w:trHeight w:val="125"/>
        </w:trPr>
        <w:tc>
          <w:tcPr>
            <w:tcW w:w="0" w:type="auto"/>
            <w:vMerge/>
            <w:vAlign w:val="center"/>
            <w:hideMark/>
          </w:tcPr>
          <w:p w14:paraId="29210805" w14:textId="77777777" w:rsidR="00EA1EBB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D7717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70" w:type="dxa"/>
            <w:hideMark/>
          </w:tcPr>
          <w:p w14:paraId="180E9C54" w14:textId="77777777" w:rsidR="00EA1EBB" w:rsidRDefault="00EA1EBB">
            <w:pPr>
              <w:spacing w:after="180"/>
              <w:rPr>
                <w:spacing w:val="-4"/>
                <w:sz w:val="16"/>
                <w:szCs w:val="16"/>
                <w:lang w:eastAsia="en-US"/>
              </w:rPr>
            </w:pPr>
            <w:r>
              <w:rPr>
                <w:spacing w:val="-4"/>
                <w:sz w:val="16"/>
                <w:szCs w:val="16"/>
                <w:lang w:eastAsia="en-US"/>
              </w:rPr>
              <w:t>Zdroj: ČSÚ</w:t>
            </w:r>
          </w:p>
        </w:tc>
      </w:tr>
      <w:tr w:rsidR="00EA1EBB" w14:paraId="2B5A616E" w14:textId="77777777" w:rsidTr="00EA1EBB">
        <w:trPr>
          <w:trHeight w:val="145"/>
        </w:trPr>
        <w:tc>
          <w:tcPr>
            <w:tcW w:w="1748" w:type="dxa"/>
            <w:hideMark/>
          </w:tcPr>
          <w:p w14:paraId="44EE222B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Dovoz se loni prudce propadl, z významné části kvůli propadu cen.</w:t>
            </w:r>
          </w:p>
        </w:tc>
        <w:tc>
          <w:tcPr>
            <w:tcW w:w="221" w:type="dxa"/>
          </w:tcPr>
          <w:p w14:paraId="7EA1B2A5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1C4F5AC8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Dovoz zboží se v roce 2023 propadl o 284,3 mld. korun (−6,2 %) na 4 327,8 mld. Velký podíl na poklesu měl vývoj cen surovin a paliv</w:t>
            </w:r>
            <w:r>
              <w:rPr>
                <w:rStyle w:val="Znakapoznpodarou"/>
                <w:spacing w:val="-4"/>
                <w:lang w:eastAsia="en-US"/>
              </w:rPr>
              <w:footnoteReference w:id="4"/>
            </w:r>
            <w:r>
              <w:rPr>
                <w:spacing w:val="-4"/>
                <w:lang w:eastAsia="en-US"/>
              </w:rPr>
              <w:t xml:space="preserve">, ale také útlum domácí spotřební i průmyslové poptávky. Podobně jako u exportu v 1. čtvrtletí 2023 import meziročně vzrostl (5,7 %). Ve zbytku roku se ale dovoz zboží výrazně propadal (−8,2 % a −11,8 % ve 2. a 3. čtvrtletí). Ve 4. kvartálu hodnota dovozu dosáhla 1 089,8 mld. korun a byla meziročně nižší o 110,9 mld. (−9,2 %). Sezónně očištěná data ukazují, že hodnota dovozu ve 4. čtvrtletí mezičtvrtletně klesla o 0,9 %, popáté v řadě. Dovoz z EU se loni snížil o 68,8 mld. korun (−2,5 %). Import zboží ze zemí mimo EU se propadl o 218,5 mld. korun (−12,0 %), na čemž měl značný podíl pokles cen řady surovin, především ropy a zemního plynu. Nejsilnější propad importu byl loni zaznamenán u Ruska (−189,5 mld. korun, −71,3 %), Číny (−49,5 mld., −8,5 %), Polska (−23,2 mld., −5,7 %), Německa (−19,7 mld., −2,0 %) a Rakouska (−18,0 mld., −13,1 %). </w:t>
            </w:r>
            <w:r>
              <w:rPr>
                <w:spacing w:val="-4"/>
                <w:lang w:eastAsia="en-US"/>
              </w:rPr>
              <w:lastRenderedPageBreak/>
              <w:t xml:space="preserve">Jediný výrazný nárůst dovozu byl zaznamenán v případě Norska (+37,0 mld. korun, 75,5 %), které od loňska přebralo roli hlavního dodavatele zemního plynu místo Ruska. V samotném 4. čtvrtletí 2023 dovoz z EU meziročně klesl o 16,7 mld. korun (−2,4 %). Import ze zemí mimo EU se nadále propadal výrazněji (−94,3 mld. korun, −18,8 %). Nejvíce se meziročně propadl dovoz z Číny (−49,6 mld. korun, −27,4 %) a Norska (−21,7 mld., −53,2 %). Nižší byla také hodnota dovozu ze Spojených států (−5,3 mld., −14,3 %), z Polska (−5,0 mld. korun, −5,0 %), Ruska (−4,4 mld., −15,9 %), Rakouska (−4,2 mld., −13,0 %) nebo Německa (−3,9 mld., −1,5 %). Klesal dovoz z většiny sledovaných zemí a výraznější meziroční nárůst byl zaznamenán jen u Kazachstánu (+2,9 mld. korun, 76,3 %, stoupl především dovoz ropy a zemního plynu). </w:t>
            </w:r>
          </w:p>
        </w:tc>
      </w:tr>
      <w:tr w:rsidR="00EA1EBB" w14:paraId="09DFDAB2" w14:textId="77777777" w:rsidTr="00EA1EBB">
        <w:trPr>
          <w:trHeight w:val="145"/>
        </w:trPr>
        <w:tc>
          <w:tcPr>
            <w:tcW w:w="1748" w:type="dxa"/>
            <w:hideMark/>
          </w:tcPr>
          <w:p w14:paraId="45588A55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Nejvíce se loni propadl dovoz ropy a zemního plynu.</w:t>
            </w:r>
          </w:p>
        </w:tc>
        <w:tc>
          <w:tcPr>
            <w:tcW w:w="221" w:type="dxa"/>
          </w:tcPr>
          <w:p w14:paraId="70BFC2C1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079F6B31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Na loňském propadu dovozu se z většiny podílel import ropy a zemního plynu </w:t>
            </w:r>
            <w:r>
              <w:rPr>
                <w:spacing w:val="-4"/>
                <w:lang w:eastAsia="en-US"/>
              </w:rPr>
              <w:br/>
              <w:t xml:space="preserve">(−161,4 mld. korun, −46,9 %) a dále základní kovy (−61,8 mld., −16,3 %), chemické látky a přípravky (−48,0 mld., −12,2 %) a počítače, elektronické a optické přístroje (−21,1 mld., −4,3 %). Vliv klesajících cen surovin potvrzuje i výrazný pokles hodnoty dovozu koksu a rafinovaných ropných výrobků (−17,1 mld. korun, −15,9 %) elektřiny, plynu, páry a klimatizovaného vzduchu (−15,4 mld. korun, −42,1 %) nebo černého a hnědého uhlí a lignitu (−10,1 mld., −31,5 %). Značný byl rovněž pokles importu ostatních výrobků zpracovatelského průmyslu (−12,5 mld. korun, −12,2 %). Do menšiny výrobků, jejichž dovoz loni vzrostl, se řadí motorová vozidla (+71,2 mld. korun, 12,2 %), elektrická zařízení (+22,5 mld., 5,2 %), ostatní dopravní prostředky (+12,4 mld., 24,6 %) nebo potravinářské výrobky (+11,3 mld., 5,4 %). V samotném 4. čtvrtletí k celkovému meziročnímu poklesu hodnoty dovozu přispěl nejvíce propad u ropy a zemního plynu (−32,4 mld. korun, −38,7 %) a elektrických zařízení (−23,9 mld., −17,9 %). Výraznější snížení bylo zaznamenáno také u importu strojů a zařízení (−10,4 mld. korun, −9,7 %), základních kovů (−10,1 mld., −12,4 %), počítačů, elektronických a optických přístrojů (−9,2 mld., −6,8 %), chemických látek a přípravků (−8,1 mld., −8,5 %), koksu a rafinovaných ropných produktů (−4,1 mld., −15,3 %), oděvů (−3,8 mld., −19,6 %), černého a hnědého uhlí a lignitu (−3,4 mld., −48,1 %) nebo ostatních výrobků zpracovatelského průmyslu (−3,4 mld., −12,0 %). Ve 4. čtvrtletí výrazně meziročně vzrostl jen dovoz motorových vozidel (+14,8 mld. korun, 9,4 %). </w:t>
            </w:r>
          </w:p>
        </w:tc>
      </w:tr>
      <w:tr w:rsidR="00EA1EBB" w14:paraId="791906DB" w14:textId="77777777" w:rsidTr="00EA1EBB">
        <w:trPr>
          <w:trHeight w:val="145"/>
        </w:trPr>
        <w:tc>
          <w:tcPr>
            <w:tcW w:w="1748" w:type="dxa"/>
            <w:hideMark/>
          </w:tcPr>
          <w:p w14:paraId="6BD5925D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Ke zlepšení bilance zahraničního obchodu přispěl nejvíce obchod se zeměmi mimo EU.</w:t>
            </w:r>
          </w:p>
        </w:tc>
        <w:tc>
          <w:tcPr>
            <w:tcW w:w="221" w:type="dxa"/>
          </w:tcPr>
          <w:p w14:paraId="7B5CE05C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35181CE3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Bilance zahraničního obchodu se zbožím v roce 2023 skončila přebytkem ve výši 124,9 mld. korun</w:t>
            </w:r>
            <w:r>
              <w:rPr>
                <w:rStyle w:val="Znakapoznpodarou"/>
                <w:spacing w:val="-4"/>
                <w:lang w:eastAsia="en-US"/>
              </w:rPr>
              <w:footnoteReference w:id="5"/>
            </w:r>
            <w:r>
              <w:rPr>
                <w:spacing w:val="-4"/>
                <w:lang w:eastAsia="en-US"/>
              </w:rPr>
              <w:t xml:space="preserve">. To je meziročně o 329,7 mld. korun lepší výsledek, na kterém se projevil zejména propad cen paliv a základních surovin. Bilance dosáhla přebytku v první polovině roku (39,8 mld. korun a 36,4 mld. v 1. a 2. čtvrtletí) a ve třetí čtvrtině roku skončila v drobném deficitu (−0,2 mld.). Ve 4. čtvrtletí 2023 bilance zahraničního obchodu se zbožím dosáhla přebytku 48,9 mld. korun a meziročně se tak zlepšila o 103,5 mld. Sezónně očištěné údaje potvrzují, že po mírném mezičtvrtletním zhoršení ve 3. čtvrtletí se bilance výrazně zlepšila. Loni se celkově zlepšila bilance zahraničního obchodu se zbožím s EU (+72,1 mld. korun) i se zeměmi mimo Unii (+260,2 mld.). Nejvíce loni působil ve směru zlepšení bilance obchod s Ruskem (+172,7 mld. korun), Čínou (+47,1 mld.), Polskem (+33,2 mld.), Německem (+33,4 mld.), Tureckem (+18,5 mld.), Francií (+17,6 mld.), Ukrajinou (+14,1 mld.), Velkou Británií (+11,5 mld.), Belgií (+10,3 mld.) a Itálií (+10,2 mld.). Prudce se naopak loni zhoršila bilance obchodu s Norskem (−39,6 mld. korun) a se Slovenskem (−36,6 mld.). </w:t>
            </w:r>
          </w:p>
        </w:tc>
      </w:tr>
      <w:tr w:rsidR="00EA1EBB" w14:paraId="20C46768" w14:textId="77777777" w:rsidTr="00EA1EBB">
        <w:trPr>
          <w:trHeight w:val="145"/>
        </w:trPr>
        <w:tc>
          <w:tcPr>
            <w:tcW w:w="1748" w:type="dxa"/>
            <w:hideMark/>
          </w:tcPr>
          <w:p w14:paraId="5028E9F5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Přebytek bilance obchodu se zeměmi EU se ve 4. čtvrtletí zlepšil jen mírně. </w:t>
            </w:r>
          </w:p>
        </w:tc>
        <w:tc>
          <w:tcPr>
            <w:tcW w:w="221" w:type="dxa"/>
          </w:tcPr>
          <w:p w14:paraId="4CA43325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524AF5CC" w14:textId="77777777" w:rsidR="00EA1EBB" w:rsidRDefault="00EA1EBB">
            <w:pPr>
              <w:spacing w:after="18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Ve 4. čtvrtletí se na meziročním zlepšení bilance zahraničního obchodu se zbožím z naprosté většiny podílel obchod se zeměmi mimo EU (+106,6 mld. korun), zatímco v případě obchodu s Evropskou unií se kladné saldo mírně snížilo (−3,3 mld.). Nejvíce se meziročně zlepšila bilance obchodu s Čínou (+49,9 mld. korun), Norskem (+20,7 mld.) a Polskem (+9,7 mld.). Lepší byl výsledek zahraničního obchodu také v případě Velké Británie (+6,5 mld.), Turecka (+5,9 mld.), Francie (+4,6 mld.), Ukrajiny (+4,4 mld.), Spojených států (+4,3 mld.) nebo Japonska (+3,2 mld.). Na výše citovaném vývoji bilance </w:t>
            </w:r>
            <w:r>
              <w:rPr>
                <w:spacing w:val="-4"/>
                <w:lang w:eastAsia="en-US"/>
              </w:rPr>
              <w:lastRenderedPageBreak/>
              <w:t xml:space="preserve">s EU se projevilo meziroční zhoršení kladného salda obchodu s Německem (−11,4 mld. korun), Slovenskem (−4,6 mld.), Španělskem (−4,3 mld.) nebo Rakouskem (−3,3 mld.). Z mimounijních zemí měl výraznější příspěvek ve směru zhoršení celkové bilance zejména obchod s Kazachstánem (−2,8 mld. korun).  </w:t>
            </w:r>
          </w:p>
        </w:tc>
      </w:tr>
      <w:tr w:rsidR="00EA1EBB" w14:paraId="5DE8C4C7" w14:textId="77777777" w:rsidTr="00EA1EBB">
        <w:trPr>
          <w:trHeight w:val="150"/>
        </w:trPr>
        <w:tc>
          <w:tcPr>
            <w:tcW w:w="1748" w:type="dxa"/>
            <w:vMerge w:val="restart"/>
          </w:tcPr>
          <w:p w14:paraId="29BFC185" w14:textId="77777777" w:rsidR="00EA1EBB" w:rsidRDefault="00EA1EBB">
            <w:pPr>
              <w:pStyle w:val="Marginlie"/>
              <w:rPr>
                <w:lang w:eastAsia="en-US"/>
              </w:rPr>
            </w:pPr>
          </w:p>
        </w:tc>
        <w:tc>
          <w:tcPr>
            <w:tcW w:w="221" w:type="dxa"/>
            <w:vMerge w:val="restart"/>
          </w:tcPr>
          <w:p w14:paraId="3C6FE2C2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2B5B0558" w14:textId="3D2821B1" w:rsidR="00EA1EBB" w:rsidRDefault="00EA1EBB" w:rsidP="00174ED1">
            <w:pPr>
              <w:spacing w:after="0"/>
              <w:rPr>
                <w:spacing w:val="-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</w:t>
            </w:r>
            <w:r w:rsidR="00174ED1"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10</w:t>
            </w: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spacing w:val="-4"/>
                <w:szCs w:val="20"/>
                <w:lang w:eastAsia="en-US"/>
              </w:rPr>
              <w:t xml:space="preserve">Bilance zahraničního obchodu se zbožím ve statistice zahraničního obchodu </w:t>
            </w:r>
            <w:r>
              <w:rPr>
                <w:spacing w:val="-4"/>
                <w:szCs w:val="20"/>
                <w:lang w:eastAsia="en-US"/>
              </w:rPr>
              <w:t>(kumulace roku 2023, v mld. korun, vybrané oddíly klasifikace CPA)</w:t>
            </w:r>
          </w:p>
        </w:tc>
      </w:tr>
      <w:tr w:rsidR="00EA1EBB" w14:paraId="0820E437" w14:textId="77777777" w:rsidTr="00EA1EBB">
        <w:trPr>
          <w:trHeight w:val="150"/>
        </w:trPr>
        <w:tc>
          <w:tcPr>
            <w:tcW w:w="0" w:type="auto"/>
            <w:vMerge/>
            <w:vAlign w:val="center"/>
            <w:hideMark/>
          </w:tcPr>
          <w:p w14:paraId="45D1EEE5" w14:textId="77777777" w:rsidR="00EA1EBB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C6908C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41E07" w14:textId="4036DCF4" w:rsidR="00EA1EBB" w:rsidRDefault="00EA1EBB">
            <w:pPr>
              <w:spacing w:after="0"/>
              <w:rPr>
                <w:spacing w:val="-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2C1F87" wp14:editId="35F2D735">
                  <wp:extent cx="4769485" cy="3493135"/>
                  <wp:effectExtent l="0" t="0" r="0" b="0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EA1EBB" w14:paraId="1E64FFEB" w14:textId="77777777" w:rsidTr="00EA1EBB">
        <w:trPr>
          <w:trHeight w:val="150"/>
        </w:trPr>
        <w:tc>
          <w:tcPr>
            <w:tcW w:w="0" w:type="auto"/>
            <w:vMerge/>
            <w:vAlign w:val="center"/>
            <w:hideMark/>
          </w:tcPr>
          <w:p w14:paraId="70DFB425" w14:textId="77777777" w:rsidR="00EA1EBB" w:rsidRDefault="00EA1EBB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0EE90D" w14:textId="77777777" w:rsidR="00EA1EBB" w:rsidRDefault="00EA1EBB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70" w:type="dxa"/>
            <w:hideMark/>
          </w:tcPr>
          <w:p w14:paraId="440F6A12" w14:textId="77777777" w:rsidR="00EA1EBB" w:rsidRDefault="00EA1EBB">
            <w:pPr>
              <w:rPr>
                <w:spacing w:val="-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ČSÚ</w:t>
            </w:r>
          </w:p>
        </w:tc>
      </w:tr>
      <w:tr w:rsidR="00EA1EBB" w14:paraId="2EFBB4AD" w14:textId="77777777" w:rsidTr="00EA1EBB">
        <w:trPr>
          <w:trHeight w:val="477"/>
        </w:trPr>
        <w:tc>
          <w:tcPr>
            <w:tcW w:w="1748" w:type="dxa"/>
            <w:hideMark/>
          </w:tcPr>
          <w:p w14:paraId="23BAA9DF" w14:textId="77777777" w:rsidR="00EA1EBB" w:rsidRDefault="00EA1EBB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Loni se nejvíce zlepšila bilance obchodu s ropou a zemním plynem </w:t>
            </w:r>
            <w:r>
              <w:rPr>
                <w:lang w:eastAsia="en-US"/>
              </w:rPr>
              <w:br/>
              <w:t>a s motorovými vozidly.</w:t>
            </w:r>
          </w:p>
        </w:tc>
        <w:tc>
          <w:tcPr>
            <w:tcW w:w="221" w:type="dxa"/>
          </w:tcPr>
          <w:p w14:paraId="4B139F23" w14:textId="77777777" w:rsidR="00EA1EBB" w:rsidRDefault="00EA1EBB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70" w:type="dxa"/>
            <w:hideMark/>
          </w:tcPr>
          <w:p w14:paraId="4ACCD45C" w14:textId="77777777" w:rsidR="00EA1EBB" w:rsidRDefault="00EA1EBB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Na loňském mohutném zlepšení bilance mělo největší podíl poklesem cen ovlivněné zmírnění deficitu obchodu s ropou a zemním plynem (+148,2 mld. korun) a zlepšení přebytku obchodu s motorovými vozidly (+112,6 mld.) související s pokračujícím oživením v odvětví. Silně ve směru zlepšení loni působila také bilance obchodu se základními kovy (+26,4 mld. korun), stroji a zařízeními (+24,7 mld.), chemickými látkami a přípravky (+18,8 mld.), elektrickými zařízeními (+20,0 mld.), ostatními výrobky zpracovatelského průmyslu (+12,2 mld.), koksem a rafinovanými ropnými výrobky (+9,8 mld.), základními farmaceutickými výrobky a přípravky (+8,6 mld.), pryžovými a plastovými výrobky (+7,7 mld.), oděvy (+7,5 mld.), černým a hnědým uhlím a lignitem (+7,3 mld.), potravinářskými výrobky (+7,1 mld.), papírem a výrobky z něj (+7,1 mld.) nebo rudami (+6,3 mld.). U většiny komodit se bilance meziročně zlepšovala. Silnými výjimkami byl obchod s elektřinou, plynem, párou a klimatizovaným vzduchem (−51,9 mld. korun), produkty lesnictví a těžby dřeva (−11,1 mld.), produkty zemědělství a myslivosti (−10,1 mld.) a dřevo a výrobky z něj (−7,9 mld.). V samotném 4. čtvrtletí se nejvýrazněji meziročně zlepšovala bilance obchodu s motorovými vozidly (+33,7 mld. korun), ropou </w:t>
            </w:r>
            <w:r>
              <w:rPr>
                <w:lang w:eastAsia="en-US"/>
              </w:rPr>
              <w:t>a zemním</w:t>
            </w:r>
            <w:r>
              <w:rPr>
                <w:spacing w:val="-4"/>
                <w:lang w:eastAsia="en-US"/>
              </w:rPr>
              <w:t xml:space="preserve"> plynem (+28,1 mld.) a elektrickými zařízeními (+19,2 mld.). Příznivě na bilanci působil také obchod se stroji a zařízeními (+7,0 mld. korun), oděvy (+4,6 mld.), chemickými látkami a přípravky (+4,5 mld.), základními kovy (+4,3 mld.), základními farmaceutickými výrobky a přípravky (+4,1 mld.) nebo ostatními výrobky zpracovatelského průmyslu (+3,2 mld.) Ve směru meziročního zhoršení bilance ve 4. čtvrtletí nejvíce působilo zhoršení salda u elektřiny, plynu, páry a klimatizovaného vzduchu (−13,7 mld. korun).</w:t>
            </w:r>
          </w:p>
        </w:tc>
      </w:tr>
      <w:tr w:rsidR="00EA1EBB" w14:paraId="392061E9" w14:textId="77777777" w:rsidTr="00EA1EBB">
        <w:trPr>
          <w:trHeight w:val="477"/>
        </w:trPr>
        <w:tc>
          <w:tcPr>
            <w:tcW w:w="9639" w:type="dxa"/>
            <w:gridSpan w:val="3"/>
          </w:tcPr>
          <w:p w14:paraId="094F0FDE" w14:textId="77777777" w:rsidR="00EA1EBB" w:rsidRDefault="00EA1EBB">
            <w:pPr>
              <w:spacing w:after="0"/>
              <w:rPr>
                <w:spacing w:val="-4"/>
                <w:lang w:eastAsia="en-US"/>
              </w:rPr>
            </w:pPr>
          </w:p>
        </w:tc>
      </w:tr>
    </w:tbl>
    <w:p w14:paraId="2A58EC35" w14:textId="77777777" w:rsidR="00EA1EBB" w:rsidRDefault="00EA1EBB" w:rsidP="00EA1EBB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</w:rPr>
      </w:pPr>
      <w:bookmarkStart w:id="9" w:name="_GoBack"/>
      <w:bookmarkEnd w:id="0"/>
      <w:bookmarkEnd w:id="1"/>
      <w:bookmarkEnd w:id="6"/>
      <w:bookmarkEnd w:id="7"/>
      <w:bookmarkEnd w:id="8"/>
      <w:bookmarkEnd w:id="9"/>
    </w:p>
    <w:sectPr w:rsidR="00EA1EBB" w:rsidSect="002B5756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73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CFECF" w14:textId="77777777" w:rsidR="0073475D" w:rsidRDefault="0073475D" w:rsidP="00E71A58">
      <w:r>
        <w:separator/>
      </w:r>
    </w:p>
  </w:endnote>
  <w:endnote w:type="continuationSeparator" w:id="0">
    <w:p w14:paraId="70E006B3" w14:textId="77777777" w:rsidR="0073475D" w:rsidRDefault="0073475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B078052" w:rsidR="00BA5125" w:rsidRPr="00932443" w:rsidRDefault="00BA5125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B5756">
      <w:rPr>
        <w:szCs w:val="16"/>
      </w:rPr>
      <w:t>24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3CF3DDC" w:rsidR="00BA5125" w:rsidRPr="00932443" w:rsidRDefault="00BA5125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B5756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30BCF" w14:textId="77777777" w:rsidR="0073475D" w:rsidRDefault="0073475D" w:rsidP="00A21B4D">
      <w:pPr>
        <w:spacing w:after="0"/>
      </w:pPr>
      <w:r>
        <w:separator/>
      </w:r>
    </w:p>
  </w:footnote>
  <w:footnote w:type="continuationSeparator" w:id="0">
    <w:p w14:paraId="357A0ADA" w14:textId="77777777" w:rsidR="0073475D" w:rsidRDefault="0073475D" w:rsidP="00E71A58">
      <w:r>
        <w:continuationSeparator/>
      </w:r>
    </w:p>
  </w:footnote>
  <w:footnote w:id="1">
    <w:p w14:paraId="306A6873" w14:textId="77777777" w:rsidR="00BA5125" w:rsidRDefault="00BA5125" w:rsidP="00EA1EBB">
      <w:pPr>
        <w:pStyle w:val="Textpoznpodarou"/>
        <w:rPr>
          <w:rFonts w:cs="Arial"/>
          <w:i/>
          <w:iCs/>
          <w:sz w:val="16"/>
          <w:szCs w:val="16"/>
        </w:rPr>
      </w:pPr>
      <w:r>
        <w:rPr>
          <w:rStyle w:val="Znakapoznpodarou"/>
          <w:rFonts w:cs="Arial"/>
          <w:sz w:val="16"/>
          <w:szCs w:val="16"/>
        </w:rPr>
        <w:footnoteRef/>
      </w:r>
      <w:r>
        <w:rPr>
          <w:rFonts w:cs="Arial"/>
          <w:i/>
          <w:iCs/>
          <w:sz w:val="16"/>
          <w:szCs w:val="16"/>
        </w:rPr>
        <w:t xml:space="preserve"> </w:t>
      </w:r>
      <w:r>
        <w:rPr>
          <w:rStyle w:val="Zdraznn"/>
          <w:rFonts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Údaje za zahraniční obchod se zbožím od roku 2020 jsou přepočítávány aktualizovanou metodou založenou na vyšší míře detailu, viz </w:t>
      </w:r>
      <w:hyperlink r:id="rId1" w:history="1">
        <w:r>
          <w:rPr>
            <w:rStyle w:val="Hypertextovodkaz"/>
            <w:rFonts w:cs="Arial"/>
            <w:sz w:val="16"/>
            <w:szCs w:val="16"/>
            <w:bdr w:val="none" w:sz="0" w:space="0" w:color="auto" w:frame="1"/>
            <w:shd w:val="clear" w:color="auto" w:fill="FFFFFF"/>
          </w:rPr>
          <w:t>https://www.czso.cz/csu/czso/aktualizace-metody-propoctu-zahranicni-obchod-se-zbozim</w:t>
        </w:r>
      </w:hyperlink>
      <w:r>
        <w:rPr>
          <w:rStyle w:val="Hypertextovodkaz"/>
          <w:rFonts w:cs="Arial"/>
          <w:sz w:val="16"/>
          <w:szCs w:val="16"/>
          <w:bdr w:val="none" w:sz="0" w:space="0" w:color="auto" w:frame="1"/>
          <w:shd w:val="clear" w:color="auto" w:fill="FFFFFF"/>
        </w:rPr>
        <w:t xml:space="preserve">. </w:t>
      </w:r>
      <w:r>
        <w:rPr>
          <w:sz w:val="16"/>
          <w:szCs w:val="16"/>
        </w:rPr>
        <w:t>Není-li uvedeno jinak, jsou všechny údaje sezónně neočištěné a v běžných cenách.</w:t>
      </w:r>
    </w:p>
  </w:footnote>
  <w:footnote w:id="2">
    <w:p w14:paraId="7D35CA48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Ceny vývozu zboží loni klesly o 0,7 % a v samotném 4. čtvrtletí byly meziročně nižší o 2,2 %. Mezičtvrtletně ceny vývozu vzrostly </w:t>
      </w:r>
      <w:r>
        <w:rPr>
          <w:sz w:val="16"/>
          <w:szCs w:val="16"/>
        </w:rPr>
        <w:br/>
        <w:t>o 0,6 %. Ceny ostatních surovin se loni propadly o 18,6 % a minerálních paliv o 0,9 %. Ve 4. čtvrtletí ale ceny minerálních paliv meziročně klesly o 13,7 %.</w:t>
      </w:r>
    </w:p>
  </w:footnote>
  <w:footnote w:id="3">
    <w:p w14:paraId="139E2970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roce 2022 v souvislosti s prudkým nárůstem cen hodnota vývozu elektřiny, plynu, páry a klimatizovaného vzduchu do Německa vzrostla o 38,7 mld. korun a loni se propadla o 30,8 mld. V případě Slovenska po přírůstku o 15,6 mld. korun následoval loni propad </w:t>
      </w:r>
      <w:r>
        <w:rPr>
          <w:sz w:val="16"/>
          <w:szCs w:val="16"/>
        </w:rPr>
        <w:br/>
        <w:t>o 30,9 mld. Podobně export elektřiny do Rakouska v roce 2022 vzrostl o 8,9 mld. korun a loni klesl o 9,1 mld.</w:t>
      </w:r>
    </w:p>
  </w:footnote>
  <w:footnote w:id="4">
    <w:p w14:paraId="35A87C23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Ceny dovozu zboží byly loni nižší o 5,7 %. Ve 4. čtvrtletí meziročně klesly o 6,1 % a mezičtvrtletně vzrostly o 1,5 %. Ceny importu minerálních paliv loni klesly o 27,7 %, ostatních surovin o 10,7 % a chemikálií o 7,9 %.</w:t>
      </w:r>
    </w:p>
  </w:footnote>
  <w:footnote w:id="5">
    <w:p w14:paraId="1BAF2B60" w14:textId="77777777" w:rsidR="00BA5125" w:rsidRDefault="00BA5125" w:rsidP="00EA1EB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Pohled na vývoj v posledních deseti letech ukazuje, že v letech 2014–2017 a 2019–2020 bylo kladné saldo bilance zahraničního obchodu se zbožím vyšší.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BA5125" w:rsidRDefault="00BA5125" w:rsidP="00937AE2">
    <w:pPr>
      <w:pStyle w:val="Zhlav"/>
    </w:pPr>
    <w:r>
      <w:t>Vývoj ekonomiky České republiky</w:t>
    </w:r>
  </w:p>
  <w:p w14:paraId="3E881AB3" w14:textId="77777777" w:rsidR="00BA5125" w:rsidRPr="006F5416" w:rsidRDefault="00BA5125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BA5125" w:rsidRDefault="00BA5125" w:rsidP="00937AE2">
    <w:pPr>
      <w:pStyle w:val="Zhlav"/>
    </w:pPr>
    <w:r>
      <w:t>Vývoj ekonomiky České republiky</w:t>
    </w:r>
  </w:p>
  <w:p w14:paraId="57266714" w14:textId="77777777" w:rsidR="00BA5125" w:rsidRPr="006F5416" w:rsidRDefault="00BA5125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2CA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848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055D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1F9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37F06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4ED1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756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2FC7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2A12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87319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6B8F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75D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3810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7A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B2B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46FE0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86B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6AA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2F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79B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0D3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2BC7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8B2"/>
    <w:rsid w:val="00CB1BEE"/>
    <w:rsid w:val="00CB2351"/>
    <w:rsid w:val="00CB2BF7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842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2B97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2AB6"/>
    <w:rsid w:val="00E84E09"/>
    <w:rsid w:val="00E87CE2"/>
    <w:rsid w:val="00E87D5B"/>
    <w:rsid w:val="00E90CA8"/>
    <w:rsid w:val="00E911C6"/>
    <w:rsid w:val="00E920DE"/>
    <w:rsid w:val="00E930A1"/>
    <w:rsid w:val="00E93820"/>
    <w:rsid w:val="00E93FD5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1EBB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aktualizace-metody-propoctu-zahranicni-obchod-se-zboz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czsocz-my.sharepoint.com/personal/karolina_zabojnikova_czso_cz/Documents/Dokumenty/Anal&#253;za/Q/2023Q4/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zsocz-my.sharepoint.com/personal/karolina_zabojnikova_czso_cz/Documents/Dokumenty/Anal&#253;za/Q/2023Q4/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069916774473987E-2"/>
          <c:y val="4.1542453145792614E-2"/>
          <c:w val="0.88202003907252535"/>
          <c:h val="0.82832098852603697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'Vnější vztahy_a'!$D$4</c:f>
              <c:strCache>
                <c:ptCount val="1"/>
                <c:pt idx="0">
                  <c:v>Bilance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'Vnější vztahy_a'!$A$8:$A$22</c:f>
              <c:strCach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 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strCache>
            </c:strRef>
          </c:cat>
          <c:val>
            <c:numRef>
              <c:f>'Vnější vztahy_a'!$D$8:$D$22</c:f>
              <c:numCache>
                <c:formatCode>General</c:formatCode>
                <c:ptCount val="15"/>
                <c:pt idx="0">
                  <c:v>31.067</c:v>
                </c:pt>
                <c:pt idx="1">
                  <c:v>-20.579000000000001</c:v>
                </c:pt>
                <c:pt idx="2">
                  <c:v>11.977</c:v>
                </c:pt>
                <c:pt idx="3">
                  <c:v>64.410000000000025</c:v>
                </c:pt>
                <c:pt idx="4">
                  <c:v>106.518</c:v>
                </c:pt>
                <c:pt idx="5">
                  <c:v>146.00899999999999</c:v>
                </c:pt>
                <c:pt idx="6">
                  <c:v>130.97677807700001</c:v>
                </c:pt>
                <c:pt idx="7">
                  <c:v>163.65449183600001</c:v>
                </c:pt>
                <c:pt idx="8">
                  <c:v>163.46634792600011</c:v>
                </c:pt>
                <c:pt idx="9">
                  <c:v>98.465823833000002</c:v>
                </c:pt>
                <c:pt idx="10">
                  <c:v>145.694717411</c:v>
                </c:pt>
                <c:pt idx="11">
                  <c:v>179.640176981</c:v>
                </c:pt>
                <c:pt idx="12">
                  <c:v>-9.2046428370000068</c:v>
                </c:pt>
                <c:pt idx="13">
                  <c:v>-204.81458465799997</c:v>
                </c:pt>
                <c:pt idx="14">
                  <c:v>124.91999666100011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E-410B-BDF8-A7C19E92D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93988096"/>
        <c:axId val="193986560"/>
      </c:barChart>
      <c:lineChart>
        <c:grouping val="standard"/>
        <c:varyColors val="0"/>
        <c:ser>
          <c:idx val="0"/>
          <c:order val="0"/>
          <c:tx>
            <c:strRef>
              <c:f>'Vnější vztahy_a'!$B$4</c:f>
              <c:strCache>
                <c:ptCount val="1"/>
                <c:pt idx="0">
                  <c:v>Vývoz</c:v>
                </c:pt>
              </c:strCache>
            </c:strRef>
          </c:tx>
          <c:spPr>
            <a:ln w="6350" cap="rnd">
              <a:noFill/>
              <a:prstDash val="sysDot"/>
              <a:round/>
            </a:ln>
            <a:effectLst/>
          </c:spPr>
          <c:marker>
            <c:symbol val="dash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'Vnější vztahy_a'!$A$8:$A$22</c:f>
              <c:strCach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 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strCache>
            </c:strRef>
          </c:cat>
          <c:val>
            <c:numRef>
              <c:f>'Vnější vztahy_a'!$B$8:$B$22</c:f>
              <c:numCache>
                <c:formatCode>General</c:formatCode>
                <c:ptCount val="15"/>
                <c:pt idx="0">
                  <c:v>-10.811895519442077</c:v>
                </c:pt>
                <c:pt idx="1">
                  <c:v>14.827022335007914</c:v>
                </c:pt>
                <c:pt idx="2">
                  <c:v>10.112037607700056</c:v>
                </c:pt>
                <c:pt idx="3">
                  <c:v>6.0251090942966021</c:v>
                </c:pt>
                <c:pt idx="4">
                  <c:v>2.2153513610284983</c:v>
                </c:pt>
                <c:pt idx="5">
                  <c:v>13.027208809035857</c:v>
                </c:pt>
                <c:pt idx="6">
                  <c:v>3.6127681635768893</c:v>
                </c:pt>
                <c:pt idx="7">
                  <c:v>1.107429654176461</c:v>
                </c:pt>
                <c:pt idx="8">
                  <c:v>6.4802705295808387</c:v>
                </c:pt>
                <c:pt idx="9">
                  <c:v>2.9418083571864679</c:v>
                </c:pt>
                <c:pt idx="10">
                  <c:v>2.0884439685547389</c:v>
                </c:pt>
                <c:pt idx="11">
                  <c:v>-7.0747075448299492</c:v>
                </c:pt>
                <c:pt idx="12">
                  <c:v>13.140723420675508</c:v>
                </c:pt>
                <c:pt idx="13">
                  <c:v>13.550170704130695</c:v>
                </c:pt>
                <c:pt idx="14">
                  <c:v>1.0303976290863086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BE-410B-BDF8-A7C19E92D222}"/>
            </c:ext>
          </c:extLst>
        </c:ser>
        <c:ser>
          <c:idx val="1"/>
          <c:order val="1"/>
          <c:tx>
            <c:strRef>
              <c:f>'Vnější vztahy_a'!$C$4</c:f>
              <c:strCache>
                <c:ptCount val="1"/>
                <c:pt idx="0">
                  <c:v>Dovoz</c:v>
                </c:pt>
              </c:strCache>
            </c:strRef>
          </c:tx>
          <c:spPr>
            <a:ln w="6350" cap="rnd">
              <a:noFill/>
              <a:prstDash val="sysDot"/>
              <a:round/>
            </a:ln>
            <a:effectLst/>
          </c:spPr>
          <c:marker>
            <c:symbol val="dash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'Vnější vztahy_a'!$A$8:$A$22</c:f>
              <c:strCache>
                <c:ptCount val="1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 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  <c:pt idx="12">
                  <c:v>2021</c:v>
                </c:pt>
                <c:pt idx="13">
                  <c:v>2022</c:v>
                </c:pt>
                <c:pt idx="14">
                  <c:v>2023</c:v>
                </c:pt>
              </c:strCache>
            </c:strRef>
          </c:cat>
          <c:val>
            <c:numRef>
              <c:f>'Vnější vztahy_a'!$C$8:$C$22</c:f>
              <c:numCache>
                <c:formatCode>General</c:formatCode>
                <c:ptCount val="15"/>
                <c:pt idx="0">
                  <c:v>-13.849775964188694</c:v>
                </c:pt>
                <c:pt idx="1">
                  <c:v>17.636423931022897</c:v>
                </c:pt>
                <c:pt idx="2">
                  <c:v>8.6415161627225636</c:v>
                </c:pt>
                <c:pt idx="3">
                  <c:v>4.0042767307394715</c:v>
                </c:pt>
                <c:pt idx="4">
                  <c:v>0.68681070942259692</c:v>
                </c:pt>
                <c:pt idx="5">
                  <c:v>12.071376353644107</c:v>
                </c:pt>
                <c:pt idx="6">
                  <c:v>4.2889556626306211</c:v>
                </c:pt>
                <c:pt idx="7">
                  <c:v>0.11038963287046213</c:v>
                </c:pt>
                <c:pt idx="8">
                  <c:v>6.8245079237178103</c:v>
                </c:pt>
                <c:pt idx="9">
                  <c:v>5.0260247733996772</c:v>
                </c:pt>
                <c:pt idx="10">
                  <c:v>0.804322617226783</c:v>
                </c:pt>
                <c:pt idx="11">
                  <c:v>-8.3226511448622968</c:v>
                </c:pt>
                <c:pt idx="12">
                  <c:v>19.675778990593603</c:v>
                </c:pt>
                <c:pt idx="13">
                  <c:v>18.545883799731584</c:v>
                </c:pt>
                <c:pt idx="14">
                  <c:v>-6.1646446995663968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BE-410B-BDF8-A7C19E92D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16896"/>
        <c:axId val="191666432"/>
      </c:lineChart>
      <c:catAx>
        <c:axId val="19161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1666432"/>
        <c:crosses val="autoZero"/>
        <c:auto val="1"/>
        <c:lblAlgn val="ctr"/>
        <c:lblOffset val="100"/>
        <c:noMultiLvlLbl val="0"/>
      </c:catAx>
      <c:valAx>
        <c:axId val="191666432"/>
        <c:scaling>
          <c:orientation val="minMax"/>
          <c:max val="21"/>
          <c:min val="-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1616896"/>
        <c:crosses val="autoZero"/>
        <c:crossBetween val="between"/>
        <c:majorUnit val="3"/>
      </c:valAx>
      <c:valAx>
        <c:axId val="193986560"/>
        <c:scaling>
          <c:orientation val="minMax"/>
          <c:max val="210"/>
          <c:min val="-2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3988096"/>
        <c:crosses val="max"/>
        <c:crossBetween val="between"/>
        <c:majorUnit val="35"/>
      </c:valAx>
      <c:catAx>
        <c:axId val="193988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39865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326213683763972E-2"/>
          <c:y val="0.92486185348631977"/>
          <c:w val="0.92928082460835815"/>
          <c:h val="5.60656590812783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1717884667392E-2"/>
          <c:y val="2.3304908251716772E-2"/>
          <c:w val="0.92378402700888496"/>
          <c:h val="0.6950853379152348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2'!$B$5:$O$5</c:f>
              <c:strCache>
                <c:ptCount val="14"/>
                <c:pt idx="0">
                  <c:v>Ropa a zemní plyn</c:v>
                </c:pt>
                <c:pt idx="1">
                  <c:v>Potravinářské výrobky</c:v>
                </c:pt>
                <c:pt idx="2">
                  <c:v>Oděvy</c:v>
                </c:pt>
                <c:pt idx="3">
                  <c:v>Koks a rafinované                                                                                  ropné produkty</c:v>
                </c:pt>
                <c:pt idx="4">
                  <c:v>Chemické látky                                                                       a přípravky</c:v>
                </c:pt>
                <c:pt idx="5">
                  <c:v>Základní farmaceutické                                                                                            výrobky a přípravky</c:v>
                </c:pt>
                <c:pt idx="6">
                  <c:v>Ostatní nekovové                                                                                   minerální výrobky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elektron.                                                                                   a opt. přístroje a zařízení</c:v>
                </c:pt>
                <c:pt idx="10">
                  <c:v>Stroje a zařízení j. n.</c:v>
                </c:pt>
                <c:pt idx="11">
                  <c:v>Motorová vozidla</c:v>
                </c:pt>
                <c:pt idx="12">
                  <c:v>Elektřina, plyn,                                                                                                  pára a klim. vzduch</c:v>
                </c:pt>
                <c:pt idx="13">
                  <c:v>Služby související                                                                                    s odpady</c:v>
                </c:pt>
              </c:strCache>
            </c:strRef>
          </c:cat>
          <c:val>
            <c:numRef>
              <c:f>'Vnější vztahy 2'!$B$7:$O$7</c:f>
              <c:numCache>
                <c:formatCode>General</c:formatCode>
                <c:ptCount val="14"/>
                <c:pt idx="0">
                  <c:v>-330.88918875499979</c:v>
                </c:pt>
                <c:pt idx="1">
                  <c:v>-60.595386674000011</c:v>
                </c:pt>
                <c:pt idx="2">
                  <c:v>-46.208999618000028</c:v>
                </c:pt>
                <c:pt idx="3">
                  <c:v>-49.338081061999979</c:v>
                </c:pt>
                <c:pt idx="4">
                  <c:v>-157.77508681400002</c:v>
                </c:pt>
                <c:pt idx="5">
                  <c:v>-71.862649914000002</c:v>
                </c:pt>
                <c:pt idx="6">
                  <c:v>30.512399356000003</c:v>
                </c:pt>
                <c:pt idx="7">
                  <c:v>-184.71658844799998</c:v>
                </c:pt>
                <c:pt idx="8">
                  <c:v>75.83413523199998</c:v>
                </c:pt>
                <c:pt idx="9">
                  <c:v>-76.47097996399998</c:v>
                </c:pt>
                <c:pt idx="10">
                  <c:v>94.465779221999981</c:v>
                </c:pt>
                <c:pt idx="11">
                  <c:v>460.52346796099977</c:v>
                </c:pt>
                <c:pt idx="12">
                  <c:v>82.566028493000005</c:v>
                </c:pt>
                <c:pt idx="13">
                  <c:v>29.829011276999989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C-4931-9336-EDD7169EA893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2'!$B$5:$O$5</c:f>
              <c:strCache>
                <c:ptCount val="14"/>
                <c:pt idx="0">
                  <c:v>Ropa a zemní plyn</c:v>
                </c:pt>
                <c:pt idx="1">
                  <c:v>Potravinářské výrobky</c:v>
                </c:pt>
                <c:pt idx="2">
                  <c:v>Oděvy</c:v>
                </c:pt>
                <c:pt idx="3">
                  <c:v>Koks a rafinované                                                                                  ropné produkty</c:v>
                </c:pt>
                <c:pt idx="4">
                  <c:v>Chemické látky                                                                       a přípravky</c:v>
                </c:pt>
                <c:pt idx="5">
                  <c:v>Základní farmaceutické                                                                                            výrobky a přípravky</c:v>
                </c:pt>
                <c:pt idx="6">
                  <c:v>Ostatní nekovové                                                                                   minerální výrobky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elektron.                                                                                   a opt. přístroje a zařízení</c:v>
                </c:pt>
                <c:pt idx="10">
                  <c:v>Stroje a zařízení j. n.</c:v>
                </c:pt>
                <c:pt idx="11">
                  <c:v>Motorová vozidla</c:v>
                </c:pt>
                <c:pt idx="12">
                  <c:v>Elektřina, plyn,                                                                                                  pára a klim. vzduch</c:v>
                </c:pt>
                <c:pt idx="13">
                  <c:v>Služby související                                                                                    s odpady</c:v>
                </c:pt>
              </c:strCache>
            </c:strRef>
          </c:cat>
          <c:val>
            <c:numRef>
              <c:f>'Vnější vztahy 2'!$B$8:$O$8</c:f>
              <c:numCache>
                <c:formatCode>General</c:formatCode>
                <c:ptCount val="14"/>
                <c:pt idx="0">
                  <c:v>-182.69587203700002</c:v>
                </c:pt>
                <c:pt idx="1">
                  <c:v>-53.466054400000004</c:v>
                </c:pt>
                <c:pt idx="2">
                  <c:v>-38.682484752999997</c:v>
                </c:pt>
                <c:pt idx="3">
                  <c:v>-39.517012753000003</c:v>
                </c:pt>
                <c:pt idx="4">
                  <c:v>-138.98413868200012</c:v>
                </c:pt>
                <c:pt idx="5">
                  <c:v>-63.228412165000037</c:v>
                </c:pt>
                <c:pt idx="6">
                  <c:v>29.22750294399998</c:v>
                </c:pt>
                <c:pt idx="7">
                  <c:v>-158.34045648900013</c:v>
                </c:pt>
                <c:pt idx="8">
                  <c:v>71.845255144999982</c:v>
                </c:pt>
                <c:pt idx="9">
                  <c:v>-79.761334891000004</c:v>
                </c:pt>
                <c:pt idx="10">
                  <c:v>119.12331264299989</c:v>
                </c:pt>
                <c:pt idx="11">
                  <c:v>573.14303008100001</c:v>
                </c:pt>
                <c:pt idx="12">
                  <c:v>30.638105398000015</c:v>
                </c:pt>
                <c:pt idx="13">
                  <c:v>25.606370879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9C-4931-9336-EDD7169EA8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94621824"/>
        <c:axId val="1946237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2'!$B$5:$O$5</c15:sqref>
                        </c15:formulaRef>
                      </c:ext>
                    </c:extLst>
                    <c:strCache>
                      <c:ptCount val="14"/>
                      <c:pt idx="0">
                        <c:v>Ropa a zemní plyn</c:v>
                      </c:pt>
                      <c:pt idx="1">
                        <c:v>Potravinářské výrobky</c:v>
                      </c:pt>
                      <c:pt idx="2">
                        <c:v>Oděvy</c:v>
                      </c:pt>
                      <c:pt idx="3">
                        <c:v>Koks a rafinované                                                                                  ropné produkty</c:v>
                      </c:pt>
                      <c:pt idx="4">
                        <c:v>Chemické látky                                                                       a přípravky</c:v>
                      </c:pt>
                      <c:pt idx="5">
                        <c:v>Základní farmaceutické                                                                                            výrobky a přípravky</c:v>
                      </c:pt>
                      <c:pt idx="6">
                        <c:v>Ostatní nekovové                                                                                   minerální výrobky</c:v>
                      </c:pt>
                      <c:pt idx="7">
                        <c:v>Základní kovy</c:v>
                      </c:pt>
                      <c:pt idx="8">
                        <c:v>Kovodělné výrobky</c:v>
                      </c:pt>
                      <c:pt idx="9">
                        <c:v>Počítače, elektron.                                                                                   a opt. přístroje a zařízení</c:v>
                      </c:pt>
                      <c:pt idx="10">
                        <c:v>Stroje a zařízení j. n.</c:v>
                      </c:pt>
                      <c:pt idx="11">
                        <c:v>Motorová vozidla</c:v>
                      </c:pt>
                      <c:pt idx="12">
                        <c:v>Elektřina, plyn,                                                                                                  pára a klim. vzduch</c:v>
                      </c:pt>
                      <c:pt idx="13">
                        <c:v>Služby související                                                                                    s odpady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2'!$B$6:$O$6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-153.86668029099999</c:v>
                      </c:pt>
                      <c:pt idx="1">
                        <c:v>-54.645038548999999</c:v>
                      </c:pt>
                      <c:pt idx="2">
                        <c:v>-36.171383530999996</c:v>
                      </c:pt>
                      <c:pt idx="3">
                        <c:v>-26.521202938000002</c:v>
                      </c:pt>
                      <c:pt idx="4">
                        <c:v>-141.32686977699998</c:v>
                      </c:pt>
                      <c:pt idx="5">
                        <c:v>-74.679230379999993</c:v>
                      </c:pt>
                      <c:pt idx="6">
                        <c:v>26.090102950000002</c:v>
                      </c:pt>
                      <c:pt idx="7">
                        <c:v>-155.29868747500001</c:v>
                      </c:pt>
                      <c:pt idx="8">
                        <c:v>66.780931019999983</c:v>
                      </c:pt>
                      <c:pt idx="9">
                        <c:v>-64.711664618</c:v>
                      </c:pt>
                      <c:pt idx="10">
                        <c:v>91.675185939999992</c:v>
                      </c:pt>
                      <c:pt idx="11">
                        <c:v>426.56033102399999</c:v>
                      </c:pt>
                      <c:pt idx="12">
                        <c:v>35.950508102999997</c:v>
                      </c:pt>
                      <c:pt idx="13">
                        <c:v>31.311461763000001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089C-4931-9336-EDD7169EA893}"/>
                  </c:ext>
                </c:extLst>
              </c15:ser>
            </c15:filteredBarSeries>
          </c:ext>
        </c:extLst>
      </c:barChart>
      <c:catAx>
        <c:axId val="19462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94623744"/>
        <c:crosses val="autoZero"/>
        <c:auto val="1"/>
        <c:lblAlgn val="ctr"/>
        <c:lblOffset val="100"/>
        <c:noMultiLvlLbl val="0"/>
      </c:catAx>
      <c:valAx>
        <c:axId val="194623744"/>
        <c:scaling>
          <c:orientation val="minMax"/>
          <c:max val="60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462182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3000383320266073"/>
          <c:y val="3.6368843069874028E-2"/>
          <c:w val="0.26887915184156158"/>
          <c:h val="5.3991695303550982E-2"/>
        </c:manualLayout>
      </c:layout>
      <c:overlay val="0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6CAE4-3077-4E15-ACFF-3D506C9B16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1EEE36-841D-44EF-BEC3-497D487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1905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4</cp:revision>
  <cp:lastPrinted>2023-06-09T17:23:00Z</cp:lastPrinted>
  <dcterms:created xsi:type="dcterms:W3CDTF">2024-03-21T10:53:00Z</dcterms:created>
  <dcterms:modified xsi:type="dcterms:W3CDTF">2024-03-21T10:59:00Z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