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3DAB4" w14:textId="77777777" w:rsidR="0011055D" w:rsidRDefault="0011055D" w:rsidP="0011055D">
      <w:pPr>
        <w:pStyle w:val="Nadpis11"/>
      </w:pPr>
      <w:bookmarkStart w:id="0" w:name="_Toc161914428"/>
      <w:bookmarkStart w:id="1" w:name="_GoBack"/>
      <w:bookmarkEnd w:id="1"/>
      <w:r w:rsidRPr="00787441">
        <w:rPr>
          <w:szCs w:val="32"/>
        </w:rPr>
        <w:t>8</w:t>
      </w:r>
      <w:r>
        <w:t>. </w:t>
      </w:r>
      <w:r w:rsidRPr="009110F7">
        <w:t>Státní rozpočet</w:t>
      </w:r>
      <w:bookmarkEnd w:id="0"/>
    </w:p>
    <w:tbl>
      <w:tblPr>
        <w:tblW w:w="9669" w:type="dxa"/>
        <w:tblInd w:w="-20" w:type="dxa"/>
        <w:tblLayout w:type="fixed"/>
        <w:tblCellMar>
          <w:left w:w="0" w:type="dxa"/>
          <w:right w:w="0" w:type="dxa"/>
        </w:tblCellMar>
        <w:tblLook w:val="00A0" w:firstRow="1" w:lastRow="0" w:firstColumn="1" w:lastColumn="0" w:noHBand="0" w:noVBand="0"/>
      </w:tblPr>
      <w:tblGrid>
        <w:gridCol w:w="1792"/>
        <w:gridCol w:w="203"/>
        <w:gridCol w:w="7674"/>
      </w:tblGrid>
      <w:tr w:rsidR="0011055D" w:rsidRPr="003C07E6" w14:paraId="5EEBA577" w14:textId="77777777" w:rsidTr="00C07C2F">
        <w:trPr>
          <w:trHeight w:val="60"/>
        </w:trPr>
        <w:tc>
          <w:tcPr>
            <w:tcW w:w="1792" w:type="dxa"/>
            <w:shd w:val="clear" w:color="auto" w:fill="auto"/>
            <w:tcMar>
              <w:left w:w="0" w:type="dxa"/>
            </w:tcMar>
          </w:tcPr>
          <w:p w14:paraId="5B7A1629" w14:textId="77777777" w:rsidR="0011055D" w:rsidRDefault="0011055D" w:rsidP="00C07C2F">
            <w:pPr>
              <w:pStyle w:val="Marginlie"/>
            </w:pPr>
            <w:r>
              <w:t>Hluboký rozpočtový schodek přetrvával, druhým rokem v řadě se ale zmírnil.</w:t>
            </w:r>
          </w:p>
        </w:tc>
        <w:tc>
          <w:tcPr>
            <w:tcW w:w="203" w:type="dxa"/>
            <w:shd w:val="clear" w:color="auto" w:fill="auto"/>
            <w:tcMar>
              <w:left w:w="0" w:type="dxa"/>
            </w:tcMar>
          </w:tcPr>
          <w:p w14:paraId="75B11CF3" w14:textId="77777777" w:rsidR="0011055D" w:rsidRDefault="0011055D" w:rsidP="00C07C2F">
            <w:pPr>
              <w:pStyle w:val="Textpoznpodarou"/>
              <w:jc w:val="both"/>
              <w:rPr>
                <w:spacing w:val="-4"/>
              </w:rPr>
            </w:pPr>
          </w:p>
        </w:tc>
        <w:tc>
          <w:tcPr>
            <w:tcW w:w="7674" w:type="dxa"/>
            <w:shd w:val="clear" w:color="auto" w:fill="auto"/>
            <w:tcMar>
              <w:left w:w="0" w:type="dxa"/>
            </w:tcMar>
          </w:tcPr>
          <w:p w14:paraId="26B0925C" w14:textId="77777777" w:rsidR="0011055D" w:rsidRPr="00B57210" w:rsidRDefault="0011055D" w:rsidP="00C07C2F">
            <w:pPr>
              <w:spacing w:after="200"/>
              <w:rPr>
                <w:spacing w:val="-4"/>
              </w:rPr>
            </w:pPr>
            <w:r w:rsidRPr="00B57210">
              <w:rPr>
                <w:spacing w:val="-4"/>
              </w:rPr>
              <w:t>Hospodaření státního rozpočtu</w:t>
            </w:r>
            <w:r w:rsidRPr="00B57210">
              <w:rPr>
                <w:rStyle w:val="Znakapoznpodarou"/>
                <w:spacing w:val="-4"/>
              </w:rPr>
              <w:footnoteReference w:id="1"/>
            </w:r>
            <w:r w:rsidRPr="00B57210">
              <w:rPr>
                <w:spacing w:val="-4"/>
              </w:rPr>
              <w:t xml:space="preserve"> ČR pokračovalo hlubokými schodky čtvrtým rokem v řadě, a proto s</w:t>
            </w:r>
            <w:r>
              <w:rPr>
                <w:spacing w:val="-4"/>
              </w:rPr>
              <w:t>tále</w:t>
            </w:r>
            <w:r w:rsidRPr="00B57210">
              <w:rPr>
                <w:spacing w:val="-4"/>
              </w:rPr>
              <w:t xml:space="preserve"> představovalo jednu z nejvýznamnějších makroekonomických nerovnováh. V roce 2023 se dosažený deficit rovnal 288,5 mld. korun a fakticky naplnil rozpočtové očekávání</w:t>
            </w:r>
            <w:r w:rsidRPr="00B57210">
              <w:rPr>
                <w:rStyle w:val="Znakapoznpodarou"/>
                <w:spacing w:val="-4"/>
              </w:rPr>
              <w:footnoteReference w:id="2"/>
            </w:r>
            <w:r w:rsidRPr="00B57210">
              <w:rPr>
                <w:spacing w:val="-4"/>
              </w:rPr>
              <w:t>. Schodek se meziročně snížil podruhé v řadě, proti roku 2022 klesl o pětinu (71,9 mld. korun). Tento pozitivní trend byl patrný i po očištění o vliv prostředků z rozpočtu EU (včetně finančních mechanismů)</w:t>
            </w:r>
            <w:r w:rsidRPr="00B57210">
              <w:rPr>
                <w:rStyle w:val="Znakapoznpodarou"/>
                <w:spacing w:val="-4"/>
              </w:rPr>
              <w:footnoteReference w:id="3"/>
            </w:r>
            <w:r w:rsidRPr="00B57210">
              <w:rPr>
                <w:spacing w:val="-4"/>
              </w:rPr>
              <w:t>. Rozpočtový schodek se během loňska vyvíjel velmi nerovnoměrně</w:t>
            </w:r>
            <w:r w:rsidRPr="00B57210">
              <w:rPr>
                <w:rStyle w:val="Znakapoznpodarou"/>
                <w:spacing w:val="-4"/>
              </w:rPr>
              <w:footnoteReference w:id="4"/>
            </w:r>
            <w:r w:rsidRPr="00B57210">
              <w:rPr>
                <w:spacing w:val="-4"/>
              </w:rPr>
              <w:t xml:space="preserve">, za čímž stál postupný příliv mimořádných, avšak </w:t>
            </w:r>
            <w:r>
              <w:rPr>
                <w:spacing w:val="-4"/>
              </w:rPr>
              <w:t xml:space="preserve">vesměs </w:t>
            </w:r>
            <w:r w:rsidRPr="00B57210">
              <w:rPr>
                <w:spacing w:val="-4"/>
              </w:rPr>
              <w:t>plánovaných příjmů (dividendy, výnosy z mimořádných firemních daní, zejména v oblasti energetiky), svižný růst inkasa „běžných“ firemních daní, jakož i započtení prostředků z </w:t>
            </w:r>
            <w:r>
              <w:rPr>
                <w:spacing w:val="-4"/>
              </w:rPr>
              <w:t>Národního plánu obnovy (ty loni</w:t>
            </w:r>
            <w:r w:rsidRPr="00B57210">
              <w:rPr>
                <w:spacing w:val="-4"/>
              </w:rPr>
              <w:t xml:space="preserve"> od června významně navýšily celkové příjmy </w:t>
            </w:r>
            <w:r>
              <w:rPr>
                <w:spacing w:val="-4"/>
              </w:rPr>
              <w:t xml:space="preserve">ČR </w:t>
            </w:r>
            <w:r w:rsidRPr="00B57210">
              <w:rPr>
                <w:spacing w:val="-4"/>
              </w:rPr>
              <w:t>z EU)</w:t>
            </w:r>
            <w:r>
              <w:rPr>
                <w:spacing w:val="-4"/>
              </w:rPr>
              <w:t>.</w:t>
            </w:r>
          </w:p>
        </w:tc>
      </w:tr>
      <w:tr w:rsidR="0011055D" w:rsidRPr="003C07E6" w14:paraId="51FB3905" w14:textId="77777777" w:rsidTr="00C07C2F">
        <w:trPr>
          <w:trHeight w:val="60"/>
        </w:trPr>
        <w:tc>
          <w:tcPr>
            <w:tcW w:w="1792" w:type="dxa"/>
            <w:shd w:val="clear" w:color="auto" w:fill="auto"/>
            <w:tcMar>
              <w:left w:w="0" w:type="dxa"/>
            </w:tcMar>
          </w:tcPr>
          <w:p w14:paraId="1137C277" w14:textId="77777777" w:rsidR="0011055D" w:rsidRDefault="0011055D" w:rsidP="00C07C2F">
            <w:pPr>
              <w:pStyle w:val="Marginlie"/>
            </w:pPr>
            <w:r>
              <w:t>Růst příjmů SR loni ve srovnání s rokem 2022 výrazně zrychlil, rozpočtové očekávání ani tak zcela nenaplnil.</w:t>
            </w:r>
          </w:p>
        </w:tc>
        <w:tc>
          <w:tcPr>
            <w:tcW w:w="203" w:type="dxa"/>
            <w:shd w:val="clear" w:color="auto" w:fill="auto"/>
            <w:tcMar>
              <w:left w:w="0" w:type="dxa"/>
            </w:tcMar>
          </w:tcPr>
          <w:p w14:paraId="232C08DA" w14:textId="77777777" w:rsidR="0011055D" w:rsidRDefault="0011055D" w:rsidP="00C07C2F">
            <w:pPr>
              <w:pStyle w:val="Textpoznpodarou"/>
              <w:jc w:val="both"/>
              <w:rPr>
                <w:spacing w:val="-4"/>
              </w:rPr>
            </w:pPr>
          </w:p>
        </w:tc>
        <w:tc>
          <w:tcPr>
            <w:tcW w:w="7674" w:type="dxa"/>
            <w:shd w:val="clear" w:color="auto" w:fill="auto"/>
            <w:tcMar>
              <w:left w:w="0" w:type="dxa"/>
            </w:tcMar>
          </w:tcPr>
          <w:p w14:paraId="6B5C60D2" w14:textId="77777777" w:rsidR="0011055D" w:rsidRPr="00B57210" w:rsidRDefault="0011055D" w:rsidP="00C07C2F">
            <w:pPr>
              <w:spacing w:after="200"/>
              <w:rPr>
                <w:spacing w:val="-4"/>
              </w:rPr>
            </w:pPr>
            <w:r w:rsidRPr="00B57210">
              <w:rPr>
                <w:color w:val="0D0D0D" w:themeColor="text1" w:themeTint="F2"/>
                <w:spacing w:val="-4"/>
              </w:rPr>
              <w:t>Ačkoli růst celkových příjmů SR činil za loňský rok rekordních 289,7 mld. korun, resp. 17,8</w:t>
            </w:r>
            <w:r w:rsidRPr="00B57210">
              <w:rPr>
                <w:spacing w:val="-4"/>
              </w:rPr>
              <w:t> </w:t>
            </w:r>
            <w:r w:rsidRPr="00B57210">
              <w:rPr>
                <w:color w:val="0D0D0D" w:themeColor="text1" w:themeTint="F2"/>
                <w:spacing w:val="-4"/>
              </w:rPr>
              <w:t>% (téměř dvojnásobné tempo než v roce 2022), rozpočtová očekávání zcela nenapl</w:t>
            </w:r>
            <w:r>
              <w:rPr>
                <w:color w:val="0D0D0D" w:themeColor="text1" w:themeTint="F2"/>
                <w:spacing w:val="-4"/>
              </w:rPr>
              <w:t>n</w:t>
            </w:r>
            <w:r w:rsidRPr="00B57210">
              <w:rPr>
                <w:color w:val="0D0D0D" w:themeColor="text1" w:themeTint="F2"/>
                <w:spacing w:val="-4"/>
              </w:rPr>
              <w:t>il</w:t>
            </w:r>
            <w:r>
              <w:rPr>
                <w:color w:val="0D0D0D" w:themeColor="text1" w:themeTint="F2"/>
                <w:spacing w:val="-4"/>
              </w:rPr>
              <w:t xml:space="preserve"> (−2,1 %)</w:t>
            </w:r>
            <w:r w:rsidRPr="00B57210">
              <w:rPr>
                <w:color w:val="0D0D0D" w:themeColor="text1" w:themeTint="F2"/>
                <w:spacing w:val="-4"/>
              </w:rPr>
              <w:t>.</w:t>
            </w:r>
            <w:r>
              <w:rPr>
                <w:color w:val="0D0D0D" w:themeColor="text1" w:themeTint="F2"/>
                <w:spacing w:val="-4"/>
              </w:rPr>
              <w:t xml:space="preserve"> </w:t>
            </w:r>
            <w:r w:rsidRPr="00B57210">
              <w:rPr>
                <w:color w:val="0D0D0D" w:themeColor="text1" w:themeTint="F2"/>
                <w:spacing w:val="-4"/>
              </w:rPr>
              <w:t xml:space="preserve">Na vývoji příjmů se vedle výše uvedených položek významně podílel </w:t>
            </w:r>
            <w:r w:rsidRPr="00B57210">
              <w:rPr>
                <w:spacing w:val="-4"/>
              </w:rPr>
              <w:t>silný růst cen v ekonomice, jenž tlačil i na vyšší dynamiku mezd v soukromé sféře a současně tlumil negativní dopady přetrvávající slabé spotřeby domácností na inkaso nepřímých daní. Více než polovina z loňského nárůstu souhrnných příjmů SR plynula z vyššího daňového inkasa, bezmála třetina z nedaňových a kapitálových příjmů a zbytek z povinného pojistného</w:t>
            </w:r>
            <w:r w:rsidRPr="00B57210">
              <w:rPr>
                <w:rStyle w:val="Znakapoznpodarou"/>
                <w:spacing w:val="-4"/>
              </w:rPr>
              <w:footnoteReference w:id="5"/>
            </w:r>
            <w:r w:rsidRPr="00B57210">
              <w:rPr>
                <w:spacing w:val="-4"/>
              </w:rPr>
              <w:t>. Tempo výběru pojistného ovšem vlivem ochlazování na trhu práce</w:t>
            </w:r>
            <w:r w:rsidRPr="00B57210">
              <w:rPr>
                <w:rStyle w:val="Znakapoznpodarou"/>
                <w:spacing w:val="-4"/>
              </w:rPr>
              <w:footnoteReference w:id="6"/>
            </w:r>
            <w:r w:rsidRPr="00B57210">
              <w:rPr>
                <w:spacing w:val="-4"/>
              </w:rPr>
              <w:t xml:space="preserve"> </w:t>
            </w:r>
            <w:r>
              <w:rPr>
                <w:spacing w:val="-4"/>
              </w:rPr>
              <w:t>během roku sláblo (1.</w:t>
            </w:r>
            <w:r w:rsidRPr="00B57210">
              <w:rPr>
                <w:spacing w:val="-4"/>
              </w:rPr>
              <w:t> čtvrtletí: 10,5 %, 4. čtvrtletí: +6,4 %). V kontrastu s tím růst celostátního da</w:t>
            </w:r>
            <w:r>
              <w:rPr>
                <w:spacing w:val="-4"/>
              </w:rPr>
              <w:t xml:space="preserve">ňového inkasa nezpomaloval </w:t>
            </w:r>
            <w:r w:rsidRPr="00B57210">
              <w:rPr>
                <w:spacing w:val="-4"/>
              </w:rPr>
              <w:t xml:space="preserve">– za celý </w:t>
            </w:r>
            <w:r>
              <w:rPr>
                <w:spacing w:val="-4"/>
              </w:rPr>
              <w:t xml:space="preserve">loňský </w:t>
            </w:r>
            <w:r w:rsidRPr="00B57210">
              <w:rPr>
                <w:spacing w:val="-4"/>
              </w:rPr>
              <w:t xml:space="preserve">rok činil 15,4 % (resp. 12,2 % po odečtení mimořádných firemních daní (z nadměrných příjmů či z neočekávaných zisků). </w:t>
            </w:r>
          </w:p>
        </w:tc>
      </w:tr>
      <w:tr w:rsidR="0011055D" w:rsidRPr="003C07E6" w14:paraId="714D38C9" w14:textId="77777777" w:rsidTr="00C07C2F">
        <w:trPr>
          <w:trHeight w:val="60"/>
        </w:trPr>
        <w:tc>
          <w:tcPr>
            <w:tcW w:w="1792" w:type="dxa"/>
            <w:shd w:val="clear" w:color="auto" w:fill="auto"/>
            <w:tcMar>
              <w:left w:w="0" w:type="dxa"/>
            </w:tcMar>
          </w:tcPr>
          <w:p w14:paraId="2DC761D7" w14:textId="77777777" w:rsidR="0011055D" w:rsidRDefault="0011055D" w:rsidP="00C07C2F">
            <w:pPr>
              <w:pStyle w:val="Marginlie"/>
            </w:pPr>
            <w:r>
              <w:t>K růstu daňového inkasa přispěly nejvíce nově zavedené mimořádné firemní daně.</w:t>
            </w:r>
          </w:p>
        </w:tc>
        <w:tc>
          <w:tcPr>
            <w:tcW w:w="203" w:type="dxa"/>
            <w:shd w:val="clear" w:color="auto" w:fill="auto"/>
            <w:tcMar>
              <w:left w:w="0" w:type="dxa"/>
            </w:tcMar>
          </w:tcPr>
          <w:p w14:paraId="55013398" w14:textId="77777777" w:rsidR="0011055D" w:rsidRDefault="0011055D" w:rsidP="00C07C2F">
            <w:pPr>
              <w:pStyle w:val="Textpoznpodarou"/>
              <w:jc w:val="both"/>
              <w:rPr>
                <w:spacing w:val="-4"/>
              </w:rPr>
            </w:pPr>
          </w:p>
        </w:tc>
        <w:tc>
          <w:tcPr>
            <w:tcW w:w="7674" w:type="dxa"/>
            <w:shd w:val="clear" w:color="auto" w:fill="auto"/>
            <w:tcMar>
              <w:left w:w="0" w:type="dxa"/>
            </w:tcMar>
          </w:tcPr>
          <w:p w14:paraId="2A253ACB" w14:textId="77777777" w:rsidR="0011055D" w:rsidRPr="00B57210" w:rsidRDefault="0011055D" w:rsidP="00C07C2F">
            <w:pPr>
              <w:spacing w:after="200"/>
              <w:rPr>
                <w:spacing w:val="-4"/>
              </w:rPr>
            </w:pPr>
            <w:r w:rsidRPr="00B57210">
              <w:rPr>
                <w:color w:val="0D0D0D" w:themeColor="text1" w:themeTint="F2"/>
                <w:spacing w:val="-4"/>
              </w:rPr>
              <w:t>Za loňským růstem celkových daňových příjmů SR stá</w:t>
            </w:r>
            <w:r>
              <w:rPr>
                <w:color w:val="0D0D0D" w:themeColor="text1" w:themeTint="F2"/>
                <w:spacing w:val="-4"/>
              </w:rPr>
              <w:t>ly hlavně prostředky z mimořádného</w:t>
            </w:r>
            <w:r w:rsidRPr="00B57210">
              <w:rPr>
                <w:color w:val="0D0D0D" w:themeColor="text1" w:themeTint="F2"/>
                <w:spacing w:val="-4"/>
              </w:rPr>
              <w:t xml:space="preserve"> zdanění firem (57,7 mld. korun)</w:t>
            </w:r>
            <w:r>
              <w:rPr>
                <w:color w:val="0D0D0D" w:themeColor="text1" w:themeTint="F2"/>
                <w:spacing w:val="-4"/>
              </w:rPr>
              <w:t xml:space="preserve">, a to </w:t>
            </w:r>
            <w:r w:rsidRPr="00B57210">
              <w:rPr>
                <w:color w:val="0D0D0D" w:themeColor="text1" w:themeTint="F2"/>
                <w:spacing w:val="-4"/>
              </w:rPr>
              <w:t>bez ohledu na fakt, že jejich souhrnný výběr zdaleka nenaplnil původní rozpočtová očekávání</w:t>
            </w:r>
            <w:r w:rsidRPr="00B57210">
              <w:rPr>
                <w:rStyle w:val="Znakapoznpodarou"/>
                <w:color w:val="0D0D0D" w:themeColor="text1" w:themeTint="F2"/>
                <w:spacing w:val="-4"/>
              </w:rPr>
              <w:footnoteReference w:id="7"/>
            </w:r>
            <w:r w:rsidRPr="00B57210">
              <w:rPr>
                <w:color w:val="0D0D0D" w:themeColor="text1" w:themeTint="F2"/>
                <w:spacing w:val="-4"/>
              </w:rPr>
              <w:t xml:space="preserve">. </w:t>
            </w:r>
            <w:r w:rsidRPr="00B57210">
              <w:rPr>
                <w:spacing w:val="-4"/>
              </w:rPr>
              <w:t>To platí pro jeho klíčovou položku – daň z neočekávaných zisků</w:t>
            </w:r>
            <w:r w:rsidRPr="00B57210">
              <w:rPr>
                <w:rStyle w:val="Znakapoznpodarou"/>
                <w:spacing w:val="-4"/>
              </w:rPr>
              <w:footnoteReference w:id="8"/>
            </w:r>
            <w:r w:rsidRPr="00B57210">
              <w:rPr>
                <w:spacing w:val="-4"/>
              </w:rPr>
              <w:t xml:space="preserve"> – jejíž zálohové platby přinesly SR 39,1 mld. korun. Naopak na dani z nadměrných příjmů</w:t>
            </w:r>
            <w:r w:rsidRPr="00B57210">
              <w:rPr>
                <w:rStyle w:val="Znakapoznpodarou"/>
                <w:spacing w:val="-4"/>
              </w:rPr>
              <w:footnoteReference w:id="9"/>
            </w:r>
            <w:r w:rsidRPr="00B57210">
              <w:rPr>
                <w:spacing w:val="-4"/>
              </w:rPr>
              <w:t xml:space="preserve"> zaplatily energetické firmy státu 18,5 mld. korun a plánovaný celoroční příjem byl u ní dosažen již loni v září.</w:t>
            </w:r>
          </w:p>
        </w:tc>
      </w:tr>
      <w:tr w:rsidR="0011055D" w:rsidRPr="003C07E6" w14:paraId="6CAE1AE0" w14:textId="77777777" w:rsidTr="00C07C2F">
        <w:trPr>
          <w:trHeight w:val="60"/>
        </w:trPr>
        <w:tc>
          <w:tcPr>
            <w:tcW w:w="1792" w:type="dxa"/>
            <w:shd w:val="clear" w:color="auto" w:fill="auto"/>
            <w:tcMar>
              <w:left w:w="0" w:type="dxa"/>
            </w:tcMar>
          </w:tcPr>
          <w:p w14:paraId="3A887C51" w14:textId="77777777" w:rsidR="0011055D" w:rsidRDefault="0011055D" w:rsidP="00C07C2F">
            <w:pPr>
              <w:pStyle w:val="Marginlie"/>
            </w:pPr>
            <w:r>
              <w:t>Vysoký výnos korporátní daně souvisí s růstem míry zisku podniků, zejména ve finančnictví a energetice.</w:t>
            </w:r>
          </w:p>
          <w:p w14:paraId="21160EA9" w14:textId="77777777" w:rsidR="0011055D" w:rsidRDefault="0011055D" w:rsidP="00C07C2F">
            <w:pPr>
              <w:pStyle w:val="Marginlie"/>
            </w:pPr>
          </w:p>
          <w:p w14:paraId="663D3E10" w14:textId="77777777" w:rsidR="0011055D" w:rsidRDefault="0011055D" w:rsidP="00C07C2F">
            <w:pPr>
              <w:pStyle w:val="Marginlie"/>
            </w:pPr>
          </w:p>
          <w:p w14:paraId="5682CF64" w14:textId="77777777" w:rsidR="0011055D" w:rsidRDefault="0011055D" w:rsidP="00C07C2F">
            <w:pPr>
              <w:pStyle w:val="Marginlie"/>
            </w:pPr>
          </w:p>
          <w:p w14:paraId="735B1886" w14:textId="77777777" w:rsidR="0011055D" w:rsidRDefault="0011055D" w:rsidP="00C07C2F">
            <w:pPr>
              <w:pStyle w:val="Marginlie"/>
            </w:pPr>
            <w:r>
              <w:lastRenderedPageBreak/>
              <w:t>Inkaso všech druhů daně z příjmů fyzických osob významně převýšilo rozpočtové očekávání. Meziroční růst inkasa ale během roku slábl.</w:t>
            </w:r>
          </w:p>
        </w:tc>
        <w:tc>
          <w:tcPr>
            <w:tcW w:w="203" w:type="dxa"/>
            <w:shd w:val="clear" w:color="auto" w:fill="auto"/>
            <w:tcMar>
              <w:left w:w="0" w:type="dxa"/>
            </w:tcMar>
          </w:tcPr>
          <w:p w14:paraId="08C8CDC9" w14:textId="77777777" w:rsidR="0011055D" w:rsidRDefault="0011055D" w:rsidP="00C07C2F">
            <w:pPr>
              <w:pStyle w:val="Textpoznpodarou"/>
              <w:jc w:val="both"/>
              <w:rPr>
                <w:spacing w:val="-4"/>
              </w:rPr>
            </w:pPr>
          </w:p>
        </w:tc>
        <w:tc>
          <w:tcPr>
            <w:tcW w:w="7674" w:type="dxa"/>
            <w:shd w:val="clear" w:color="auto" w:fill="auto"/>
            <w:tcMar>
              <w:left w:w="0" w:type="dxa"/>
            </w:tcMar>
          </w:tcPr>
          <w:p w14:paraId="1A8B4A4D" w14:textId="77777777" w:rsidR="0011055D" w:rsidRPr="001B78B8" w:rsidRDefault="0011055D" w:rsidP="00C07C2F">
            <w:pPr>
              <w:spacing w:after="180"/>
              <w:rPr>
                <w:color w:val="0D0D0D" w:themeColor="text1" w:themeTint="F2"/>
                <w:spacing w:val="-4"/>
              </w:rPr>
            </w:pPr>
            <w:r w:rsidRPr="00B57210">
              <w:rPr>
                <w:spacing w:val="-4"/>
              </w:rPr>
              <w:t xml:space="preserve">Z </w:t>
            </w:r>
            <w:r>
              <w:rPr>
                <w:spacing w:val="-4"/>
              </w:rPr>
              <w:t xml:space="preserve">běžných daní </w:t>
            </w:r>
            <w:r w:rsidRPr="00B57210">
              <w:rPr>
                <w:spacing w:val="-4"/>
              </w:rPr>
              <w:t xml:space="preserve">podpořila loni růst příjmů SR nejvíce daň </w:t>
            </w:r>
            <w:r>
              <w:rPr>
                <w:spacing w:val="-4"/>
              </w:rPr>
              <w:t>z příjmů právnických osob, jejíž inkaso</w:t>
            </w:r>
            <w:r w:rsidRPr="00B57210">
              <w:rPr>
                <w:spacing w:val="-4"/>
              </w:rPr>
              <w:t xml:space="preserve"> </w:t>
            </w:r>
            <w:r>
              <w:rPr>
                <w:spacing w:val="-4"/>
              </w:rPr>
              <w:t>meziročně posílilo</w:t>
            </w:r>
            <w:r w:rsidRPr="00B57210">
              <w:rPr>
                <w:spacing w:val="-4"/>
              </w:rPr>
              <w:t xml:space="preserve"> o třetinu </w:t>
            </w:r>
            <w:r>
              <w:rPr>
                <w:spacing w:val="-4"/>
              </w:rPr>
              <w:t xml:space="preserve">(+52 mld. korun) </w:t>
            </w:r>
            <w:r w:rsidRPr="00B57210">
              <w:rPr>
                <w:spacing w:val="-4"/>
              </w:rPr>
              <w:t>a jeho celoroční</w:t>
            </w:r>
            <w:r>
              <w:rPr>
                <w:spacing w:val="-2"/>
              </w:rPr>
              <w:t xml:space="preserve"> plánovaná výše byla překročena o více než čtvrtinu (i díky vyššímu výběru z oblasti </w:t>
            </w:r>
            <w:r>
              <w:rPr>
                <w:spacing w:val="-5"/>
              </w:rPr>
              <w:t>finančnictví a energetiky).</w:t>
            </w:r>
            <w:r>
              <w:rPr>
                <w:spacing w:val="-2"/>
              </w:rPr>
              <w:t xml:space="preserve"> </w:t>
            </w:r>
            <w:r>
              <w:rPr>
                <w:spacing w:val="-5"/>
              </w:rPr>
              <w:t>Výnos korporátní daně souvisí s relativně vysokou a dále rostoucí mírou zisku podniků</w:t>
            </w:r>
            <w:r>
              <w:rPr>
                <w:rStyle w:val="Znakapoznpodarou"/>
                <w:spacing w:val="-5"/>
              </w:rPr>
              <w:footnoteReference w:id="10"/>
            </w:r>
            <w:r>
              <w:rPr>
                <w:spacing w:val="-5"/>
              </w:rPr>
              <w:t>. Loni svižně vzrostl i výběr daně z příjmů fyzických osob (</w:t>
            </w:r>
            <w:r w:rsidRPr="009F0CDD">
              <w:rPr>
                <w:color w:val="0D0D0D" w:themeColor="text1" w:themeTint="F2"/>
                <w:spacing w:val="-4"/>
              </w:rPr>
              <w:t>DPFO)</w:t>
            </w:r>
            <w:r>
              <w:rPr>
                <w:color w:val="0D0D0D" w:themeColor="text1" w:themeTint="F2"/>
                <w:spacing w:val="-4"/>
              </w:rPr>
              <w:t xml:space="preserve"> – o pětinu (resp. 25,2 mld. korun). I přes zvolňování růstu inkasa během roku na tom měla hlavní zásluhu</w:t>
            </w:r>
            <w:r w:rsidRPr="009F0CDD">
              <w:rPr>
                <w:color w:val="0D0D0D" w:themeColor="text1" w:themeTint="F2"/>
                <w:spacing w:val="-4"/>
              </w:rPr>
              <w:t xml:space="preserve"> klíčo</w:t>
            </w:r>
            <w:r>
              <w:rPr>
                <w:color w:val="0D0D0D" w:themeColor="text1" w:themeTint="F2"/>
                <w:spacing w:val="-4"/>
              </w:rPr>
              <w:t xml:space="preserve">vá příjmová daň </w:t>
            </w:r>
            <w:r w:rsidRPr="009F0CDD">
              <w:rPr>
                <w:color w:val="0D0D0D" w:themeColor="text1" w:themeTint="F2"/>
                <w:spacing w:val="-4"/>
              </w:rPr>
              <w:t>ze závislé činnosti</w:t>
            </w:r>
            <w:r>
              <w:rPr>
                <w:color w:val="0D0D0D" w:themeColor="text1" w:themeTint="F2"/>
                <w:spacing w:val="-4"/>
              </w:rPr>
              <w:t xml:space="preserve"> (+17 mld. korun</w:t>
            </w:r>
            <w:r w:rsidRPr="009F0CDD">
              <w:rPr>
                <w:color w:val="0D0D0D" w:themeColor="text1" w:themeTint="F2"/>
                <w:spacing w:val="-4"/>
              </w:rPr>
              <w:t>)</w:t>
            </w:r>
            <w:r w:rsidRPr="009F0CDD">
              <w:rPr>
                <w:rStyle w:val="Znakapoznpodarou"/>
                <w:color w:val="0D0D0D" w:themeColor="text1" w:themeTint="F2"/>
                <w:spacing w:val="-4"/>
              </w:rPr>
              <w:footnoteReference w:id="11"/>
            </w:r>
            <w:r>
              <w:rPr>
                <w:color w:val="0D0D0D" w:themeColor="text1" w:themeTint="F2"/>
                <w:spacing w:val="-4"/>
              </w:rPr>
              <w:t xml:space="preserve">. Příznivě se v ní promítala vyšší </w:t>
            </w:r>
            <w:r>
              <w:rPr>
                <w:color w:val="0D0D0D" w:themeColor="text1" w:themeTint="F2"/>
                <w:spacing w:val="-4"/>
              </w:rPr>
              <w:lastRenderedPageBreak/>
              <w:t>zaměstnanost</w:t>
            </w:r>
            <w:r w:rsidRPr="009F0CDD">
              <w:rPr>
                <w:color w:val="0D0D0D" w:themeColor="text1" w:themeTint="F2"/>
                <w:spacing w:val="-4"/>
              </w:rPr>
              <w:t xml:space="preserve"> i svižný nominální růst průměrné mzdy v podnikové sféře. </w:t>
            </w:r>
            <w:r>
              <w:rPr>
                <w:color w:val="0D0D0D" w:themeColor="text1" w:themeTint="F2"/>
                <w:spacing w:val="-4"/>
              </w:rPr>
              <w:t xml:space="preserve">Naopak v menší míře se </w:t>
            </w:r>
            <w:r w:rsidRPr="009F0CDD">
              <w:rPr>
                <w:color w:val="0D0D0D" w:themeColor="text1" w:themeTint="F2"/>
                <w:spacing w:val="-4"/>
              </w:rPr>
              <w:t>negativně projevil vliv daňových změn (</w:t>
            </w:r>
            <w:r>
              <w:rPr>
                <w:color w:val="0D0D0D" w:themeColor="text1" w:themeTint="F2"/>
                <w:spacing w:val="-4"/>
              </w:rPr>
              <w:t>především</w:t>
            </w:r>
            <w:r w:rsidRPr="009F0CDD">
              <w:rPr>
                <w:color w:val="0D0D0D" w:themeColor="text1" w:themeTint="F2"/>
                <w:spacing w:val="-4"/>
              </w:rPr>
              <w:t xml:space="preserve"> zvýšení daňového zvýhodnění na druhé a třetí dítě). </w:t>
            </w:r>
            <w:r>
              <w:rPr>
                <w:color w:val="0D0D0D" w:themeColor="text1" w:themeTint="F2"/>
                <w:spacing w:val="-4"/>
              </w:rPr>
              <w:t>V</w:t>
            </w:r>
            <w:r w:rsidRPr="009F0CDD">
              <w:rPr>
                <w:color w:val="0D0D0D" w:themeColor="text1" w:themeTint="F2"/>
                <w:spacing w:val="-4"/>
              </w:rPr>
              <w:t xml:space="preserve">ýběr váhově </w:t>
            </w:r>
            <w:r>
              <w:rPr>
                <w:color w:val="0D0D0D" w:themeColor="text1" w:themeTint="F2"/>
                <w:spacing w:val="-4"/>
              </w:rPr>
              <w:t xml:space="preserve">mnohem </w:t>
            </w:r>
            <w:r w:rsidRPr="009F0CDD">
              <w:rPr>
                <w:color w:val="0D0D0D" w:themeColor="text1" w:themeTint="F2"/>
                <w:spacing w:val="-4"/>
              </w:rPr>
              <w:t>méně významné daně DP</w:t>
            </w:r>
            <w:r>
              <w:rPr>
                <w:color w:val="0D0D0D" w:themeColor="text1" w:themeTint="F2"/>
                <w:spacing w:val="-4"/>
              </w:rPr>
              <w:t xml:space="preserve">FO placené poplatníky (cílené </w:t>
            </w:r>
            <w:r w:rsidRPr="009F0CDD">
              <w:rPr>
                <w:color w:val="0D0D0D" w:themeColor="text1" w:themeTint="F2"/>
                <w:spacing w:val="-4"/>
              </w:rPr>
              <w:t>hlavně na drobné podnik</w:t>
            </w:r>
            <w:r>
              <w:rPr>
                <w:color w:val="0D0D0D" w:themeColor="text1" w:themeTint="F2"/>
                <w:spacing w:val="-4"/>
              </w:rPr>
              <w:t xml:space="preserve">atele) se </w:t>
            </w:r>
            <w:r w:rsidRPr="009F0CDD">
              <w:rPr>
                <w:color w:val="0D0D0D" w:themeColor="text1" w:themeTint="F2"/>
                <w:spacing w:val="-4"/>
              </w:rPr>
              <w:t>meziročně</w:t>
            </w:r>
            <w:r>
              <w:rPr>
                <w:color w:val="0D0D0D" w:themeColor="text1" w:themeTint="F2"/>
                <w:spacing w:val="-4"/>
              </w:rPr>
              <w:t xml:space="preserve"> zvýšil mírněji (+7,5 %), avšak plánovanou výši inkasa převýšil o více než třetinu.</w:t>
            </w:r>
            <w:r w:rsidRPr="009F0CDD">
              <w:rPr>
                <w:color w:val="0D0D0D" w:themeColor="text1" w:themeTint="F2"/>
                <w:spacing w:val="-4"/>
              </w:rPr>
              <w:t xml:space="preserve"> </w:t>
            </w:r>
            <w:r>
              <w:rPr>
                <w:color w:val="0D0D0D" w:themeColor="text1" w:themeTint="F2"/>
                <w:spacing w:val="-4"/>
              </w:rPr>
              <w:t>Pomohlo tomu pokračující zotavování řady služeb zasažených v éře pandemie i rostoucí počet podnikajících osob. Opačný vliv měly některé daňové změny (zvýšení slevy na poplatníka, navýšení limitu příjmů pro možnost vstupu do paušálního režimu daně). Nadále se d</w:t>
            </w:r>
            <w:r w:rsidRPr="009F0CDD">
              <w:rPr>
                <w:color w:val="0D0D0D" w:themeColor="text1" w:themeTint="F2"/>
                <w:spacing w:val="-4"/>
              </w:rPr>
              <w:t>ařil</w:t>
            </w:r>
            <w:r>
              <w:rPr>
                <w:color w:val="0D0D0D" w:themeColor="text1" w:themeTint="F2"/>
                <w:spacing w:val="-4"/>
              </w:rPr>
              <w:t xml:space="preserve">o </w:t>
            </w:r>
            <w:r w:rsidRPr="009F0CDD">
              <w:rPr>
                <w:color w:val="0D0D0D" w:themeColor="text1" w:themeTint="F2"/>
                <w:spacing w:val="-4"/>
              </w:rPr>
              <w:t>inkasu DPFO vybírané srážkou</w:t>
            </w:r>
            <w:r>
              <w:rPr>
                <w:color w:val="0D0D0D" w:themeColor="text1" w:themeTint="F2"/>
                <w:spacing w:val="-4"/>
              </w:rPr>
              <w:t xml:space="preserve">. Byť jeho meziroční růst během roku postupně slábl, za celý loňský rok inkaso vzrostlo o více než třetinu (+7,5 mld. korun). Bylo taženo přetrvávajícími vyššími </w:t>
            </w:r>
            <w:r w:rsidRPr="00C1254A">
              <w:rPr>
                <w:color w:val="0D0D0D" w:themeColor="text1" w:themeTint="F2"/>
                <w:spacing w:val="-5"/>
              </w:rPr>
              <w:t>úrokovými sazb</w:t>
            </w:r>
            <w:r>
              <w:rPr>
                <w:color w:val="0D0D0D" w:themeColor="text1" w:themeTint="F2"/>
                <w:spacing w:val="-5"/>
              </w:rPr>
              <w:t>ami</w:t>
            </w:r>
            <w:r w:rsidRPr="00C1254A">
              <w:rPr>
                <w:color w:val="0D0D0D" w:themeColor="text1" w:themeTint="F2"/>
                <w:spacing w:val="-5"/>
              </w:rPr>
              <w:t xml:space="preserve"> na vkladech a v menší míře i vyšším počtem osob pracujících na dohody.</w:t>
            </w:r>
          </w:p>
        </w:tc>
      </w:tr>
      <w:tr w:rsidR="0011055D" w:rsidRPr="00F704D2" w14:paraId="32F938D7" w14:textId="77777777" w:rsidTr="00C07C2F">
        <w:trPr>
          <w:trHeight w:val="170"/>
        </w:trPr>
        <w:tc>
          <w:tcPr>
            <w:tcW w:w="1792" w:type="dxa"/>
            <w:vMerge w:val="restart"/>
            <w:shd w:val="clear" w:color="auto" w:fill="auto"/>
            <w:tcMar>
              <w:left w:w="0" w:type="dxa"/>
            </w:tcMar>
          </w:tcPr>
          <w:p w14:paraId="6E49F856" w14:textId="77777777" w:rsidR="0011055D" w:rsidRDefault="0011055D" w:rsidP="00C07C2F">
            <w:pPr>
              <w:pStyle w:val="Marginlie"/>
            </w:pPr>
          </w:p>
        </w:tc>
        <w:tc>
          <w:tcPr>
            <w:tcW w:w="203" w:type="dxa"/>
            <w:vMerge w:val="restart"/>
            <w:shd w:val="clear" w:color="auto" w:fill="auto"/>
            <w:tcMar>
              <w:left w:w="0" w:type="dxa"/>
            </w:tcMar>
          </w:tcPr>
          <w:p w14:paraId="26C8E9EA" w14:textId="77777777" w:rsidR="0011055D" w:rsidRDefault="0011055D" w:rsidP="00C07C2F">
            <w:pPr>
              <w:pStyle w:val="Textpoznpodarou"/>
              <w:jc w:val="both"/>
              <w:rPr>
                <w:spacing w:val="-4"/>
              </w:rPr>
            </w:pPr>
          </w:p>
        </w:tc>
        <w:tc>
          <w:tcPr>
            <w:tcW w:w="7674" w:type="dxa"/>
            <w:shd w:val="clear" w:color="auto" w:fill="auto"/>
            <w:tcMar>
              <w:left w:w="0" w:type="dxa"/>
            </w:tcMar>
          </w:tcPr>
          <w:p w14:paraId="04C2746D" w14:textId="77777777" w:rsidR="0011055D" w:rsidRPr="004457BD" w:rsidRDefault="0011055D" w:rsidP="00C07C2F">
            <w:pPr>
              <w:spacing w:after="0"/>
              <w:rPr>
                <w:rFonts w:cs="Arial"/>
                <w:b/>
                <w:bCs/>
                <w:color w:val="000000"/>
                <w:spacing w:val="-2"/>
                <w:szCs w:val="20"/>
              </w:rPr>
            </w:pPr>
            <w:r w:rsidRPr="004457BD">
              <w:rPr>
                <w:rFonts w:cs="Arial"/>
                <w:b/>
                <w:bCs/>
                <w:color w:val="000000"/>
                <w:spacing w:val="-2"/>
                <w:szCs w:val="20"/>
              </w:rPr>
              <w:t xml:space="preserve">Graf č. 18 Příspěvek dílčích příjmů k meziročnímu růstu </w:t>
            </w:r>
            <w:r>
              <w:rPr>
                <w:rFonts w:cs="Arial"/>
                <w:b/>
                <w:bCs/>
                <w:color w:val="000000"/>
                <w:spacing w:val="-2"/>
                <w:szCs w:val="20"/>
              </w:rPr>
              <w:t xml:space="preserve">souhrnného </w:t>
            </w:r>
            <w:r w:rsidRPr="004457BD">
              <w:rPr>
                <w:rFonts w:cs="Arial"/>
                <w:b/>
                <w:bCs/>
                <w:color w:val="000000"/>
                <w:spacing w:val="-2"/>
                <w:szCs w:val="20"/>
              </w:rPr>
              <w:t xml:space="preserve">celostátního inkasa daňových příjmů </w:t>
            </w:r>
            <w:r w:rsidRPr="004457BD">
              <w:rPr>
                <w:rFonts w:cs="Arial"/>
                <w:bCs/>
                <w:color w:val="000000"/>
                <w:spacing w:val="-2"/>
                <w:szCs w:val="20"/>
              </w:rPr>
              <w:t xml:space="preserve">(v p. b.), </w:t>
            </w:r>
            <w:r w:rsidRPr="004457BD">
              <w:rPr>
                <w:rFonts w:cs="Arial"/>
                <w:b/>
                <w:bCs/>
                <w:color w:val="000000"/>
                <w:spacing w:val="-2"/>
                <w:szCs w:val="20"/>
              </w:rPr>
              <w:t>meziroční růst příjmů pojistného</w:t>
            </w:r>
            <w:r>
              <w:rPr>
                <w:rFonts w:cs="Arial"/>
                <w:b/>
                <w:bCs/>
                <w:color w:val="000000"/>
                <w:spacing w:val="-2"/>
                <w:szCs w:val="20"/>
              </w:rPr>
              <w:t xml:space="preserve"> na sociální</w:t>
            </w:r>
            <w:r w:rsidRPr="004457BD">
              <w:rPr>
                <w:rFonts w:cs="Arial"/>
                <w:b/>
                <w:bCs/>
                <w:color w:val="000000"/>
                <w:spacing w:val="-2"/>
                <w:szCs w:val="20"/>
              </w:rPr>
              <w:t xml:space="preserve"> zabezpečení</w:t>
            </w:r>
            <w:r w:rsidRPr="004457BD">
              <w:rPr>
                <w:rFonts w:cs="Arial"/>
                <w:bCs/>
                <w:color w:val="000000"/>
                <w:spacing w:val="-2"/>
                <w:szCs w:val="20"/>
              </w:rPr>
              <w:t xml:space="preserve"> (%) </w:t>
            </w:r>
            <w:r w:rsidRPr="004457BD">
              <w:rPr>
                <w:rFonts w:cs="Arial"/>
                <w:b/>
                <w:bCs/>
                <w:color w:val="000000"/>
                <w:spacing w:val="-2"/>
                <w:szCs w:val="20"/>
              </w:rPr>
              <w:t xml:space="preserve">a saldo státního rozpočtu </w:t>
            </w:r>
            <w:r w:rsidRPr="004457BD">
              <w:rPr>
                <w:rFonts w:cs="Arial"/>
                <w:bCs/>
                <w:color w:val="000000"/>
                <w:spacing w:val="-2"/>
                <w:szCs w:val="20"/>
              </w:rPr>
              <w:t>(v mld. korun)</w:t>
            </w:r>
          </w:p>
        </w:tc>
      </w:tr>
      <w:tr w:rsidR="0011055D" w14:paraId="0368D539" w14:textId="77777777" w:rsidTr="00C07C2F">
        <w:tblPrEx>
          <w:tblCellMar>
            <w:left w:w="70" w:type="dxa"/>
            <w:right w:w="70" w:type="dxa"/>
          </w:tblCellMar>
        </w:tblPrEx>
        <w:trPr>
          <w:trHeight w:val="170"/>
        </w:trPr>
        <w:tc>
          <w:tcPr>
            <w:tcW w:w="1792" w:type="dxa"/>
            <w:vMerge/>
            <w:shd w:val="clear" w:color="auto" w:fill="auto"/>
          </w:tcPr>
          <w:p w14:paraId="1E064F46" w14:textId="77777777" w:rsidR="0011055D" w:rsidRDefault="0011055D" w:rsidP="00C07C2F">
            <w:pPr>
              <w:pStyle w:val="Marginlie"/>
            </w:pPr>
          </w:p>
        </w:tc>
        <w:tc>
          <w:tcPr>
            <w:tcW w:w="203" w:type="dxa"/>
            <w:vMerge/>
            <w:shd w:val="clear" w:color="auto" w:fill="auto"/>
          </w:tcPr>
          <w:p w14:paraId="731BE8A0" w14:textId="77777777" w:rsidR="0011055D" w:rsidRDefault="0011055D" w:rsidP="00C07C2F">
            <w:pPr>
              <w:pStyle w:val="Textpoznpodarou"/>
              <w:jc w:val="both"/>
              <w:rPr>
                <w:spacing w:val="-4"/>
              </w:rPr>
            </w:pPr>
          </w:p>
        </w:tc>
        <w:tc>
          <w:tcPr>
            <w:tcW w:w="7674" w:type="dxa"/>
            <w:shd w:val="clear" w:color="auto" w:fill="auto"/>
          </w:tcPr>
          <w:p w14:paraId="10B824CF" w14:textId="77777777" w:rsidR="0011055D" w:rsidRPr="0067514E" w:rsidRDefault="0011055D" w:rsidP="00C07C2F">
            <w:pPr>
              <w:spacing w:after="40"/>
              <w:rPr>
                <w:spacing w:val="-6"/>
              </w:rPr>
            </w:pPr>
            <w:r>
              <w:rPr>
                <w:noProof/>
              </w:rPr>
              <w:drawing>
                <wp:inline distT="0" distB="0" distL="0" distR="0" wp14:anchorId="048D9AD6" wp14:editId="4779AC94">
                  <wp:extent cx="4749800" cy="3378200"/>
                  <wp:effectExtent l="0" t="0" r="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11055D" w:rsidRPr="007B3A78" w14:paraId="712D5BD4" w14:textId="77777777" w:rsidTr="00C07C2F">
        <w:trPr>
          <w:trHeight w:val="170"/>
        </w:trPr>
        <w:tc>
          <w:tcPr>
            <w:tcW w:w="1792" w:type="dxa"/>
            <w:vMerge/>
            <w:shd w:val="clear" w:color="auto" w:fill="auto"/>
            <w:tcMar>
              <w:left w:w="0" w:type="dxa"/>
            </w:tcMar>
          </w:tcPr>
          <w:p w14:paraId="67C88BC6" w14:textId="77777777" w:rsidR="0011055D" w:rsidRDefault="0011055D" w:rsidP="00C07C2F">
            <w:pPr>
              <w:pStyle w:val="Marginlie"/>
            </w:pPr>
          </w:p>
        </w:tc>
        <w:tc>
          <w:tcPr>
            <w:tcW w:w="203" w:type="dxa"/>
            <w:vMerge/>
            <w:shd w:val="clear" w:color="auto" w:fill="auto"/>
            <w:tcMar>
              <w:left w:w="0" w:type="dxa"/>
            </w:tcMar>
          </w:tcPr>
          <w:p w14:paraId="13A7213F" w14:textId="77777777" w:rsidR="0011055D" w:rsidRDefault="0011055D" w:rsidP="00C07C2F">
            <w:pPr>
              <w:pStyle w:val="Textpoznpodarou"/>
              <w:jc w:val="both"/>
              <w:rPr>
                <w:spacing w:val="-4"/>
              </w:rPr>
            </w:pPr>
          </w:p>
        </w:tc>
        <w:tc>
          <w:tcPr>
            <w:tcW w:w="7674" w:type="dxa"/>
            <w:shd w:val="clear" w:color="auto" w:fill="auto"/>
            <w:tcMar>
              <w:left w:w="0" w:type="dxa"/>
            </w:tcMar>
          </w:tcPr>
          <w:p w14:paraId="0DB31A19" w14:textId="77777777" w:rsidR="0011055D" w:rsidRDefault="0011055D" w:rsidP="00C07C2F">
            <w:pPr>
              <w:tabs>
                <w:tab w:val="right" w:pos="7683"/>
              </w:tabs>
              <w:spacing w:after="0" w:line="240" w:lineRule="auto"/>
              <w:jc w:val="left"/>
              <w:rPr>
                <w:spacing w:val="-2"/>
                <w:sz w:val="14"/>
                <w:szCs w:val="14"/>
              </w:rPr>
            </w:pPr>
            <w:r w:rsidRPr="004457BD">
              <w:rPr>
                <w:spacing w:val="-2"/>
                <w:sz w:val="14"/>
                <w:szCs w:val="14"/>
              </w:rPr>
              <w:t>*Zahrnují i příspěvky na státní politiku zaměstnanosti.</w:t>
            </w:r>
          </w:p>
          <w:p w14:paraId="2AFCEB01" w14:textId="77777777" w:rsidR="0011055D" w:rsidRDefault="0011055D" w:rsidP="00C07C2F">
            <w:pPr>
              <w:tabs>
                <w:tab w:val="right" w:pos="7683"/>
              </w:tabs>
              <w:spacing w:after="0" w:line="240" w:lineRule="auto"/>
              <w:jc w:val="left"/>
              <w:rPr>
                <w:spacing w:val="-2"/>
                <w:sz w:val="14"/>
                <w:szCs w:val="14"/>
              </w:rPr>
            </w:pPr>
            <w:r w:rsidRPr="004457BD">
              <w:rPr>
                <w:spacing w:val="-2"/>
                <w:sz w:val="14"/>
                <w:szCs w:val="14"/>
              </w:rPr>
              <w:t>**Saldo očištěné o prostředky na pro</w:t>
            </w:r>
            <w:r>
              <w:rPr>
                <w:spacing w:val="-2"/>
                <w:sz w:val="14"/>
                <w:szCs w:val="14"/>
              </w:rPr>
              <w:t>gramy/projekty z rozpočtu EU a f</w:t>
            </w:r>
            <w:r w:rsidRPr="004457BD">
              <w:rPr>
                <w:spacing w:val="-2"/>
                <w:sz w:val="14"/>
                <w:szCs w:val="14"/>
              </w:rPr>
              <w:t xml:space="preserve">inančních mechanismů, které byly předfinancovány ze SR a následně jsou propláceny z rozpočtu EU a FM. </w:t>
            </w:r>
            <w:r>
              <w:rPr>
                <w:spacing w:val="-2"/>
                <w:sz w:val="14"/>
                <w:szCs w:val="14"/>
              </w:rPr>
              <w:t>Celoroční ú</w:t>
            </w:r>
            <w:r w:rsidRPr="004457BD">
              <w:rPr>
                <w:spacing w:val="-2"/>
                <w:sz w:val="14"/>
                <w:szCs w:val="14"/>
              </w:rPr>
              <w:t>daje jsou k dispozici počínaje rokem 2010.</w:t>
            </w:r>
          </w:p>
          <w:p w14:paraId="43D04880" w14:textId="77777777" w:rsidR="0011055D" w:rsidRDefault="0011055D" w:rsidP="00C07C2F">
            <w:pPr>
              <w:tabs>
                <w:tab w:val="right" w:pos="7683"/>
              </w:tabs>
              <w:spacing w:after="0" w:line="240" w:lineRule="auto"/>
              <w:jc w:val="left"/>
              <w:rPr>
                <w:sz w:val="16"/>
                <w:szCs w:val="16"/>
              </w:rPr>
            </w:pPr>
            <w:r>
              <w:rPr>
                <w:spacing w:val="-2"/>
                <w:sz w:val="14"/>
                <w:szCs w:val="14"/>
              </w:rPr>
              <w:t>FO = fyzické soby, PO = právnické osoby. Ostatní daně z příjmů FO zahrnují daně placené</w:t>
            </w:r>
            <w:r w:rsidRPr="005B05AD">
              <w:rPr>
                <w:spacing w:val="-2"/>
                <w:sz w:val="14"/>
                <w:szCs w:val="14"/>
              </w:rPr>
              <w:t xml:space="preserve"> poplatníky</w:t>
            </w:r>
            <w:r>
              <w:rPr>
                <w:spacing w:val="-2"/>
                <w:sz w:val="14"/>
                <w:szCs w:val="14"/>
              </w:rPr>
              <w:t xml:space="preserve"> (zejména z drobného podnikání) a dále daně vybírané</w:t>
            </w:r>
            <w:r w:rsidRPr="005B05AD">
              <w:rPr>
                <w:spacing w:val="-2"/>
                <w:sz w:val="14"/>
                <w:szCs w:val="14"/>
              </w:rPr>
              <w:t xml:space="preserve"> srážkou</w:t>
            </w:r>
            <w:r>
              <w:rPr>
                <w:spacing w:val="-2"/>
                <w:sz w:val="14"/>
                <w:szCs w:val="14"/>
              </w:rPr>
              <w:t>.</w:t>
            </w:r>
          </w:p>
          <w:p w14:paraId="287A26C0" w14:textId="77777777" w:rsidR="0011055D" w:rsidRPr="00764654" w:rsidRDefault="0011055D" w:rsidP="00C07C2F">
            <w:pPr>
              <w:tabs>
                <w:tab w:val="right" w:pos="7683"/>
              </w:tabs>
              <w:spacing w:after="180" w:line="240" w:lineRule="auto"/>
              <w:jc w:val="left"/>
              <w:rPr>
                <w:sz w:val="14"/>
                <w:szCs w:val="14"/>
              </w:rPr>
            </w:pPr>
            <w:r>
              <w:rPr>
                <w:sz w:val="14"/>
                <w:szCs w:val="14"/>
              </w:rPr>
              <w:t>Ostatní daně a poplatky obsahují zejména daň z nemovitých věcí, d</w:t>
            </w:r>
            <w:r w:rsidRPr="001F4360">
              <w:rPr>
                <w:sz w:val="14"/>
                <w:szCs w:val="14"/>
              </w:rPr>
              <w:t>aň z hazardních her</w:t>
            </w:r>
            <w:r>
              <w:rPr>
                <w:sz w:val="14"/>
                <w:szCs w:val="14"/>
              </w:rPr>
              <w:t>, d</w:t>
            </w:r>
            <w:r w:rsidRPr="001F4360">
              <w:rPr>
                <w:sz w:val="14"/>
                <w:szCs w:val="14"/>
              </w:rPr>
              <w:t>álniční poplatek</w:t>
            </w:r>
            <w:r>
              <w:rPr>
                <w:sz w:val="14"/>
                <w:szCs w:val="14"/>
              </w:rPr>
              <w:t>, mýtné a v roce 2023 nově rovněž o</w:t>
            </w:r>
            <w:r w:rsidRPr="003C78E5">
              <w:rPr>
                <w:sz w:val="14"/>
                <w:szCs w:val="14"/>
              </w:rPr>
              <w:t>dvod z nadměrných příjmů</w:t>
            </w:r>
            <w:r>
              <w:rPr>
                <w:sz w:val="14"/>
                <w:szCs w:val="14"/>
              </w:rPr>
              <w:t xml:space="preserve"> a neočekávaných zisků.                                                           </w:t>
            </w:r>
            <w:r w:rsidRPr="002777A9">
              <w:rPr>
                <w:sz w:val="14"/>
                <w:szCs w:val="14"/>
              </w:rPr>
              <w:t>Zdroj: MF ČR</w:t>
            </w:r>
          </w:p>
        </w:tc>
      </w:tr>
      <w:tr w:rsidR="0011055D" w:rsidRPr="007B3A78" w14:paraId="3F446F49" w14:textId="77777777" w:rsidTr="00C07C2F">
        <w:trPr>
          <w:trHeight w:val="170"/>
        </w:trPr>
        <w:tc>
          <w:tcPr>
            <w:tcW w:w="1792" w:type="dxa"/>
            <w:shd w:val="clear" w:color="auto" w:fill="auto"/>
            <w:tcMar>
              <w:left w:w="0" w:type="dxa"/>
            </w:tcMar>
          </w:tcPr>
          <w:p w14:paraId="7428CA2D" w14:textId="77777777" w:rsidR="0011055D" w:rsidRDefault="0011055D" w:rsidP="00C07C2F">
            <w:pPr>
              <w:pStyle w:val="Marginlie"/>
              <w:rPr>
                <w:spacing w:val="-5"/>
              </w:rPr>
            </w:pPr>
            <w:r>
              <w:rPr>
                <w:spacing w:val="-5"/>
              </w:rPr>
              <w:t>Kladný vliv vysokého růstu cen v ekonomice na výběr DPH byl tlumen poklesem spotřeby domácností. Očekávané inkaso tak nebylo naplněno.</w:t>
            </w:r>
          </w:p>
        </w:tc>
        <w:tc>
          <w:tcPr>
            <w:tcW w:w="203" w:type="dxa"/>
            <w:shd w:val="clear" w:color="auto" w:fill="auto"/>
            <w:tcMar>
              <w:left w:w="0" w:type="dxa"/>
            </w:tcMar>
          </w:tcPr>
          <w:p w14:paraId="5BE10B6B" w14:textId="77777777" w:rsidR="0011055D" w:rsidRDefault="0011055D" w:rsidP="00C07C2F">
            <w:pPr>
              <w:pStyle w:val="Textpoznpodarou"/>
              <w:jc w:val="both"/>
              <w:rPr>
                <w:spacing w:val="-4"/>
              </w:rPr>
            </w:pPr>
          </w:p>
        </w:tc>
        <w:tc>
          <w:tcPr>
            <w:tcW w:w="7674" w:type="dxa"/>
            <w:shd w:val="clear" w:color="auto" w:fill="auto"/>
            <w:tcMar>
              <w:left w:w="0" w:type="dxa"/>
            </w:tcMar>
          </w:tcPr>
          <w:p w14:paraId="637FF770" w14:textId="2060D204" w:rsidR="0011055D" w:rsidRPr="00244FD4" w:rsidRDefault="0011055D" w:rsidP="00C07C2F">
            <w:pPr>
              <w:spacing w:after="220"/>
              <w:rPr>
                <w:color w:val="0D0D0D" w:themeColor="text1" w:themeTint="F2"/>
                <w:spacing w:val="-6"/>
              </w:rPr>
            </w:pPr>
            <w:r w:rsidRPr="00244FD4">
              <w:rPr>
                <w:color w:val="0D0D0D" w:themeColor="text1" w:themeTint="F2"/>
                <w:spacing w:val="-6"/>
              </w:rPr>
              <w:t xml:space="preserve">Z výběru DPH sice loni plynulo do SR meziročně o 5,8 % více, původně rozpočtovaná výše inkasa však opět nebyla naplněna (o 4,4 %, resp. 16,7 mld. korun). Během 1. pololetí růst výběru DPH vlivem odeznívající vysoké inflace slábl, mírné posílení inkasa ve 4. čtvrtletí (meziročně </w:t>
            </w:r>
            <w:r w:rsidR="00E82AB6">
              <w:rPr>
                <w:color w:val="0D0D0D" w:themeColor="text1" w:themeTint="F2"/>
                <w:spacing w:val="-6"/>
              </w:rPr>
              <w:t>+6,5 %) souviselo s lehkým</w:t>
            </w:r>
            <w:r w:rsidRPr="00244FD4">
              <w:rPr>
                <w:color w:val="0D0D0D" w:themeColor="text1" w:themeTint="F2"/>
                <w:spacing w:val="-6"/>
              </w:rPr>
              <w:t xml:space="preserve"> oživením spotřeby domácností</w:t>
            </w:r>
            <w:r w:rsidRPr="00244FD4">
              <w:rPr>
                <w:rStyle w:val="Znakapoznpodarou"/>
                <w:color w:val="0D0D0D" w:themeColor="text1" w:themeTint="F2"/>
                <w:spacing w:val="-6"/>
              </w:rPr>
              <w:footnoteReference w:id="12"/>
            </w:r>
            <w:r w:rsidRPr="00244FD4">
              <w:rPr>
                <w:color w:val="0D0D0D" w:themeColor="text1" w:themeTint="F2"/>
                <w:spacing w:val="-6"/>
              </w:rPr>
              <w:t>.</w:t>
            </w:r>
            <w:r w:rsidRPr="00244FD4">
              <w:rPr>
                <w:spacing w:val="-6"/>
              </w:rPr>
              <w:t xml:space="preserve"> Zvyšování výběru daně bylo po celý rok mírně tlumeno dopadem posunu limitu tržeb pro registraci DPH</w:t>
            </w:r>
            <w:r w:rsidRPr="00244FD4">
              <w:rPr>
                <w:rStyle w:val="Znakapoznpodarou"/>
                <w:spacing w:val="-6"/>
              </w:rPr>
              <w:footnoteReference w:id="13"/>
            </w:r>
            <w:r w:rsidRPr="00244FD4">
              <w:rPr>
                <w:spacing w:val="-6"/>
              </w:rPr>
              <w:t>.</w:t>
            </w:r>
          </w:p>
        </w:tc>
      </w:tr>
      <w:tr w:rsidR="0011055D" w:rsidRPr="007B3A78" w14:paraId="74299C39" w14:textId="77777777" w:rsidTr="00C07C2F">
        <w:trPr>
          <w:trHeight w:val="170"/>
        </w:trPr>
        <w:tc>
          <w:tcPr>
            <w:tcW w:w="1792" w:type="dxa"/>
            <w:shd w:val="clear" w:color="auto" w:fill="auto"/>
            <w:tcMar>
              <w:left w:w="0" w:type="dxa"/>
            </w:tcMar>
          </w:tcPr>
          <w:p w14:paraId="3F6E1711" w14:textId="77777777" w:rsidR="0011055D" w:rsidRDefault="0011055D" w:rsidP="00C07C2F">
            <w:pPr>
              <w:pStyle w:val="Marginlie"/>
              <w:rPr>
                <w:spacing w:val="-5"/>
              </w:rPr>
            </w:pPr>
            <w:r>
              <w:rPr>
                <w:spacing w:val="-5"/>
              </w:rPr>
              <w:t>Výběr spotřební daně se snížil a zůstával za rozpočtovým očekáváním.</w:t>
            </w:r>
          </w:p>
          <w:p w14:paraId="7D77AEF4" w14:textId="77777777" w:rsidR="0011055D" w:rsidRDefault="0011055D" w:rsidP="00C07C2F">
            <w:pPr>
              <w:pStyle w:val="Marginlie"/>
              <w:rPr>
                <w:spacing w:val="-5"/>
              </w:rPr>
            </w:pPr>
            <w:r>
              <w:rPr>
                <w:spacing w:val="-5"/>
              </w:rPr>
              <w:lastRenderedPageBreak/>
              <w:t>Inkaso daně z tabákových výrobků kleslo na osmileté minimum.</w:t>
            </w:r>
          </w:p>
          <w:p w14:paraId="737FC74A" w14:textId="77777777" w:rsidR="0011055D" w:rsidRDefault="0011055D" w:rsidP="00C07C2F">
            <w:pPr>
              <w:pStyle w:val="Marginlie"/>
              <w:rPr>
                <w:spacing w:val="-5"/>
              </w:rPr>
            </w:pPr>
          </w:p>
          <w:p w14:paraId="080D5D71" w14:textId="77777777" w:rsidR="0011055D" w:rsidRDefault="0011055D" w:rsidP="00C07C2F">
            <w:pPr>
              <w:pStyle w:val="Marginlie"/>
              <w:rPr>
                <w:spacing w:val="-5"/>
              </w:rPr>
            </w:pPr>
          </w:p>
          <w:p w14:paraId="03C67FC3" w14:textId="77777777" w:rsidR="0011055D" w:rsidRDefault="0011055D" w:rsidP="00C07C2F">
            <w:pPr>
              <w:pStyle w:val="Marginlie"/>
              <w:rPr>
                <w:spacing w:val="-5"/>
              </w:rPr>
            </w:pPr>
          </w:p>
          <w:p w14:paraId="712008CB" w14:textId="77777777" w:rsidR="0011055D" w:rsidRDefault="0011055D" w:rsidP="00C07C2F">
            <w:pPr>
              <w:pStyle w:val="Marginlie"/>
              <w:rPr>
                <w:spacing w:val="-5"/>
              </w:rPr>
            </w:pPr>
          </w:p>
          <w:p w14:paraId="74FE5359" w14:textId="77777777" w:rsidR="0011055D" w:rsidRDefault="0011055D" w:rsidP="00C07C2F">
            <w:pPr>
              <w:pStyle w:val="Marginlie"/>
              <w:rPr>
                <w:spacing w:val="-5"/>
              </w:rPr>
            </w:pPr>
            <w:r>
              <w:rPr>
                <w:spacing w:val="-5"/>
              </w:rPr>
              <w:t>Výběr daně z minerálních olejů díky zvýšení sazby u</w:t>
            </w:r>
            <w:r>
              <w:t> </w:t>
            </w:r>
            <w:r>
              <w:rPr>
                <w:spacing w:val="-5"/>
              </w:rPr>
              <w:t xml:space="preserve">motorové nafty vzrostl. </w:t>
            </w:r>
          </w:p>
          <w:p w14:paraId="5BD0640F" w14:textId="77777777" w:rsidR="0011055D" w:rsidRDefault="0011055D" w:rsidP="00C07C2F">
            <w:pPr>
              <w:pStyle w:val="Marginlie"/>
              <w:rPr>
                <w:spacing w:val="-5"/>
              </w:rPr>
            </w:pPr>
          </w:p>
        </w:tc>
        <w:tc>
          <w:tcPr>
            <w:tcW w:w="203" w:type="dxa"/>
            <w:shd w:val="clear" w:color="auto" w:fill="auto"/>
            <w:tcMar>
              <w:left w:w="0" w:type="dxa"/>
            </w:tcMar>
          </w:tcPr>
          <w:p w14:paraId="649B6E7C" w14:textId="77777777" w:rsidR="0011055D" w:rsidRDefault="0011055D" w:rsidP="00C07C2F">
            <w:pPr>
              <w:pStyle w:val="Textpoznpodarou"/>
              <w:jc w:val="both"/>
              <w:rPr>
                <w:spacing w:val="-4"/>
              </w:rPr>
            </w:pPr>
          </w:p>
        </w:tc>
        <w:tc>
          <w:tcPr>
            <w:tcW w:w="7674" w:type="dxa"/>
            <w:shd w:val="clear" w:color="auto" w:fill="auto"/>
            <w:tcMar>
              <w:left w:w="0" w:type="dxa"/>
            </w:tcMar>
          </w:tcPr>
          <w:p w14:paraId="39EA7F7C" w14:textId="77777777" w:rsidR="0011055D" w:rsidRPr="00244FD4" w:rsidRDefault="0011055D" w:rsidP="00C07C2F">
            <w:pPr>
              <w:spacing w:after="200"/>
              <w:rPr>
                <w:color w:val="0D0D0D" w:themeColor="text1" w:themeTint="F2"/>
                <w:spacing w:val="-6"/>
              </w:rPr>
            </w:pPr>
            <w:r w:rsidRPr="00244FD4">
              <w:rPr>
                <w:color w:val="0D0D0D" w:themeColor="text1" w:themeTint="F2"/>
                <w:spacing w:val="-6"/>
              </w:rPr>
              <w:t>Inkaso spotřební daně</w:t>
            </w:r>
            <w:r w:rsidRPr="00244FD4">
              <w:rPr>
                <w:rStyle w:val="Znakapoznpodarou"/>
                <w:color w:val="0D0D0D" w:themeColor="text1" w:themeTint="F2"/>
                <w:spacing w:val="-6"/>
              </w:rPr>
              <w:footnoteReference w:id="14"/>
            </w:r>
            <w:r w:rsidRPr="00244FD4">
              <w:rPr>
                <w:color w:val="0D0D0D" w:themeColor="text1" w:themeTint="F2"/>
                <w:spacing w:val="-6"/>
              </w:rPr>
              <w:t xml:space="preserve"> loni meziročně kleslo (−3,4 %) a za rozpočtovým očekáváním zaostávalo potřetí v řadě (naposledy o 5,8 %, 9,1 mld. korun). Projevil se slabý výběr daně z tabákových výrobků, jenž meziročně propadl o desetinu, na nejnižší úroveň za posledních </w:t>
            </w:r>
            <w:r w:rsidRPr="00244FD4">
              <w:rPr>
                <w:color w:val="0D0D0D" w:themeColor="text1" w:themeTint="F2"/>
                <w:spacing w:val="-6"/>
              </w:rPr>
              <w:lastRenderedPageBreak/>
              <w:t xml:space="preserve">osm let. </w:t>
            </w:r>
            <w:r w:rsidRPr="00244FD4">
              <w:rPr>
                <w:spacing w:val="-6"/>
              </w:rPr>
              <w:t>K tomu došlo i přes pokračující růst daňové sazby, neboť silnější vliv na inkaso měla změna nákupních preferencí obyvatel ČR (přesun spotřeby k alternativním, v tuzemsku méně zdaněným produktům</w:t>
            </w:r>
            <w:r w:rsidRPr="00244FD4">
              <w:rPr>
                <w:rStyle w:val="Znakapoznpodarou"/>
                <w:spacing w:val="-6"/>
              </w:rPr>
              <w:footnoteReference w:id="15"/>
            </w:r>
            <w:r w:rsidRPr="00244FD4">
              <w:rPr>
                <w:spacing w:val="-6"/>
              </w:rPr>
              <w:t>, zvýšení přeshraničních nákupů). U klíčové daně z minerálních olejů ale loni výběr vzrostl (+3 %) a poprvé za poslední tři roky naplnil rozpočtová očekávání. Pozitivně se projevil návrat sazby daně z motorové nafty na úroveň před vzplanutím energetické krize</w:t>
            </w:r>
            <w:r w:rsidRPr="00244FD4">
              <w:rPr>
                <w:rStyle w:val="Znakapoznpodarou"/>
                <w:color w:val="0D0D0D" w:themeColor="text1" w:themeTint="F2"/>
                <w:spacing w:val="-6"/>
              </w:rPr>
              <w:footnoteReference w:id="16"/>
            </w:r>
            <w:r w:rsidRPr="00244FD4">
              <w:rPr>
                <w:spacing w:val="-6"/>
              </w:rPr>
              <w:t>. Spotřeba většiny druhů ropných produktů v ČR loni rostla, u klíčové položky – motorové nafty – však kvůli slabší poptávce po nákladní dopravě jen mírně</w:t>
            </w:r>
            <w:r w:rsidRPr="00244FD4">
              <w:rPr>
                <w:rStyle w:val="Znakapoznpodarou"/>
                <w:spacing w:val="-6"/>
              </w:rPr>
              <w:footnoteReference w:id="17"/>
            </w:r>
            <w:r w:rsidRPr="00244FD4">
              <w:rPr>
                <w:spacing w:val="-6"/>
              </w:rPr>
              <w:t>. Vlivem omezení zbytných výdajů tuzemských domácností kleslo inkaso daně ze specifických komodit (líh, pivo, šumivé víno i meziprodukty). Úsporné chování domácností i firem vyústily v plošný pokles výběru všech energetických daní (nejvíce u pevných paliv).</w:t>
            </w:r>
          </w:p>
        </w:tc>
      </w:tr>
      <w:tr w:rsidR="0011055D" w:rsidRPr="00D541C0" w14:paraId="388DB6E4" w14:textId="77777777" w:rsidTr="00C07C2F">
        <w:trPr>
          <w:trHeight w:val="170"/>
        </w:trPr>
        <w:tc>
          <w:tcPr>
            <w:tcW w:w="1792" w:type="dxa"/>
            <w:shd w:val="clear" w:color="auto" w:fill="auto"/>
            <w:tcMar>
              <w:left w:w="0" w:type="dxa"/>
            </w:tcMar>
          </w:tcPr>
          <w:p w14:paraId="7B5B3149" w14:textId="77777777" w:rsidR="0011055D" w:rsidRDefault="0011055D" w:rsidP="00C07C2F">
            <w:pPr>
              <w:pStyle w:val="Marginlie"/>
              <w:rPr>
                <w:spacing w:val="-5"/>
              </w:rPr>
            </w:pPr>
            <w:r>
              <w:rPr>
                <w:spacing w:val="-5"/>
              </w:rPr>
              <w:lastRenderedPageBreak/>
              <w:t>Nedaňové a kapitálové příjmy svižně rostly díky prostředkům z EU i</w:t>
            </w:r>
            <w:r>
              <w:t> </w:t>
            </w:r>
            <w:r>
              <w:rPr>
                <w:spacing w:val="-5"/>
              </w:rPr>
              <w:t>převodům z podniků s účastí státu.</w:t>
            </w:r>
          </w:p>
        </w:tc>
        <w:tc>
          <w:tcPr>
            <w:tcW w:w="203" w:type="dxa"/>
            <w:shd w:val="clear" w:color="auto" w:fill="auto"/>
            <w:tcMar>
              <w:left w:w="0" w:type="dxa"/>
            </w:tcMar>
          </w:tcPr>
          <w:p w14:paraId="747EC403" w14:textId="77777777" w:rsidR="0011055D" w:rsidRDefault="0011055D" w:rsidP="00C07C2F">
            <w:pPr>
              <w:pStyle w:val="Textpoznpodarou"/>
              <w:jc w:val="both"/>
              <w:rPr>
                <w:spacing w:val="-4"/>
              </w:rPr>
            </w:pPr>
          </w:p>
        </w:tc>
        <w:tc>
          <w:tcPr>
            <w:tcW w:w="7674" w:type="dxa"/>
            <w:shd w:val="clear" w:color="auto" w:fill="auto"/>
            <w:tcMar>
              <w:left w:w="0" w:type="dxa"/>
            </w:tcMar>
          </w:tcPr>
          <w:p w14:paraId="3E32A917" w14:textId="77777777" w:rsidR="0011055D" w:rsidRPr="00244FD4" w:rsidRDefault="0011055D" w:rsidP="00C07C2F">
            <w:pPr>
              <w:spacing w:after="220"/>
              <w:rPr>
                <w:spacing w:val="-6"/>
              </w:rPr>
            </w:pPr>
            <w:r w:rsidRPr="00244FD4">
              <w:rPr>
                <w:color w:val="0D0D0D" w:themeColor="text1" w:themeTint="F2"/>
                <w:spacing w:val="-6"/>
              </w:rPr>
              <w:t xml:space="preserve">Nedaňové a kapitálové příjmy se za loňský rok zvýšily téměř o polovinu, přesto však </w:t>
            </w:r>
            <w:r w:rsidRPr="00244FD4">
              <w:rPr>
                <w:color w:val="0D0D0D" w:themeColor="text1" w:themeTint="F2"/>
                <w:spacing w:val="-6"/>
              </w:rPr>
              <w:br/>
              <w:t>z důvodu slabšího výnosu z emisních povolenek zaostaly o desetinu za plánovanou výší. Na meziročním růstu se nejvíc podílely dividendy a další převody prostředků ze státních podniků (+30,6 mld. korun) a též příjmy z rozpočtu EU výrazně navýšené o přijaté platby z</w:t>
            </w:r>
            <w:r w:rsidRPr="00244FD4">
              <w:rPr>
                <w:spacing w:val="-6"/>
              </w:rPr>
              <w:t> </w:t>
            </w:r>
            <w:r w:rsidRPr="00244FD4">
              <w:rPr>
                <w:color w:val="0D0D0D" w:themeColor="text1" w:themeTint="F2"/>
                <w:spacing w:val="-6"/>
              </w:rPr>
              <w:t>Národního plánu obnovy (primárně do oblasti dopravy a životního prostředí). Čistá pozice ČR vůči rozpočtu EU činila loni +49,9 mld. korun a meziročně se mírně snížila (−7 %)</w:t>
            </w:r>
            <w:r w:rsidRPr="00244FD4">
              <w:rPr>
                <w:rStyle w:val="Znakapoznpodarou"/>
                <w:color w:val="0D0D0D" w:themeColor="text1" w:themeTint="F2"/>
                <w:spacing w:val="-6"/>
              </w:rPr>
              <w:footnoteReference w:id="18"/>
            </w:r>
            <w:r w:rsidRPr="00244FD4">
              <w:rPr>
                <w:color w:val="0D0D0D" w:themeColor="text1" w:themeTint="F2"/>
                <w:spacing w:val="-6"/>
              </w:rPr>
              <w:t xml:space="preserve">, zčásti i vlivem dlouhodobě mírně rostoucích odvodů ČR do rozpočtu EU. Po započtení příjmů v rámci </w:t>
            </w:r>
            <w:r w:rsidRPr="00244FD4">
              <w:rPr>
                <w:iCs/>
                <w:color w:val="0D0D0D" w:themeColor="text1" w:themeTint="F2"/>
                <w:spacing w:val="-6"/>
              </w:rPr>
              <w:t>Národního plánu obnovy se však kladné saldo ČR takřka zdvojnásobilo (89,5 mld. korun) a</w:t>
            </w:r>
            <w:r>
              <w:rPr>
                <w:iCs/>
                <w:color w:val="0D0D0D" w:themeColor="text1" w:themeTint="F2"/>
                <w:spacing w:val="-6"/>
              </w:rPr>
              <w:t> </w:t>
            </w:r>
            <w:r w:rsidRPr="00244FD4">
              <w:rPr>
                <w:iCs/>
                <w:color w:val="0D0D0D" w:themeColor="text1" w:themeTint="F2"/>
                <w:spacing w:val="-6"/>
              </w:rPr>
              <w:t>vůči roku 2022 posílilo o 25,2 mld.</w:t>
            </w:r>
          </w:p>
        </w:tc>
      </w:tr>
      <w:tr w:rsidR="0011055D" w:rsidRPr="007B3A78" w14:paraId="354D0690" w14:textId="77777777" w:rsidTr="00C07C2F">
        <w:trPr>
          <w:trHeight w:val="170"/>
        </w:trPr>
        <w:tc>
          <w:tcPr>
            <w:tcW w:w="1792" w:type="dxa"/>
            <w:shd w:val="clear" w:color="auto" w:fill="auto"/>
            <w:tcMar>
              <w:left w:w="0" w:type="dxa"/>
            </w:tcMar>
          </w:tcPr>
          <w:p w14:paraId="2FAE1302" w14:textId="77777777" w:rsidR="0011055D" w:rsidRDefault="0011055D" w:rsidP="00C07C2F">
            <w:pPr>
              <w:pStyle w:val="Marginlie"/>
            </w:pPr>
            <w:r>
              <w:t xml:space="preserve">Růst celkových výdajů SR loni oproti předešlým letům zásadně zrychlil, ve 2. pololetí 2023 však meziroční tempo zvolňovalo. </w:t>
            </w:r>
          </w:p>
        </w:tc>
        <w:tc>
          <w:tcPr>
            <w:tcW w:w="203" w:type="dxa"/>
            <w:shd w:val="clear" w:color="auto" w:fill="auto"/>
            <w:tcMar>
              <w:left w:w="0" w:type="dxa"/>
            </w:tcMar>
          </w:tcPr>
          <w:p w14:paraId="441C06D2" w14:textId="77777777" w:rsidR="0011055D" w:rsidRDefault="0011055D" w:rsidP="00C07C2F">
            <w:pPr>
              <w:pStyle w:val="Textpoznpodarou"/>
              <w:jc w:val="both"/>
              <w:rPr>
                <w:spacing w:val="-4"/>
              </w:rPr>
            </w:pPr>
          </w:p>
        </w:tc>
        <w:tc>
          <w:tcPr>
            <w:tcW w:w="7674" w:type="dxa"/>
            <w:shd w:val="clear" w:color="auto" w:fill="auto"/>
            <w:tcMar>
              <w:left w:w="0" w:type="dxa"/>
            </w:tcMar>
          </w:tcPr>
          <w:p w14:paraId="023E90FE" w14:textId="6378CF36" w:rsidR="0011055D" w:rsidRPr="00244FD4" w:rsidRDefault="0011055D" w:rsidP="00C07C2F">
            <w:pPr>
              <w:spacing w:after="220"/>
              <w:rPr>
                <w:color w:val="0D0D0D" w:themeColor="text1" w:themeTint="F2"/>
                <w:spacing w:val="-6"/>
              </w:rPr>
            </w:pPr>
            <w:r w:rsidRPr="00244FD4">
              <w:rPr>
                <w:color w:val="0D0D0D" w:themeColor="text1" w:themeTint="F2"/>
                <w:spacing w:val="-6"/>
              </w:rPr>
              <w:t xml:space="preserve">Meziroční růst celkových výdajů SR vystoupal loni na 11,0 % a ve srovnání s lety 2021 a 2022 výrazně akceleroval. Vlivem zvolnění tempa valorizace důchodů i nižší potřeby pomoci podnikům i domácnostem (umožněné příznivým vývojem cen energií na světových trzích) tempo růstu celkových výdajů SR ve 2. pololetí 2023 sláblo a jejich celoroční výše tak byla oproti plánovanému rozpočtu mírně nižší (o 2,2 %, </w:t>
            </w:r>
            <w:r w:rsidR="00E82AB6">
              <w:rPr>
                <w:color w:val="0D0D0D" w:themeColor="text1" w:themeTint="F2"/>
                <w:spacing w:val="-6"/>
              </w:rPr>
              <w:t>resp. 48,5 mld. korun). V siln</w:t>
            </w:r>
            <w:r w:rsidRPr="00244FD4">
              <w:rPr>
                <w:color w:val="0D0D0D" w:themeColor="text1" w:themeTint="F2"/>
                <w:spacing w:val="-6"/>
              </w:rPr>
              <w:t xml:space="preserve">ém loňském růstu výdajů </w:t>
            </w:r>
            <w:r w:rsidRPr="00244FD4">
              <w:rPr>
                <w:spacing w:val="-6"/>
              </w:rPr>
              <w:t>se odrážela jak pomoc státu související s vysokými cenami energií (nedostatečně kompenzovaná mimořádnými příjmy ze zdanění vybraných sektorů ekonomiky), tak dopady pozvolna doznívající vysoké inflace (valorizace důchodů, vyšší objem vyplacených sociálních dávek, rostoucí splátky státního dluhu) či vyšší výdaje v přímém důsledku války na Ukrajině (humanitární pomoc, výdaje na obranu a bezpečnost). Ačkoli k fiskální expanzi přispěly loni tradičně zejména běžné výdaje (+192,4 mld. korun), stejně jako v předchozích letech hrály nezanedbatelnou roli i vyšší investice (+25,4 mld.).</w:t>
            </w:r>
          </w:p>
        </w:tc>
      </w:tr>
      <w:tr w:rsidR="0011055D" w:rsidRPr="007B3A78" w14:paraId="2F1099F1" w14:textId="77777777" w:rsidTr="00C07C2F">
        <w:trPr>
          <w:trHeight w:val="170"/>
        </w:trPr>
        <w:tc>
          <w:tcPr>
            <w:tcW w:w="1792" w:type="dxa"/>
            <w:shd w:val="clear" w:color="auto" w:fill="auto"/>
            <w:tcMar>
              <w:left w:w="0" w:type="dxa"/>
            </w:tcMar>
          </w:tcPr>
          <w:p w14:paraId="6701952F" w14:textId="77777777" w:rsidR="0011055D" w:rsidRDefault="0011055D" w:rsidP="00C07C2F">
            <w:pPr>
              <w:pStyle w:val="Marginlie"/>
            </w:pPr>
            <w:r>
              <w:t xml:space="preserve">Navzdory úpravě valorizace přispěly loni k fiskální expanzi nejvíce výdaje na důchody. Saldo důchodového pojištění se prohloubilo na rekordních 73 mld. korun. </w:t>
            </w:r>
          </w:p>
        </w:tc>
        <w:tc>
          <w:tcPr>
            <w:tcW w:w="203" w:type="dxa"/>
            <w:shd w:val="clear" w:color="auto" w:fill="auto"/>
            <w:tcMar>
              <w:left w:w="0" w:type="dxa"/>
            </w:tcMar>
          </w:tcPr>
          <w:p w14:paraId="42C518DF" w14:textId="77777777" w:rsidR="0011055D" w:rsidRDefault="0011055D" w:rsidP="00C07C2F">
            <w:pPr>
              <w:pStyle w:val="Textpoznpodarou"/>
              <w:jc w:val="both"/>
              <w:rPr>
                <w:spacing w:val="-4"/>
              </w:rPr>
            </w:pPr>
          </w:p>
        </w:tc>
        <w:tc>
          <w:tcPr>
            <w:tcW w:w="7674" w:type="dxa"/>
            <w:shd w:val="clear" w:color="auto" w:fill="auto"/>
            <w:tcMar>
              <w:left w:w="0" w:type="dxa"/>
            </w:tcMar>
          </w:tcPr>
          <w:p w14:paraId="1E57F2F6" w14:textId="77777777" w:rsidR="0011055D" w:rsidRPr="00244FD4" w:rsidRDefault="0011055D" w:rsidP="00C07C2F">
            <w:pPr>
              <w:spacing w:after="220"/>
              <w:rPr>
                <w:color w:val="0D0D0D" w:themeColor="text1" w:themeTint="F2"/>
                <w:spacing w:val="-6"/>
              </w:rPr>
            </w:pPr>
            <w:r w:rsidRPr="00244FD4">
              <w:rPr>
                <w:color w:val="0D0D0D" w:themeColor="text1" w:themeTint="F2"/>
                <w:spacing w:val="-6"/>
              </w:rPr>
              <w:t xml:space="preserve">Do loňského meziročního růstu běžných výdajů zásadně promluvily sociální dávky </w:t>
            </w:r>
            <w:r w:rsidRPr="00244FD4">
              <w:rPr>
                <w:color w:val="0D0D0D" w:themeColor="text1" w:themeTint="F2"/>
                <w:spacing w:val="-6"/>
              </w:rPr>
              <w:br/>
              <w:t xml:space="preserve">(+100 mld. korun). </w:t>
            </w:r>
            <w:r w:rsidRPr="00244FD4">
              <w:rPr>
                <w:spacing w:val="-6"/>
              </w:rPr>
              <w:t>Jejich podíl na veškerých výdajích SR byl nejvyšší za poslední pětiletí (39,4</w:t>
            </w:r>
            <w:r>
              <w:rPr>
                <w:spacing w:val="-6"/>
              </w:rPr>
              <w:t> </w:t>
            </w:r>
            <w:r w:rsidRPr="00244FD4">
              <w:rPr>
                <w:spacing w:val="-6"/>
              </w:rPr>
              <w:t xml:space="preserve">%). Takřka veškerý růst u sociálních dávek pokryly vyšší </w:t>
            </w:r>
            <w:r w:rsidRPr="00244FD4">
              <w:rPr>
                <w:color w:val="0D0D0D" w:themeColor="text1" w:themeTint="F2"/>
                <w:spacing w:val="-6"/>
              </w:rPr>
              <w:t xml:space="preserve">výdaje na důchody, jež </w:t>
            </w:r>
            <w:r w:rsidRPr="00244FD4">
              <w:rPr>
                <w:spacing w:val="-6"/>
              </w:rPr>
              <w:t>dosáhly 685,2 mld. korun (+16,5 %). Jejich čerpání bylo, podobně jako v roce 2022, zásadně ovlivněno jak řádnou lednovou valorizací, tak mimořádným navýšením během roku</w:t>
            </w:r>
            <w:r w:rsidRPr="00244FD4">
              <w:rPr>
                <w:rStyle w:val="Znakapoznpodarou"/>
                <w:spacing w:val="-6"/>
              </w:rPr>
              <w:footnoteReference w:id="19"/>
            </w:r>
            <w:r w:rsidRPr="00244FD4">
              <w:rPr>
                <w:spacing w:val="-6"/>
              </w:rPr>
              <w:t xml:space="preserve">. Vlivem výrazně vyššího zájmu </w:t>
            </w:r>
            <w:r w:rsidRPr="00244FD4">
              <w:rPr>
                <w:color w:val="0D0D0D" w:themeColor="text1" w:themeTint="F2"/>
                <w:spacing w:val="-6"/>
              </w:rPr>
              <w:t>o předčasné penze</w:t>
            </w:r>
            <w:r w:rsidRPr="00244FD4">
              <w:rPr>
                <w:rStyle w:val="Znakapoznpodarou"/>
                <w:color w:val="0D0D0D" w:themeColor="text1" w:themeTint="F2"/>
                <w:spacing w:val="-6"/>
              </w:rPr>
              <w:footnoteReference w:id="20"/>
            </w:r>
            <w:r w:rsidRPr="00244FD4">
              <w:rPr>
                <w:color w:val="0D0D0D" w:themeColor="text1" w:themeTint="F2"/>
                <w:spacing w:val="-6"/>
              </w:rPr>
              <w:t xml:space="preserve"> se zastavil více než tři roky trvající pokles počtu osob, jež jsou příjemci některého z důchodů.</w:t>
            </w:r>
            <w:r w:rsidRPr="00244FD4">
              <w:rPr>
                <w:spacing w:val="-6"/>
              </w:rPr>
              <w:t xml:space="preserve"> Ačkoli stále dobrá kondice tuzemského trhu práce podporovala svižný růst příjmů </w:t>
            </w:r>
            <w:r w:rsidRPr="00244FD4">
              <w:rPr>
                <w:rFonts w:cs="Arial"/>
                <w:color w:val="0D0D0D" w:themeColor="text1" w:themeTint="F2"/>
                <w:spacing w:val="-6"/>
              </w:rPr>
              <w:t xml:space="preserve">důchodového pojištění, jeho meziroční tempo nebylo loni oproti </w:t>
            </w:r>
            <w:r w:rsidRPr="00244FD4">
              <w:rPr>
                <w:rFonts w:cs="Arial"/>
                <w:color w:val="0D0D0D" w:themeColor="text1" w:themeTint="F2"/>
                <w:spacing w:val="-6"/>
              </w:rPr>
              <w:lastRenderedPageBreak/>
              <w:t>výdajům na důchody ani poloviční. Saldo systému důchodového pojištění</w:t>
            </w:r>
            <w:r w:rsidRPr="00244FD4">
              <w:rPr>
                <w:rStyle w:val="Znakapoznpodarou"/>
                <w:color w:val="0D0D0D" w:themeColor="text1" w:themeTint="F2"/>
                <w:spacing w:val="-6"/>
              </w:rPr>
              <w:footnoteReference w:id="21"/>
            </w:r>
            <w:r w:rsidRPr="00244FD4">
              <w:rPr>
                <w:rFonts w:cs="Arial"/>
                <w:color w:val="0D0D0D" w:themeColor="text1" w:themeTint="F2"/>
                <w:spacing w:val="-6"/>
              </w:rPr>
              <w:t xml:space="preserve"> se proto loni propadlo do rekordního deficitu (72,8 mld. korun), meziročně více než trojnásobného.</w:t>
            </w:r>
          </w:p>
        </w:tc>
      </w:tr>
      <w:tr w:rsidR="0011055D" w:rsidRPr="007B3A78" w14:paraId="17FF59B8" w14:textId="77777777" w:rsidTr="00C07C2F">
        <w:trPr>
          <w:trHeight w:val="170"/>
        </w:trPr>
        <w:tc>
          <w:tcPr>
            <w:tcW w:w="1792" w:type="dxa"/>
            <w:shd w:val="clear" w:color="auto" w:fill="auto"/>
            <w:tcMar>
              <w:left w:w="0" w:type="dxa"/>
            </w:tcMar>
          </w:tcPr>
          <w:p w14:paraId="2AEE6C79" w14:textId="77777777" w:rsidR="0011055D" w:rsidRDefault="0011055D" w:rsidP="00C07C2F">
            <w:pPr>
              <w:pStyle w:val="Marginlie"/>
            </w:pPr>
            <w:r>
              <w:lastRenderedPageBreak/>
              <w:t>Růst výdajů na nedůchodové sociální dávky zpomalil. Klesly výdaje na přídavky na děti, humanitární dávky uprchlíkům, rodičovské příspěvky i dávky nemocenské.</w:t>
            </w:r>
          </w:p>
          <w:p w14:paraId="17C42118" w14:textId="77777777" w:rsidR="0011055D" w:rsidRDefault="0011055D" w:rsidP="00C07C2F">
            <w:pPr>
              <w:pStyle w:val="Marginlie"/>
            </w:pPr>
          </w:p>
          <w:p w14:paraId="5A3665F7" w14:textId="77777777" w:rsidR="0011055D" w:rsidRDefault="0011055D" w:rsidP="00C07C2F">
            <w:pPr>
              <w:pStyle w:val="Marginlie"/>
            </w:pPr>
          </w:p>
          <w:p w14:paraId="73F2A32C" w14:textId="77777777" w:rsidR="0011055D" w:rsidRDefault="0011055D" w:rsidP="00C07C2F">
            <w:pPr>
              <w:pStyle w:val="Marginlie"/>
            </w:pPr>
          </w:p>
          <w:p w14:paraId="3E6AC526" w14:textId="77777777" w:rsidR="0011055D" w:rsidRDefault="0011055D" w:rsidP="00C07C2F">
            <w:pPr>
              <w:pStyle w:val="Marginlie"/>
            </w:pPr>
          </w:p>
          <w:p w14:paraId="211A0784" w14:textId="77777777" w:rsidR="0011055D" w:rsidRDefault="0011055D" w:rsidP="00C07C2F">
            <w:pPr>
              <w:pStyle w:val="Marginlie"/>
            </w:pPr>
            <w:r>
              <w:t>Čerpání příspěvků na bydlení se razantně zvýšilo.</w:t>
            </w:r>
          </w:p>
        </w:tc>
        <w:tc>
          <w:tcPr>
            <w:tcW w:w="203" w:type="dxa"/>
            <w:shd w:val="clear" w:color="auto" w:fill="auto"/>
            <w:tcMar>
              <w:left w:w="0" w:type="dxa"/>
            </w:tcMar>
          </w:tcPr>
          <w:p w14:paraId="7E9F1C14" w14:textId="77777777" w:rsidR="0011055D" w:rsidRDefault="0011055D" w:rsidP="00C07C2F">
            <w:pPr>
              <w:pStyle w:val="Textpoznpodarou"/>
              <w:jc w:val="both"/>
              <w:rPr>
                <w:spacing w:val="-4"/>
              </w:rPr>
            </w:pPr>
          </w:p>
        </w:tc>
        <w:tc>
          <w:tcPr>
            <w:tcW w:w="7674" w:type="dxa"/>
            <w:shd w:val="clear" w:color="auto" w:fill="auto"/>
            <w:tcMar>
              <w:left w:w="0" w:type="dxa"/>
            </w:tcMar>
          </w:tcPr>
          <w:p w14:paraId="39053642" w14:textId="77777777" w:rsidR="0011055D" w:rsidRPr="00244FD4" w:rsidRDefault="0011055D" w:rsidP="00C07C2F">
            <w:pPr>
              <w:spacing w:after="220"/>
              <w:rPr>
                <w:color w:val="0D0D0D" w:themeColor="text1" w:themeTint="F2"/>
                <w:spacing w:val="-6"/>
              </w:rPr>
            </w:pPr>
            <w:r w:rsidRPr="00244FD4">
              <w:rPr>
                <w:color w:val="0D0D0D" w:themeColor="text1" w:themeTint="F2"/>
                <w:spacing w:val="-6"/>
              </w:rPr>
              <w:t>Růst výdajů na ostatní sociální dávky, na rozdíl od těch důchodových, po vysokém tempu v roce 2022 (+11,2 %) loni razantně zvolnil (+1,7 %, na 182,9 mld. korun), dokonce až nad rámec rozpočtového očekávání. Na zvolnění tempa se významně podílel meziroční pokles přídavků na děti (−4,8 mld. korun, resp. −45 %) z důvodu vyplacení jednorázové dávky většině domácností s dětmi během léta 2022 (5 tis. na dítě). Zejména vlivem většího zacílení</w:t>
            </w:r>
            <w:r w:rsidRPr="00244FD4">
              <w:rPr>
                <w:rStyle w:val="Znakapoznpodarou"/>
                <w:color w:val="0D0D0D" w:themeColor="text1" w:themeTint="F2"/>
                <w:spacing w:val="-6"/>
              </w:rPr>
              <w:footnoteReference w:id="22"/>
            </w:r>
            <w:r w:rsidRPr="00244FD4">
              <w:rPr>
                <w:color w:val="0D0D0D" w:themeColor="text1" w:themeTint="F2"/>
                <w:spacing w:val="-6"/>
              </w:rPr>
              <w:t xml:space="preserve"> se snížil objem humanitárních dávek </w:t>
            </w:r>
            <w:r w:rsidRPr="00244FD4">
              <w:rPr>
                <w:spacing w:val="-6"/>
              </w:rPr>
              <w:t xml:space="preserve">pro </w:t>
            </w:r>
            <w:r w:rsidRPr="00244FD4">
              <w:rPr>
                <w:rFonts w:cs="Arial"/>
                <w:color w:val="0D0D0D" w:themeColor="text1" w:themeTint="F2"/>
                <w:spacing w:val="-6"/>
              </w:rPr>
              <w:t>uprchlíky z Ukrajiny (−20 %, −1,7 mld. korun). Třetí rok v řadě došlo k nižšímu čerpání váhově významných rodičovských příspěvků (loni −5,7 %, −1,9</w:t>
            </w:r>
            <w:r>
              <w:rPr>
                <w:rFonts w:cs="Arial"/>
                <w:color w:val="0D0D0D" w:themeColor="text1" w:themeTint="F2"/>
                <w:spacing w:val="-6"/>
              </w:rPr>
              <w:t> </w:t>
            </w:r>
            <w:r w:rsidRPr="00244FD4">
              <w:rPr>
                <w:rFonts w:cs="Arial"/>
                <w:color w:val="0D0D0D" w:themeColor="text1" w:themeTint="F2"/>
                <w:spacing w:val="-6"/>
              </w:rPr>
              <w:t>mld. korun). Podobně dlouze trvá i pokles výdajů na dávky nemocenského pojištění (−4,6</w:t>
            </w:r>
            <w:r>
              <w:rPr>
                <w:rFonts w:cs="Arial"/>
                <w:color w:val="0D0D0D" w:themeColor="text1" w:themeTint="F2"/>
                <w:spacing w:val="-6"/>
              </w:rPr>
              <w:t> </w:t>
            </w:r>
            <w:r w:rsidRPr="00244FD4">
              <w:rPr>
                <w:rFonts w:cs="Arial"/>
                <w:color w:val="0D0D0D" w:themeColor="text1" w:themeTint="F2"/>
                <w:spacing w:val="-6"/>
              </w:rPr>
              <w:t>%), i tak se jejich loňská výše (45,9 mld. korun</w:t>
            </w:r>
            <w:r w:rsidRPr="00244FD4">
              <w:rPr>
                <w:rStyle w:val="Znakapoznpodarou"/>
                <w:color w:val="0D0D0D" w:themeColor="text1" w:themeTint="F2"/>
                <w:spacing w:val="-6"/>
              </w:rPr>
              <w:footnoteReference w:id="23"/>
            </w:r>
            <w:r w:rsidRPr="00244FD4">
              <w:rPr>
                <w:rFonts w:cs="Arial"/>
                <w:color w:val="0D0D0D" w:themeColor="text1" w:themeTint="F2"/>
                <w:spacing w:val="-6"/>
              </w:rPr>
              <w:t xml:space="preserve">) nacházela zřetelně nad úrovní roku 2019 (+17 %). Ve směru růstu nedůchodových dávek působily loni nejvíce příspěvky na bydlení, jejichž objem se meziročně více než zdvojnásobil (na 17,9 mld. korun). Projevil se zde dopad </w:t>
            </w:r>
            <w:r w:rsidRPr="00244FD4">
              <w:rPr>
                <w:color w:val="0D0D0D" w:themeColor="text1" w:themeTint="F2"/>
                <w:spacing w:val="-6"/>
              </w:rPr>
              <w:t xml:space="preserve">vysokých cen energií a </w:t>
            </w:r>
            <w:r w:rsidRPr="00244FD4">
              <w:rPr>
                <w:spacing w:val="-6"/>
              </w:rPr>
              <w:t>zvýšení nákladů uznatelných pro výplatu, ale i růstu povědomí o</w:t>
            </w:r>
            <w:r w:rsidRPr="00244FD4">
              <w:rPr>
                <w:color w:val="0D0D0D" w:themeColor="text1" w:themeTint="F2"/>
                <w:spacing w:val="-6"/>
              </w:rPr>
              <w:t> </w:t>
            </w:r>
            <w:r w:rsidRPr="00244FD4">
              <w:rPr>
                <w:spacing w:val="-6"/>
              </w:rPr>
              <w:t>možnosti čerpání této pomoci v populaci, či zjednodušení procedury podání žádosti o</w:t>
            </w:r>
            <w:r w:rsidRPr="00244FD4">
              <w:rPr>
                <w:color w:val="0D0D0D" w:themeColor="text1" w:themeTint="F2"/>
                <w:spacing w:val="-6"/>
              </w:rPr>
              <w:t> </w:t>
            </w:r>
            <w:r w:rsidRPr="00244FD4">
              <w:rPr>
                <w:spacing w:val="-6"/>
              </w:rPr>
              <w:t xml:space="preserve">dávku. Řádově menší vliv na celkový růst dávek měl vyšší </w:t>
            </w:r>
            <w:r w:rsidRPr="00244FD4">
              <w:rPr>
                <w:color w:val="0D0D0D" w:themeColor="text1" w:themeTint="F2"/>
                <w:spacing w:val="-6"/>
              </w:rPr>
              <w:t xml:space="preserve">objem dávek </w:t>
            </w:r>
            <w:r w:rsidRPr="00244FD4">
              <w:rPr>
                <w:rFonts w:cs="Arial"/>
                <w:color w:val="0D0D0D" w:themeColor="text1" w:themeTint="F2"/>
                <w:spacing w:val="-6"/>
              </w:rPr>
              <w:t>pro zdravotně postižené (+40,9 %)</w:t>
            </w:r>
            <w:r w:rsidRPr="00244FD4">
              <w:rPr>
                <w:rStyle w:val="Znakapoznpodarou"/>
                <w:color w:val="0D0D0D" w:themeColor="text1" w:themeTint="F2"/>
                <w:spacing w:val="-6"/>
              </w:rPr>
              <w:footnoteReference w:id="24"/>
            </w:r>
            <w:r w:rsidRPr="00244FD4">
              <w:rPr>
                <w:rFonts w:cs="Arial"/>
                <w:color w:val="0D0D0D" w:themeColor="text1" w:themeTint="F2"/>
                <w:spacing w:val="-6"/>
              </w:rPr>
              <w:t>, příspěvků na péči pro dlouhodobě nemocné</w:t>
            </w:r>
            <w:r w:rsidRPr="00244FD4">
              <w:rPr>
                <w:spacing w:val="-6"/>
              </w:rPr>
              <w:t xml:space="preserve"> (+2,2 %) či r</w:t>
            </w:r>
            <w:r w:rsidRPr="00244FD4">
              <w:rPr>
                <w:rFonts w:cs="Arial"/>
                <w:color w:val="0D0D0D" w:themeColor="text1" w:themeTint="F2"/>
                <w:spacing w:val="-6"/>
              </w:rPr>
              <w:t>ůst výdajů na podporu v nezaměstnanosti (+6,2 %)</w:t>
            </w:r>
            <w:r w:rsidRPr="00244FD4">
              <w:rPr>
                <w:rStyle w:val="Znakapoznpodarou"/>
                <w:color w:val="0D0D0D" w:themeColor="text1" w:themeTint="F2"/>
                <w:spacing w:val="-6"/>
              </w:rPr>
              <w:footnoteReference w:id="25"/>
            </w:r>
            <w:r w:rsidRPr="00244FD4">
              <w:rPr>
                <w:rFonts w:cs="Arial"/>
                <w:color w:val="0D0D0D" w:themeColor="text1" w:themeTint="F2"/>
                <w:spacing w:val="-6"/>
              </w:rPr>
              <w:t xml:space="preserve">, jenž se loni po dvou předešlých letech obnovil. Ochlazení trhu práce se odrazilo v mírném růstu počtu dlouhodobě nezaměstnaných, což podpořilo i vyšší čerpání příspěvků na živobytí (+16 %, +0,6 mld. korun).   </w:t>
            </w:r>
          </w:p>
        </w:tc>
      </w:tr>
      <w:tr w:rsidR="0011055D" w:rsidRPr="007B3A78" w14:paraId="2A102030" w14:textId="77777777" w:rsidTr="00C07C2F">
        <w:trPr>
          <w:trHeight w:val="170"/>
        </w:trPr>
        <w:tc>
          <w:tcPr>
            <w:tcW w:w="1792" w:type="dxa"/>
            <w:shd w:val="clear" w:color="auto" w:fill="auto"/>
            <w:tcMar>
              <w:left w:w="0" w:type="dxa"/>
            </w:tcMar>
          </w:tcPr>
          <w:p w14:paraId="3A21B638" w14:textId="77777777" w:rsidR="0011055D" w:rsidRDefault="0011055D" w:rsidP="00C07C2F">
            <w:pPr>
              <w:pStyle w:val="Marginlie"/>
            </w:pPr>
            <w:r>
              <w:t>Prudký růst neinvestičních dotací podnikatelům úzce souvisel se zastropováním cen energií pro zákazníky.</w:t>
            </w:r>
          </w:p>
          <w:p w14:paraId="3A585C09" w14:textId="77777777" w:rsidR="0011055D" w:rsidRDefault="0011055D" w:rsidP="00C07C2F">
            <w:pPr>
              <w:pStyle w:val="Marginlie"/>
            </w:pPr>
          </w:p>
        </w:tc>
        <w:tc>
          <w:tcPr>
            <w:tcW w:w="203" w:type="dxa"/>
            <w:shd w:val="clear" w:color="auto" w:fill="auto"/>
            <w:tcMar>
              <w:left w:w="0" w:type="dxa"/>
            </w:tcMar>
          </w:tcPr>
          <w:p w14:paraId="6ACF8901" w14:textId="77777777" w:rsidR="0011055D" w:rsidRDefault="0011055D" w:rsidP="00C07C2F">
            <w:pPr>
              <w:pStyle w:val="Textpoznpodarou"/>
              <w:jc w:val="both"/>
              <w:rPr>
                <w:spacing w:val="-4"/>
              </w:rPr>
            </w:pPr>
          </w:p>
        </w:tc>
        <w:tc>
          <w:tcPr>
            <w:tcW w:w="7674" w:type="dxa"/>
            <w:shd w:val="clear" w:color="auto" w:fill="auto"/>
            <w:tcMar>
              <w:left w:w="0" w:type="dxa"/>
            </w:tcMar>
          </w:tcPr>
          <w:p w14:paraId="36C7CCFF" w14:textId="77777777" w:rsidR="0011055D" w:rsidRPr="00244FD4" w:rsidRDefault="0011055D" w:rsidP="00C07C2F">
            <w:pPr>
              <w:spacing w:after="200"/>
              <w:rPr>
                <w:color w:val="0D0D0D" w:themeColor="text1" w:themeTint="F2"/>
                <w:spacing w:val="-6"/>
              </w:rPr>
            </w:pPr>
            <w:r w:rsidRPr="00244FD4">
              <w:rPr>
                <w:color w:val="0D0D0D" w:themeColor="text1" w:themeTint="F2"/>
                <w:spacing w:val="-6"/>
              </w:rPr>
              <w:t>Neinvestiční dotace podnikatelům představovaly loni dle očekávání nejrychleji rostoucí běžný výdaj SR, když se meziročně zvýšily o 54,6 % a dosáhly 137,8 mld. korun</w:t>
            </w:r>
            <w:r w:rsidRPr="00244FD4">
              <w:rPr>
                <w:rStyle w:val="Znakapoznpodarou"/>
                <w:color w:val="0D0D0D" w:themeColor="text1" w:themeTint="F2"/>
                <w:spacing w:val="-6"/>
              </w:rPr>
              <w:footnoteReference w:id="26"/>
            </w:r>
            <w:r w:rsidRPr="00244FD4">
              <w:rPr>
                <w:color w:val="0D0D0D" w:themeColor="text1" w:themeTint="F2"/>
                <w:spacing w:val="-6"/>
              </w:rPr>
              <w:t xml:space="preserve">. Zahrnují totiž mimořádné výdaje na pomoc s vysokými cenami energií – hlavně kompenzace za dodávky elektřiny a plynu zákazníkům a ztráty kvůli zastropování jejich cen (52,8 mld., korun), dále dotace provozovatelům přenosové soustavy (18,7 mld.) či pomoc firmám v energeticky náročných odvětvích (4,6 mld.). Více než 40 % těchto výdajů bylo loni uvolněno již v 1. čtvrtletí. Meziroční růst transferů podnikatelů byl tlumen poklesem zálohových dotací na obnovitelné zdroje energie (obsahující i dopady dočasného odpuštění poplatků), k menší úspoře došlo </w:t>
            </w:r>
            <w:r>
              <w:rPr>
                <w:color w:val="0D0D0D" w:themeColor="text1" w:themeTint="F2"/>
                <w:spacing w:val="-6"/>
              </w:rPr>
              <w:t>také</w:t>
            </w:r>
            <w:r w:rsidRPr="00244FD4">
              <w:rPr>
                <w:color w:val="0D0D0D" w:themeColor="text1" w:themeTint="F2"/>
                <w:spacing w:val="-6"/>
              </w:rPr>
              <w:t xml:space="preserve"> u</w:t>
            </w:r>
            <w:r>
              <w:rPr>
                <w:color w:val="0D0D0D" w:themeColor="text1" w:themeTint="F2"/>
                <w:spacing w:val="-6"/>
              </w:rPr>
              <w:t> </w:t>
            </w:r>
            <w:r w:rsidRPr="00244FD4">
              <w:rPr>
                <w:color w:val="0D0D0D" w:themeColor="text1" w:themeTint="F2"/>
                <w:spacing w:val="-6"/>
              </w:rPr>
              <w:t>výdajů na řešení dopadů souvisejících s pandemií.</w:t>
            </w:r>
          </w:p>
        </w:tc>
      </w:tr>
      <w:tr w:rsidR="0011055D" w:rsidRPr="007B3A78" w14:paraId="548A4B03" w14:textId="77777777" w:rsidTr="00C07C2F">
        <w:trPr>
          <w:trHeight w:val="170"/>
        </w:trPr>
        <w:tc>
          <w:tcPr>
            <w:tcW w:w="1792" w:type="dxa"/>
            <w:shd w:val="clear" w:color="auto" w:fill="auto"/>
            <w:tcMar>
              <w:left w:w="0" w:type="dxa"/>
            </w:tcMar>
          </w:tcPr>
          <w:p w14:paraId="47AFAB34" w14:textId="77777777" w:rsidR="0011055D" w:rsidRDefault="0011055D" w:rsidP="00C07C2F">
            <w:pPr>
              <w:pStyle w:val="Marginlie"/>
            </w:pPr>
            <w:r>
              <w:t xml:space="preserve">Rostly výdaje na platy zaměstnanců v regionálním školství. </w:t>
            </w:r>
          </w:p>
          <w:p w14:paraId="3947B498" w14:textId="77777777" w:rsidR="0011055D" w:rsidRDefault="0011055D" w:rsidP="00C07C2F">
            <w:pPr>
              <w:pStyle w:val="Marginlie"/>
            </w:pPr>
          </w:p>
          <w:p w14:paraId="0EE808BC" w14:textId="77777777" w:rsidR="0011055D" w:rsidRDefault="0011055D" w:rsidP="00C07C2F">
            <w:pPr>
              <w:pStyle w:val="Marginlie"/>
            </w:pPr>
          </w:p>
          <w:p w14:paraId="76A3BBC8" w14:textId="77777777" w:rsidR="0011055D" w:rsidRDefault="0011055D" w:rsidP="00C07C2F">
            <w:pPr>
              <w:pStyle w:val="Marginlie"/>
            </w:pPr>
          </w:p>
          <w:p w14:paraId="0267DD4C" w14:textId="77777777" w:rsidR="0011055D" w:rsidRDefault="0011055D" w:rsidP="00C07C2F">
            <w:pPr>
              <w:pStyle w:val="Marginlie"/>
            </w:pPr>
          </w:p>
          <w:p w14:paraId="65A166FA" w14:textId="77777777" w:rsidR="0011055D" w:rsidRDefault="0011055D" w:rsidP="00C07C2F">
            <w:pPr>
              <w:pStyle w:val="Marginlie"/>
            </w:pPr>
            <w:r>
              <w:t xml:space="preserve">Výdaje na obsluhu státního dluhu akcelerovaly na rekordní tempo. </w:t>
            </w:r>
          </w:p>
          <w:p w14:paraId="7BF871C4" w14:textId="77777777" w:rsidR="0011055D" w:rsidRDefault="0011055D" w:rsidP="00C07C2F">
            <w:pPr>
              <w:pStyle w:val="Marginlie"/>
            </w:pPr>
          </w:p>
          <w:p w14:paraId="05316118" w14:textId="77777777" w:rsidR="0011055D" w:rsidRDefault="0011055D" w:rsidP="00C07C2F">
            <w:pPr>
              <w:pStyle w:val="Marginlie"/>
            </w:pPr>
          </w:p>
        </w:tc>
        <w:tc>
          <w:tcPr>
            <w:tcW w:w="203" w:type="dxa"/>
            <w:shd w:val="clear" w:color="auto" w:fill="auto"/>
            <w:tcMar>
              <w:left w:w="0" w:type="dxa"/>
            </w:tcMar>
          </w:tcPr>
          <w:p w14:paraId="526696FB" w14:textId="77777777" w:rsidR="0011055D" w:rsidRDefault="0011055D" w:rsidP="00C07C2F">
            <w:pPr>
              <w:pStyle w:val="Textpoznpodarou"/>
              <w:jc w:val="both"/>
              <w:rPr>
                <w:spacing w:val="-4"/>
              </w:rPr>
            </w:pPr>
          </w:p>
        </w:tc>
        <w:tc>
          <w:tcPr>
            <w:tcW w:w="7674" w:type="dxa"/>
            <w:shd w:val="clear" w:color="auto" w:fill="auto"/>
            <w:tcMar>
              <w:left w:w="0" w:type="dxa"/>
            </w:tcMar>
          </w:tcPr>
          <w:p w14:paraId="44BAFD0A" w14:textId="77777777" w:rsidR="0011055D" w:rsidRPr="00244FD4" w:rsidRDefault="0011055D" w:rsidP="00C07C2F">
            <w:pPr>
              <w:spacing w:after="200"/>
              <w:rPr>
                <w:color w:val="0D0D0D" w:themeColor="text1" w:themeTint="F2"/>
                <w:spacing w:val="-6"/>
              </w:rPr>
            </w:pPr>
            <w:r w:rsidRPr="00244FD4">
              <w:rPr>
                <w:color w:val="0D0D0D" w:themeColor="text1" w:themeTint="F2"/>
                <w:spacing w:val="-6"/>
              </w:rPr>
              <w:t>Váhově významné neinvestiční transfery územním rozpočtům se meziročně zvýšily o 9,6 % (na 266,2 mld. korun). Více než polovina loňského přírůstku souvisela s navýšením platů pracovníků základních a středních škol</w:t>
            </w:r>
            <w:r w:rsidRPr="00244FD4">
              <w:rPr>
                <w:rStyle w:val="Znakapoznpodarou"/>
                <w:color w:val="0D0D0D" w:themeColor="text1" w:themeTint="F2"/>
                <w:spacing w:val="-6"/>
              </w:rPr>
              <w:footnoteReference w:id="27"/>
            </w:r>
            <w:r w:rsidRPr="00244FD4">
              <w:rPr>
                <w:color w:val="0D0D0D" w:themeColor="text1" w:themeTint="F2"/>
                <w:spacing w:val="-6"/>
              </w:rPr>
              <w:t>. Projevilo se i posílení výdajů na sociální služby, kompenzačního příspěvku na ubytování uprchlíků z Ukrajiny či na spolufinancování programů v oblasti vzdělávání, podpořených z rozpočtu EU. Z dalších oblastí SR výrazně zatížily také očekávané výdaje na obsluhu státního dluhu, jejichž meziroční růst loni zásadně zrychlil na rekordních 37,4 % (+18,6 mld. korun)</w:t>
            </w:r>
            <w:r w:rsidRPr="00244FD4">
              <w:rPr>
                <w:rStyle w:val="Znakapoznpodarou"/>
                <w:spacing w:val="-6"/>
              </w:rPr>
              <w:footnoteReference w:id="28"/>
            </w:r>
            <w:r w:rsidRPr="00244FD4">
              <w:rPr>
                <w:color w:val="0D0D0D" w:themeColor="text1" w:themeTint="F2"/>
                <w:spacing w:val="-6"/>
              </w:rPr>
              <w:t>. Na platy v organizačních složkách státu směřovalo loni o 7,4 %</w:t>
            </w:r>
            <w:r w:rsidRPr="00244FD4">
              <w:rPr>
                <w:rStyle w:val="Znakapoznpodarou"/>
                <w:color w:val="0D0D0D" w:themeColor="text1" w:themeTint="F2"/>
                <w:spacing w:val="-6"/>
              </w:rPr>
              <w:footnoteReference w:id="29"/>
            </w:r>
            <w:r w:rsidRPr="00244FD4">
              <w:rPr>
                <w:color w:val="0D0D0D" w:themeColor="text1" w:themeTint="F2"/>
                <w:spacing w:val="-6"/>
              </w:rPr>
              <w:t xml:space="preserve"> více (+11,4 mld. korun). To souviselo s navýšením platových tarifů příslušníků bezpečnostních sborů a vojáků (od ledna 2023) a zaměstnanců ve státní službě (od září 2022). Po zmrazení během pandemie se loni zvýšily rovněž výdaje na platy ústavních činitelů. Poslední kapitolu podílející se významněji na růstu běžných výdajů představovaly  platby </w:t>
            </w:r>
            <w:r w:rsidRPr="00244FD4">
              <w:rPr>
                <w:color w:val="0D0D0D" w:themeColor="text1" w:themeTint="F2"/>
                <w:spacing w:val="-6"/>
              </w:rPr>
              <w:lastRenderedPageBreak/>
              <w:t>veřejného zdravotního pojištění za tzv. státní pojištěnce, jež vzrostly o 7,2 % (+9,3 mld. korun) primárně vlivem zvýšení vyměřovacího základu pro platbu.</w:t>
            </w:r>
          </w:p>
        </w:tc>
      </w:tr>
      <w:tr w:rsidR="0011055D" w:rsidRPr="007B3A78" w14:paraId="1D332A8D" w14:textId="77777777" w:rsidTr="00C07C2F">
        <w:trPr>
          <w:trHeight w:val="170"/>
        </w:trPr>
        <w:tc>
          <w:tcPr>
            <w:tcW w:w="1792" w:type="dxa"/>
            <w:shd w:val="clear" w:color="auto" w:fill="auto"/>
            <w:tcMar>
              <w:left w:w="0" w:type="dxa"/>
            </w:tcMar>
          </w:tcPr>
          <w:p w14:paraId="586C9EE2" w14:textId="77777777" w:rsidR="0011055D" w:rsidRDefault="0011055D" w:rsidP="00C07C2F">
            <w:pPr>
              <w:pStyle w:val="Marginlie"/>
            </w:pPr>
            <w:r>
              <w:lastRenderedPageBreak/>
              <w:t>Výše běžných dotací do zemědělství či neinvestičních nákupů se snížila.</w:t>
            </w:r>
          </w:p>
        </w:tc>
        <w:tc>
          <w:tcPr>
            <w:tcW w:w="203" w:type="dxa"/>
            <w:shd w:val="clear" w:color="auto" w:fill="auto"/>
            <w:tcMar>
              <w:left w:w="0" w:type="dxa"/>
            </w:tcMar>
          </w:tcPr>
          <w:p w14:paraId="5A183A69" w14:textId="77777777" w:rsidR="0011055D" w:rsidRDefault="0011055D" w:rsidP="00C07C2F">
            <w:pPr>
              <w:pStyle w:val="Textpoznpodarou"/>
              <w:jc w:val="both"/>
              <w:rPr>
                <w:spacing w:val="-4"/>
              </w:rPr>
            </w:pPr>
          </w:p>
        </w:tc>
        <w:tc>
          <w:tcPr>
            <w:tcW w:w="7674" w:type="dxa"/>
            <w:shd w:val="clear" w:color="auto" w:fill="auto"/>
            <w:tcMar>
              <w:left w:w="0" w:type="dxa"/>
            </w:tcMar>
          </w:tcPr>
          <w:p w14:paraId="6E85C714" w14:textId="77777777" w:rsidR="0011055D" w:rsidRPr="00244FD4" w:rsidRDefault="0011055D" w:rsidP="00C07C2F">
            <w:pPr>
              <w:spacing w:after="200"/>
              <w:rPr>
                <w:color w:val="0D0D0D" w:themeColor="text1" w:themeTint="F2"/>
                <w:spacing w:val="-6"/>
              </w:rPr>
            </w:pPr>
            <w:r w:rsidRPr="00244FD4">
              <w:rPr>
                <w:color w:val="0D0D0D" w:themeColor="text1" w:themeTint="F2"/>
                <w:spacing w:val="-6"/>
              </w:rPr>
              <w:t>Růst běžných výdajů SR tlumily hlavně nižší dotace Státnímu zemědělskému intervenčnímu fondu, jež meziročně propadly téměř o 30 % (−12,9 mld. korun). K úspoře došlo rovněž u neinvestičních nákupů, na něž směřovalo o desetinu méně (−9,6 mld. korun) než v roce 2022. Stály za tím především nižší cena zemního plynu pořízeného do státních hmotných rezerv, pokles nákupů vakcín i nižší náhrady České poště. Nárůst výdajů naopak loni nastal u</w:t>
            </w:r>
            <w:r>
              <w:rPr>
                <w:color w:val="0D0D0D" w:themeColor="text1" w:themeTint="F2"/>
                <w:spacing w:val="-6"/>
              </w:rPr>
              <w:t> </w:t>
            </w:r>
            <w:r w:rsidRPr="00244FD4">
              <w:rPr>
                <w:color w:val="0D0D0D" w:themeColor="text1" w:themeTint="F2"/>
                <w:spacing w:val="-6"/>
              </w:rPr>
              <w:t xml:space="preserve">nákupů souvisejících s oblastí obrany a vnitřní bezpečnosti. </w:t>
            </w:r>
          </w:p>
        </w:tc>
      </w:tr>
      <w:tr w:rsidR="0011055D" w:rsidRPr="00F704D2" w14:paraId="60D04FAD" w14:textId="77777777" w:rsidTr="00C07C2F">
        <w:trPr>
          <w:trHeight w:val="170"/>
        </w:trPr>
        <w:tc>
          <w:tcPr>
            <w:tcW w:w="1792" w:type="dxa"/>
            <w:vMerge w:val="restart"/>
            <w:shd w:val="clear" w:color="auto" w:fill="auto"/>
            <w:tcMar>
              <w:left w:w="0" w:type="dxa"/>
            </w:tcMar>
          </w:tcPr>
          <w:p w14:paraId="4EF4266F" w14:textId="77777777" w:rsidR="0011055D" w:rsidRDefault="0011055D" w:rsidP="00C07C2F">
            <w:pPr>
              <w:pStyle w:val="Marginlie"/>
            </w:pPr>
          </w:p>
        </w:tc>
        <w:tc>
          <w:tcPr>
            <w:tcW w:w="203" w:type="dxa"/>
            <w:vMerge w:val="restart"/>
            <w:shd w:val="clear" w:color="auto" w:fill="auto"/>
            <w:tcMar>
              <w:left w:w="0" w:type="dxa"/>
            </w:tcMar>
          </w:tcPr>
          <w:p w14:paraId="0773478B" w14:textId="77777777" w:rsidR="0011055D" w:rsidRDefault="0011055D" w:rsidP="00C07C2F">
            <w:pPr>
              <w:pStyle w:val="Textpoznpodarou"/>
              <w:jc w:val="both"/>
              <w:rPr>
                <w:spacing w:val="-4"/>
              </w:rPr>
            </w:pPr>
          </w:p>
        </w:tc>
        <w:tc>
          <w:tcPr>
            <w:tcW w:w="7674" w:type="dxa"/>
            <w:shd w:val="clear" w:color="auto" w:fill="auto"/>
            <w:tcMar>
              <w:left w:w="0" w:type="dxa"/>
            </w:tcMar>
          </w:tcPr>
          <w:p w14:paraId="6C8C6374" w14:textId="77777777" w:rsidR="0011055D" w:rsidRPr="00331F78" w:rsidRDefault="0011055D" w:rsidP="00C07C2F">
            <w:pPr>
              <w:spacing w:after="20" w:line="240" w:lineRule="auto"/>
              <w:jc w:val="left"/>
              <w:rPr>
                <w:rFonts w:cs="Arial"/>
                <w:b/>
                <w:bCs/>
              </w:rPr>
            </w:pPr>
            <w:r w:rsidRPr="00E63A41">
              <w:rPr>
                <w:b/>
              </w:rPr>
              <w:t xml:space="preserve">Graf č. 19 </w:t>
            </w:r>
            <w:r w:rsidRPr="00E63A41">
              <w:rPr>
                <w:rFonts w:cs="Arial"/>
                <w:b/>
                <w:bCs/>
              </w:rPr>
              <w:t xml:space="preserve">Vybrané výdaje státního rozpočtu </w:t>
            </w:r>
          </w:p>
        </w:tc>
      </w:tr>
      <w:tr w:rsidR="0011055D" w14:paraId="44EBC16C" w14:textId="77777777" w:rsidTr="00C07C2F">
        <w:tblPrEx>
          <w:tblCellMar>
            <w:left w:w="70" w:type="dxa"/>
            <w:right w:w="70" w:type="dxa"/>
          </w:tblCellMar>
        </w:tblPrEx>
        <w:trPr>
          <w:trHeight w:val="170"/>
        </w:trPr>
        <w:tc>
          <w:tcPr>
            <w:tcW w:w="1792" w:type="dxa"/>
            <w:vMerge/>
            <w:shd w:val="clear" w:color="auto" w:fill="auto"/>
          </w:tcPr>
          <w:p w14:paraId="328D877A" w14:textId="77777777" w:rsidR="0011055D" w:rsidRDefault="0011055D" w:rsidP="00C07C2F">
            <w:pPr>
              <w:pStyle w:val="Marginlie"/>
            </w:pPr>
          </w:p>
        </w:tc>
        <w:tc>
          <w:tcPr>
            <w:tcW w:w="203" w:type="dxa"/>
            <w:vMerge/>
            <w:shd w:val="clear" w:color="auto" w:fill="auto"/>
          </w:tcPr>
          <w:p w14:paraId="7A930ECF" w14:textId="77777777" w:rsidR="0011055D" w:rsidRDefault="0011055D" w:rsidP="00C07C2F">
            <w:pPr>
              <w:pStyle w:val="Textpoznpodarou"/>
              <w:jc w:val="both"/>
              <w:rPr>
                <w:spacing w:val="-4"/>
              </w:rPr>
            </w:pPr>
          </w:p>
        </w:tc>
        <w:tc>
          <w:tcPr>
            <w:tcW w:w="7674" w:type="dxa"/>
            <w:shd w:val="clear" w:color="auto" w:fill="auto"/>
          </w:tcPr>
          <w:p w14:paraId="76AC23F1" w14:textId="77777777" w:rsidR="0011055D" w:rsidRPr="0067514E" w:rsidRDefault="0011055D" w:rsidP="00C07C2F">
            <w:pPr>
              <w:spacing w:after="40"/>
              <w:rPr>
                <w:spacing w:val="-6"/>
              </w:rPr>
            </w:pPr>
            <w:r>
              <w:rPr>
                <w:noProof/>
              </w:rPr>
              <w:drawing>
                <wp:inline distT="0" distB="0" distL="0" distR="0" wp14:anchorId="21DE8362" wp14:editId="7063035E">
                  <wp:extent cx="4730294" cy="3448774"/>
                  <wp:effectExtent l="0" t="0" r="0" b="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11055D" w:rsidRPr="00343AC1" w14:paraId="584B6453" w14:textId="77777777" w:rsidTr="00C07C2F">
        <w:trPr>
          <w:trHeight w:val="170"/>
        </w:trPr>
        <w:tc>
          <w:tcPr>
            <w:tcW w:w="1792" w:type="dxa"/>
            <w:vMerge/>
            <w:shd w:val="clear" w:color="auto" w:fill="auto"/>
            <w:tcMar>
              <w:left w:w="0" w:type="dxa"/>
            </w:tcMar>
          </w:tcPr>
          <w:p w14:paraId="2368233A" w14:textId="77777777" w:rsidR="0011055D" w:rsidRDefault="0011055D" w:rsidP="00C07C2F">
            <w:pPr>
              <w:pStyle w:val="Marginlie"/>
            </w:pPr>
          </w:p>
        </w:tc>
        <w:tc>
          <w:tcPr>
            <w:tcW w:w="203" w:type="dxa"/>
            <w:vMerge/>
            <w:shd w:val="clear" w:color="auto" w:fill="auto"/>
            <w:tcMar>
              <w:left w:w="0" w:type="dxa"/>
            </w:tcMar>
          </w:tcPr>
          <w:p w14:paraId="6D1C3D7C" w14:textId="77777777" w:rsidR="0011055D" w:rsidRDefault="0011055D" w:rsidP="00C07C2F">
            <w:pPr>
              <w:pStyle w:val="Textpoznpodarou"/>
              <w:jc w:val="both"/>
              <w:rPr>
                <w:spacing w:val="-4"/>
              </w:rPr>
            </w:pPr>
          </w:p>
        </w:tc>
        <w:tc>
          <w:tcPr>
            <w:tcW w:w="7674" w:type="dxa"/>
            <w:shd w:val="clear" w:color="auto" w:fill="auto"/>
            <w:tcMar>
              <w:left w:w="0" w:type="dxa"/>
            </w:tcMar>
          </w:tcPr>
          <w:p w14:paraId="6F6FC0F2" w14:textId="77777777" w:rsidR="0011055D" w:rsidRPr="008F2BE2" w:rsidRDefault="0011055D" w:rsidP="00C07C2F">
            <w:pPr>
              <w:pStyle w:val="Textpoznpodarou"/>
              <w:rPr>
                <w:spacing w:val="-4"/>
                <w:sz w:val="14"/>
                <w:szCs w:val="14"/>
              </w:rPr>
            </w:pPr>
            <w:r w:rsidRPr="008F2BE2">
              <w:rPr>
                <w:spacing w:val="-4"/>
                <w:sz w:val="14"/>
                <w:szCs w:val="14"/>
              </w:rPr>
              <w:t>*Pokrývají výdaje na platy v organizačních složkách státu. Nezahrnují například mzdové výdaje na regionální školství.</w:t>
            </w:r>
          </w:p>
          <w:p w14:paraId="2D49EA58" w14:textId="77777777" w:rsidR="0011055D" w:rsidRPr="008F2BE2" w:rsidRDefault="0011055D" w:rsidP="00C07C2F">
            <w:pPr>
              <w:pStyle w:val="Textpoznpodarou"/>
              <w:rPr>
                <w:spacing w:val="-4"/>
                <w:sz w:val="14"/>
                <w:szCs w:val="14"/>
              </w:rPr>
            </w:pPr>
            <w:r w:rsidRPr="008F2BE2">
              <w:rPr>
                <w:spacing w:val="-4"/>
                <w:sz w:val="14"/>
                <w:szCs w:val="14"/>
              </w:rPr>
              <w:t>**Zahrnuje i dávky pěstounské péče.</w:t>
            </w:r>
            <w:r>
              <w:rPr>
                <w:spacing w:val="-4"/>
                <w:sz w:val="14"/>
                <w:szCs w:val="14"/>
              </w:rPr>
              <w:t xml:space="preserve">   *</w:t>
            </w:r>
            <w:r w:rsidRPr="008F2BE2">
              <w:rPr>
                <w:spacing w:val="-4"/>
                <w:sz w:val="14"/>
                <w:szCs w:val="14"/>
              </w:rPr>
              <w:t>**Zahrnují dávky pomoci v hmotné nouzi, dávky osobám se zdravotním postižením, příspěvek na péči dle zákona o soc. službách.</w:t>
            </w:r>
            <w:r>
              <w:rPr>
                <w:spacing w:val="-4"/>
                <w:sz w:val="14"/>
                <w:szCs w:val="14"/>
              </w:rPr>
              <w:t xml:space="preserve"> Jsou zde obsaženy i dávky </w:t>
            </w:r>
            <w:r w:rsidRPr="00FB6649">
              <w:rPr>
                <w:spacing w:val="-4"/>
                <w:sz w:val="14"/>
                <w:szCs w:val="14"/>
              </w:rPr>
              <w:t>humanitární pomoc</w:t>
            </w:r>
            <w:r>
              <w:rPr>
                <w:spacing w:val="-4"/>
                <w:sz w:val="14"/>
                <w:szCs w:val="14"/>
              </w:rPr>
              <w:t>i poskytnuté občanům Ukrajiny.</w:t>
            </w:r>
          </w:p>
          <w:p w14:paraId="07AFF123" w14:textId="77777777" w:rsidR="0011055D" w:rsidRDefault="0011055D" w:rsidP="00C07C2F">
            <w:pPr>
              <w:pStyle w:val="Textpoznpodarou"/>
              <w:rPr>
                <w:spacing w:val="-4"/>
                <w:sz w:val="14"/>
                <w:szCs w:val="14"/>
              </w:rPr>
            </w:pPr>
            <w:r w:rsidRPr="008F2BE2">
              <w:rPr>
                <w:spacing w:val="-4"/>
                <w:sz w:val="14"/>
                <w:szCs w:val="14"/>
              </w:rPr>
              <w:t>****Obsahují zejména výdaje na nákup služeb, materiálu, energií či ostatních služeb (například výdaje na opravy a udržování).</w:t>
            </w:r>
          </w:p>
          <w:p w14:paraId="03C283EA" w14:textId="77777777" w:rsidR="0011055D" w:rsidRPr="009F63C6" w:rsidRDefault="0011055D" w:rsidP="00C07C2F">
            <w:pPr>
              <w:pStyle w:val="Textpoznpodarou"/>
              <w:rPr>
                <w:spacing w:val="-4"/>
                <w:sz w:val="14"/>
                <w:szCs w:val="14"/>
              </w:rPr>
            </w:pPr>
            <w:r>
              <w:rPr>
                <w:spacing w:val="-4"/>
                <w:sz w:val="14"/>
                <w:szCs w:val="14"/>
              </w:rPr>
              <w:t xml:space="preserve">***** Odpovídá saldu rozpočtové kapitoly Státní dluh.                                                                                               </w:t>
            </w:r>
            <w:r w:rsidRPr="000F45E7">
              <w:rPr>
                <w:spacing w:val="-4"/>
                <w:sz w:val="14"/>
                <w:szCs w:val="14"/>
              </w:rPr>
              <w:t>Zdroj: MF ČR, MPSV</w:t>
            </w:r>
          </w:p>
        </w:tc>
      </w:tr>
    </w:tbl>
    <w:p w14:paraId="5F54A675" w14:textId="77777777" w:rsidR="0011055D" w:rsidRDefault="0011055D" w:rsidP="0011055D">
      <w:pPr>
        <w:pStyle w:val="Nadpis11"/>
        <w:rPr>
          <w:b w:val="0"/>
          <w:sz w:val="2"/>
          <w:szCs w:val="2"/>
        </w:rPr>
      </w:pPr>
    </w:p>
    <w:tbl>
      <w:tblPr>
        <w:tblW w:w="9669" w:type="dxa"/>
        <w:tblInd w:w="-20" w:type="dxa"/>
        <w:tblCellMar>
          <w:left w:w="0" w:type="dxa"/>
          <w:right w:w="0" w:type="dxa"/>
        </w:tblCellMar>
        <w:tblLook w:val="00A0" w:firstRow="1" w:lastRow="0" w:firstColumn="1" w:lastColumn="0" w:noHBand="0" w:noVBand="0"/>
      </w:tblPr>
      <w:tblGrid>
        <w:gridCol w:w="1718"/>
        <w:gridCol w:w="210"/>
        <w:gridCol w:w="7741"/>
      </w:tblGrid>
      <w:tr w:rsidR="0011055D" w:rsidRPr="004B2C92" w14:paraId="195F0AD2" w14:textId="77777777" w:rsidTr="00C07C2F">
        <w:trPr>
          <w:trHeight w:val="145"/>
        </w:trPr>
        <w:tc>
          <w:tcPr>
            <w:tcW w:w="1718" w:type="dxa"/>
            <w:shd w:val="clear" w:color="auto" w:fill="auto"/>
            <w:tcMar>
              <w:left w:w="0" w:type="dxa"/>
            </w:tcMar>
          </w:tcPr>
          <w:p w14:paraId="4D82BC55" w14:textId="77777777" w:rsidR="0011055D" w:rsidRDefault="0011055D" w:rsidP="00C07C2F">
            <w:pPr>
              <w:pStyle w:val="Marginlie"/>
            </w:pPr>
            <w:r>
              <w:t xml:space="preserve">Ke svižnému růstu investic přispěly výdaje na životní prostředí, obranu a bezpečnost. </w:t>
            </w:r>
          </w:p>
          <w:p w14:paraId="2B7FDCF3" w14:textId="77777777" w:rsidR="0011055D" w:rsidRDefault="0011055D" w:rsidP="00C07C2F">
            <w:pPr>
              <w:pStyle w:val="Marginlie"/>
            </w:pPr>
          </w:p>
          <w:p w14:paraId="634C2879" w14:textId="77777777" w:rsidR="0011055D" w:rsidRDefault="0011055D" w:rsidP="00C07C2F">
            <w:pPr>
              <w:pStyle w:val="Marginlie"/>
            </w:pPr>
          </w:p>
          <w:p w14:paraId="7BB98DC2" w14:textId="77777777" w:rsidR="0011055D" w:rsidRDefault="0011055D" w:rsidP="00C07C2F">
            <w:pPr>
              <w:pStyle w:val="Marginlie"/>
            </w:pPr>
          </w:p>
          <w:p w14:paraId="18804995" w14:textId="77777777" w:rsidR="0011055D" w:rsidRDefault="0011055D" w:rsidP="00C07C2F">
            <w:pPr>
              <w:pStyle w:val="Marginlie"/>
            </w:pPr>
          </w:p>
          <w:p w14:paraId="0C93A795" w14:textId="77777777" w:rsidR="0011055D" w:rsidRDefault="0011055D" w:rsidP="00C07C2F">
            <w:pPr>
              <w:pStyle w:val="Marginlie"/>
            </w:pPr>
          </w:p>
          <w:p w14:paraId="1790B96D" w14:textId="77777777" w:rsidR="0011055D" w:rsidRDefault="0011055D" w:rsidP="00C07C2F">
            <w:pPr>
              <w:pStyle w:val="Marginlie"/>
            </w:pPr>
          </w:p>
          <w:p w14:paraId="26264A37" w14:textId="77777777" w:rsidR="0011055D" w:rsidRDefault="0011055D" w:rsidP="00C07C2F">
            <w:pPr>
              <w:pStyle w:val="Marginlie"/>
            </w:pPr>
            <w:r>
              <w:t>Podíl investic na celkových výdajích SR byl nejvyšší za posledních osm let.</w:t>
            </w:r>
          </w:p>
        </w:tc>
        <w:tc>
          <w:tcPr>
            <w:tcW w:w="210" w:type="dxa"/>
            <w:shd w:val="clear" w:color="auto" w:fill="auto"/>
            <w:tcMar>
              <w:left w:w="0" w:type="dxa"/>
            </w:tcMar>
          </w:tcPr>
          <w:p w14:paraId="25F9DBA0" w14:textId="77777777" w:rsidR="0011055D" w:rsidRDefault="0011055D" w:rsidP="00C07C2F">
            <w:pPr>
              <w:pStyle w:val="Textpoznpodarou"/>
              <w:jc w:val="both"/>
              <w:rPr>
                <w:spacing w:val="-4"/>
              </w:rPr>
            </w:pPr>
          </w:p>
        </w:tc>
        <w:tc>
          <w:tcPr>
            <w:tcW w:w="7741" w:type="dxa"/>
            <w:shd w:val="clear" w:color="auto" w:fill="auto"/>
            <w:tcMar>
              <w:left w:w="0" w:type="dxa"/>
            </w:tcMar>
          </w:tcPr>
          <w:p w14:paraId="7D6B5313" w14:textId="3975556E" w:rsidR="0011055D" w:rsidRPr="0011055D" w:rsidRDefault="0011055D" w:rsidP="0011055D">
            <w:pPr>
              <w:spacing w:after="200"/>
              <w:rPr>
                <w:color w:val="0D0D0D" w:themeColor="text1" w:themeTint="F2"/>
                <w:spacing w:val="-4"/>
              </w:rPr>
            </w:pPr>
            <w:r w:rsidRPr="0011055D">
              <w:rPr>
                <w:color w:val="0D0D0D" w:themeColor="text1" w:themeTint="F2"/>
                <w:spacing w:val="-4"/>
              </w:rPr>
              <w:t>Tempo růstu kapitálových výdajů SR loni zrychlilo na 13,6 %, meziročně bylo investováno o</w:t>
            </w:r>
            <w:r>
              <w:rPr>
                <w:color w:val="0D0D0D" w:themeColor="text1" w:themeTint="F2"/>
                <w:spacing w:val="-4"/>
              </w:rPr>
              <w:t> </w:t>
            </w:r>
            <w:r w:rsidRPr="0011055D">
              <w:rPr>
                <w:color w:val="0D0D0D" w:themeColor="text1" w:themeTint="F2"/>
                <w:spacing w:val="-4"/>
              </w:rPr>
              <w:t>25,4 mld. korun více. I přesto zůstala výše investic mírně za rozpočtovým očekáváním (−2,6 %). Na rozdíl od roku 2022 se na růstu investic podílely nejen prostředky na společné programy ČR z EU, ale též investice výhradně z národních zdrojů (ty loni tvořily více než polovinu všech kapitálových výdajů). Na zvýšení celkových investic ze SR se nejvíce podílely dotace územním rozpočtům (+8,4 mld. korun), významnější nárůst ovšem nastal téměř u</w:t>
            </w:r>
            <w:r>
              <w:rPr>
                <w:color w:val="0D0D0D" w:themeColor="text1" w:themeTint="F2"/>
                <w:spacing w:val="-4"/>
              </w:rPr>
              <w:t> </w:t>
            </w:r>
            <w:r w:rsidRPr="0011055D">
              <w:rPr>
                <w:color w:val="0D0D0D" w:themeColor="text1" w:themeTint="F2"/>
                <w:spacing w:val="-4"/>
              </w:rPr>
              <w:t>všech kategorií investic. Výjimkou byly dotace do dopravní infrastruktury (−8,7 mld.</w:t>
            </w:r>
            <w:r>
              <w:rPr>
                <w:color w:val="0D0D0D" w:themeColor="text1" w:themeTint="F2"/>
                <w:spacing w:val="-4"/>
              </w:rPr>
              <w:t> </w:t>
            </w:r>
            <w:r w:rsidRPr="0011055D">
              <w:rPr>
                <w:color w:val="0D0D0D" w:themeColor="text1" w:themeTint="F2"/>
                <w:spacing w:val="-4"/>
              </w:rPr>
              <w:t>korun)</w:t>
            </w:r>
            <w:r w:rsidRPr="0011055D">
              <w:rPr>
                <w:rStyle w:val="Znakapoznpodarou"/>
                <w:color w:val="0D0D0D" w:themeColor="text1" w:themeTint="F2"/>
                <w:spacing w:val="-4"/>
              </w:rPr>
              <w:footnoteReference w:id="30"/>
            </w:r>
            <w:r w:rsidRPr="0011055D">
              <w:rPr>
                <w:color w:val="0D0D0D" w:themeColor="text1" w:themeTint="F2"/>
                <w:spacing w:val="-4"/>
              </w:rPr>
              <w:t>, které ale i tak představovaly třetinu všech investic ze SR (68,1 mld.). Na rozdíl od roku 2022 se loni na růstu kapitálových výdajů podílely i investiční nákupy (+6,9</w:t>
            </w:r>
            <w:r>
              <w:rPr>
                <w:color w:val="0D0D0D" w:themeColor="text1" w:themeTint="F2"/>
                <w:spacing w:val="-4"/>
              </w:rPr>
              <w:t> </w:t>
            </w:r>
            <w:r w:rsidRPr="0011055D">
              <w:rPr>
                <w:color w:val="0D0D0D" w:themeColor="text1" w:themeTint="F2"/>
                <w:spacing w:val="-4"/>
              </w:rPr>
              <w:t>mld.</w:t>
            </w:r>
            <w:r>
              <w:rPr>
                <w:color w:val="0D0D0D" w:themeColor="text1" w:themeTint="F2"/>
                <w:spacing w:val="-4"/>
              </w:rPr>
              <w:t> </w:t>
            </w:r>
            <w:r w:rsidRPr="0011055D">
              <w:rPr>
                <w:color w:val="0D0D0D" w:themeColor="text1" w:themeTint="F2"/>
                <w:spacing w:val="-4"/>
              </w:rPr>
              <w:t>korun), šlo zejména o armádní techniku a dopravní prostředky. Celkové investice se na všech výdajích SR loni podílely 9,6 %, nejvíce za posledních osm let. Z dlouhodobého pohledu (poslední dvě dekády) se ale stále jedná spíše o průměrnou hodnotu.</w:t>
            </w:r>
          </w:p>
        </w:tc>
      </w:tr>
      <w:tr w:rsidR="0011055D" w:rsidRPr="004B2C92" w14:paraId="6344EFA7" w14:textId="77777777" w:rsidTr="00C07C2F">
        <w:trPr>
          <w:trHeight w:val="145"/>
        </w:trPr>
        <w:tc>
          <w:tcPr>
            <w:tcW w:w="1718" w:type="dxa"/>
            <w:shd w:val="clear" w:color="auto" w:fill="auto"/>
            <w:tcMar>
              <w:left w:w="0" w:type="dxa"/>
            </w:tcMar>
          </w:tcPr>
          <w:p w14:paraId="6E2EEB22" w14:textId="77777777" w:rsidR="0011055D" w:rsidRPr="005B591B" w:rsidRDefault="0011055D" w:rsidP="00C07C2F">
            <w:pPr>
              <w:pStyle w:val="Marginlie"/>
            </w:pPr>
            <w:r>
              <w:t>Státní dluh vystoupal na rekordní výši, tempo zadlužování však bylo nejnižší za poslední čtyři roky.</w:t>
            </w:r>
          </w:p>
        </w:tc>
        <w:tc>
          <w:tcPr>
            <w:tcW w:w="210" w:type="dxa"/>
            <w:shd w:val="clear" w:color="auto" w:fill="auto"/>
            <w:tcMar>
              <w:left w:w="0" w:type="dxa"/>
            </w:tcMar>
          </w:tcPr>
          <w:p w14:paraId="18FF772F" w14:textId="77777777" w:rsidR="0011055D" w:rsidRDefault="0011055D" w:rsidP="00C07C2F">
            <w:pPr>
              <w:pStyle w:val="Textpoznpodarou"/>
              <w:jc w:val="both"/>
              <w:rPr>
                <w:spacing w:val="-4"/>
              </w:rPr>
            </w:pPr>
          </w:p>
        </w:tc>
        <w:tc>
          <w:tcPr>
            <w:tcW w:w="7741" w:type="dxa"/>
            <w:shd w:val="clear" w:color="auto" w:fill="auto"/>
            <w:tcMar>
              <w:left w:w="0" w:type="dxa"/>
            </w:tcMar>
          </w:tcPr>
          <w:p w14:paraId="1B8BF50F" w14:textId="77777777" w:rsidR="0011055D" w:rsidRPr="0011055D" w:rsidRDefault="0011055D" w:rsidP="00C07C2F">
            <w:pPr>
              <w:spacing w:after="200"/>
              <w:rPr>
                <w:color w:val="0D0D0D" w:themeColor="text1" w:themeTint="F2"/>
                <w:spacing w:val="-4"/>
              </w:rPr>
            </w:pPr>
            <w:r w:rsidRPr="0011055D">
              <w:rPr>
                <w:color w:val="0D0D0D" w:themeColor="text1" w:themeTint="F2"/>
                <w:spacing w:val="-4"/>
              </w:rPr>
              <w:t xml:space="preserve">Státní dluh vystoupal loni na konci roku 2023 na rekordních 3 111 mld. korun. Meziročně se zvýšil o 216 mld. korun, tedy zhruba o polovinu méně než během let 2020, 2021 a 2022. Zmírnění tempa zadlužování souvisí s poklesem výše přijatých krátkodobých zahraničních zápůjček a současně s nárůstem u splacených zápůjček. Díky tomu došlo během loňského </w:t>
            </w:r>
            <w:r w:rsidRPr="0011055D">
              <w:rPr>
                <w:color w:val="0D0D0D" w:themeColor="text1" w:themeTint="F2"/>
                <w:spacing w:val="-4"/>
              </w:rPr>
              <w:lastRenderedPageBreak/>
              <w:t>roku ke snížení vnějšího dluhu o 47,4 % (na 152 mld. korun). Vnitřní dluh se však zvýšil o 13,5 %, především kvůli pokračující vysoké emisi středně a dlouhodobých státních dluhopisů, dílčí vliv měl i vyšší objem státních pokladničních poukázek.</w:t>
            </w:r>
          </w:p>
        </w:tc>
      </w:tr>
      <w:tr w:rsidR="0011055D" w:rsidRPr="004B2C92" w14:paraId="121F7445" w14:textId="77777777" w:rsidTr="00C07C2F">
        <w:trPr>
          <w:trHeight w:val="145"/>
        </w:trPr>
        <w:tc>
          <w:tcPr>
            <w:tcW w:w="1718" w:type="dxa"/>
            <w:shd w:val="clear" w:color="auto" w:fill="auto"/>
            <w:tcMar>
              <w:left w:w="0" w:type="dxa"/>
            </w:tcMar>
          </w:tcPr>
          <w:p w14:paraId="66AAC424" w14:textId="77777777" w:rsidR="0011055D" w:rsidRDefault="0011055D" w:rsidP="00C07C2F">
            <w:pPr>
              <w:pStyle w:val="Marginlie"/>
              <w:rPr>
                <w:color w:val="0D0D0D" w:themeColor="text1" w:themeTint="F2"/>
              </w:rPr>
            </w:pPr>
            <w:r>
              <w:rPr>
                <w:color w:val="0D0D0D" w:themeColor="text1" w:themeTint="F2"/>
              </w:rPr>
              <w:lastRenderedPageBreak/>
              <w:t xml:space="preserve">Schodek hospodaření sektoru vládních institucí za 1. až 3. čtvrtletí se meziročně nezměnil. </w:t>
            </w:r>
          </w:p>
          <w:p w14:paraId="40337730" w14:textId="77777777" w:rsidR="0011055D" w:rsidRDefault="0011055D" w:rsidP="00C07C2F">
            <w:pPr>
              <w:pStyle w:val="Marginlie"/>
              <w:rPr>
                <w:color w:val="0D0D0D" w:themeColor="text1" w:themeTint="F2"/>
              </w:rPr>
            </w:pPr>
          </w:p>
          <w:p w14:paraId="11704BAD" w14:textId="77777777" w:rsidR="0011055D" w:rsidRDefault="0011055D" w:rsidP="00C07C2F">
            <w:pPr>
              <w:pStyle w:val="Marginlie"/>
              <w:rPr>
                <w:color w:val="0D0D0D" w:themeColor="text1" w:themeTint="F2"/>
              </w:rPr>
            </w:pPr>
          </w:p>
          <w:p w14:paraId="1C13DA28" w14:textId="77777777" w:rsidR="0011055D" w:rsidRDefault="0011055D" w:rsidP="00C07C2F">
            <w:pPr>
              <w:pStyle w:val="Marginlie"/>
              <w:rPr>
                <w:color w:val="0D0D0D" w:themeColor="text1" w:themeTint="F2"/>
              </w:rPr>
            </w:pPr>
          </w:p>
          <w:p w14:paraId="40A4EDBF" w14:textId="77777777" w:rsidR="0011055D" w:rsidRDefault="0011055D" w:rsidP="00C07C2F">
            <w:pPr>
              <w:pStyle w:val="Marginlie"/>
              <w:rPr>
                <w:color w:val="0D0D0D" w:themeColor="text1" w:themeTint="F2"/>
              </w:rPr>
            </w:pPr>
          </w:p>
          <w:p w14:paraId="1241A197" w14:textId="77777777" w:rsidR="0011055D" w:rsidRDefault="0011055D" w:rsidP="00C07C2F">
            <w:pPr>
              <w:pStyle w:val="Marginlie"/>
              <w:rPr>
                <w:color w:val="0D0D0D" w:themeColor="text1" w:themeTint="F2"/>
              </w:rPr>
            </w:pPr>
          </w:p>
          <w:p w14:paraId="7AE0D23A" w14:textId="77777777" w:rsidR="0011055D" w:rsidRDefault="0011055D" w:rsidP="00C07C2F">
            <w:pPr>
              <w:pStyle w:val="Marginlie"/>
              <w:rPr>
                <w:color w:val="0D0D0D" w:themeColor="text1" w:themeTint="F2"/>
              </w:rPr>
            </w:pPr>
          </w:p>
          <w:p w14:paraId="1DEDFA00" w14:textId="77777777" w:rsidR="0011055D" w:rsidRDefault="0011055D" w:rsidP="00C07C2F">
            <w:pPr>
              <w:pStyle w:val="Marginlie"/>
              <w:rPr>
                <w:color w:val="0D0D0D" w:themeColor="text1" w:themeTint="F2"/>
              </w:rPr>
            </w:pPr>
          </w:p>
          <w:p w14:paraId="4D9CA073" w14:textId="77777777" w:rsidR="0011055D" w:rsidRDefault="0011055D" w:rsidP="00C07C2F">
            <w:pPr>
              <w:pStyle w:val="Marginlie"/>
              <w:rPr>
                <w:color w:val="0D0D0D" w:themeColor="text1" w:themeTint="F2"/>
              </w:rPr>
            </w:pPr>
          </w:p>
          <w:p w14:paraId="0CC43C70" w14:textId="77777777" w:rsidR="0011055D" w:rsidRDefault="0011055D" w:rsidP="00C07C2F">
            <w:pPr>
              <w:pStyle w:val="Marginlie"/>
              <w:rPr>
                <w:color w:val="0D0D0D" w:themeColor="text1" w:themeTint="F2"/>
              </w:rPr>
            </w:pPr>
            <w:r>
              <w:rPr>
                <w:color w:val="0D0D0D" w:themeColor="text1" w:themeTint="F2"/>
              </w:rPr>
              <w:t xml:space="preserve">Meziroční nárůst absolutní výše dluhu opět převýšil schodek hospodaření. </w:t>
            </w:r>
          </w:p>
          <w:p w14:paraId="5F4F544D" w14:textId="77777777" w:rsidR="0011055D" w:rsidRDefault="0011055D" w:rsidP="00C07C2F">
            <w:pPr>
              <w:pStyle w:val="Marginlie"/>
              <w:rPr>
                <w:color w:val="0D0D0D" w:themeColor="text1" w:themeTint="F2"/>
              </w:rPr>
            </w:pPr>
          </w:p>
          <w:p w14:paraId="0161EFFC" w14:textId="77777777" w:rsidR="0011055D" w:rsidRPr="00073981" w:rsidRDefault="0011055D" w:rsidP="00C07C2F">
            <w:pPr>
              <w:pStyle w:val="Marginlie"/>
              <w:rPr>
                <w:color w:val="0D0D0D" w:themeColor="text1" w:themeTint="F2"/>
              </w:rPr>
            </w:pPr>
            <w:r>
              <w:rPr>
                <w:color w:val="0D0D0D" w:themeColor="text1" w:themeTint="F2"/>
              </w:rPr>
              <w:t xml:space="preserve">Díky svižnému nominálnímu růstu HDP míra zadlužení meziročně poklesla. </w:t>
            </w:r>
          </w:p>
        </w:tc>
        <w:tc>
          <w:tcPr>
            <w:tcW w:w="210" w:type="dxa"/>
            <w:shd w:val="clear" w:color="auto" w:fill="auto"/>
            <w:tcMar>
              <w:left w:w="0" w:type="dxa"/>
            </w:tcMar>
          </w:tcPr>
          <w:p w14:paraId="25403A24" w14:textId="77777777" w:rsidR="0011055D" w:rsidRPr="00073981" w:rsidRDefault="0011055D" w:rsidP="00C07C2F">
            <w:pPr>
              <w:pStyle w:val="Textpoznpodarou"/>
              <w:jc w:val="both"/>
              <w:rPr>
                <w:color w:val="0D0D0D" w:themeColor="text1" w:themeTint="F2"/>
                <w:spacing w:val="-4"/>
              </w:rPr>
            </w:pPr>
          </w:p>
        </w:tc>
        <w:tc>
          <w:tcPr>
            <w:tcW w:w="7741" w:type="dxa"/>
            <w:shd w:val="clear" w:color="auto" w:fill="auto"/>
            <w:tcMar>
              <w:left w:w="0" w:type="dxa"/>
            </w:tcMar>
          </w:tcPr>
          <w:p w14:paraId="2C033545" w14:textId="0025F563" w:rsidR="0011055D" w:rsidRPr="0011055D" w:rsidRDefault="0011055D" w:rsidP="00C07C2F">
            <w:pPr>
              <w:rPr>
                <w:color w:val="0D0D0D" w:themeColor="text1" w:themeTint="F2"/>
                <w:spacing w:val="-4"/>
              </w:rPr>
            </w:pPr>
            <w:r w:rsidRPr="0011055D">
              <w:rPr>
                <w:color w:val="0D0D0D" w:themeColor="text1" w:themeTint="F2"/>
                <w:spacing w:val="-4"/>
              </w:rPr>
              <w:t>Sektor vládních institucí (VI) v ČR hospodařil v 1. až 3. čtvrtletí 2023</w:t>
            </w:r>
            <w:r w:rsidRPr="0011055D">
              <w:rPr>
                <w:rStyle w:val="Znakapoznpodarou"/>
                <w:color w:val="0D0D0D" w:themeColor="text1" w:themeTint="F2"/>
                <w:spacing w:val="-4"/>
              </w:rPr>
              <w:footnoteReference w:id="31"/>
            </w:r>
            <w:r w:rsidRPr="0011055D">
              <w:rPr>
                <w:color w:val="0D0D0D" w:themeColor="text1" w:themeTint="F2"/>
                <w:spacing w:val="-4"/>
              </w:rPr>
              <w:t xml:space="preserve"> s deficitem 117 mld. korun</w:t>
            </w:r>
            <w:r w:rsidRPr="0011055D">
              <w:rPr>
                <w:rStyle w:val="Znakapoznpodarou"/>
                <w:color w:val="0D0D0D" w:themeColor="text1" w:themeTint="F2"/>
                <w:spacing w:val="-4"/>
              </w:rPr>
              <w:footnoteReference w:id="32"/>
            </w:r>
            <w:r w:rsidRPr="0011055D">
              <w:rPr>
                <w:color w:val="0D0D0D" w:themeColor="text1" w:themeTint="F2"/>
                <w:spacing w:val="-4"/>
              </w:rPr>
              <w:t>, takřka identickým jako ve stejném období předchozího roku. Při stagnaci hlubokého schodku ústředních vládních institucí (</w:t>
            </w:r>
            <w:r w:rsidRPr="0011055D">
              <w:rPr>
                <w:spacing w:val="-4"/>
              </w:rPr>
              <w:t>jež financovaly klíčové mimořádné výdaje související s řešením dopadů vysoké inflace či s integrací uprchlíků z Ukrajiny</w:t>
            </w:r>
            <w:r w:rsidRPr="0011055D">
              <w:rPr>
                <w:color w:val="0D0D0D" w:themeColor="text1" w:themeTint="F2"/>
                <w:spacing w:val="-4"/>
              </w:rPr>
              <w:t>) došlo k mírnému zvýšení přebytku místních vládních institucí (na rekordních 93 mld.), naopak kladné saldo hospodaření zdravotních pojišťoven se lehce zhoršilo (z 15 mld. na 4 mld.). Příjmy celého sektoru VI se loni za tři čtvrtletí meziročně zvýšily o 10,8 %, zejména vlivem běžných daní z důchodů (+72 mld. korun), přijatých sociálních příspěvků (+61 mld.) či rostou</w:t>
            </w:r>
            <w:r w:rsidR="00E82AB6">
              <w:rPr>
                <w:color w:val="0D0D0D" w:themeColor="text1" w:themeTint="F2"/>
                <w:spacing w:val="-4"/>
              </w:rPr>
              <w:t>cího významu přijatých dividend. N</w:t>
            </w:r>
            <w:r w:rsidRPr="0011055D">
              <w:rPr>
                <w:color w:val="0D0D0D" w:themeColor="text1" w:themeTint="F2"/>
                <w:spacing w:val="-4"/>
              </w:rPr>
              <w:t>aopak vliv DPH a spotřebních daní slábl. Celkové výdaje VI se analogicky zvýšily o 10,2 %, k čemuž nejvíce přispěly sociální dávky a naturální sociální transfery (+96 mld. korun) vyplacené dotace (+40 mld.) a náhrady zaměstnancům (+40 mld.), jejichž prorůstová role oproti roku 2022 zesílila. Sezónně očištěný schodek hospodaření VI dosáhl ve 3. čtvrtletí 2023 výše 3,1 % HDP a od počátku roku se téměř nezměnil. Nominální dluh VI na konci 3. čtvrtletí 2023 dosáhl 3 214 mld. korun a meziročně stoupl o 231 mld. Stejně jako v období let 2020–2022 nárůst dluhu významně převýšil dosažený schodek hospodaření VI. Míra zadlužení sektoru VI dosáhla ve 3. čtvrtletí 44,5 % HDP (o rok dříve 45,2 %). Meziroční pokles zadlužení</w:t>
            </w:r>
            <w:r w:rsidRPr="0011055D">
              <w:rPr>
                <w:rStyle w:val="Znakapoznpodarou"/>
                <w:color w:val="0D0D0D" w:themeColor="text1" w:themeTint="F2"/>
                <w:spacing w:val="-4"/>
              </w:rPr>
              <w:footnoteReference w:id="33"/>
            </w:r>
            <w:r w:rsidRPr="0011055D">
              <w:rPr>
                <w:color w:val="0D0D0D" w:themeColor="text1" w:themeTint="F2"/>
                <w:spacing w:val="-4"/>
              </w:rPr>
              <w:t xml:space="preserve"> nastal poprvé za posledních jeden a půl roku.</w:t>
            </w:r>
          </w:p>
        </w:tc>
      </w:tr>
      <w:tr w:rsidR="0011055D" w:rsidRPr="004B2C92" w14:paraId="334E58EE" w14:textId="77777777" w:rsidTr="00C07C2F">
        <w:trPr>
          <w:trHeight w:val="145"/>
        </w:trPr>
        <w:tc>
          <w:tcPr>
            <w:tcW w:w="1718" w:type="dxa"/>
            <w:shd w:val="clear" w:color="auto" w:fill="auto"/>
            <w:tcMar>
              <w:left w:w="0" w:type="dxa"/>
            </w:tcMar>
          </w:tcPr>
          <w:p w14:paraId="5BBC2EE1" w14:textId="77777777" w:rsidR="0011055D" w:rsidRDefault="0011055D" w:rsidP="00C07C2F">
            <w:pPr>
              <w:pStyle w:val="Marginlie"/>
            </w:pPr>
            <w:r>
              <w:t xml:space="preserve">Po nárůstu nerovnováhy veřejných financí ve </w:t>
            </w:r>
            <w:r>
              <w:br/>
              <w:t>2. pololetí 2022 se rozpočtové schodky ve většině států EU postupně stabilizovaly.</w:t>
            </w:r>
          </w:p>
          <w:p w14:paraId="5D5F4B96" w14:textId="77777777" w:rsidR="0011055D" w:rsidRDefault="0011055D" w:rsidP="00C07C2F">
            <w:pPr>
              <w:pStyle w:val="Marginlie"/>
            </w:pPr>
          </w:p>
          <w:p w14:paraId="2BE3938F" w14:textId="77777777" w:rsidR="0011055D" w:rsidRDefault="0011055D" w:rsidP="00C07C2F">
            <w:pPr>
              <w:pStyle w:val="Marginlie"/>
            </w:pPr>
          </w:p>
          <w:p w14:paraId="54A09529" w14:textId="77777777" w:rsidR="0011055D" w:rsidRDefault="0011055D" w:rsidP="00C07C2F">
            <w:pPr>
              <w:pStyle w:val="Marginlie"/>
            </w:pPr>
          </w:p>
          <w:p w14:paraId="2F873949" w14:textId="77777777" w:rsidR="0011055D" w:rsidRDefault="0011055D" w:rsidP="00C07C2F">
            <w:pPr>
              <w:pStyle w:val="Marginlie"/>
            </w:pPr>
          </w:p>
          <w:p w14:paraId="71AD74DE" w14:textId="77777777" w:rsidR="0011055D" w:rsidRDefault="0011055D" w:rsidP="00C07C2F">
            <w:pPr>
              <w:pStyle w:val="Marginlie"/>
            </w:pPr>
          </w:p>
          <w:p w14:paraId="26695034" w14:textId="77777777" w:rsidR="0011055D" w:rsidRPr="005B591B" w:rsidRDefault="0011055D" w:rsidP="00C07C2F">
            <w:pPr>
              <w:pStyle w:val="Marginlie"/>
            </w:pPr>
            <w:r>
              <w:t xml:space="preserve">V řadě států střední </w:t>
            </w:r>
            <w:r>
              <w:br/>
              <w:t xml:space="preserve">a severní Evropy se však schodek sektoru vládních institucí prohloubil. </w:t>
            </w:r>
          </w:p>
        </w:tc>
        <w:tc>
          <w:tcPr>
            <w:tcW w:w="210" w:type="dxa"/>
            <w:shd w:val="clear" w:color="auto" w:fill="auto"/>
            <w:tcMar>
              <w:left w:w="0" w:type="dxa"/>
            </w:tcMar>
          </w:tcPr>
          <w:p w14:paraId="31368F91" w14:textId="77777777" w:rsidR="0011055D" w:rsidRDefault="0011055D" w:rsidP="00C07C2F">
            <w:pPr>
              <w:pStyle w:val="Textpoznpodarou"/>
              <w:jc w:val="both"/>
              <w:rPr>
                <w:spacing w:val="-4"/>
              </w:rPr>
            </w:pPr>
          </w:p>
        </w:tc>
        <w:tc>
          <w:tcPr>
            <w:tcW w:w="7741" w:type="dxa"/>
            <w:shd w:val="clear" w:color="auto" w:fill="auto"/>
            <w:tcMar>
              <w:left w:w="0" w:type="dxa"/>
            </w:tcMar>
          </w:tcPr>
          <w:p w14:paraId="152E7BC1" w14:textId="3AEB14CC" w:rsidR="0011055D" w:rsidRPr="0011055D" w:rsidRDefault="0011055D" w:rsidP="00C07C2F">
            <w:pPr>
              <w:rPr>
                <w:spacing w:val="-4"/>
              </w:rPr>
            </w:pPr>
            <w:r w:rsidRPr="0011055D">
              <w:rPr>
                <w:color w:val="0D0D0D" w:themeColor="text1" w:themeTint="F2"/>
                <w:spacing w:val="-4"/>
              </w:rPr>
              <w:t>Po prudkém zhoršení během roku 2022 se loni stabilizovala kondice veřejných financí v EU. Po odeznění loňské cenové akcelerace u energií došlo k částečnému zmírnění potřeby mimořádných veřejných výdajů. Na druhou stranu pokračující velmi slabý ekonomický růst většiny evropských ekonomik se negativně podepsal i na příjmech sektoru VI (ty v relaci k HDP loni setrvávaly pod úrovní roku 2022). Ve 3. čtvrtletí 2023 čítal deficit hospodaření (po sezónním očištění) VI v EU 2,8 % HDP, což bylo o 0,2 p. b. méně než v předchozím kvartálu a o celý 1 p. b. lepší výsledek než ve shodném období předchozího roku. V 1. až 3. čtvrtletí 2023 bylo relativně nejvyšším schodkem zasaženo Maďarsko (−7,3 % HDP), Itálie (−7,1 %), Rumunsk</w:t>
            </w:r>
            <w:r w:rsidR="00E82AB6">
              <w:rPr>
                <w:color w:val="0D0D0D" w:themeColor="text1" w:themeTint="F2"/>
                <w:spacing w:val="-4"/>
              </w:rPr>
              <w:t>o (−5,7 %) a Slovensko (−5,5 %). N</w:t>
            </w:r>
            <w:r w:rsidRPr="0011055D">
              <w:rPr>
                <w:color w:val="0D0D0D" w:themeColor="text1" w:themeTint="F2"/>
                <w:spacing w:val="-4"/>
              </w:rPr>
              <w:t xml:space="preserve">aopak významnějšího přebytku (nad 1 % HDP) docílily jen Dánsko, Irsko, Portugalsko a Kypr. Meziročně se ve většině států schodek prohloubil (neboť v 1. pololetí 2022 byla situace v oblasti veřejných rozpočtů ještě stabilizovaná). Nejvíce klesl na Slovensku (z −1,7 % na −5,5 % HDP), s mírným odstupem pak v Polsku, Švédsku, Maďarsku, Estonsku a Finsku. V EU, podobně jako v Česku, setrvával schodek v obou letech blízko 3 % HDP. </w:t>
            </w:r>
          </w:p>
        </w:tc>
      </w:tr>
      <w:tr w:rsidR="0011055D" w:rsidRPr="004B2C92" w14:paraId="4945A3CE" w14:textId="77777777" w:rsidTr="00C07C2F">
        <w:trPr>
          <w:trHeight w:val="145"/>
        </w:trPr>
        <w:tc>
          <w:tcPr>
            <w:tcW w:w="1718" w:type="dxa"/>
            <w:shd w:val="clear" w:color="auto" w:fill="auto"/>
            <w:tcMar>
              <w:left w:w="0" w:type="dxa"/>
            </w:tcMar>
          </w:tcPr>
          <w:p w14:paraId="5FB676AE" w14:textId="77777777" w:rsidR="0011055D" w:rsidRDefault="0011055D" w:rsidP="00C07C2F">
            <w:pPr>
              <w:pStyle w:val="Marginlie"/>
            </w:pPr>
            <w:r>
              <w:t>Pokles míry zadlužení v zemích EU loni pokračoval, byť mírnějším tempem.</w:t>
            </w:r>
          </w:p>
          <w:p w14:paraId="75F3D157" w14:textId="77777777" w:rsidR="0011055D" w:rsidRDefault="0011055D" w:rsidP="00C07C2F">
            <w:pPr>
              <w:pStyle w:val="Marginlie"/>
            </w:pPr>
          </w:p>
          <w:p w14:paraId="25B2F888" w14:textId="77777777" w:rsidR="0011055D" w:rsidRDefault="0011055D" w:rsidP="00C07C2F">
            <w:pPr>
              <w:pStyle w:val="Marginlie"/>
            </w:pPr>
          </w:p>
          <w:p w14:paraId="5DF5520B" w14:textId="77777777" w:rsidR="0011055D" w:rsidRDefault="0011055D" w:rsidP="00C07C2F">
            <w:pPr>
              <w:pStyle w:val="Marginlie"/>
            </w:pPr>
          </w:p>
          <w:p w14:paraId="27596BA1" w14:textId="77777777" w:rsidR="0011055D" w:rsidRDefault="0011055D" w:rsidP="00C07C2F">
            <w:pPr>
              <w:pStyle w:val="Marginlie"/>
            </w:pPr>
          </w:p>
          <w:p w14:paraId="2C82CE17" w14:textId="77777777" w:rsidR="0011055D" w:rsidRDefault="0011055D" w:rsidP="00C07C2F">
            <w:pPr>
              <w:pStyle w:val="Marginlie"/>
            </w:pPr>
          </w:p>
          <w:p w14:paraId="31291096" w14:textId="77777777" w:rsidR="0011055D" w:rsidRDefault="0011055D" w:rsidP="00C07C2F">
            <w:pPr>
              <w:pStyle w:val="Marginlie"/>
            </w:pPr>
          </w:p>
          <w:p w14:paraId="0F6E283B" w14:textId="77777777" w:rsidR="0011055D" w:rsidRDefault="0011055D" w:rsidP="00C07C2F">
            <w:pPr>
              <w:pStyle w:val="Marginlie"/>
            </w:pPr>
            <w:r>
              <w:t>Míra zadlužení v Česku byla devátá nejnižší v Unii, ale její souhrnný nárůst od konce roku 2019 byl mezi státy nejvyšší.</w:t>
            </w:r>
          </w:p>
        </w:tc>
        <w:tc>
          <w:tcPr>
            <w:tcW w:w="210" w:type="dxa"/>
            <w:shd w:val="clear" w:color="auto" w:fill="auto"/>
            <w:tcMar>
              <w:left w:w="0" w:type="dxa"/>
            </w:tcMar>
          </w:tcPr>
          <w:p w14:paraId="100A1BD4" w14:textId="77777777" w:rsidR="0011055D" w:rsidRDefault="0011055D" w:rsidP="00C07C2F">
            <w:pPr>
              <w:pStyle w:val="Textpoznpodarou"/>
              <w:jc w:val="both"/>
              <w:rPr>
                <w:spacing w:val="-4"/>
              </w:rPr>
            </w:pPr>
          </w:p>
        </w:tc>
        <w:tc>
          <w:tcPr>
            <w:tcW w:w="7741" w:type="dxa"/>
            <w:shd w:val="clear" w:color="auto" w:fill="auto"/>
            <w:tcMar>
              <w:left w:w="0" w:type="dxa"/>
            </w:tcMar>
          </w:tcPr>
          <w:p w14:paraId="6EDA56ED" w14:textId="24A31F65" w:rsidR="0011055D" w:rsidRPr="0011055D" w:rsidRDefault="0011055D" w:rsidP="0011055D">
            <w:pPr>
              <w:spacing w:after="0"/>
              <w:rPr>
                <w:spacing w:val="-4"/>
              </w:rPr>
            </w:pPr>
            <w:r w:rsidRPr="0011055D">
              <w:rPr>
                <w:spacing w:val="-4"/>
              </w:rPr>
              <w:t xml:space="preserve">Na konci 3. čtvrtletí činila míra zadlužení sektoru VI v EU 82,6 % HDP, z toho </w:t>
            </w:r>
            <w:r w:rsidRPr="0011055D">
              <w:rPr>
                <w:spacing w:val="-4"/>
              </w:rPr>
              <w:br/>
              <w:t>v eurozóně 89,9 % HDP. Mezikvartální pokles zadlužení tak přetrvával 2,5 roku, byť loni probíhal pomalejším tempem. Oproti 3. čtvrtletí 2022 bylo aktuální zadlužení nižší ve dvou třetinách států Unie (v celé EU o rovné 2 p. b.), nejvíce v některých vysoce zadlužených státech – v Řecku, Portugalsku, Kypru (o více než 10 p. b.), ale rovněž např. v Irsku (−4,9</w:t>
            </w:r>
            <w:r>
              <w:rPr>
                <w:spacing w:val="-4"/>
              </w:rPr>
              <w:t> </w:t>
            </w:r>
            <w:r w:rsidRPr="0011055D">
              <w:rPr>
                <w:spacing w:val="-4"/>
              </w:rPr>
              <w:t>p.</w:t>
            </w:r>
            <w:r>
              <w:rPr>
                <w:spacing w:val="-4"/>
              </w:rPr>
              <w:t> </w:t>
            </w:r>
            <w:r w:rsidRPr="0011055D">
              <w:rPr>
                <w:spacing w:val="-4"/>
              </w:rPr>
              <w:t>b.) a Švédsku (−4,0 p. b.). Naopak ke zvýšení zadlužení došlo zejména v Belgii (ze 105,6 % na 108,0 % HDP). Míra zadlužení v Česku byla stále „jen“ poloviční vůči eurozóně a mezi státy EU devátá nejnižší (z toho pátá mezi jeho novějšími členy – po Estonsku, Bulharsku, Litvě a Lotyšsku). Oproti konci roku 2019 ale vzrostla o 14,5 p. b. (spolu s Francií nejvíce v EU), skoro třikrát více než v Německu či v průměru za Unii. Naopak osm zemí dokázalo snížit zadlužení za toto období – o více než 13 p. b. Řecko, Kypr a Irsko, mírněji také Švédsko, Dánsko a Nizozemsko. Ze středoevropských států si relativně nejlépe vedlo Polsko, kde zadlužení vzrostlo ze 45,7 % na 48,7 % HDP.</w:t>
            </w:r>
          </w:p>
        </w:tc>
      </w:tr>
    </w:tbl>
    <w:p w14:paraId="0FA9EA49" w14:textId="77777777" w:rsidR="0011055D" w:rsidRPr="002D3D35" w:rsidRDefault="0011055D" w:rsidP="0011055D">
      <w:pPr>
        <w:pStyle w:val="Nadpis11"/>
        <w:rPr>
          <w:sz w:val="2"/>
          <w:szCs w:val="2"/>
        </w:rPr>
      </w:pPr>
    </w:p>
    <w:p w14:paraId="6FD91E5A" w14:textId="797E1141" w:rsidR="00106BCC" w:rsidRPr="001C3855" w:rsidRDefault="00106BCC" w:rsidP="001E1AF1">
      <w:pPr>
        <w:pStyle w:val="Nadpis11"/>
        <w:rPr>
          <w:sz w:val="2"/>
          <w:szCs w:val="2"/>
        </w:rPr>
      </w:pPr>
    </w:p>
    <w:sectPr w:rsidR="00106BCC" w:rsidRPr="001C3855" w:rsidSect="004175B3">
      <w:headerReference w:type="even" r:id="rId14"/>
      <w:headerReference w:type="default" r:id="rId15"/>
      <w:footerReference w:type="even" r:id="rId16"/>
      <w:footerReference w:type="default" r:id="rId17"/>
      <w:pgSz w:w="11906" w:h="16838" w:code="9"/>
      <w:pgMar w:top="1134" w:right="1134" w:bottom="1418" w:left="1134" w:header="680" w:footer="737" w:gutter="0"/>
      <w:pgNumType w:start="4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1FE4C" w14:textId="77777777" w:rsidR="00F339E1" w:rsidRDefault="00F339E1" w:rsidP="00E71A58">
      <w:r>
        <w:separator/>
      </w:r>
    </w:p>
  </w:endnote>
  <w:endnote w:type="continuationSeparator" w:id="0">
    <w:p w14:paraId="7B461DB9" w14:textId="77777777" w:rsidR="00F339E1" w:rsidRDefault="00F339E1"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B6C8" w14:textId="02228541" w:rsidR="00BA5125" w:rsidRPr="00932443" w:rsidRDefault="00BA5125"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4175B3">
      <w:rPr>
        <w:szCs w:val="16"/>
      </w:rPr>
      <w:t>46</w:t>
    </w:r>
    <w:r w:rsidRPr="00932443">
      <w:rPr>
        <w:szCs w:val="16"/>
      </w:rPr>
      <w:fldChar w:fldCharType="end"/>
    </w:r>
    <w:r w:rsidRPr="00932443">
      <w:rPr>
        <w:szCs w:val="16"/>
      </w:rPr>
      <w:tab/>
    </w:r>
    <w:r>
      <w:rPr>
        <w:szCs w:val="16"/>
      </w:rPr>
      <w:t>rok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AFAF" w14:textId="1BBCA517" w:rsidR="00BA5125" w:rsidRPr="00932443" w:rsidRDefault="00BA5125" w:rsidP="00FA6CB6">
    <w:pPr>
      <w:pStyle w:val="Zpat"/>
      <w:rPr>
        <w:szCs w:val="16"/>
      </w:rPr>
    </w:pPr>
    <w:r w:rsidRPr="00FA6CB6">
      <w:rPr>
        <w:szCs w:val="16"/>
      </w:rPr>
      <w:tab/>
    </w:r>
    <w:r>
      <w:rPr>
        <w:szCs w:val="16"/>
      </w:rPr>
      <w:t>rok 202</w:t>
    </w:r>
    <w:r>
      <w:rPr>
        <w:szCs w:val="16"/>
        <w:lang w:eastAsia="cs-CZ"/>
      </w:rPr>
      <w:drawing>
        <wp:anchor distT="0" distB="0" distL="114300" distR="114300" simplePos="0" relativeHeight="251658752" behindDoc="0" locked="0" layoutInCell="1" allowOverlap="1" wp14:anchorId="2DB053DA" wp14:editId="608D8B4A">
          <wp:simplePos x="0" y="0"/>
          <wp:positionH relativeFrom="column">
            <wp:align>left</wp:align>
          </wp:positionH>
          <wp:positionV relativeFrom="paragraph">
            <wp:posOffset>-122555</wp:posOffset>
          </wp:positionV>
          <wp:extent cx="510540" cy="272415"/>
          <wp:effectExtent l="0" t="0" r="0" b="6985"/>
          <wp:wrapNone/>
          <wp:docPr id="2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3</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4175B3">
      <w:rPr>
        <w:rStyle w:val="ZpatChar"/>
        <w:szCs w:val="16"/>
      </w:rPr>
      <w:t>45</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10E5E" w14:textId="77777777" w:rsidR="00F339E1" w:rsidRDefault="00F339E1" w:rsidP="00A21B4D">
      <w:pPr>
        <w:spacing w:after="0"/>
      </w:pPr>
      <w:r>
        <w:separator/>
      </w:r>
    </w:p>
  </w:footnote>
  <w:footnote w:type="continuationSeparator" w:id="0">
    <w:p w14:paraId="16218EA7" w14:textId="77777777" w:rsidR="00F339E1" w:rsidRDefault="00F339E1" w:rsidP="00E71A58">
      <w:r>
        <w:continuationSeparator/>
      </w:r>
    </w:p>
  </w:footnote>
  <w:footnote w:id="1">
    <w:p w14:paraId="218512E7" w14:textId="77777777" w:rsidR="00BA5125" w:rsidRPr="008534DA" w:rsidRDefault="00BA5125" w:rsidP="0011055D">
      <w:pPr>
        <w:pStyle w:val="Textpoznpodarou"/>
        <w:jc w:val="both"/>
        <w:rPr>
          <w:spacing w:val="-2"/>
          <w:sz w:val="16"/>
          <w:szCs w:val="16"/>
        </w:rPr>
      </w:pPr>
      <w:r w:rsidRPr="008534DA">
        <w:rPr>
          <w:rStyle w:val="Znakapoznpodarou"/>
          <w:spacing w:val="-2"/>
          <w:sz w:val="16"/>
          <w:szCs w:val="16"/>
        </w:rPr>
        <w:footnoteRef/>
      </w:r>
      <w:r w:rsidRPr="008534DA">
        <w:rPr>
          <w:spacing w:val="-2"/>
          <w:sz w:val="16"/>
          <w:szCs w:val="16"/>
        </w:rPr>
        <w:t xml:space="preserve"> </w:t>
      </w:r>
      <w:r w:rsidRPr="008534DA">
        <w:rPr>
          <w:color w:val="0D0D0D" w:themeColor="text1" w:themeTint="F2"/>
          <w:spacing w:val="-2"/>
          <w:sz w:val="16"/>
          <w:szCs w:val="16"/>
        </w:rPr>
        <w:t xml:space="preserve">Pokud není uvedeno jinak, vycházejí všechny údaje týkající se státního rozpočtu </w:t>
      </w:r>
      <w:r w:rsidRPr="008534DA">
        <w:rPr>
          <w:rFonts w:cs="Arial"/>
          <w:color w:val="0D0D0D" w:themeColor="text1" w:themeTint="F2"/>
          <w:spacing w:val="-2"/>
          <w:sz w:val="16"/>
          <w:szCs w:val="16"/>
        </w:rPr>
        <w:t>z dat Ministerstva financí ČR o pokladním plnění.</w:t>
      </w:r>
    </w:p>
  </w:footnote>
  <w:footnote w:id="2">
    <w:p w14:paraId="0932F52C" w14:textId="77777777" w:rsidR="00BA5125" w:rsidRPr="008534DA" w:rsidRDefault="00BA5125" w:rsidP="0011055D">
      <w:pPr>
        <w:pStyle w:val="Textpoznpodarou"/>
        <w:rPr>
          <w:spacing w:val="-2"/>
          <w:sz w:val="16"/>
          <w:szCs w:val="16"/>
        </w:rPr>
      </w:pPr>
      <w:r w:rsidRPr="008534DA">
        <w:rPr>
          <w:rStyle w:val="Znakapoznpodarou"/>
          <w:spacing w:val="-2"/>
          <w:sz w:val="16"/>
          <w:szCs w:val="16"/>
        </w:rPr>
        <w:footnoteRef/>
      </w:r>
      <w:r w:rsidRPr="008534DA">
        <w:rPr>
          <w:spacing w:val="-2"/>
          <w:sz w:val="16"/>
          <w:szCs w:val="16"/>
        </w:rPr>
        <w:t xml:space="preserve"> Dle zákona č. 449/2023 Sb., o státní</w:t>
      </w:r>
      <w:r>
        <w:rPr>
          <w:spacing w:val="-2"/>
          <w:sz w:val="16"/>
          <w:szCs w:val="16"/>
        </w:rPr>
        <w:t>m rozpočtu na rok 2023 (z 30. listopadu 2022) očekávajícího pro loňský rok schodek</w:t>
      </w:r>
      <w:r w:rsidRPr="008534DA">
        <w:rPr>
          <w:spacing w:val="-2"/>
          <w:sz w:val="16"/>
          <w:szCs w:val="16"/>
        </w:rPr>
        <w:t xml:space="preserve"> 295 mld. korun. </w:t>
      </w:r>
    </w:p>
  </w:footnote>
  <w:footnote w:id="3">
    <w:p w14:paraId="02F456E1" w14:textId="77777777" w:rsidR="00BA5125" w:rsidRPr="008534DA" w:rsidRDefault="00BA5125" w:rsidP="0011055D">
      <w:pPr>
        <w:autoSpaceDE w:val="0"/>
        <w:autoSpaceDN w:val="0"/>
        <w:adjustRightInd w:val="0"/>
        <w:spacing w:after="0" w:line="240" w:lineRule="auto"/>
        <w:jc w:val="left"/>
        <w:rPr>
          <w:rFonts w:eastAsia="Calibri" w:cs="Arial"/>
          <w:spacing w:val="-2"/>
          <w:sz w:val="16"/>
          <w:szCs w:val="16"/>
          <w:lang w:eastAsia="en-US"/>
        </w:rPr>
      </w:pPr>
      <w:r w:rsidRPr="008534DA">
        <w:rPr>
          <w:rStyle w:val="Znakapoznpodarou"/>
          <w:spacing w:val="-2"/>
          <w:sz w:val="16"/>
          <w:szCs w:val="16"/>
        </w:rPr>
        <w:footnoteRef/>
      </w:r>
      <w:r w:rsidRPr="008534DA">
        <w:rPr>
          <w:spacing w:val="-2"/>
          <w:sz w:val="16"/>
          <w:szCs w:val="16"/>
        </w:rPr>
        <w:t xml:space="preserve"> Jde o prostředky na programy/</w:t>
      </w:r>
      <w:r w:rsidRPr="008534DA">
        <w:rPr>
          <w:rFonts w:cs="Arial"/>
          <w:spacing w:val="-2"/>
          <w:sz w:val="16"/>
          <w:szCs w:val="16"/>
        </w:rPr>
        <w:t>projekty z rozpočtu EU a FM, které byly předfinancovány ze SR a následně postupně proplaceny z</w:t>
      </w:r>
      <w:r w:rsidRPr="008534DA">
        <w:rPr>
          <w:spacing w:val="-2"/>
          <w:sz w:val="16"/>
          <w:szCs w:val="16"/>
        </w:rPr>
        <w:t> </w:t>
      </w:r>
      <w:r w:rsidRPr="008534DA">
        <w:rPr>
          <w:rFonts w:cs="Arial"/>
          <w:spacing w:val="-2"/>
          <w:sz w:val="16"/>
          <w:szCs w:val="16"/>
        </w:rPr>
        <w:t xml:space="preserve">rozpočtu EU a FM. </w:t>
      </w:r>
      <w:r w:rsidRPr="008534DA">
        <w:rPr>
          <w:rFonts w:eastAsia="Calibri" w:cs="Arial"/>
          <w:spacing w:val="-2"/>
          <w:sz w:val="16"/>
          <w:szCs w:val="16"/>
          <w:lang w:eastAsia="en-US"/>
        </w:rPr>
        <w:t xml:space="preserve">Bez těchto prostředků, které jsou ve schváleném SR zahrnuty s neutrálním dopadem, </w:t>
      </w:r>
      <w:r w:rsidRPr="008534DA">
        <w:rPr>
          <w:rFonts w:cs="Arial"/>
          <w:spacing w:val="-2"/>
          <w:sz w:val="16"/>
          <w:szCs w:val="16"/>
          <w:lang w:eastAsia="en-US"/>
        </w:rPr>
        <w:t xml:space="preserve">činil loňský </w:t>
      </w:r>
      <w:r w:rsidRPr="008534DA">
        <w:rPr>
          <w:rFonts w:eastAsia="Calibri" w:cs="Arial"/>
          <w:spacing w:val="-2"/>
          <w:sz w:val="16"/>
          <w:szCs w:val="16"/>
          <w:lang w:eastAsia="en-US"/>
        </w:rPr>
        <w:t xml:space="preserve">schodek </w:t>
      </w:r>
      <w:r w:rsidRPr="008534DA">
        <w:rPr>
          <w:rFonts w:cs="Arial"/>
          <w:spacing w:val="-2"/>
          <w:sz w:val="16"/>
          <w:szCs w:val="16"/>
          <w:lang w:eastAsia="en-US"/>
        </w:rPr>
        <w:t>299,4</w:t>
      </w:r>
      <w:r w:rsidRPr="008534DA">
        <w:rPr>
          <w:rFonts w:eastAsia="Calibri" w:cs="Arial"/>
          <w:spacing w:val="-2"/>
          <w:sz w:val="16"/>
          <w:szCs w:val="16"/>
          <w:lang w:eastAsia="en-US"/>
        </w:rPr>
        <w:t xml:space="preserve"> mld. korun (meziročně o 17,3 mld. méně).</w:t>
      </w:r>
    </w:p>
  </w:footnote>
  <w:footnote w:id="4">
    <w:p w14:paraId="72B5AA8F" w14:textId="77777777" w:rsidR="00BA5125" w:rsidRPr="008534DA" w:rsidRDefault="00BA5125" w:rsidP="0011055D">
      <w:pPr>
        <w:pStyle w:val="Textpoznpodarou"/>
        <w:rPr>
          <w:spacing w:val="-2"/>
          <w:sz w:val="16"/>
          <w:szCs w:val="16"/>
        </w:rPr>
      </w:pPr>
      <w:r w:rsidRPr="008534DA">
        <w:rPr>
          <w:rStyle w:val="Znakapoznpodarou"/>
          <w:spacing w:val="-2"/>
          <w:sz w:val="16"/>
          <w:szCs w:val="16"/>
        </w:rPr>
        <w:footnoteRef/>
      </w:r>
      <w:r w:rsidRPr="008534DA">
        <w:rPr>
          <w:spacing w:val="-2"/>
          <w:sz w:val="16"/>
          <w:szCs w:val="16"/>
        </w:rPr>
        <w:t xml:space="preserve"> Od ledna do května byl v úhrnu vykázán rekordní schodek 271,4 mld. korun. Naopak od června do září dosahoval přebytek 90,6 mld.</w:t>
      </w:r>
    </w:p>
  </w:footnote>
  <w:footnote w:id="5">
    <w:p w14:paraId="3E5D3254" w14:textId="77777777" w:rsidR="00BA5125" w:rsidRPr="008534DA" w:rsidRDefault="00BA5125" w:rsidP="0011055D">
      <w:pPr>
        <w:pStyle w:val="Textpoznpodarou"/>
        <w:rPr>
          <w:spacing w:val="-2"/>
          <w:sz w:val="16"/>
          <w:szCs w:val="16"/>
        </w:rPr>
      </w:pPr>
      <w:r w:rsidRPr="008534DA">
        <w:rPr>
          <w:rStyle w:val="Znakapoznpodarou"/>
          <w:spacing w:val="-2"/>
          <w:sz w:val="16"/>
          <w:szCs w:val="16"/>
        </w:rPr>
        <w:footnoteRef/>
      </w:r>
      <w:r w:rsidRPr="008534DA">
        <w:rPr>
          <w:spacing w:val="-2"/>
          <w:sz w:val="16"/>
          <w:szCs w:val="16"/>
        </w:rPr>
        <w:t xml:space="preserve"> Jde o pojistné na sociální zabezpečení a aktivní politiku zaměstnanosti.</w:t>
      </w:r>
    </w:p>
  </w:footnote>
  <w:footnote w:id="6">
    <w:p w14:paraId="18608D2C" w14:textId="77777777" w:rsidR="00BA5125" w:rsidRPr="008534DA" w:rsidRDefault="00BA5125" w:rsidP="0011055D">
      <w:pPr>
        <w:pStyle w:val="Textpoznpodarou"/>
        <w:rPr>
          <w:spacing w:val="-2"/>
          <w:sz w:val="16"/>
          <w:szCs w:val="16"/>
        </w:rPr>
      </w:pPr>
      <w:r w:rsidRPr="008534DA">
        <w:rPr>
          <w:rStyle w:val="Znakapoznpodarou"/>
          <w:spacing w:val="-2"/>
          <w:sz w:val="16"/>
          <w:szCs w:val="16"/>
        </w:rPr>
        <w:footnoteRef/>
      </w:r>
      <w:r w:rsidRPr="008534DA">
        <w:rPr>
          <w:spacing w:val="-2"/>
          <w:sz w:val="16"/>
          <w:szCs w:val="16"/>
        </w:rPr>
        <w:t xml:space="preserve"> To se projevovalo slábnoucím růstovým tempem u zaměstnanosti i nominálních průměrných mezd. </w:t>
      </w:r>
      <w:r>
        <w:rPr>
          <w:spacing w:val="-2"/>
          <w:sz w:val="16"/>
          <w:szCs w:val="16"/>
        </w:rPr>
        <w:t xml:space="preserve">Vedle toho působilo na výběr pojistného i </w:t>
      </w:r>
      <w:r w:rsidRPr="002C56E1">
        <w:rPr>
          <w:spacing w:val="-2"/>
          <w:sz w:val="16"/>
          <w:szCs w:val="16"/>
        </w:rPr>
        <w:t>z</w:t>
      </w:r>
      <w:r>
        <w:rPr>
          <w:spacing w:val="-2"/>
          <w:sz w:val="16"/>
          <w:szCs w:val="16"/>
        </w:rPr>
        <w:t>avedení slevy p</w:t>
      </w:r>
      <w:r w:rsidRPr="00F7046D">
        <w:rPr>
          <w:sz w:val="16"/>
          <w:szCs w:val="16"/>
        </w:rPr>
        <w:t xml:space="preserve">ro zaměstnavatele poskytující kratší úvazky </w:t>
      </w:r>
      <w:r>
        <w:rPr>
          <w:sz w:val="16"/>
          <w:szCs w:val="16"/>
        </w:rPr>
        <w:t xml:space="preserve">vybraným skupinám zaměstnanců (např. </w:t>
      </w:r>
      <w:r w:rsidRPr="00F7046D">
        <w:rPr>
          <w:sz w:val="16"/>
          <w:szCs w:val="16"/>
        </w:rPr>
        <w:t>rodičům m</w:t>
      </w:r>
      <w:r>
        <w:rPr>
          <w:sz w:val="16"/>
          <w:szCs w:val="16"/>
        </w:rPr>
        <w:t>enších dětí, osobám pečujícím o</w:t>
      </w:r>
      <w:r w:rsidRPr="00F7046D">
        <w:rPr>
          <w:sz w:val="16"/>
          <w:szCs w:val="16"/>
        </w:rPr>
        <w:t xml:space="preserve"> své blízké či lidem nad 55 let</w:t>
      </w:r>
      <w:r>
        <w:rPr>
          <w:sz w:val="16"/>
          <w:szCs w:val="16"/>
        </w:rPr>
        <w:t xml:space="preserve">) nebo zvýšení sazeb odvodů u rizikových profesí. </w:t>
      </w:r>
    </w:p>
  </w:footnote>
  <w:footnote w:id="7">
    <w:p w14:paraId="4B147D7E" w14:textId="77777777" w:rsidR="00BA5125" w:rsidRPr="008534DA" w:rsidRDefault="00BA5125" w:rsidP="0011055D">
      <w:pPr>
        <w:pStyle w:val="Textpoznpodarou"/>
        <w:rPr>
          <w:spacing w:val="-2"/>
        </w:rPr>
      </w:pPr>
      <w:r w:rsidRPr="008534DA">
        <w:rPr>
          <w:rStyle w:val="Znakapoznpodarou"/>
          <w:spacing w:val="-2"/>
          <w:sz w:val="16"/>
          <w:szCs w:val="16"/>
        </w:rPr>
        <w:footnoteRef/>
      </w:r>
      <w:r w:rsidRPr="008534DA">
        <w:rPr>
          <w:spacing w:val="-2"/>
        </w:rPr>
        <w:t xml:space="preserve"> </w:t>
      </w:r>
      <w:r w:rsidRPr="008534DA">
        <w:rPr>
          <w:spacing w:val="-2"/>
          <w:sz w:val="16"/>
          <w:szCs w:val="16"/>
        </w:rPr>
        <w:t>Celoroční výnos těchto dočasně zavedených „sektorových“ daní u podniků z neočekávaných zisků a odvodů z nadměrných příjmů se prvotně odhadoval na 100 mld. korun. U jeho klíčové složky – daně z neočekávaných zisků – byl původní rozpočtový od</w:t>
      </w:r>
      <w:r>
        <w:rPr>
          <w:spacing w:val="-2"/>
          <w:sz w:val="16"/>
          <w:szCs w:val="16"/>
        </w:rPr>
        <w:t>had celoročního inkasa již loni</w:t>
      </w:r>
      <w:r w:rsidRPr="008534DA">
        <w:rPr>
          <w:spacing w:val="-2"/>
          <w:sz w:val="16"/>
          <w:szCs w:val="16"/>
        </w:rPr>
        <w:t xml:space="preserve"> v dubnu revidován (z 85 mld. korun na 28 mld.), v srpnu došlo k dílčí korekci očekáv</w:t>
      </w:r>
      <w:r>
        <w:rPr>
          <w:spacing w:val="-2"/>
          <w:sz w:val="16"/>
          <w:szCs w:val="16"/>
        </w:rPr>
        <w:t>a</w:t>
      </w:r>
      <w:r w:rsidRPr="008534DA">
        <w:rPr>
          <w:spacing w:val="-2"/>
          <w:sz w:val="16"/>
          <w:szCs w:val="16"/>
        </w:rPr>
        <w:t>ného výnosu (na 46 mld. korun).</w:t>
      </w:r>
    </w:p>
  </w:footnote>
  <w:footnote w:id="8">
    <w:p w14:paraId="6C1F2090" w14:textId="77777777" w:rsidR="00BA5125" w:rsidRPr="008534DA" w:rsidRDefault="00BA5125" w:rsidP="0011055D">
      <w:pPr>
        <w:pStyle w:val="Textpoznpodarou"/>
        <w:rPr>
          <w:spacing w:val="-2"/>
          <w:sz w:val="16"/>
          <w:szCs w:val="16"/>
        </w:rPr>
      </w:pPr>
      <w:r w:rsidRPr="008534DA">
        <w:rPr>
          <w:rStyle w:val="Znakapoznpodarou"/>
          <w:spacing w:val="-2"/>
          <w:sz w:val="16"/>
          <w:szCs w:val="16"/>
        </w:rPr>
        <w:footnoteRef/>
      </w:r>
      <w:r w:rsidRPr="008534DA">
        <w:rPr>
          <w:spacing w:val="-2"/>
          <w:sz w:val="16"/>
          <w:szCs w:val="16"/>
        </w:rPr>
        <w:t xml:space="preserve"> Ta se týká energetických, petrochemických a těžebních firem a zahrnuje rovněž velké banky. Drtivá většina inkasa této daně (88 %) </w:t>
      </w:r>
      <w:r>
        <w:rPr>
          <w:spacing w:val="-2"/>
          <w:sz w:val="16"/>
          <w:szCs w:val="16"/>
        </w:rPr>
        <w:t xml:space="preserve">ovšem </w:t>
      </w:r>
      <w:r w:rsidRPr="008534DA">
        <w:rPr>
          <w:spacing w:val="-2"/>
          <w:sz w:val="16"/>
          <w:szCs w:val="16"/>
        </w:rPr>
        <w:t xml:space="preserve">plynula do SR </w:t>
      </w:r>
      <w:r>
        <w:rPr>
          <w:spacing w:val="-2"/>
          <w:sz w:val="16"/>
          <w:szCs w:val="16"/>
        </w:rPr>
        <w:t xml:space="preserve">jen </w:t>
      </w:r>
      <w:r w:rsidRPr="008534DA">
        <w:rPr>
          <w:spacing w:val="-2"/>
          <w:sz w:val="16"/>
          <w:szCs w:val="16"/>
        </w:rPr>
        <w:t xml:space="preserve">z odvětví energetiky. </w:t>
      </w:r>
    </w:p>
  </w:footnote>
  <w:footnote w:id="9">
    <w:p w14:paraId="013133B2" w14:textId="77777777" w:rsidR="00BA5125" w:rsidRPr="008B3D4E" w:rsidRDefault="00BA5125" w:rsidP="0011055D">
      <w:pPr>
        <w:pStyle w:val="Textpoznpodarou"/>
        <w:rPr>
          <w:sz w:val="16"/>
          <w:szCs w:val="16"/>
        </w:rPr>
      </w:pPr>
      <w:r w:rsidRPr="008534DA">
        <w:rPr>
          <w:rStyle w:val="Znakapoznpodarou"/>
          <w:spacing w:val="-2"/>
          <w:sz w:val="16"/>
          <w:szCs w:val="16"/>
        </w:rPr>
        <w:footnoteRef/>
      </w:r>
      <w:r w:rsidRPr="008534DA">
        <w:rPr>
          <w:spacing w:val="-2"/>
          <w:sz w:val="16"/>
          <w:szCs w:val="16"/>
        </w:rPr>
        <w:t xml:space="preserve"> Tento odvod (zdaněný 90% sazbou) představuje rozdíl mezi skutečným příjmem a stropem tržního příjmu z prodeje elektřiny nad stanovenou hranici (za období od 1. prosince 2022 do konce roku 2023).</w:t>
      </w:r>
    </w:p>
  </w:footnote>
  <w:footnote w:id="10">
    <w:p w14:paraId="5798DF0C" w14:textId="77777777" w:rsidR="00BA5125" w:rsidRPr="00734FD6" w:rsidRDefault="00BA5125" w:rsidP="0011055D">
      <w:pPr>
        <w:pStyle w:val="Textpoznpodarou"/>
        <w:rPr>
          <w:sz w:val="16"/>
          <w:szCs w:val="16"/>
        </w:rPr>
      </w:pPr>
      <w:r w:rsidRPr="00734FD6">
        <w:rPr>
          <w:rStyle w:val="Znakapoznpodarou"/>
          <w:sz w:val="16"/>
          <w:szCs w:val="16"/>
        </w:rPr>
        <w:footnoteRef/>
      </w:r>
      <w:r w:rsidRPr="00734FD6">
        <w:rPr>
          <w:sz w:val="16"/>
          <w:szCs w:val="16"/>
        </w:rPr>
        <w:t xml:space="preserve"> </w:t>
      </w:r>
      <w:r w:rsidRPr="008534DA">
        <w:rPr>
          <w:spacing w:val="-4"/>
          <w:sz w:val="16"/>
          <w:szCs w:val="16"/>
        </w:rPr>
        <w:t xml:space="preserve">Hrubý provozní přebytek nefinančních podniků se v roce 2022 meziročně zvýšil o 16 % (obdobně vzrostl také v 1. až 3. čtvrtletí 2023), míra zisku těchto podniků činila v roce 2022 rovných 47 %, v 1. až 3. čtvrtletí </w:t>
      </w:r>
      <w:r>
        <w:rPr>
          <w:spacing w:val="-4"/>
          <w:sz w:val="16"/>
          <w:szCs w:val="16"/>
        </w:rPr>
        <w:t xml:space="preserve">2023 pak </w:t>
      </w:r>
      <w:r w:rsidRPr="008534DA">
        <w:rPr>
          <w:spacing w:val="-4"/>
          <w:sz w:val="16"/>
          <w:szCs w:val="16"/>
        </w:rPr>
        <w:t>48,7 %.</w:t>
      </w:r>
    </w:p>
  </w:footnote>
  <w:footnote w:id="11">
    <w:p w14:paraId="1EB1AFB8" w14:textId="77777777" w:rsidR="00BA5125" w:rsidRPr="008534DA" w:rsidRDefault="00BA5125" w:rsidP="0011055D">
      <w:pPr>
        <w:pStyle w:val="Textpoznpodarou"/>
        <w:rPr>
          <w:spacing w:val="-6"/>
          <w:sz w:val="16"/>
          <w:szCs w:val="16"/>
        </w:rPr>
      </w:pPr>
      <w:r w:rsidRPr="008534DA">
        <w:rPr>
          <w:rStyle w:val="Znakapoznpodarou"/>
          <w:spacing w:val="-6"/>
          <w:sz w:val="16"/>
          <w:szCs w:val="16"/>
        </w:rPr>
        <w:footnoteRef/>
      </w:r>
      <w:r w:rsidRPr="008534DA">
        <w:rPr>
          <w:spacing w:val="-6"/>
          <w:sz w:val="16"/>
          <w:szCs w:val="16"/>
        </w:rPr>
        <w:t xml:space="preserve"> Celostátní inkaso DPFO ze závislé činnosti (na úrovni všech veřejných rozpočtů) se loni nacházelo jen mírně nad úrovní roku 2017 a za rekordní výší z roku 2019 zaostávalo o 18 %. Klíčovou roli zde sehrálo snížení daňového zatížení práce od roku 2021 (zrušení tzv. superhrubé mzdy).</w:t>
      </w:r>
    </w:p>
  </w:footnote>
  <w:footnote w:id="12">
    <w:p w14:paraId="21AEFB6A" w14:textId="77777777" w:rsidR="00BA5125" w:rsidRPr="00855CAD" w:rsidRDefault="00BA5125" w:rsidP="0011055D">
      <w:pPr>
        <w:pStyle w:val="Textpoznpodarou"/>
        <w:rPr>
          <w:sz w:val="16"/>
          <w:szCs w:val="16"/>
        </w:rPr>
      </w:pPr>
      <w:r w:rsidRPr="00855CAD">
        <w:rPr>
          <w:rStyle w:val="Znakapoznpodarou"/>
          <w:sz w:val="16"/>
          <w:szCs w:val="16"/>
        </w:rPr>
        <w:footnoteRef/>
      </w:r>
      <w:r w:rsidRPr="00855CAD">
        <w:rPr>
          <w:sz w:val="16"/>
          <w:szCs w:val="16"/>
        </w:rPr>
        <w:t xml:space="preserve"> Reálné výdaje na konečnou spotřebu tuzemských domácností se na konci loňského roku oproti 3. čtvrtletí mírně zvýšily a pokles výdajů v meziročním srovnání (trvající nepřetržitě takřka dva roky) se fakticky zastavil.</w:t>
      </w:r>
    </w:p>
  </w:footnote>
  <w:footnote w:id="13">
    <w:p w14:paraId="50EFD59E" w14:textId="77777777" w:rsidR="00BA5125" w:rsidRPr="00694B41" w:rsidRDefault="00BA5125" w:rsidP="0011055D">
      <w:pPr>
        <w:pStyle w:val="Textpoznpodarou"/>
        <w:rPr>
          <w:sz w:val="16"/>
          <w:szCs w:val="16"/>
        </w:rPr>
      </w:pPr>
      <w:r w:rsidRPr="00694B41">
        <w:rPr>
          <w:rStyle w:val="Znakapoznpodarou"/>
          <w:sz w:val="16"/>
          <w:szCs w:val="16"/>
        </w:rPr>
        <w:footnoteRef/>
      </w:r>
      <w:r w:rsidRPr="00694B41">
        <w:rPr>
          <w:sz w:val="16"/>
          <w:szCs w:val="16"/>
        </w:rPr>
        <w:t xml:space="preserve"> Jde o zvýšení </w:t>
      </w:r>
      <w:r>
        <w:rPr>
          <w:sz w:val="16"/>
          <w:szCs w:val="16"/>
        </w:rPr>
        <w:t>z</w:t>
      </w:r>
      <w:r w:rsidRPr="00694B41">
        <w:rPr>
          <w:sz w:val="16"/>
          <w:szCs w:val="16"/>
        </w:rPr>
        <w:t> 1 na 2 mil. korun, které vstoupilo v platnost od ledna 2023.</w:t>
      </w:r>
      <w:r>
        <w:rPr>
          <w:sz w:val="16"/>
          <w:szCs w:val="16"/>
        </w:rPr>
        <w:t xml:space="preserve"> To se spolu s rozšířením paušálního režimu odrazilo v meziročním poklesu počtu plátců DPH.</w:t>
      </w:r>
    </w:p>
  </w:footnote>
  <w:footnote w:id="14">
    <w:p w14:paraId="1BE2EC83" w14:textId="77777777" w:rsidR="00BA5125" w:rsidRPr="002F5A4D" w:rsidRDefault="00BA5125" w:rsidP="0011055D">
      <w:pPr>
        <w:pStyle w:val="Textpoznpodarou"/>
        <w:rPr>
          <w:sz w:val="16"/>
          <w:szCs w:val="16"/>
        </w:rPr>
      </w:pPr>
      <w:r w:rsidRPr="002F5A4D">
        <w:rPr>
          <w:rStyle w:val="Znakapoznpodarou"/>
          <w:sz w:val="16"/>
          <w:szCs w:val="16"/>
        </w:rPr>
        <w:footnoteRef/>
      </w:r>
      <w:r w:rsidRPr="002F5A4D">
        <w:rPr>
          <w:sz w:val="16"/>
          <w:szCs w:val="16"/>
        </w:rPr>
        <w:t xml:space="preserve"> Ta zahrnuje i </w:t>
      </w:r>
      <w:r w:rsidRPr="002F5A4D">
        <w:rPr>
          <w:color w:val="0D0D0D" w:themeColor="text1" w:themeTint="F2"/>
          <w:spacing w:val="-4"/>
          <w:sz w:val="16"/>
          <w:szCs w:val="16"/>
        </w:rPr>
        <w:t>energetické daně a daň z digitálních služeb.</w:t>
      </w:r>
    </w:p>
  </w:footnote>
  <w:footnote w:id="15">
    <w:p w14:paraId="6B981675" w14:textId="77777777" w:rsidR="00BA5125" w:rsidRPr="00586349" w:rsidRDefault="00BA5125" w:rsidP="0011055D">
      <w:pPr>
        <w:pStyle w:val="Textpoznpodarou"/>
        <w:rPr>
          <w:sz w:val="16"/>
          <w:szCs w:val="16"/>
        </w:rPr>
      </w:pPr>
      <w:r w:rsidRPr="00586349">
        <w:rPr>
          <w:rStyle w:val="Znakapoznpodarou"/>
          <w:sz w:val="16"/>
          <w:szCs w:val="16"/>
        </w:rPr>
        <w:footnoteRef/>
      </w:r>
      <w:r w:rsidRPr="00586349">
        <w:rPr>
          <w:sz w:val="16"/>
          <w:szCs w:val="16"/>
        </w:rPr>
        <w:t xml:space="preserve"> Výběr spotřební daně ze zahř</w:t>
      </w:r>
      <w:r>
        <w:rPr>
          <w:sz w:val="16"/>
          <w:szCs w:val="16"/>
        </w:rPr>
        <w:t>ívaných tabákových výrobků loni</w:t>
      </w:r>
      <w:r w:rsidRPr="00586349">
        <w:rPr>
          <w:sz w:val="16"/>
          <w:szCs w:val="16"/>
        </w:rPr>
        <w:t xml:space="preserve"> za tři čtvrtletí meziročně stoupl o 8,3 %.</w:t>
      </w:r>
    </w:p>
  </w:footnote>
  <w:footnote w:id="16">
    <w:p w14:paraId="44A28189" w14:textId="77777777" w:rsidR="00BA5125" w:rsidRDefault="00BA5125" w:rsidP="0011055D">
      <w:pPr>
        <w:pStyle w:val="Textpoznpodarou"/>
      </w:pPr>
      <w:r w:rsidRPr="00441D45">
        <w:rPr>
          <w:rStyle w:val="Znakapoznpodarou"/>
          <w:sz w:val="16"/>
          <w:szCs w:val="16"/>
        </w:rPr>
        <w:footnoteRef/>
      </w:r>
      <w:r w:rsidRPr="00441D45">
        <w:rPr>
          <w:sz w:val="16"/>
          <w:szCs w:val="16"/>
        </w:rPr>
        <w:t xml:space="preserve"> K t</w:t>
      </w:r>
      <w:r>
        <w:rPr>
          <w:sz w:val="16"/>
          <w:szCs w:val="16"/>
        </w:rPr>
        <w:t>omuto zvýšení došlo loni od</w:t>
      </w:r>
      <w:r w:rsidRPr="00441D45">
        <w:rPr>
          <w:sz w:val="16"/>
          <w:szCs w:val="16"/>
        </w:rPr>
        <w:t xml:space="preserve"> srpna (o 1,5 korun na litr). Sazba spotřební daně z motorové nafty se tak vrátila na původní výši </w:t>
      </w:r>
      <w:r>
        <w:rPr>
          <w:sz w:val="16"/>
          <w:szCs w:val="16"/>
        </w:rPr>
        <w:br/>
      </w:r>
      <w:r w:rsidRPr="00441D45">
        <w:rPr>
          <w:sz w:val="16"/>
          <w:szCs w:val="16"/>
        </w:rPr>
        <w:t>(9,95 korun/l) platnou do května 2022.</w:t>
      </w:r>
      <w:r>
        <w:rPr>
          <w:sz w:val="16"/>
          <w:szCs w:val="16"/>
        </w:rPr>
        <w:t xml:space="preserve"> O</w:t>
      </w:r>
      <w:r w:rsidRPr="00C2781C">
        <w:rPr>
          <w:sz w:val="16"/>
          <w:szCs w:val="16"/>
        </w:rPr>
        <w:t>d 1. června 2022 do 30. září 2022 byla také snížena i spotřební daň z bezolovnatého benzínu.</w:t>
      </w:r>
    </w:p>
  </w:footnote>
  <w:footnote w:id="17">
    <w:p w14:paraId="29504880" w14:textId="77777777" w:rsidR="00BA5125" w:rsidRPr="003579AA" w:rsidRDefault="00BA5125" w:rsidP="0011055D">
      <w:pPr>
        <w:spacing w:after="0" w:line="240" w:lineRule="auto"/>
        <w:rPr>
          <w:spacing w:val="-4"/>
        </w:rPr>
      </w:pPr>
      <w:r w:rsidRPr="003579AA">
        <w:rPr>
          <w:rStyle w:val="Znakapoznpodarou"/>
          <w:spacing w:val="-4"/>
          <w:sz w:val="16"/>
          <w:szCs w:val="16"/>
        </w:rPr>
        <w:footnoteRef/>
      </w:r>
      <w:r w:rsidRPr="003579AA">
        <w:rPr>
          <w:spacing w:val="-4"/>
          <w:sz w:val="16"/>
          <w:szCs w:val="16"/>
        </w:rPr>
        <w:t xml:space="preserve"> </w:t>
      </w:r>
      <w:r w:rsidRPr="003579AA">
        <w:rPr>
          <w:rFonts w:eastAsia="Calibri"/>
          <w:spacing w:val="-4"/>
          <w:sz w:val="16"/>
          <w:szCs w:val="16"/>
        </w:rPr>
        <w:t>Dle údajů ČSÚ vzrostla od ledna do listopadu 2023 spotřeba motorové nafty o 1,3 %, motorového benzínu o 6,0</w:t>
      </w:r>
      <w:r>
        <w:rPr>
          <w:rFonts w:eastAsia="Calibri"/>
          <w:spacing w:val="-4"/>
          <w:sz w:val="16"/>
          <w:szCs w:val="16"/>
        </w:rPr>
        <w:t xml:space="preserve"> % a leteckého petroleje </w:t>
      </w:r>
      <w:r>
        <w:rPr>
          <w:rFonts w:eastAsia="Calibri"/>
          <w:spacing w:val="-4"/>
          <w:sz w:val="16"/>
          <w:szCs w:val="16"/>
        </w:rPr>
        <w:br/>
        <w:t>o</w:t>
      </w:r>
      <w:r w:rsidRPr="008D661B">
        <w:rPr>
          <w:sz w:val="16"/>
          <w:szCs w:val="16"/>
        </w:rPr>
        <w:t> </w:t>
      </w:r>
      <w:r w:rsidRPr="003579AA">
        <w:rPr>
          <w:rFonts w:eastAsia="Calibri"/>
          <w:spacing w:val="-4"/>
          <w:sz w:val="16"/>
          <w:szCs w:val="16"/>
        </w:rPr>
        <w:t>25</w:t>
      </w:r>
      <w:r>
        <w:rPr>
          <w:rFonts w:eastAsia="Calibri"/>
          <w:spacing w:val="-4"/>
          <w:sz w:val="16"/>
          <w:szCs w:val="16"/>
        </w:rPr>
        <w:t xml:space="preserve"> </w:t>
      </w:r>
      <w:r w:rsidRPr="008D661B">
        <w:rPr>
          <w:sz w:val="16"/>
          <w:szCs w:val="16"/>
        </w:rPr>
        <w:t> </w:t>
      </w:r>
      <w:r w:rsidRPr="003579AA">
        <w:rPr>
          <w:rFonts w:eastAsia="Calibri"/>
          <w:spacing w:val="-4"/>
          <w:sz w:val="16"/>
          <w:szCs w:val="16"/>
        </w:rPr>
        <w:t>%. Pokles nastal u ostatních ropných produktů (zahrnujících např. rafinérský plyn, letecký, technický benzin, parafín a vosky, ropný koks).</w:t>
      </w:r>
    </w:p>
  </w:footnote>
  <w:footnote w:id="18">
    <w:p w14:paraId="07FA2747" w14:textId="4CC5BF40" w:rsidR="00BA5125" w:rsidRPr="00FE73A1" w:rsidRDefault="00BA5125" w:rsidP="0011055D">
      <w:pPr>
        <w:pStyle w:val="Textpoznpodarou"/>
        <w:rPr>
          <w:sz w:val="16"/>
          <w:szCs w:val="16"/>
        </w:rPr>
      </w:pPr>
      <w:r w:rsidRPr="00FE73A1">
        <w:rPr>
          <w:rStyle w:val="Znakapoznpodarou"/>
          <w:sz w:val="16"/>
          <w:szCs w:val="16"/>
        </w:rPr>
        <w:footnoteRef/>
      </w:r>
      <w:r w:rsidRPr="00FE73A1">
        <w:rPr>
          <w:sz w:val="16"/>
          <w:szCs w:val="16"/>
        </w:rPr>
        <w:t xml:space="preserve"> Drtivá většina loňskýc</w:t>
      </w:r>
      <w:r>
        <w:rPr>
          <w:sz w:val="16"/>
          <w:szCs w:val="16"/>
        </w:rPr>
        <w:t>h příjmů se vztahovala k předchozí</w:t>
      </w:r>
      <w:r w:rsidRPr="00FE73A1">
        <w:rPr>
          <w:sz w:val="16"/>
          <w:szCs w:val="16"/>
        </w:rPr>
        <w:t>mu programovému období (2014+). Váhově nejvýznamnější příjmy ze strukturálních fondů dosáhly 51,0 mld. korun (meziročně klesly potřetí v řadě, naposledy o 18,6 %). O více než desetinu se snížily prostředky na rozvoj venkova</w:t>
      </w:r>
      <w:r>
        <w:rPr>
          <w:sz w:val="16"/>
          <w:szCs w:val="16"/>
        </w:rPr>
        <w:t xml:space="preserve"> (na 7,2 mld.)</w:t>
      </w:r>
      <w:r w:rsidRPr="00FE73A1">
        <w:rPr>
          <w:sz w:val="16"/>
          <w:szCs w:val="16"/>
        </w:rPr>
        <w:t>, naopak přímé platy v zemědělství zůstávaly tr</w:t>
      </w:r>
      <w:r>
        <w:rPr>
          <w:sz w:val="16"/>
          <w:szCs w:val="16"/>
        </w:rPr>
        <w:t>adičně stabilní (20,5 mld.</w:t>
      </w:r>
      <w:r w:rsidRPr="00FE73A1">
        <w:rPr>
          <w:sz w:val="16"/>
          <w:szCs w:val="16"/>
        </w:rPr>
        <w:t xml:space="preserve">). Z fondu soudržnosti získala ČR loni 30 mld. korun, meziročně téměř o polovinu více. </w:t>
      </w:r>
    </w:p>
  </w:footnote>
  <w:footnote w:id="19">
    <w:p w14:paraId="22C17AEE" w14:textId="77777777" w:rsidR="00BA5125" w:rsidRPr="008D661B" w:rsidRDefault="00BA5125" w:rsidP="0011055D">
      <w:pPr>
        <w:pStyle w:val="Textpoznpodarou"/>
        <w:rPr>
          <w:sz w:val="16"/>
          <w:szCs w:val="16"/>
        </w:rPr>
      </w:pPr>
      <w:r w:rsidRPr="008D661B">
        <w:rPr>
          <w:rStyle w:val="Znakapoznpodarou"/>
          <w:sz w:val="16"/>
          <w:szCs w:val="16"/>
        </w:rPr>
        <w:footnoteRef/>
      </w:r>
      <w:r>
        <w:rPr>
          <w:sz w:val="16"/>
          <w:szCs w:val="16"/>
        </w:rPr>
        <w:t xml:space="preserve"> Loni</w:t>
      </w:r>
      <w:r w:rsidRPr="008D661B">
        <w:rPr>
          <w:sz w:val="16"/>
          <w:szCs w:val="16"/>
        </w:rPr>
        <w:t xml:space="preserve"> v lednu se průměrný starobní důchod při řádné valorizaci zvýšil o 4,7 %, v červnu při mimořádném zvýšení </w:t>
      </w:r>
      <w:r w:rsidRPr="008D661B">
        <w:rPr>
          <w:color w:val="0D0D0D" w:themeColor="text1" w:themeTint="F2"/>
          <w:spacing w:val="-4"/>
          <w:sz w:val="16"/>
          <w:szCs w:val="16"/>
        </w:rPr>
        <w:t>(za již upravených legislativních podmínek</w:t>
      </w:r>
      <w:r>
        <w:rPr>
          <w:color w:val="0D0D0D" w:themeColor="text1" w:themeTint="F2"/>
          <w:spacing w:val="-4"/>
          <w:sz w:val="16"/>
          <w:szCs w:val="16"/>
        </w:rPr>
        <w:t xml:space="preserve"> zmírňujících tempo valorizace</w:t>
      </w:r>
      <w:r w:rsidRPr="008D661B">
        <w:rPr>
          <w:color w:val="0D0D0D" w:themeColor="text1" w:themeTint="F2"/>
          <w:spacing w:val="-4"/>
          <w:sz w:val="16"/>
          <w:szCs w:val="16"/>
        </w:rPr>
        <w:t>) o</w:t>
      </w:r>
      <w:r w:rsidRPr="008D661B">
        <w:rPr>
          <w:color w:val="0D0D0D" w:themeColor="text1" w:themeTint="F2"/>
          <w:spacing w:val="-5"/>
          <w:sz w:val="16"/>
          <w:szCs w:val="16"/>
        </w:rPr>
        <w:t> </w:t>
      </w:r>
      <w:r w:rsidRPr="008D661B">
        <w:rPr>
          <w:color w:val="0D0D0D" w:themeColor="text1" w:themeTint="F2"/>
          <w:spacing w:val="-4"/>
          <w:sz w:val="16"/>
          <w:szCs w:val="16"/>
        </w:rPr>
        <w:t>3,9</w:t>
      </w:r>
      <w:r w:rsidRPr="008D661B">
        <w:rPr>
          <w:color w:val="0D0D0D" w:themeColor="text1" w:themeTint="F2"/>
          <w:spacing w:val="-5"/>
          <w:sz w:val="16"/>
          <w:szCs w:val="16"/>
        </w:rPr>
        <w:t> </w:t>
      </w:r>
      <w:r>
        <w:rPr>
          <w:color w:val="0D0D0D" w:themeColor="text1" w:themeTint="F2"/>
          <w:spacing w:val="-4"/>
          <w:sz w:val="16"/>
          <w:szCs w:val="16"/>
        </w:rPr>
        <w:t>%. Úroveň důchodů (zejména žen) zved</w:t>
      </w:r>
      <w:r w:rsidRPr="008D661B">
        <w:rPr>
          <w:color w:val="0D0D0D" w:themeColor="text1" w:themeTint="F2"/>
          <w:spacing w:val="-4"/>
          <w:sz w:val="16"/>
          <w:szCs w:val="16"/>
        </w:rPr>
        <w:t>l také nově zavedený pravidelný příspěvek za každé vychované dítě (500 korun).</w:t>
      </w:r>
      <w:r w:rsidRPr="00EA726B">
        <w:rPr>
          <w:sz w:val="16"/>
          <w:szCs w:val="16"/>
        </w:rPr>
        <w:t xml:space="preserve"> </w:t>
      </w:r>
      <w:r>
        <w:rPr>
          <w:sz w:val="16"/>
          <w:szCs w:val="16"/>
        </w:rPr>
        <w:t>Průměrný měsíční starobní důchod (bez souběhu s ostatními důchody) činil loni v prosinci u mužů 21 454 korun, u žen 19 063 korun. Díky zavedení „výchovného“ se významně snížil rozdíl v úrovni důchodů mezi muži a ženami.</w:t>
      </w:r>
    </w:p>
  </w:footnote>
  <w:footnote w:id="20">
    <w:p w14:paraId="7395AF69" w14:textId="77777777" w:rsidR="00BA5125" w:rsidRPr="004A6934" w:rsidRDefault="00BA5125" w:rsidP="0011055D">
      <w:pPr>
        <w:pStyle w:val="Textpoznpodarou"/>
        <w:rPr>
          <w:sz w:val="16"/>
          <w:szCs w:val="16"/>
        </w:rPr>
      </w:pPr>
      <w:r w:rsidRPr="004A6934">
        <w:rPr>
          <w:rStyle w:val="Znakapoznpodarou"/>
          <w:sz w:val="16"/>
          <w:szCs w:val="16"/>
        </w:rPr>
        <w:footnoteRef/>
      </w:r>
      <w:r w:rsidRPr="004A6934">
        <w:rPr>
          <w:sz w:val="16"/>
          <w:szCs w:val="16"/>
        </w:rPr>
        <w:t xml:space="preserve"> Růst počtu všech příjemců trvale krácených starobníc</w:t>
      </w:r>
      <w:r>
        <w:rPr>
          <w:sz w:val="16"/>
          <w:szCs w:val="16"/>
        </w:rPr>
        <w:t>h důchodů (KSD) loni zrychloval (ve 4</w:t>
      </w:r>
      <w:r w:rsidRPr="004A6934">
        <w:rPr>
          <w:sz w:val="16"/>
          <w:szCs w:val="16"/>
        </w:rPr>
        <w:t>. čtvrtlet</w:t>
      </w:r>
      <w:r>
        <w:rPr>
          <w:sz w:val="16"/>
          <w:szCs w:val="16"/>
        </w:rPr>
        <w:t>í na 7,7</w:t>
      </w:r>
      <w:r w:rsidRPr="004A6934">
        <w:rPr>
          <w:sz w:val="16"/>
          <w:szCs w:val="16"/>
        </w:rPr>
        <w:t xml:space="preserve"> % meziročně</w:t>
      </w:r>
      <w:r>
        <w:rPr>
          <w:sz w:val="16"/>
          <w:szCs w:val="16"/>
        </w:rPr>
        <w:t xml:space="preserve">, nejvíce od roku 2012) a jejich podíl na všech příjemcích starobních důchodů překročil hranici 30 %. Do </w:t>
      </w:r>
      <w:r w:rsidRPr="004A6934">
        <w:rPr>
          <w:sz w:val="16"/>
          <w:szCs w:val="16"/>
        </w:rPr>
        <w:t xml:space="preserve">počtu </w:t>
      </w:r>
      <w:r>
        <w:rPr>
          <w:sz w:val="16"/>
          <w:szCs w:val="16"/>
        </w:rPr>
        <w:t xml:space="preserve">KSD </w:t>
      </w:r>
      <w:r w:rsidRPr="004A6934">
        <w:rPr>
          <w:sz w:val="16"/>
          <w:szCs w:val="16"/>
        </w:rPr>
        <w:t>nejsou zahrnuty osoby, které podaly žádost o předčasný důchod, ale zah</w:t>
      </w:r>
      <w:r>
        <w:rPr>
          <w:sz w:val="16"/>
          <w:szCs w:val="16"/>
        </w:rPr>
        <w:t>ájení jeho výplaty si odložily.</w:t>
      </w:r>
    </w:p>
  </w:footnote>
  <w:footnote w:id="21">
    <w:p w14:paraId="50773CC4" w14:textId="77777777" w:rsidR="00BA5125" w:rsidRPr="00777350" w:rsidRDefault="00BA5125" w:rsidP="0011055D">
      <w:pPr>
        <w:pStyle w:val="Textpoznpodarou"/>
        <w:jc w:val="both"/>
        <w:rPr>
          <w:rFonts w:cs="Arial"/>
          <w:color w:val="000000" w:themeColor="text1"/>
          <w:spacing w:val="-4"/>
          <w:sz w:val="16"/>
          <w:szCs w:val="16"/>
        </w:rPr>
      </w:pPr>
      <w:r w:rsidRPr="00777350">
        <w:rPr>
          <w:rStyle w:val="Znakapoznpodarou"/>
          <w:spacing w:val="-4"/>
          <w:sz w:val="16"/>
          <w:szCs w:val="16"/>
        </w:rPr>
        <w:footnoteRef/>
      </w:r>
      <w:r w:rsidRPr="00777350">
        <w:rPr>
          <w:spacing w:val="-4"/>
          <w:sz w:val="16"/>
          <w:szCs w:val="16"/>
        </w:rPr>
        <w:t xml:space="preserve"> To vyjadřuje r</w:t>
      </w:r>
      <w:r w:rsidRPr="00777350">
        <w:rPr>
          <w:rFonts w:cs="Arial"/>
          <w:color w:val="000000" w:themeColor="text1"/>
          <w:spacing w:val="-4"/>
          <w:sz w:val="16"/>
          <w:szCs w:val="16"/>
        </w:rPr>
        <w:t>ozdíl mezi příjmy z pojistného na důchodové pojištění</w:t>
      </w:r>
      <w:r w:rsidRPr="00777350">
        <w:rPr>
          <w:rFonts w:ascii="Segoe UI" w:eastAsia="Times New Roman" w:hAnsi="Segoe UI" w:cs="Segoe UI"/>
          <w:b/>
          <w:bCs/>
          <w:color w:val="000000"/>
          <w:spacing w:val="-4"/>
          <w:sz w:val="16"/>
          <w:szCs w:val="16"/>
        </w:rPr>
        <w:t xml:space="preserve"> </w:t>
      </w:r>
      <w:r w:rsidRPr="00777350">
        <w:rPr>
          <w:rFonts w:cs="Arial"/>
          <w:color w:val="000000" w:themeColor="text1"/>
          <w:spacing w:val="-4"/>
          <w:sz w:val="16"/>
          <w:szCs w:val="16"/>
        </w:rPr>
        <w:t xml:space="preserve">a výdaji na dávky důchodového </w:t>
      </w:r>
      <w:r w:rsidRPr="00777350">
        <w:rPr>
          <w:rFonts w:cs="Arial"/>
          <w:color w:val="0D0D0D" w:themeColor="text1" w:themeTint="F2"/>
          <w:spacing w:val="-4"/>
          <w:sz w:val="16"/>
          <w:szCs w:val="16"/>
        </w:rPr>
        <w:t>pojištění</w:t>
      </w:r>
      <w:r w:rsidRPr="00777350">
        <w:rPr>
          <w:rFonts w:cs="Arial"/>
          <w:color w:val="000000" w:themeColor="text1"/>
          <w:spacing w:val="-4"/>
          <w:sz w:val="16"/>
          <w:szCs w:val="16"/>
        </w:rPr>
        <w:t xml:space="preserve"> (včetně nákladů na jeho správu).</w:t>
      </w:r>
    </w:p>
  </w:footnote>
  <w:footnote w:id="22">
    <w:p w14:paraId="0962FB28" w14:textId="77777777" w:rsidR="00BA5125" w:rsidRPr="00777350" w:rsidRDefault="00BA5125" w:rsidP="0011055D">
      <w:pPr>
        <w:pStyle w:val="Textpoznpodarou"/>
        <w:rPr>
          <w:spacing w:val="-4"/>
          <w:sz w:val="16"/>
          <w:szCs w:val="16"/>
        </w:rPr>
      </w:pPr>
      <w:r w:rsidRPr="00777350">
        <w:rPr>
          <w:rStyle w:val="Znakapoznpodarou"/>
          <w:spacing w:val="-4"/>
          <w:sz w:val="16"/>
          <w:szCs w:val="16"/>
        </w:rPr>
        <w:footnoteRef/>
      </w:r>
      <w:r w:rsidRPr="00777350">
        <w:rPr>
          <w:spacing w:val="-4"/>
          <w:sz w:val="16"/>
          <w:szCs w:val="16"/>
        </w:rPr>
        <w:t xml:space="preserve"> Od července 2023 jsou při výpočtu výše dávky zohledňovány započitatelné náklady na bydlení (stanovené vládním nařízením), jejichž výše je odvislá od počtu osob a typu bydlení.</w:t>
      </w:r>
    </w:p>
  </w:footnote>
  <w:footnote w:id="23">
    <w:p w14:paraId="3549D9BD" w14:textId="311E6610" w:rsidR="00BA5125" w:rsidRPr="006B28DE" w:rsidRDefault="00BA5125" w:rsidP="0011055D">
      <w:pPr>
        <w:pStyle w:val="Textpoznpodarou"/>
        <w:rPr>
          <w:sz w:val="16"/>
          <w:szCs w:val="16"/>
        </w:rPr>
      </w:pPr>
      <w:r w:rsidRPr="00777350">
        <w:rPr>
          <w:rStyle w:val="Znakapoznpodarou"/>
          <w:spacing w:val="-4"/>
          <w:sz w:val="16"/>
          <w:szCs w:val="16"/>
        </w:rPr>
        <w:footnoteRef/>
      </w:r>
      <w:r w:rsidRPr="00777350">
        <w:rPr>
          <w:spacing w:val="-4"/>
          <w:sz w:val="16"/>
          <w:szCs w:val="16"/>
        </w:rPr>
        <w:t xml:space="preserve"> Výdaje na tyto dávky i loni </w:t>
      </w:r>
      <w:r>
        <w:rPr>
          <w:spacing w:val="-4"/>
          <w:sz w:val="16"/>
          <w:szCs w:val="16"/>
        </w:rPr>
        <w:t xml:space="preserve">převyšovaly </w:t>
      </w:r>
      <w:r w:rsidRPr="00777350">
        <w:rPr>
          <w:spacing w:val="-4"/>
          <w:sz w:val="16"/>
          <w:szCs w:val="16"/>
        </w:rPr>
        <w:t>příjmy z pojistného (</w:t>
      </w:r>
      <w:r>
        <w:rPr>
          <w:spacing w:val="-4"/>
          <w:sz w:val="16"/>
          <w:szCs w:val="16"/>
        </w:rPr>
        <w:t>navzdory jejich svižnému růstu</w:t>
      </w:r>
      <w:r w:rsidRPr="00777350">
        <w:rPr>
          <w:spacing w:val="-4"/>
          <w:sz w:val="16"/>
          <w:szCs w:val="16"/>
        </w:rPr>
        <w:t xml:space="preserve">), tento schodek se nicméně snížil z 8,0 </w:t>
      </w:r>
      <w:r>
        <w:rPr>
          <w:spacing w:val="-4"/>
          <w:sz w:val="16"/>
          <w:szCs w:val="16"/>
        </w:rPr>
        <w:t xml:space="preserve">mld. korun </w:t>
      </w:r>
      <w:r w:rsidRPr="00777350">
        <w:rPr>
          <w:spacing w:val="-4"/>
          <w:sz w:val="16"/>
          <w:szCs w:val="16"/>
        </w:rPr>
        <w:t>v roce</w:t>
      </w:r>
      <w:r>
        <w:rPr>
          <w:spacing w:val="-4"/>
          <w:sz w:val="16"/>
          <w:szCs w:val="16"/>
        </w:rPr>
        <w:t xml:space="preserve"> 2022 na loňských 2,7 mld</w:t>
      </w:r>
      <w:r w:rsidRPr="00777350">
        <w:rPr>
          <w:spacing w:val="-4"/>
          <w:sz w:val="16"/>
          <w:szCs w:val="16"/>
        </w:rPr>
        <w:t>.</w:t>
      </w:r>
    </w:p>
  </w:footnote>
  <w:footnote w:id="24">
    <w:p w14:paraId="6D3307F1" w14:textId="77777777" w:rsidR="00BA5125" w:rsidRPr="00777350" w:rsidRDefault="00BA5125" w:rsidP="0011055D">
      <w:pPr>
        <w:pStyle w:val="Textpoznpodarou"/>
        <w:rPr>
          <w:spacing w:val="-6"/>
          <w:sz w:val="16"/>
          <w:szCs w:val="16"/>
        </w:rPr>
      </w:pPr>
      <w:r w:rsidRPr="00777350">
        <w:rPr>
          <w:rStyle w:val="Znakapoznpodarou"/>
          <w:spacing w:val="-6"/>
          <w:sz w:val="16"/>
          <w:szCs w:val="16"/>
        </w:rPr>
        <w:footnoteRef/>
      </w:r>
      <w:r w:rsidRPr="00777350">
        <w:rPr>
          <w:spacing w:val="-6"/>
          <w:sz w:val="16"/>
          <w:szCs w:val="16"/>
        </w:rPr>
        <w:t xml:space="preserve"> Vysoký růst souvisí se zvýšením limitu příspěvků na zvláštní pomůcku a na mobilitu. Počet příjemců těchto dávek byl meziročně vyšší jen o 2 %.</w:t>
      </w:r>
    </w:p>
  </w:footnote>
  <w:footnote w:id="25">
    <w:p w14:paraId="59C4920C" w14:textId="77777777" w:rsidR="00BA5125" w:rsidRPr="00777350" w:rsidRDefault="00BA5125" w:rsidP="0011055D">
      <w:pPr>
        <w:pStyle w:val="Textpoznpodarou"/>
        <w:rPr>
          <w:spacing w:val="-4"/>
          <w:sz w:val="16"/>
          <w:szCs w:val="16"/>
        </w:rPr>
      </w:pPr>
      <w:r w:rsidRPr="00777350">
        <w:rPr>
          <w:rStyle w:val="Znakapoznpodarou"/>
          <w:spacing w:val="-4"/>
          <w:sz w:val="16"/>
          <w:szCs w:val="16"/>
        </w:rPr>
        <w:footnoteRef/>
      </w:r>
      <w:r w:rsidRPr="00777350">
        <w:rPr>
          <w:spacing w:val="-4"/>
          <w:sz w:val="16"/>
          <w:szCs w:val="16"/>
        </w:rPr>
        <w:t xml:space="preserve"> Nárok na podporu v nezaměstnanosti mělo loni v prosinci 86 tis. registrovaných uchazečů o práci (30,9 % z jejich celkového počtu).</w:t>
      </w:r>
    </w:p>
  </w:footnote>
  <w:footnote w:id="26">
    <w:p w14:paraId="6523CCF8" w14:textId="77777777" w:rsidR="00BA5125" w:rsidRPr="00777350" w:rsidRDefault="00BA5125" w:rsidP="0011055D">
      <w:pPr>
        <w:pStyle w:val="Textpoznpodarou"/>
        <w:rPr>
          <w:spacing w:val="-4"/>
          <w:sz w:val="16"/>
          <w:szCs w:val="16"/>
        </w:rPr>
      </w:pPr>
      <w:r w:rsidRPr="00777350">
        <w:rPr>
          <w:rStyle w:val="Znakapoznpodarou"/>
          <w:spacing w:val="-4"/>
          <w:sz w:val="16"/>
          <w:szCs w:val="16"/>
        </w:rPr>
        <w:footnoteRef/>
      </w:r>
      <w:r w:rsidRPr="00777350">
        <w:rPr>
          <w:spacing w:val="-4"/>
          <w:sz w:val="16"/>
          <w:szCs w:val="16"/>
        </w:rPr>
        <w:t xml:space="preserve"> Tím o desetinu překonaly donedávna rekordní transfery z roku 2021, jež obsahovaly zejména podpůrné programy pro podnikatel</w:t>
      </w:r>
      <w:r>
        <w:rPr>
          <w:spacing w:val="-4"/>
          <w:sz w:val="16"/>
          <w:szCs w:val="16"/>
        </w:rPr>
        <w:t>e ve vrcholném období pandemie covidu−19.</w:t>
      </w:r>
    </w:p>
  </w:footnote>
  <w:footnote w:id="27">
    <w:p w14:paraId="297B348A" w14:textId="77777777" w:rsidR="00BA5125" w:rsidRPr="00777350" w:rsidRDefault="00BA5125" w:rsidP="0011055D">
      <w:pPr>
        <w:pStyle w:val="Textpoznpodarou"/>
        <w:rPr>
          <w:spacing w:val="-4"/>
          <w:sz w:val="16"/>
          <w:szCs w:val="16"/>
        </w:rPr>
      </w:pPr>
      <w:r w:rsidRPr="00777350">
        <w:rPr>
          <w:rStyle w:val="Znakapoznpodarou"/>
          <w:spacing w:val="-4"/>
          <w:sz w:val="16"/>
          <w:szCs w:val="16"/>
        </w:rPr>
        <w:footnoteRef/>
      </w:r>
      <w:r w:rsidRPr="00777350">
        <w:rPr>
          <w:spacing w:val="-4"/>
          <w:sz w:val="16"/>
          <w:szCs w:val="16"/>
        </w:rPr>
        <w:t xml:space="preserve"> Od ledna 2023 vzrostl objem prostředků na platy pedagogů o 4 %, u nepedagogických </w:t>
      </w:r>
      <w:r>
        <w:rPr>
          <w:spacing w:val="-4"/>
          <w:sz w:val="16"/>
          <w:szCs w:val="16"/>
        </w:rPr>
        <w:t xml:space="preserve">pracovníků došlo k navýšení již od </w:t>
      </w:r>
      <w:r w:rsidRPr="00777350">
        <w:rPr>
          <w:spacing w:val="-4"/>
          <w:sz w:val="16"/>
          <w:szCs w:val="16"/>
        </w:rPr>
        <w:t xml:space="preserve">září </w:t>
      </w:r>
      <w:r>
        <w:rPr>
          <w:spacing w:val="-4"/>
          <w:sz w:val="16"/>
          <w:szCs w:val="16"/>
        </w:rPr>
        <w:t xml:space="preserve">2022 </w:t>
      </w:r>
      <w:r w:rsidRPr="00777350">
        <w:rPr>
          <w:spacing w:val="-4"/>
          <w:sz w:val="16"/>
          <w:szCs w:val="16"/>
        </w:rPr>
        <w:t xml:space="preserve">(+8 %). </w:t>
      </w:r>
    </w:p>
  </w:footnote>
  <w:footnote w:id="28">
    <w:p w14:paraId="769B61EE" w14:textId="77777777" w:rsidR="00BA5125" w:rsidRPr="00777350" w:rsidRDefault="00BA5125" w:rsidP="0011055D">
      <w:pPr>
        <w:pStyle w:val="Textpoznpodarou"/>
        <w:rPr>
          <w:spacing w:val="-4"/>
          <w:sz w:val="16"/>
          <w:szCs w:val="16"/>
        </w:rPr>
      </w:pPr>
      <w:r w:rsidRPr="00777350">
        <w:rPr>
          <w:rStyle w:val="Znakapoznpodarou"/>
          <w:spacing w:val="-4"/>
          <w:sz w:val="16"/>
          <w:szCs w:val="16"/>
        </w:rPr>
        <w:footnoteRef/>
      </w:r>
      <w:r w:rsidRPr="00777350">
        <w:rPr>
          <w:spacing w:val="-4"/>
          <w:sz w:val="16"/>
          <w:szCs w:val="16"/>
        </w:rPr>
        <w:t xml:space="preserve"> Čisté výdaje odpovídají saldu rozpočtové kapitoly Státní dluh (č. 396). </w:t>
      </w:r>
      <w:r w:rsidRPr="00777350">
        <w:rPr>
          <w:color w:val="0D0D0D" w:themeColor="text1" w:themeTint="F2"/>
          <w:spacing w:val="-4"/>
          <w:sz w:val="16"/>
          <w:szCs w:val="16"/>
        </w:rPr>
        <w:t xml:space="preserve">Zásadní vliv na růst výdajů zde měly výplaty protiinflačních státních dluhopisů občanům, dílčí roli pak rostoucí úrokové sazby u dalších instrumentů dluhového financování a celkový trend růstu zadlužení z předchozích let. </w:t>
      </w:r>
    </w:p>
  </w:footnote>
  <w:footnote w:id="29">
    <w:p w14:paraId="4208D275" w14:textId="77777777" w:rsidR="00BA5125" w:rsidRPr="00996C93" w:rsidRDefault="00BA5125" w:rsidP="0011055D">
      <w:pPr>
        <w:pStyle w:val="Textpoznpodarou"/>
        <w:rPr>
          <w:sz w:val="16"/>
          <w:szCs w:val="16"/>
        </w:rPr>
      </w:pPr>
      <w:r w:rsidRPr="00777350">
        <w:rPr>
          <w:rStyle w:val="Znakapoznpodarou"/>
          <w:spacing w:val="-4"/>
          <w:sz w:val="16"/>
          <w:szCs w:val="16"/>
        </w:rPr>
        <w:footnoteRef/>
      </w:r>
      <w:r w:rsidRPr="00777350">
        <w:rPr>
          <w:spacing w:val="-4"/>
          <w:sz w:val="16"/>
          <w:szCs w:val="16"/>
        </w:rPr>
        <w:t xml:space="preserve"> Šlo o nejvyšší růst za poslední pětiletí. I tak loňské zvýšení </w:t>
      </w:r>
      <w:r>
        <w:rPr>
          <w:spacing w:val="-4"/>
          <w:sz w:val="16"/>
          <w:szCs w:val="16"/>
        </w:rPr>
        <w:t xml:space="preserve">mírně zaostalo </w:t>
      </w:r>
      <w:r w:rsidRPr="00777350">
        <w:rPr>
          <w:spacing w:val="-4"/>
          <w:sz w:val="16"/>
          <w:szCs w:val="16"/>
        </w:rPr>
        <w:t>za objemem vyplacených mezd a platů v celé ekonomice</w:t>
      </w:r>
      <w:r>
        <w:rPr>
          <w:spacing w:val="-4"/>
          <w:sz w:val="16"/>
          <w:szCs w:val="16"/>
        </w:rPr>
        <w:t>.</w:t>
      </w:r>
      <w:r w:rsidRPr="00777350">
        <w:rPr>
          <w:spacing w:val="-4"/>
          <w:sz w:val="16"/>
          <w:szCs w:val="16"/>
        </w:rPr>
        <w:t xml:space="preserve"> </w:t>
      </w:r>
    </w:p>
  </w:footnote>
  <w:footnote w:id="30">
    <w:p w14:paraId="677EBB07" w14:textId="77777777" w:rsidR="00BA5125" w:rsidRPr="00B770DF" w:rsidRDefault="00BA5125" w:rsidP="0011055D">
      <w:pPr>
        <w:pStyle w:val="Textpoznpodarou"/>
        <w:rPr>
          <w:sz w:val="16"/>
          <w:szCs w:val="16"/>
        </w:rPr>
      </w:pPr>
      <w:r w:rsidRPr="00B770DF">
        <w:rPr>
          <w:rStyle w:val="Znakapoznpodarou"/>
          <w:sz w:val="16"/>
          <w:szCs w:val="16"/>
        </w:rPr>
        <w:footnoteRef/>
      </w:r>
      <w:r w:rsidRPr="00B770DF">
        <w:rPr>
          <w:sz w:val="16"/>
          <w:szCs w:val="16"/>
        </w:rPr>
        <w:t xml:space="preserve"> Schválený rozpočet Státního fondu dopravní infrastruktury počítal v roce 2023 díky </w:t>
      </w:r>
      <w:r w:rsidRPr="00B770DF">
        <w:rPr>
          <w:color w:val="0D0D0D" w:themeColor="text1" w:themeTint="F2"/>
          <w:spacing w:val="-2"/>
          <w:sz w:val="16"/>
          <w:szCs w:val="16"/>
        </w:rPr>
        <w:t>posílení principu vícezdrojového financování</w:t>
      </w:r>
      <w:r w:rsidRPr="00B770DF">
        <w:rPr>
          <w:sz w:val="16"/>
          <w:szCs w:val="16"/>
        </w:rPr>
        <w:t xml:space="preserve"> (včetně nových nástrojů dluhového financování) s rekordními příjmy ve výši 150,9 mld. korun.</w:t>
      </w:r>
    </w:p>
  </w:footnote>
  <w:footnote w:id="31">
    <w:p w14:paraId="03D9E44C" w14:textId="77777777" w:rsidR="00BA5125" w:rsidRPr="00E74176" w:rsidRDefault="00BA5125" w:rsidP="0011055D">
      <w:pPr>
        <w:pStyle w:val="Textpoznpodarou"/>
        <w:rPr>
          <w:spacing w:val="-4"/>
          <w:sz w:val="16"/>
          <w:szCs w:val="16"/>
        </w:rPr>
      </w:pPr>
      <w:r w:rsidRPr="00E74176">
        <w:rPr>
          <w:rStyle w:val="Znakapoznpodarou"/>
          <w:spacing w:val="-4"/>
          <w:sz w:val="16"/>
          <w:szCs w:val="16"/>
        </w:rPr>
        <w:footnoteRef/>
      </w:r>
      <w:r w:rsidRPr="00E74176">
        <w:rPr>
          <w:spacing w:val="-4"/>
          <w:sz w:val="16"/>
          <w:szCs w:val="16"/>
        </w:rPr>
        <w:t xml:space="preserve"> Údaje o hospodaření sektoru vládních institucí za 4. čtvrtletí i za celý rok 2023 zveřejní ČSÚ 2. dubna 2024, Eurostat pak 22. dubna. Detailnější zhodnocení tuzemského vývoje za 3. čtvrtletí 2023 je obsaženo v publikaci </w:t>
      </w:r>
      <w:hyperlink r:id="rId1" w:history="1">
        <w:r w:rsidRPr="00E82AB6">
          <w:rPr>
            <w:rStyle w:val="Hypertextovodkaz"/>
            <w:spacing w:val="-4"/>
            <w:sz w:val="16"/>
            <w:szCs w:val="16"/>
          </w:rPr>
          <w:t>Analýza sektorových účtů:</w:t>
        </w:r>
      </w:hyperlink>
    </w:p>
  </w:footnote>
  <w:footnote w:id="32">
    <w:p w14:paraId="5917E889" w14:textId="77777777" w:rsidR="00BA5125" w:rsidRPr="00E74176" w:rsidRDefault="00BA5125" w:rsidP="0011055D">
      <w:pPr>
        <w:pStyle w:val="Textpoznpodarou"/>
        <w:rPr>
          <w:spacing w:val="-4"/>
          <w:sz w:val="16"/>
          <w:szCs w:val="16"/>
        </w:rPr>
      </w:pPr>
      <w:r w:rsidRPr="00E74176">
        <w:rPr>
          <w:rStyle w:val="Znakapoznpodarou"/>
          <w:spacing w:val="-4"/>
          <w:sz w:val="16"/>
          <w:szCs w:val="16"/>
        </w:rPr>
        <w:footnoteRef/>
      </w:r>
      <w:r w:rsidRPr="00E74176">
        <w:rPr>
          <w:spacing w:val="-4"/>
          <w:sz w:val="16"/>
          <w:szCs w:val="16"/>
        </w:rPr>
        <w:t xml:space="preserve"> Není</w:t>
      </w:r>
      <w:r>
        <w:rPr>
          <w:spacing w:val="-4"/>
          <w:sz w:val="16"/>
          <w:szCs w:val="16"/>
        </w:rPr>
        <w:t>−</w:t>
      </w:r>
      <w:r w:rsidRPr="00E74176">
        <w:rPr>
          <w:spacing w:val="-4"/>
          <w:sz w:val="16"/>
          <w:szCs w:val="16"/>
        </w:rPr>
        <w:t>li uvedeno jinak, jsou údaje o hospodaření sektoru VI v ČR vyjádřeny bez sezónního očištění.</w:t>
      </w:r>
    </w:p>
  </w:footnote>
  <w:footnote w:id="33">
    <w:p w14:paraId="0540C111" w14:textId="77777777" w:rsidR="00BA5125" w:rsidRPr="00E74176" w:rsidRDefault="00BA5125" w:rsidP="0011055D">
      <w:pPr>
        <w:pStyle w:val="Textpoznpodarou"/>
        <w:rPr>
          <w:rFonts w:cs="Arial"/>
          <w:spacing w:val="-7"/>
          <w:sz w:val="16"/>
          <w:szCs w:val="16"/>
        </w:rPr>
      </w:pPr>
      <w:r w:rsidRPr="00E74176">
        <w:rPr>
          <w:rStyle w:val="Znakapoznpodarou"/>
          <w:rFonts w:cs="Arial"/>
          <w:spacing w:val="-7"/>
          <w:sz w:val="16"/>
          <w:szCs w:val="16"/>
        </w:rPr>
        <w:footnoteRef/>
      </w:r>
      <w:r w:rsidRPr="00E74176">
        <w:rPr>
          <w:rFonts w:cs="Arial"/>
          <w:spacing w:val="-7"/>
          <w:sz w:val="16"/>
          <w:szCs w:val="16"/>
        </w:rPr>
        <w:t xml:space="preserve"> Svižně rostoucí nominální HDP přispěl ve 3. čtvrtletí k meziročnímu poklesu zadlužení </w:t>
      </w:r>
      <w:r>
        <w:rPr>
          <w:rFonts w:cs="Arial"/>
          <w:spacing w:val="-7"/>
          <w:sz w:val="16"/>
          <w:szCs w:val="16"/>
        </w:rPr>
        <w:t>−</w:t>
      </w:r>
      <w:r w:rsidRPr="00E74176">
        <w:rPr>
          <w:rFonts w:cs="Arial"/>
          <w:spacing w:val="-7"/>
          <w:sz w:val="16"/>
          <w:szCs w:val="16"/>
        </w:rPr>
        <w:t xml:space="preserve">3,9 p. b., naopak </w:t>
      </w:r>
      <w:r w:rsidRPr="00E74176">
        <w:rPr>
          <w:rFonts w:cs="Arial"/>
          <w:color w:val="333333"/>
          <w:spacing w:val="-7"/>
          <w:sz w:val="16"/>
          <w:szCs w:val="16"/>
          <w:shd w:val="clear" w:color="auto" w:fill="FFFFFF"/>
        </w:rPr>
        <w:t xml:space="preserve">vliv </w:t>
      </w:r>
      <w:r w:rsidRPr="00E74176">
        <w:rPr>
          <w:rFonts w:cs="Arial"/>
          <w:spacing w:val="-7"/>
          <w:sz w:val="16"/>
          <w:szCs w:val="16"/>
        </w:rPr>
        <w:t>nominální změny dluhu činil + 3,2 p. 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4A67" w14:textId="77777777" w:rsidR="00BA5125" w:rsidRDefault="00BA5125" w:rsidP="00937AE2">
    <w:pPr>
      <w:pStyle w:val="Zhlav"/>
    </w:pPr>
    <w:r>
      <w:t>Vývoj ekonomiky České republiky</w:t>
    </w:r>
  </w:p>
  <w:p w14:paraId="3E881AB3" w14:textId="77777777" w:rsidR="00BA5125" w:rsidRPr="006F5416" w:rsidRDefault="00BA5125"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D3DB" w14:textId="77777777" w:rsidR="00BA5125" w:rsidRDefault="00BA5125" w:rsidP="00937AE2">
    <w:pPr>
      <w:pStyle w:val="Zhlav"/>
    </w:pPr>
    <w:r>
      <w:t>Vývoj ekonomiky České republiky</w:t>
    </w:r>
  </w:p>
  <w:p w14:paraId="57266714" w14:textId="77777777" w:rsidR="00BA5125" w:rsidRPr="006F5416" w:rsidRDefault="00BA5125"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5pt;height:11.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95764B"/>
    <w:multiLevelType w:val="hybridMultilevel"/>
    <w:tmpl w:val="84788BC8"/>
    <w:lvl w:ilvl="0" w:tplc="1B96A2C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5" w15:restartNumberingAfterBreak="0">
    <w:nsid w:val="1B2A5724"/>
    <w:multiLevelType w:val="hybridMultilevel"/>
    <w:tmpl w:val="0EA8A7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25C59E0"/>
    <w:multiLevelType w:val="multilevel"/>
    <w:tmpl w:val="74A4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CAB4B86"/>
    <w:multiLevelType w:val="multilevel"/>
    <w:tmpl w:val="52D0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35280B15"/>
    <w:multiLevelType w:val="hybridMultilevel"/>
    <w:tmpl w:val="5156AA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66C06F7"/>
    <w:multiLevelType w:val="multilevel"/>
    <w:tmpl w:val="AF4E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6841503"/>
    <w:multiLevelType w:val="hybridMultilevel"/>
    <w:tmpl w:val="322E8B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7D23EC3"/>
    <w:multiLevelType w:val="hybridMultilevel"/>
    <w:tmpl w:val="B65A48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95236EE"/>
    <w:multiLevelType w:val="hybridMultilevel"/>
    <w:tmpl w:val="CC2A15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31"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79678F7"/>
    <w:multiLevelType w:val="hybridMultilevel"/>
    <w:tmpl w:val="A4DE71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84077D1"/>
    <w:multiLevelType w:val="multilevel"/>
    <w:tmpl w:val="B708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7"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8567A6"/>
    <w:multiLevelType w:val="hybridMultilevel"/>
    <w:tmpl w:val="50E0F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69A0FF0"/>
    <w:multiLevelType w:val="hybridMultilevel"/>
    <w:tmpl w:val="3D88D8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067F0B9"/>
    <w:multiLevelType w:val="hybridMultilevel"/>
    <w:tmpl w:val="9B0C99B6"/>
    <w:lvl w:ilvl="0" w:tplc="5FC8F242">
      <w:start w:val="1"/>
      <w:numFmt w:val="bullet"/>
      <w:lvlText w:val=""/>
      <w:lvlJc w:val="left"/>
      <w:pPr>
        <w:ind w:left="720" w:hanging="360"/>
      </w:pPr>
      <w:rPr>
        <w:rFonts w:ascii="Symbol" w:hAnsi="Symbol" w:hint="default"/>
      </w:rPr>
    </w:lvl>
    <w:lvl w:ilvl="1" w:tplc="5E7298D6">
      <w:start w:val="1"/>
      <w:numFmt w:val="bullet"/>
      <w:lvlText w:val="o"/>
      <w:lvlJc w:val="left"/>
      <w:pPr>
        <w:ind w:left="1440" w:hanging="360"/>
      </w:pPr>
      <w:rPr>
        <w:rFonts w:ascii="Courier New" w:hAnsi="Courier New" w:hint="default"/>
      </w:rPr>
    </w:lvl>
    <w:lvl w:ilvl="2" w:tplc="F418EABE">
      <w:start w:val="1"/>
      <w:numFmt w:val="bullet"/>
      <w:lvlText w:val=""/>
      <w:lvlJc w:val="left"/>
      <w:pPr>
        <w:ind w:left="2160" w:hanging="360"/>
      </w:pPr>
      <w:rPr>
        <w:rFonts w:ascii="Wingdings" w:hAnsi="Wingdings" w:hint="default"/>
      </w:rPr>
    </w:lvl>
    <w:lvl w:ilvl="3" w:tplc="0F78DB5E">
      <w:start w:val="1"/>
      <w:numFmt w:val="bullet"/>
      <w:lvlText w:val=""/>
      <w:lvlJc w:val="left"/>
      <w:pPr>
        <w:ind w:left="2880" w:hanging="360"/>
      </w:pPr>
      <w:rPr>
        <w:rFonts w:ascii="Symbol" w:hAnsi="Symbol" w:hint="default"/>
      </w:rPr>
    </w:lvl>
    <w:lvl w:ilvl="4" w:tplc="29062F28">
      <w:start w:val="1"/>
      <w:numFmt w:val="bullet"/>
      <w:lvlText w:val="o"/>
      <w:lvlJc w:val="left"/>
      <w:pPr>
        <w:ind w:left="3600" w:hanging="360"/>
      </w:pPr>
      <w:rPr>
        <w:rFonts w:ascii="Courier New" w:hAnsi="Courier New" w:hint="default"/>
      </w:rPr>
    </w:lvl>
    <w:lvl w:ilvl="5" w:tplc="A1920AAC">
      <w:start w:val="1"/>
      <w:numFmt w:val="bullet"/>
      <w:lvlText w:val=""/>
      <w:lvlJc w:val="left"/>
      <w:pPr>
        <w:ind w:left="4320" w:hanging="360"/>
      </w:pPr>
      <w:rPr>
        <w:rFonts w:ascii="Wingdings" w:hAnsi="Wingdings" w:hint="default"/>
      </w:rPr>
    </w:lvl>
    <w:lvl w:ilvl="6" w:tplc="E4A63608">
      <w:start w:val="1"/>
      <w:numFmt w:val="bullet"/>
      <w:lvlText w:val=""/>
      <w:lvlJc w:val="left"/>
      <w:pPr>
        <w:ind w:left="5040" w:hanging="360"/>
      </w:pPr>
      <w:rPr>
        <w:rFonts w:ascii="Symbol" w:hAnsi="Symbol" w:hint="default"/>
      </w:rPr>
    </w:lvl>
    <w:lvl w:ilvl="7" w:tplc="320420C0">
      <w:start w:val="1"/>
      <w:numFmt w:val="bullet"/>
      <w:lvlText w:val="o"/>
      <w:lvlJc w:val="left"/>
      <w:pPr>
        <w:ind w:left="5760" w:hanging="360"/>
      </w:pPr>
      <w:rPr>
        <w:rFonts w:ascii="Courier New" w:hAnsi="Courier New" w:hint="default"/>
      </w:rPr>
    </w:lvl>
    <w:lvl w:ilvl="8" w:tplc="F24CCE7A">
      <w:start w:val="1"/>
      <w:numFmt w:val="bullet"/>
      <w:lvlText w:val=""/>
      <w:lvlJc w:val="left"/>
      <w:pPr>
        <w:ind w:left="6480" w:hanging="360"/>
      </w:pPr>
      <w:rPr>
        <w:rFonts w:ascii="Wingdings" w:hAnsi="Wingdings" w:hint="default"/>
      </w:rPr>
    </w:lvl>
  </w:abstractNum>
  <w:abstractNum w:abstractNumId="43" w15:restartNumberingAfterBreak="0">
    <w:nsid w:val="71CC6022"/>
    <w:multiLevelType w:val="multilevel"/>
    <w:tmpl w:val="70CA5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E819D0"/>
    <w:multiLevelType w:val="multilevel"/>
    <w:tmpl w:val="DBAA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37"/>
  </w:num>
  <w:num w:numId="14">
    <w:abstractNumId w:val="14"/>
  </w:num>
  <w:num w:numId="15">
    <w:abstractNumId w:val="23"/>
  </w:num>
  <w:num w:numId="16">
    <w:abstractNumId w:val="18"/>
  </w:num>
  <w:num w:numId="17">
    <w:abstractNumId w:val="38"/>
  </w:num>
  <w:num w:numId="18">
    <w:abstractNumId w:val="29"/>
  </w:num>
  <w:num w:numId="19">
    <w:abstractNumId w:val="41"/>
  </w:num>
  <w:num w:numId="20">
    <w:abstractNumId w:val="44"/>
  </w:num>
  <w:num w:numId="21">
    <w:abstractNumId w:val="36"/>
  </w:num>
  <w:num w:numId="22">
    <w:abstractNumId w:val="22"/>
  </w:num>
  <w:num w:numId="23">
    <w:abstractNumId w:val="19"/>
  </w:num>
  <w:num w:numId="24">
    <w:abstractNumId w:val="20"/>
  </w:num>
  <w:num w:numId="25">
    <w:abstractNumId w:val="13"/>
  </w:num>
  <w:num w:numId="26">
    <w:abstractNumId w:val="31"/>
  </w:num>
  <w:num w:numId="27">
    <w:abstractNumId w:val="30"/>
  </w:num>
  <w:num w:numId="28">
    <w:abstractNumId w:val="10"/>
  </w:num>
  <w:num w:numId="29">
    <w:abstractNumId w:val="44"/>
  </w:num>
  <w:num w:numId="30">
    <w:abstractNumId w:val="32"/>
  </w:num>
  <w:num w:numId="31">
    <w:abstractNumId w:val="12"/>
  </w:num>
  <w:num w:numId="32">
    <w:abstractNumId w:val="46"/>
  </w:num>
  <w:num w:numId="33">
    <w:abstractNumId w:val="44"/>
  </w:num>
  <w:num w:numId="34">
    <w:abstractNumId w:val="11"/>
  </w:num>
  <w:num w:numId="35">
    <w:abstractNumId w:val="39"/>
  </w:num>
  <w:num w:numId="36">
    <w:abstractNumId w:val="33"/>
  </w:num>
  <w:num w:numId="37">
    <w:abstractNumId w:val="24"/>
  </w:num>
  <w:num w:numId="38">
    <w:abstractNumId w:val="28"/>
  </w:num>
  <w:num w:numId="39">
    <w:abstractNumId w:val="15"/>
  </w:num>
  <w:num w:numId="40">
    <w:abstractNumId w:val="26"/>
  </w:num>
  <w:num w:numId="41">
    <w:abstractNumId w:val="27"/>
  </w:num>
  <w:num w:numId="42">
    <w:abstractNumId w:val="45"/>
  </w:num>
  <w:num w:numId="43">
    <w:abstractNumId w:val="25"/>
  </w:num>
  <w:num w:numId="44">
    <w:abstractNumId w:val="16"/>
  </w:num>
  <w:num w:numId="45">
    <w:abstractNumId w:val="21"/>
  </w:num>
  <w:num w:numId="46">
    <w:abstractNumId w:val="35"/>
  </w:num>
  <w:num w:numId="47">
    <w:abstractNumId w:val="43"/>
  </w:num>
  <w:num w:numId="48">
    <w:abstractNumId w:val="4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994"/>
    <w:rsid w:val="00000B55"/>
    <w:rsid w:val="0000209D"/>
    <w:rsid w:val="00002566"/>
    <w:rsid w:val="0000370A"/>
    <w:rsid w:val="00003849"/>
    <w:rsid w:val="00003F5C"/>
    <w:rsid w:val="00004D5A"/>
    <w:rsid w:val="00005219"/>
    <w:rsid w:val="000056D5"/>
    <w:rsid w:val="00005D9E"/>
    <w:rsid w:val="000063D5"/>
    <w:rsid w:val="00006625"/>
    <w:rsid w:val="00006ABD"/>
    <w:rsid w:val="00006B67"/>
    <w:rsid w:val="00006C0B"/>
    <w:rsid w:val="000073A0"/>
    <w:rsid w:val="0000767A"/>
    <w:rsid w:val="00007ABE"/>
    <w:rsid w:val="00010107"/>
    <w:rsid w:val="00010256"/>
    <w:rsid w:val="00010702"/>
    <w:rsid w:val="00010A2C"/>
    <w:rsid w:val="0001128E"/>
    <w:rsid w:val="00011912"/>
    <w:rsid w:val="000129B7"/>
    <w:rsid w:val="0001387D"/>
    <w:rsid w:val="00014ED0"/>
    <w:rsid w:val="00016420"/>
    <w:rsid w:val="00016BDB"/>
    <w:rsid w:val="00017B01"/>
    <w:rsid w:val="000200BE"/>
    <w:rsid w:val="000205D1"/>
    <w:rsid w:val="00020F22"/>
    <w:rsid w:val="0002195D"/>
    <w:rsid w:val="00021F9B"/>
    <w:rsid w:val="000228AE"/>
    <w:rsid w:val="000233D1"/>
    <w:rsid w:val="000234D6"/>
    <w:rsid w:val="00023D29"/>
    <w:rsid w:val="00024348"/>
    <w:rsid w:val="00026109"/>
    <w:rsid w:val="0002622B"/>
    <w:rsid w:val="000262B5"/>
    <w:rsid w:val="00026389"/>
    <w:rsid w:val="0002669F"/>
    <w:rsid w:val="000279E5"/>
    <w:rsid w:val="000305E0"/>
    <w:rsid w:val="00031AE0"/>
    <w:rsid w:val="00031BB2"/>
    <w:rsid w:val="000322EF"/>
    <w:rsid w:val="00032C3C"/>
    <w:rsid w:val="00033FCD"/>
    <w:rsid w:val="000348AF"/>
    <w:rsid w:val="00034B70"/>
    <w:rsid w:val="00034DF7"/>
    <w:rsid w:val="00034E68"/>
    <w:rsid w:val="000350C8"/>
    <w:rsid w:val="00036195"/>
    <w:rsid w:val="000374B2"/>
    <w:rsid w:val="000376C0"/>
    <w:rsid w:val="000403A7"/>
    <w:rsid w:val="00040632"/>
    <w:rsid w:val="00041AFC"/>
    <w:rsid w:val="00041CEC"/>
    <w:rsid w:val="00041D02"/>
    <w:rsid w:val="00042596"/>
    <w:rsid w:val="00042A4A"/>
    <w:rsid w:val="00044183"/>
    <w:rsid w:val="0004431D"/>
    <w:rsid w:val="00044AAC"/>
    <w:rsid w:val="0004694F"/>
    <w:rsid w:val="00046F2F"/>
    <w:rsid w:val="000472CA"/>
    <w:rsid w:val="00047AD4"/>
    <w:rsid w:val="00047D54"/>
    <w:rsid w:val="00050541"/>
    <w:rsid w:val="0005054A"/>
    <w:rsid w:val="00050A87"/>
    <w:rsid w:val="00051506"/>
    <w:rsid w:val="000522E4"/>
    <w:rsid w:val="00053713"/>
    <w:rsid w:val="0005434E"/>
    <w:rsid w:val="00055CB6"/>
    <w:rsid w:val="000572DD"/>
    <w:rsid w:val="00057B1E"/>
    <w:rsid w:val="0006033F"/>
    <w:rsid w:val="000610E1"/>
    <w:rsid w:val="000616AD"/>
    <w:rsid w:val="000622A6"/>
    <w:rsid w:val="00062D70"/>
    <w:rsid w:val="00062EC5"/>
    <w:rsid w:val="00062F22"/>
    <w:rsid w:val="00063975"/>
    <w:rsid w:val="00063CEA"/>
    <w:rsid w:val="0006444D"/>
    <w:rsid w:val="000645FC"/>
    <w:rsid w:val="00065296"/>
    <w:rsid w:val="0006533F"/>
    <w:rsid w:val="00065348"/>
    <w:rsid w:val="0006551C"/>
    <w:rsid w:val="0006558D"/>
    <w:rsid w:val="00065A75"/>
    <w:rsid w:val="000663F0"/>
    <w:rsid w:val="00066558"/>
    <w:rsid w:val="000671DB"/>
    <w:rsid w:val="00067363"/>
    <w:rsid w:val="00067982"/>
    <w:rsid w:val="00070A87"/>
    <w:rsid w:val="000712B3"/>
    <w:rsid w:val="00071A7C"/>
    <w:rsid w:val="00071E38"/>
    <w:rsid w:val="00072FF5"/>
    <w:rsid w:val="00073A5A"/>
    <w:rsid w:val="0007474E"/>
    <w:rsid w:val="00074988"/>
    <w:rsid w:val="0007512B"/>
    <w:rsid w:val="00075551"/>
    <w:rsid w:val="000767F5"/>
    <w:rsid w:val="00076D90"/>
    <w:rsid w:val="00077FF0"/>
    <w:rsid w:val="00081A55"/>
    <w:rsid w:val="0008263E"/>
    <w:rsid w:val="00082C19"/>
    <w:rsid w:val="00082F89"/>
    <w:rsid w:val="00083457"/>
    <w:rsid w:val="000834ED"/>
    <w:rsid w:val="000837CD"/>
    <w:rsid w:val="00083B7F"/>
    <w:rsid w:val="00084BFF"/>
    <w:rsid w:val="00085395"/>
    <w:rsid w:val="00086896"/>
    <w:rsid w:val="00086AC1"/>
    <w:rsid w:val="00086D19"/>
    <w:rsid w:val="00087634"/>
    <w:rsid w:val="00087F2B"/>
    <w:rsid w:val="00090694"/>
    <w:rsid w:val="00090EE2"/>
    <w:rsid w:val="00090FC6"/>
    <w:rsid w:val="0009122C"/>
    <w:rsid w:val="000913B1"/>
    <w:rsid w:val="0009290F"/>
    <w:rsid w:val="00093241"/>
    <w:rsid w:val="00093868"/>
    <w:rsid w:val="00094A84"/>
    <w:rsid w:val="00095025"/>
    <w:rsid w:val="00095135"/>
    <w:rsid w:val="00095152"/>
    <w:rsid w:val="0009626E"/>
    <w:rsid w:val="0009644D"/>
    <w:rsid w:val="00097191"/>
    <w:rsid w:val="000974D1"/>
    <w:rsid w:val="00097784"/>
    <w:rsid w:val="0009799E"/>
    <w:rsid w:val="000A07CB"/>
    <w:rsid w:val="000A0BC0"/>
    <w:rsid w:val="000A1183"/>
    <w:rsid w:val="000A12ED"/>
    <w:rsid w:val="000A1D49"/>
    <w:rsid w:val="000A212B"/>
    <w:rsid w:val="000A242D"/>
    <w:rsid w:val="000A256D"/>
    <w:rsid w:val="000A2643"/>
    <w:rsid w:val="000A2E5F"/>
    <w:rsid w:val="000A385C"/>
    <w:rsid w:val="000A3A2C"/>
    <w:rsid w:val="000A3D9E"/>
    <w:rsid w:val="000A4A54"/>
    <w:rsid w:val="000A4ED9"/>
    <w:rsid w:val="000A5DB7"/>
    <w:rsid w:val="000A6753"/>
    <w:rsid w:val="000A6D94"/>
    <w:rsid w:val="000A72BC"/>
    <w:rsid w:val="000A7377"/>
    <w:rsid w:val="000A74A4"/>
    <w:rsid w:val="000A775A"/>
    <w:rsid w:val="000A7D63"/>
    <w:rsid w:val="000A7FF4"/>
    <w:rsid w:val="000B03CC"/>
    <w:rsid w:val="000B4212"/>
    <w:rsid w:val="000B67B7"/>
    <w:rsid w:val="000B6A0A"/>
    <w:rsid w:val="000C0127"/>
    <w:rsid w:val="000C0CA6"/>
    <w:rsid w:val="000C0EA8"/>
    <w:rsid w:val="000C13A2"/>
    <w:rsid w:val="000C21E7"/>
    <w:rsid w:val="000C23EC"/>
    <w:rsid w:val="000C26A2"/>
    <w:rsid w:val="000C290E"/>
    <w:rsid w:val="000C30C3"/>
    <w:rsid w:val="000C3408"/>
    <w:rsid w:val="000C35AB"/>
    <w:rsid w:val="000C3F7B"/>
    <w:rsid w:val="000C4769"/>
    <w:rsid w:val="000C4D56"/>
    <w:rsid w:val="000C52FC"/>
    <w:rsid w:val="000C5DFA"/>
    <w:rsid w:val="000C6AFD"/>
    <w:rsid w:val="000C6C90"/>
    <w:rsid w:val="000C72B7"/>
    <w:rsid w:val="000C7A79"/>
    <w:rsid w:val="000D0A26"/>
    <w:rsid w:val="000D13CB"/>
    <w:rsid w:val="000D2196"/>
    <w:rsid w:val="000D2C2E"/>
    <w:rsid w:val="000D3058"/>
    <w:rsid w:val="000D310A"/>
    <w:rsid w:val="000D3EF4"/>
    <w:rsid w:val="000D4761"/>
    <w:rsid w:val="000D4DC0"/>
    <w:rsid w:val="000D55BA"/>
    <w:rsid w:val="000D5637"/>
    <w:rsid w:val="000D5A03"/>
    <w:rsid w:val="000D5ED3"/>
    <w:rsid w:val="000D6F4E"/>
    <w:rsid w:val="000D6FDA"/>
    <w:rsid w:val="000D73BB"/>
    <w:rsid w:val="000D7AC7"/>
    <w:rsid w:val="000D7C6F"/>
    <w:rsid w:val="000E04FD"/>
    <w:rsid w:val="000E0E96"/>
    <w:rsid w:val="000E298B"/>
    <w:rsid w:val="000E2C7D"/>
    <w:rsid w:val="000E3E56"/>
    <w:rsid w:val="000E440D"/>
    <w:rsid w:val="000E4AC5"/>
    <w:rsid w:val="000E6253"/>
    <w:rsid w:val="000E6AC4"/>
    <w:rsid w:val="000E6E4D"/>
    <w:rsid w:val="000E6FBD"/>
    <w:rsid w:val="000E6FCB"/>
    <w:rsid w:val="000F0848"/>
    <w:rsid w:val="000F090B"/>
    <w:rsid w:val="000F0E42"/>
    <w:rsid w:val="000F15F7"/>
    <w:rsid w:val="000F1AA2"/>
    <w:rsid w:val="000F378E"/>
    <w:rsid w:val="000F3F3B"/>
    <w:rsid w:val="000F4721"/>
    <w:rsid w:val="000F47E8"/>
    <w:rsid w:val="000F70E4"/>
    <w:rsid w:val="000F76EA"/>
    <w:rsid w:val="00100A8B"/>
    <w:rsid w:val="00100F5C"/>
    <w:rsid w:val="00101B15"/>
    <w:rsid w:val="00101CDA"/>
    <w:rsid w:val="00102037"/>
    <w:rsid w:val="00103DCB"/>
    <w:rsid w:val="00104C4C"/>
    <w:rsid w:val="00105015"/>
    <w:rsid w:val="001055D2"/>
    <w:rsid w:val="001057C2"/>
    <w:rsid w:val="00106BCC"/>
    <w:rsid w:val="00107124"/>
    <w:rsid w:val="0011038E"/>
    <w:rsid w:val="0011055D"/>
    <w:rsid w:val="00111573"/>
    <w:rsid w:val="00112370"/>
    <w:rsid w:val="0011239B"/>
    <w:rsid w:val="001125EF"/>
    <w:rsid w:val="00112CAB"/>
    <w:rsid w:val="0011440C"/>
    <w:rsid w:val="00114C33"/>
    <w:rsid w:val="00114D5B"/>
    <w:rsid w:val="00116D3F"/>
    <w:rsid w:val="00117474"/>
    <w:rsid w:val="00117623"/>
    <w:rsid w:val="00117FEA"/>
    <w:rsid w:val="001200CF"/>
    <w:rsid w:val="001208E3"/>
    <w:rsid w:val="001211F9"/>
    <w:rsid w:val="00121609"/>
    <w:rsid w:val="0012192F"/>
    <w:rsid w:val="00122994"/>
    <w:rsid w:val="00123204"/>
    <w:rsid w:val="00124B46"/>
    <w:rsid w:val="001257BE"/>
    <w:rsid w:val="001257E0"/>
    <w:rsid w:val="00125D69"/>
    <w:rsid w:val="0012799C"/>
    <w:rsid w:val="00127BC2"/>
    <w:rsid w:val="00127E15"/>
    <w:rsid w:val="001308F1"/>
    <w:rsid w:val="00130ADC"/>
    <w:rsid w:val="00130D9F"/>
    <w:rsid w:val="00132C4D"/>
    <w:rsid w:val="00133FC1"/>
    <w:rsid w:val="00134659"/>
    <w:rsid w:val="00135111"/>
    <w:rsid w:val="00135376"/>
    <w:rsid w:val="00136A6F"/>
    <w:rsid w:val="00136C1A"/>
    <w:rsid w:val="00137812"/>
    <w:rsid w:val="00137F06"/>
    <w:rsid w:val="001405FA"/>
    <w:rsid w:val="00140D1A"/>
    <w:rsid w:val="00141184"/>
    <w:rsid w:val="00141315"/>
    <w:rsid w:val="0014152B"/>
    <w:rsid w:val="00141AA0"/>
    <w:rsid w:val="001425C3"/>
    <w:rsid w:val="0014262D"/>
    <w:rsid w:val="00142B29"/>
    <w:rsid w:val="00143EED"/>
    <w:rsid w:val="00144108"/>
    <w:rsid w:val="00144588"/>
    <w:rsid w:val="001447DD"/>
    <w:rsid w:val="00145358"/>
    <w:rsid w:val="001459BC"/>
    <w:rsid w:val="0014779E"/>
    <w:rsid w:val="00147B13"/>
    <w:rsid w:val="00150ECA"/>
    <w:rsid w:val="0015108F"/>
    <w:rsid w:val="00151707"/>
    <w:rsid w:val="00152C86"/>
    <w:rsid w:val="00152EBC"/>
    <w:rsid w:val="00152F4F"/>
    <w:rsid w:val="00153264"/>
    <w:rsid w:val="0015329F"/>
    <w:rsid w:val="001544A1"/>
    <w:rsid w:val="001553B8"/>
    <w:rsid w:val="001554C2"/>
    <w:rsid w:val="00156D04"/>
    <w:rsid w:val="001571C0"/>
    <w:rsid w:val="001574FE"/>
    <w:rsid w:val="0015753D"/>
    <w:rsid w:val="00157984"/>
    <w:rsid w:val="00157CC9"/>
    <w:rsid w:val="00160C21"/>
    <w:rsid w:val="001612F4"/>
    <w:rsid w:val="00161553"/>
    <w:rsid w:val="0016216F"/>
    <w:rsid w:val="0016256B"/>
    <w:rsid w:val="00162F81"/>
    <w:rsid w:val="00163793"/>
    <w:rsid w:val="00163868"/>
    <w:rsid w:val="00164CA1"/>
    <w:rsid w:val="00165313"/>
    <w:rsid w:val="001659C3"/>
    <w:rsid w:val="001665AB"/>
    <w:rsid w:val="00167485"/>
    <w:rsid w:val="001679F5"/>
    <w:rsid w:val="00167B92"/>
    <w:rsid w:val="00167CB9"/>
    <w:rsid w:val="00167DD8"/>
    <w:rsid w:val="001705AD"/>
    <w:rsid w:val="001706D6"/>
    <w:rsid w:val="001714F2"/>
    <w:rsid w:val="00171FEA"/>
    <w:rsid w:val="00173622"/>
    <w:rsid w:val="00174ED1"/>
    <w:rsid w:val="00175B9F"/>
    <w:rsid w:val="001762F4"/>
    <w:rsid w:val="001777BA"/>
    <w:rsid w:val="00181029"/>
    <w:rsid w:val="00181BBC"/>
    <w:rsid w:val="0018385F"/>
    <w:rsid w:val="00183BCF"/>
    <w:rsid w:val="00184017"/>
    <w:rsid w:val="001847BB"/>
    <w:rsid w:val="00184B08"/>
    <w:rsid w:val="00185010"/>
    <w:rsid w:val="001854F2"/>
    <w:rsid w:val="00185C22"/>
    <w:rsid w:val="00186BA9"/>
    <w:rsid w:val="00187D50"/>
    <w:rsid w:val="00190B4D"/>
    <w:rsid w:val="0019123D"/>
    <w:rsid w:val="0019196C"/>
    <w:rsid w:val="001926A9"/>
    <w:rsid w:val="00192F05"/>
    <w:rsid w:val="00194729"/>
    <w:rsid w:val="00194850"/>
    <w:rsid w:val="00195234"/>
    <w:rsid w:val="00195EA6"/>
    <w:rsid w:val="00196016"/>
    <w:rsid w:val="00196117"/>
    <w:rsid w:val="00197A70"/>
    <w:rsid w:val="00197C0F"/>
    <w:rsid w:val="00197D0E"/>
    <w:rsid w:val="001A0487"/>
    <w:rsid w:val="001A0675"/>
    <w:rsid w:val="001A0A37"/>
    <w:rsid w:val="001A164B"/>
    <w:rsid w:val="001A1F68"/>
    <w:rsid w:val="001A21FA"/>
    <w:rsid w:val="001A4D7C"/>
    <w:rsid w:val="001A4EF0"/>
    <w:rsid w:val="001A552F"/>
    <w:rsid w:val="001A70B1"/>
    <w:rsid w:val="001A7672"/>
    <w:rsid w:val="001B0738"/>
    <w:rsid w:val="001B1235"/>
    <w:rsid w:val="001B158D"/>
    <w:rsid w:val="001B1BBB"/>
    <w:rsid w:val="001B2CA9"/>
    <w:rsid w:val="001B3110"/>
    <w:rsid w:val="001B3E38"/>
    <w:rsid w:val="001B40F5"/>
    <w:rsid w:val="001B4729"/>
    <w:rsid w:val="001B4F0E"/>
    <w:rsid w:val="001B5F40"/>
    <w:rsid w:val="001B6310"/>
    <w:rsid w:val="001B6C09"/>
    <w:rsid w:val="001B6E12"/>
    <w:rsid w:val="001C05CD"/>
    <w:rsid w:val="001C082B"/>
    <w:rsid w:val="001C0F17"/>
    <w:rsid w:val="001C11A6"/>
    <w:rsid w:val="001C1B24"/>
    <w:rsid w:val="001C1B66"/>
    <w:rsid w:val="001C1BB5"/>
    <w:rsid w:val="001C2732"/>
    <w:rsid w:val="001C31A2"/>
    <w:rsid w:val="001C351D"/>
    <w:rsid w:val="001C3794"/>
    <w:rsid w:val="001C3855"/>
    <w:rsid w:val="001C4B8F"/>
    <w:rsid w:val="001C4BB8"/>
    <w:rsid w:val="001C4D8C"/>
    <w:rsid w:val="001C4FD0"/>
    <w:rsid w:val="001C544D"/>
    <w:rsid w:val="001C5E46"/>
    <w:rsid w:val="001C6B3B"/>
    <w:rsid w:val="001C7A26"/>
    <w:rsid w:val="001C7E3F"/>
    <w:rsid w:val="001D0EF1"/>
    <w:rsid w:val="001D1A44"/>
    <w:rsid w:val="001D22C2"/>
    <w:rsid w:val="001D2C99"/>
    <w:rsid w:val="001D3B75"/>
    <w:rsid w:val="001D452E"/>
    <w:rsid w:val="001D54C1"/>
    <w:rsid w:val="001D556E"/>
    <w:rsid w:val="001D5DF2"/>
    <w:rsid w:val="001D6175"/>
    <w:rsid w:val="001D68B2"/>
    <w:rsid w:val="001D6B3F"/>
    <w:rsid w:val="001D7EFD"/>
    <w:rsid w:val="001D7F60"/>
    <w:rsid w:val="001E085B"/>
    <w:rsid w:val="001E149B"/>
    <w:rsid w:val="001E15CB"/>
    <w:rsid w:val="001E1AF1"/>
    <w:rsid w:val="001E3306"/>
    <w:rsid w:val="001E504C"/>
    <w:rsid w:val="001E56AC"/>
    <w:rsid w:val="001E5A17"/>
    <w:rsid w:val="001E6441"/>
    <w:rsid w:val="001E74C5"/>
    <w:rsid w:val="001F1236"/>
    <w:rsid w:val="001F2F90"/>
    <w:rsid w:val="001F4597"/>
    <w:rsid w:val="001F4826"/>
    <w:rsid w:val="001F4933"/>
    <w:rsid w:val="001F59C8"/>
    <w:rsid w:val="001F6483"/>
    <w:rsid w:val="001F6CD3"/>
    <w:rsid w:val="001F75DA"/>
    <w:rsid w:val="001F7931"/>
    <w:rsid w:val="001F7CE0"/>
    <w:rsid w:val="00200085"/>
    <w:rsid w:val="00201633"/>
    <w:rsid w:val="00203332"/>
    <w:rsid w:val="002036E6"/>
    <w:rsid w:val="00203CD5"/>
    <w:rsid w:val="00203D8F"/>
    <w:rsid w:val="00203DA4"/>
    <w:rsid w:val="00204EA6"/>
    <w:rsid w:val="00205186"/>
    <w:rsid w:val="00206516"/>
    <w:rsid w:val="002070CF"/>
    <w:rsid w:val="002071D5"/>
    <w:rsid w:val="002073FD"/>
    <w:rsid w:val="002111E5"/>
    <w:rsid w:val="0021149E"/>
    <w:rsid w:val="002118B9"/>
    <w:rsid w:val="00213691"/>
    <w:rsid w:val="002142C0"/>
    <w:rsid w:val="00217BED"/>
    <w:rsid w:val="00217C5B"/>
    <w:rsid w:val="00220A43"/>
    <w:rsid w:val="0022139E"/>
    <w:rsid w:val="00222729"/>
    <w:rsid w:val="0022287B"/>
    <w:rsid w:val="002228DB"/>
    <w:rsid w:val="00223185"/>
    <w:rsid w:val="00223264"/>
    <w:rsid w:val="002233D6"/>
    <w:rsid w:val="0022441D"/>
    <w:rsid w:val="00224574"/>
    <w:rsid w:val="00224E3F"/>
    <w:rsid w:val="00225000"/>
    <w:rsid w:val="0022521D"/>
    <w:rsid w:val="002252E0"/>
    <w:rsid w:val="002255F6"/>
    <w:rsid w:val="00226032"/>
    <w:rsid w:val="0022738D"/>
    <w:rsid w:val="00227605"/>
    <w:rsid w:val="00227850"/>
    <w:rsid w:val="00227A53"/>
    <w:rsid w:val="00227C6C"/>
    <w:rsid w:val="00227E2E"/>
    <w:rsid w:val="00227F53"/>
    <w:rsid w:val="00230C6E"/>
    <w:rsid w:val="00230E21"/>
    <w:rsid w:val="00231066"/>
    <w:rsid w:val="002316A8"/>
    <w:rsid w:val="00231859"/>
    <w:rsid w:val="002320C9"/>
    <w:rsid w:val="0023288F"/>
    <w:rsid w:val="0023359B"/>
    <w:rsid w:val="00233603"/>
    <w:rsid w:val="002340EF"/>
    <w:rsid w:val="00234B82"/>
    <w:rsid w:val="00236443"/>
    <w:rsid w:val="00236700"/>
    <w:rsid w:val="00237C8B"/>
    <w:rsid w:val="00240391"/>
    <w:rsid w:val="00240AF3"/>
    <w:rsid w:val="002418D5"/>
    <w:rsid w:val="00241A9F"/>
    <w:rsid w:val="00241B06"/>
    <w:rsid w:val="0024343A"/>
    <w:rsid w:val="002436BA"/>
    <w:rsid w:val="002438DC"/>
    <w:rsid w:val="00244652"/>
    <w:rsid w:val="00244A15"/>
    <w:rsid w:val="002452D9"/>
    <w:rsid w:val="00247319"/>
    <w:rsid w:val="0024799E"/>
    <w:rsid w:val="00247E60"/>
    <w:rsid w:val="002512B7"/>
    <w:rsid w:val="00251496"/>
    <w:rsid w:val="00251B08"/>
    <w:rsid w:val="00251C53"/>
    <w:rsid w:val="00252AB9"/>
    <w:rsid w:val="002532B1"/>
    <w:rsid w:val="00253C0F"/>
    <w:rsid w:val="00253F48"/>
    <w:rsid w:val="00254FC3"/>
    <w:rsid w:val="002558C1"/>
    <w:rsid w:val="00256207"/>
    <w:rsid w:val="002575F3"/>
    <w:rsid w:val="002601B4"/>
    <w:rsid w:val="002603E1"/>
    <w:rsid w:val="002605FE"/>
    <w:rsid w:val="0026120E"/>
    <w:rsid w:val="002617EE"/>
    <w:rsid w:val="00262582"/>
    <w:rsid w:val="0026291D"/>
    <w:rsid w:val="00262CF3"/>
    <w:rsid w:val="00264309"/>
    <w:rsid w:val="00264992"/>
    <w:rsid w:val="00264B4F"/>
    <w:rsid w:val="00264B85"/>
    <w:rsid w:val="0026564B"/>
    <w:rsid w:val="00265C83"/>
    <w:rsid w:val="00265E85"/>
    <w:rsid w:val="00267B49"/>
    <w:rsid w:val="00267C51"/>
    <w:rsid w:val="002700D9"/>
    <w:rsid w:val="0027025F"/>
    <w:rsid w:val="002709CC"/>
    <w:rsid w:val="00270D25"/>
    <w:rsid w:val="00271022"/>
    <w:rsid w:val="00271465"/>
    <w:rsid w:val="00271A07"/>
    <w:rsid w:val="00271E47"/>
    <w:rsid w:val="002721F5"/>
    <w:rsid w:val="00272DF4"/>
    <w:rsid w:val="00275062"/>
    <w:rsid w:val="00275758"/>
    <w:rsid w:val="0027583D"/>
    <w:rsid w:val="002759C7"/>
    <w:rsid w:val="00275DEF"/>
    <w:rsid w:val="00275E43"/>
    <w:rsid w:val="002763A2"/>
    <w:rsid w:val="00276B33"/>
    <w:rsid w:val="00277669"/>
    <w:rsid w:val="002803A5"/>
    <w:rsid w:val="00280ACB"/>
    <w:rsid w:val="002812E3"/>
    <w:rsid w:val="00281576"/>
    <w:rsid w:val="00282AD4"/>
    <w:rsid w:val="0028341F"/>
    <w:rsid w:val="002837AE"/>
    <w:rsid w:val="00283C13"/>
    <w:rsid w:val="00283F7B"/>
    <w:rsid w:val="0028431A"/>
    <w:rsid w:val="002853FA"/>
    <w:rsid w:val="00285412"/>
    <w:rsid w:val="00286220"/>
    <w:rsid w:val="0029110B"/>
    <w:rsid w:val="00291640"/>
    <w:rsid w:val="0029237E"/>
    <w:rsid w:val="00292997"/>
    <w:rsid w:val="00293D24"/>
    <w:rsid w:val="0029461A"/>
    <w:rsid w:val="0029509B"/>
    <w:rsid w:val="0029588F"/>
    <w:rsid w:val="00295E96"/>
    <w:rsid w:val="00297256"/>
    <w:rsid w:val="00297A5C"/>
    <w:rsid w:val="00297D51"/>
    <w:rsid w:val="002A0122"/>
    <w:rsid w:val="002A016B"/>
    <w:rsid w:val="002A103E"/>
    <w:rsid w:val="002A16D4"/>
    <w:rsid w:val="002A1E4F"/>
    <w:rsid w:val="002A230C"/>
    <w:rsid w:val="002A2AF7"/>
    <w:rsid w:val="002A30ED"/>
    <w:rsid w:val="002A3209"/>
    <w:rsid w:val="002A34B5"/>
    <w:rsid w:val="002A38F3"/>
    <w:rsid w:val="002A3EA2"/>
    <w:rsid w:val="002A51AC"/>
    <w:rsid w:val="002A532A"/>
    <w:rsid w:val="002A5846"/>
    <w:rsid w:val="002A5D97"/>
    <w:rsid w:val="002A603E"/>
    <w:rsid w:val="002A63B9"/>
    <w:rsid w:val="002A7089"/>
    <w:rsid w:val="002B0692"/>
    <w:rsid w:val="002B1619"/>
    <w:rsid w:val="002B3EF4"/>
    <w:rsid w:val="002B4845"/>
    <w:rsid w:val="002B5567"/>
    <w:rsid w:val="002B5812"/>
    <w:rsid w:val="002B72AA"/>
    <w:rsid w:val="002B75C0"/>
    <w:rsid w:val="002C1110"/>
    <w:rsid w:val="002C1BC2"/>
    <w:rsid w:val="002C1F09"/>
    <w:rsid w:val="002C22A4"/>
    <w:rsid w:val="002C260B"/>
    <w:rsid w:val="002C27A6"/>
    <w:rsid w:val="002C31E4"/>
    <w:rsid w:val="002C398D"/>
    <w:rsid w:val="002C40D2"/>
    <w:rsid w:val="002C43BD"/>
    <w:rsid w:val="002C5245"/>
    <w:rsid w:val="002C564A"/>
    <w:rsid w:val="002C59D8"/>
    <w:rsid w:val="002C5FEB"/>
    <w:rsid w:val="002C6494"/>
    <w:rsid w:val="002D05CB"/>
    <w:rsid w:val="002D0E59"/>
    <w:rsid w:val="002D2C4F"/>
    <w:rsid w:val="002D3EBB"/>
    <w:rsid w:val="002D455C"/>
    <w:rsid w:val="002D6066"/>
    <w:rsid w:val="002D6A4C"/>
    <w:rsid w:val="002E02A1"/>
    <w:rsid w:val="002E196A"/>
    <w:rsid w:val="002E1F8A"/>
    <w:rsid w:val="002E20C7"/>
    <w:rsid w:val="002E20CD"/>
    <w:rsid w:val="002E222E"/>
    <w:rsid w:val="002E28D8"/>
    <w:rsid w:val="002E3638"/>
    <w:rsid w:val="002E37D1"/>
    <w:rsid w:val="002E3BEE"/>
    <w:rsid w:val="002E4DCE"/>
    <w:rsid w:val="002E4E4C"/>
    <w:rsid w:val="002E4EA7"/>
    <w:rsid w:val="002E5846"/>
    <w:rsid w:val="002E631B"/>
    <w:rsid w:val="002E792B"/>
    <w:rsid w:val="002E7AEB"/>
    <w:rsid w:val="002E7B79"/>
    <w:rsid w:val="002F1B09"/>
    <w:rsid w:val="002F1D56"/>
    <w:rsid w:val="002F1DCB"/>
    <w:rsid w:val="002F1DE4"/>
    <w:rsid w:val="002F333D"/>
    <w:rsid w:val="002F351A"/>
    <w:rsid w:val="002F357F"/>
    <w:rsid w:val="002F46D6"/>
    <w:rsid w:val="002F498A"/>
    <w:rsid w:val="002F4AD8"/>
    <w:rsid w:val="002F5285"/>
    <w:rsid w:val="002F5820"/>
    <w:rsid w:val="002F64BB"/>
    <w:rsid w:val="002F7D9B"/>
    <w:rsid w:val="00300C31"/>
    <w:rsid w:val="00300D42"/>
    <w:rsid w:val="00301294"/>
    <w:rsid w:val="003017EC"/>
    <w:rsid w:val="00302165"/>
    <w:rsid w:val="00303BB4"/>
    <w:rsid w:val="00304771"/>
    <w:rsid w:val="00304F9C"/>
    <w:rsid w:val="003052D4"/>
    <w:rsid w:val="00305863"/>
    <w:rsid w:val="003060D6"/>
    <w:rsid w:val="003060E9"/>
    <w:rsid w:val="00306C5B"/>
    <w:rsid w:val="00307529"/>
    <w:rsid w:val="00307DB3"/>
    <w:rsid w:val="00307ED2"/>
    <w:rsid w:val="0031076D"/>
    <w:rsid w:val="0031169A"/>
    <w:rsid w:val="00311AA6"/>
    <w:rsid w:val="00311C4D"/>
    <w:rsid w:val="003121AB"/>
    <w:rsid w:val="00312A85"/>
    <w:rsid w:val="00315169"/>
    <w:rsid w:val="003153C8"/>
    <w:rsid w:val="00315524"/>
    <w:rsid w:val="00315561"/>
    <w:rsid w:val="00316A8B"/>
    <w:rsid w:val="00316B3D"/>
    <w:rsid w:val="0032058C"/>
    <w:rsid w:val="003208D0"/>
    <w:rsid w:val="003209D6"/>
    <w:rsid w:val="003217B9"/>
    <w:rsid w:val="00321924"/>
    <w:rsid w:val="00321AF1"/>
    <w:rsid w:val="00321EB6"/>
    <w:rsid w:val="003220A5"/>
    <w:rsid w:val="003238E0"/>
    <w:rsid w:val="00323A1C"/>
    <w:rsid w:val="00323A2F"/>
    <w:rsid w:val="00323A8E"/>
    <w:rsid w:val="003247E1"/>
    <w:rsid w:val="00324B59"/>
    <w:rsid w:val="00325E46"/>
    <w:rsid w:val="0032656E"/>
    <w:rsid w:val="0032788F"/>
    <w:rsid w:val="00332190"/>
    <w:rsid w:val="00332A98"/>
    <w:rsid w:val="003334BD"/>
    <w:rsid w:val="00333973"/>
    <w:rsid w:val="00333CD0"/>
    <w:rsid w:val="0033448D"/>
    <w:rsid w:val="00334AD2"/>
    <w:rsid w:val="00334CB6"/>
    <w:rsid w:val="0033709C"/>
    <w:rsid w:val="003370C5"/>
    <w:rsid w:val="003373C6"/>
    <w:rsid w:val="0033753A"/>
    <w:rsid w:val="003375E0"/>
    <w:rsid w:val="00340BF3"/>
    <w:rsid w:val="00341C6C"/>
    <w:rsid w:val="00341D26"/>
    <w:rsid w:val="00341F05"/>
    <w:rsid w:val="0034335E"/>
    <w:rsid w:val="00344668"/>
    <w:rsid w:val="00344940"/>
    <w:rsid w:val="0034506D"/>
    <w:rsid w:val="00346234"/>
    <w:rsid w:val="003462D9"/>
    <w:rsid w:val="0034723F"/>
    <w:rsid w:val="00347247"/>
    <w:rsid w:val="003474B6"/>
    <w:rsid w:val="00347DD4"/>
    <w:rsid w:val="00352B43"/>
    <w:rsid w:val="00352C28"/>
    <w:rsid w:val="003541BB"/>
    <w:rsid w:val="00354502"/>
    <w:rsid w:val="00354F89"/>
    <w:rsid w:val="0035506D"/>
    <w:rsid w:val="003579A1"/>
    <w:rsid w:val="0036077F"/>
    <w:rsid w:val="00360A35"/>
    <w:rsid w:val="00360C86"/>
    <w:rsid w:val="00360F7A"/>
    <w:rsid w:val="00360FBC"/>
    <w:rsid w:val="00361537"/>
    <w:rsid w:val="00361B2D"/>
    <w:rsid w:val="00361FB7"/>
    <w:rsid w:val="0036242A"/>
    <w:rsid w:val="00362C23"/>
    <w:rsid w:val="00362DCA"/>
    <w:rsid w:val="00362E90"/>
    <w:rsid w:val="00364FA0"/>
    <w:rsid w:val="003657F3"/>
    <w:rsid w:val="00365844"/>
    <w:rsid w:val="00365F61"/>
    <w:rsid w:val="0036624C"/>
    <w:rsid w:val="00367F84"/>
    <w:rsid w:val="003712BC"/>
    <w:rsid w:val="00372164"/>
    <w:rsid w:val="003738BD"/>
    <w:rsid w:val="00374263"/>
    <w:rsid w:val="003746F0"/>
    <w:rsid w:val="00374A20"/>
    <w:rsid w:val="00374B96"/>
    <w:rsid w:val="00374E21"/>
    <w:rsid w:val="0037537A"/>
    <w:rsid w:val="00377B2E"/>
    <w:rsid w:val="00380C9B"/>
    <w:rsid w:val="003810F0"/>
    <w:rsid w:val="003815D4"/>
    <w:rsid w:val="003818DC"/>
    <w:rsid w:val="00382513"/>
    <w:rsid w:val="00383388"/>
    <w:rsid w:val="003834F8"/>
    <w:rsid w:val="003838D0"/>
    <w:rsid w:val="003840C2"/>
    <w:rsid w:val="00384327"/>
    <w:rsid w:val="00384A89"/>
    <w:rsid w:val="00385086"/>
    <w:rsid w:val="00385D98"/>
    <w:rsid w:val="00390306"/>
    <w:rsid w:val="003908A6"/>
    <w:rsid w:val="0039109D"/>
    <w:rsid w:val="00391989"/>
    <w:rsid w:val="00391A6C"/>
    <w:rsid w:val="003927F6"/>
    <w:rsid w:val="0039398D"/>
    <w:rsid w:val="00393B3F"/>
    <w:rsid w:val="0039402D"/>
    <w:rsid w:val="00396739"/>
    <w:rsid w:val="003978B1"/>
    <w:rsid w:val="003A04F6"/>
    <w:rsid w:val="003A0837"/>
    <w:rsid w:val="003A2B4D"/>
    <w:rsid w:val="003A2D12"/>
    <w:rsid w:val="003A2EBA"/>
    <w:rsid w:val="003A32DB"/>
    <w:rsid w:val="003A45E3"/>
    <w:rsid w:val="003A46B8"/>
    <w:rsid w:val="003A478C"/>
    <w:rsid w:val="003A4A38"/>
    <w:rsid w:val="003A5295"/>
    <w:rsid w:val="003A5525"/>
    <w:rsid w:val="003A5889"/>
    <w:rsid w:val="003A5C8C"/>
    <w:rsid w:val="003A6B38"/>
    <w:rsid w:val="003A6B83"/>
    <w:rsid w:val="003A6C97"/>
    <w:rsid w:val="003A722F"/>
    <w:rsid w:val="003A7373"/>
    <w:rsid w:val="003A7D09"/>
    <w:rsid w:val="003B039F"/>
    <w:rsid w:val="003B0DF4"/>
    <w:rsid w:val="003B1F9D"/>
    <w:rsid w:val="003B2A8D"/>
    <w:rsid w:val="003B2AD1"/>
    <w:rsid w:val="003B2D2E"/>
    <w:rsid w:val="003B376A"/>
    <w:rsid w:val="003B461F"/>
    <w:rsid w:val="003B483F"/>
    <w:rsid w:val="003B4998"/>
    <w:rsid w:val="003B5A32"/>
    <w:rsid w:val="003B5B59"/>
    <w:rsid w:val="003B709D"/>
    <w:rsid w:val="003B7B50"/>
    <w:rsid w:val="003C0B07"/>
    <w:rsid w:val="003C2CE7"/>
    <w:rsid w:val="003C2DB8"/>
    <w:rsid w:val="003C3490"/>
    <w:rsid w:val="003C3608"/>
    <w:rsid w:val="003C3A87"/>
    <w:rsid w:val="003C3AE8"/>
    <w:rsid w:val="003C3D2C"/>
    <w:rsid w:val="003C4058"/>
    <w:rsid w:val="003C4E13"/>
    <w:rsid w:val="003C58A5"/>
    <w:rsid w:val="003C6221"/>
    <w:rsid w:val="003C63D7"/>
    <w:rsid w:val="003C68CC"/>
    <w:rsid w:val="003C7E62"/>
    <w:rsid w:val="003D12B9"/>
    <w:rsid w:val="003D1E7A"/>
    <w:rsid w:val="003D242B"/>
    <w:rsid w:val="003D2492"/>
    <w:rsid w:val="003D29AA"/>
    <w:rsid w:val="003D2A99"/>
    <w:rsid w:val="003D5EBF"/>
    <w:rsid w:val="003D6920"/>
    <w:rsid w:val="003D6982"/>
    <w:rsid w:val="003E0249"/>
    <w:rsid w:val="003E08A4"/>
    <w:rsid w:val="003E105C"/>
    <w:rsid w:val="003E1EF8"/>
    <w:rsid w:val="003E2DFB"/>
    <w:rsid w:val="003E4466"/>
    <w:rsid w:val="003E4C91"/>
    <w:rsid w:val="003E52D8"/>
    <w:rsid w:val="003E62F1"/>
    <w:rsid w:val="003E6ED5"/>
    <w:rsid w:val="003E6F84"/>
    <w:rsid w:val="003F0148"/>
    <w:rsid w:val="003F313C"/>
    <w:rsid w:val="003F33B1"/>
    <w:rsid w:val="003F33B9"/>
    <w:rsid w:val="003F37FC"/>
    <w:rsid w:val="003F3E76"/>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1D"/>
    <w:rsid w:val="00403F57"/>
    <w:rsid w:val="004046BD"/>
    <w:rsid w:val="00404BAB"/>
    <w:rsid w:val="00405318"/>
    <w:rsid w:val="004059D2"/>
    <w:rsid w:val="004060C9"/>
    <w:rsid w:val="004066D0"/>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DAC"/>
    <w:rsid w:val="00417106"/>
    <w:rsid w:val="004175B3"/>
    <w:rsid w:val="00420880"/>
    <w:rsid w:val="00421179"/>
    <w:rsid w:val="004225D7"/>
    <w:rsid w:val="00423623"/>
    <w:rsid w:val="0042470E"/>
    <w:rsid w:val="0042507B"/>
    <w:rsid w:val="00425352"/>
    <w:rsid w:val="00426C99"/>
    <w:rsid w:val="004272BE"/>
    <w:rsid w:val="00430C96"/>
    <w:rsid w:val="0043174F"/>
    <w:rsid w:val="00431BFF"/>
    <w:rsid w:val="00432199"/>
    <w:rsid w:val="00432A58"/>
    <w:rsid w:val="00432FC7"/>
    <w:rsid w:val="004331C3"/>
    <w:rsid w:val="00433C17"/>
    <w:rsid w:val="00434617"/>
    <w:rsid w:val="00434DE9"/>
    <w:rsid w:val="00435051"/>
    <w:rsid w:val="00435C69"/>
    <w:rsid w:val="004360FB"/>
    <w:rsid w:val="00437CED"/>
    <w:rsid w:val="004407BF"/>
    <w:rsid w:val="00440900"/>
    <w:rsid w:val="00440D2A"/>
    <w:rsid w:val="0044121D"/>
    <w:rsid w:val="00441BF6"/>
    <w:rsid w:val="00441D2B"/>
    <w:rsid w:val="00441F8B"/>
    <w:rsid w:val="00442085"/>
    <w:rsid w:val="0044279E"/>
    <w:rsid w:val="004441A0"/>
    <w:rsid w:val="00445861"/>
    <w:rsid w:val="00445A8E"/>
    <w:rsid w:val="00446D44"/>
    <w:rsid w:val="0045078A"/>
    <w:rsid w:val="0045086D"/>
    <w:rsid w:val="00450DAB"/>
    <w:rsid w:val="0045125B"/>
    <w:rsid w:val="00451E25"/>
    <w:rsid w:val="00451EF1"/>
    <w:rsid w:val="00452E60"/>
    <w:rsid w:val="0045321B"/>
    <w:rsid w:val="00455833"/>
    <w:rsid w:val="00456FB5"/>
    <w:rsid w:val="00456FE5"/>
    <w:rsid w:val="00457490"/>
    <w:rsid w:val="0045778B"/>
    <w:rsid w:val="0045786C"/>
    <w:rsid w:val="00457953"/>
    <w:rsid w:val="004604D8"/>
    <w:rsid w:val="00460656"/>
    <w:rsid w:val="00460FB3"/>
    <w:rsid w:val="00463D3C"/>
    <w:rsid w:val="00464851"/>
    <w:rsid w:val="00464BF5"/>
    <w:rsid w:val="00466595"/>
    <w:rsid w:val="00466B3E"/>
    <w:rsid w:val="0046746A"/>
    <w:rsid w:val="00467B14"/>
    <w:rsid w:val="004707FE"/>
    <w:rsid w:val="00470EDC"/>
    <w:rsid w:val="00472418"/>
    <w:rsid w:val="0047276D"/>
    <w:rsid w:val="00472AF6"/>
    <w:rsid w:val="00473482"/>
    <w:rsid w:val="00474646"/>
    <w:rsid w:val="00474A04"/>
    <w:rsid w:val="00476240"/>
    <w:rsid w:val="00476439"/>
    <w:rsid w:val="00476450"/>
    <w:rsid w:val="004769BF"/>
    <w:rsid w:val="004769E1"/>
    <w:rsid w:val="00476AEE"/>
    <w:rsid w:val="0047735C"/>
    <w:rsid w:val="004776BC"/>
    <w:rsid w:val="00477820"/>
    <w:rsid w:val="00477B96"/>
    <w:rsid w:val="00480802"/>
    <w:rsid w:val="00480BAE"/>
    <w:rsid w:val="00480D7F"/>
    <w:rsid w:val="0048139F"/>
    <w:rsid w:val="00481E40"/>
    <w:rsid w:val="00482405"/>
    <w:rsid w:val="004826A7"/>
    <w:rsid w:val="004828DA"/>
    <w:rsid w:val="0048368C"/>
    <w:rsid w:val="0048372F"/>
    <w:rsid w:val="0048399F"/>
    <w:rsid w:val="00483A0C"/>
    <w:rsid w:val="004841CC"/>
    <w:rsid w:val="00484ECE"/>
    <w:rsid w:val="00485E82"/>
    <w:rsid w:val="00486132"/>
    <w:rsid w:val="0048686D"/>
    <w:rsid w:val="00486A4D"/>
    <w:rsid w:val="004915CB"/>
    <w:rsid w:val="00491A2B"/>
    <w:rsid w:val="004924DC"/>
    <w:rsid w:val="00492879"/>
    <w:rsid w:val="00493E85"/>
    <w:rsid w:val="00495145"/>
    <w:rsid w:val="0049531F"/>
    <w:rsid w:val="004979A5"/>
    <w:rsid w:val="004A0144"/>
    <w:rsid w:val="004A036E"/>
    <w:rsid w:val="004A0389"/>
    <w:rsid w:val="004A0498"/>
    <w:rsid w:val="004A06B0"/>
    <w:rsid w:val="004A0D0E"/>
    <w:rsid w:val="004A14E4"/>
    <w:rsid w:val="004A204E"/>
    <w:rsid w:val="004A26A5"/>
    <w:rsid w:val="004A27F0"/>
    <w:rsid w:val="004A3212"/>
    <w:rsid w:val="004A37CD"/>
    <w:rsid w:val="004A3BE4"/>
    <w:rsid w:val="004A40D9"/>
    <w:rsid w:val="004A49A5"/>
    <w:rsid w:val="004A4F8A"/>
    <w:rsid w:val="004A52AB"/>
    <w:rsid w:val="004A5494"/>
    <w:rsid w:val="004A5D4E"/>
    <w:rsid w:val="004A61C5"/>
    <w:rsid w:val="004A62A0"/>
    <w:rsid w:val="004A77DF"/>
    <w:rsid w:val="004A7DC0"/>
    <w:rsid w:val="004B1417"/>
    <w:rsid w:val="004B1627"/>
    <w:rsid w:val="004B305C"/>
    <w:rsid w:val="004B31B8"/>
    <w:rsid w:val="004B339A"/>
    <w:rsid w:val="004B4C83"/>
    <w:rsid w:val="004B55B7"/>
    <w:rsid w:val="004B591D"/>
    <w:rsid w:val="004B5BFA"/>
    <w:rsid w:val="004B619E"/>
    <w:rsid w:val="004B6468"/>
    <w:rsid w:val="004B6EF8"/>
    <w:rsid w:val="004B7125"/>
    <w:rsid w:val="004B756A"/>
    <w:rsid w:val="004B7FB1"/>
    <w:rsid w:val="004C0970"/>
    <w:rsid w:val="004C0B3F"/>
    <w:rsid w:val="004C0F87"/>
    <w:rsid w:val="004C25F9"/>
    <w:rsid w:val="004C2794"/>
    <w:rsid w:val="004C2BB6"/>
    <w:rsid w:val="004C2C2D"/>
    <w:rsid w:val="004C3027"/>
    <w:rsid w:val="004C384C"/>
    <w:rsid w:val="004C3867"/>
    <w:rsid w:val="004C3CE4"/>
    <w:rsid w:val="004C3DB0"/>
    <w:rsid w:val="004C439A"/>
    <w:rsid w:val="004C4720"/>
    <w:rsid w:val="004C4CD0"/>
    <w:rsid w:val="004C5060"/>
    <w:rsid w:val="004C5165"/>
    <w:rsid w:val="004C589C"/>
    <w:rsid w:val="004C5AE8"/>
    <w:rsid w:val="004C6E0E"/>
    <w:rsid w:val="004C70DC"/>
    <w:rsid w:val="004D0211"/>
    <w:rsid w:val="004D0794"/>
    <w:rsid w:val="004D17A6"/>
    <w:rsid w:val="004D2D31"/>
    <w:rsid w:val="004D2E03"/>
    <w:rsid w:val="004D3296"/>
    <w:rsid w:val="004D4056"/>
    <w:rsid w:val="004D4CB0"/>
    <w:rsid w:val="004D5B0F"/>
    <w:rsid w:val="004D7626"/>
    <w:rsid w:val="004E085C"/>
    <w:rsid w:val="004E12DF"/>
    <w:rsid w:val="004E186A"/>
    <w:rsid w:val="004E1A40"/>
    <w:rsid w:val="004E1DB2"/>
    <w:rsid w:val="004E200A"/>
    <w:rsid w:val="004E23FC"/>
    <w:rsid w:val="004E2409"/>
    <w:rsid w:val="004E261D"/>
    <w:rsid w:val="004E3927"/>
    <w:rsid w:val="004E3B7F"/>
    <w:rsid w:val="004E57BF"/>
    <w:rsid w:val="004E5F41"/>
    <w:rsid w:val="004E6011"/>
    <w:rsid w:val="004E6DE6"/>
    <w:rsid w:val="004E765E"/>
    <w:rsid w:val="004E7815"/>
    <w:rsid w:val="004F06F5"/>
    <w:rsid w:val="004F12A4"/>
    <w:rsid w:val="004F253F"/>
    <w:rsid w:val="004F33A0"/>
    <w:rsid w:val="004F3873"/>
    <w:rsid w:val="004F3BD2"/>
    <w:rsid w:val="004F46ED"/>
    <w:rsid w:val="004F49A3"/>
    <w:rsid w:val="004F4C99"/>
    <w:rsid w:val="004F5358"/>
    <w:rsid w:val="004F601B"/>
    <w:rsid w:val="004F6484"/>
    <w:rsid w:val="004F6539"/>
    <w:rsid w:val="00503D54"/>
    <w:rsid w:val="005048E2"/>
    <w:rsid w:val="00505FC8"/>
    <w:rsid w:val="00506603"/>
    <w:rsid w:val="0050689D"/>
    <w:rsid w:val="005077F5"/>
    <w:rsid w:val="005108C0"/>
    <w:rsid w:val="0051094F"/>
    <w:rsid w:val="00511217"/>
    <w:rsid w:val="00511873"/>
    <w:rsid w:val="00511BAF"/>
    <w:rsid w:val="00512461"/>
    <w:rsid w:val="00512585"/>
    <w:rsid w:val="00512A2F"/>
    <w:rsid w:val="00513B7E"/>
    <w:rsid w:val="00513E9D"/>
    <w:rsid w:val="0051475D"/>
    <w:rsid w:val="00514B11"/>
    <w:rsid w:val="00514DED"/>
    <w:rsid w:val="00515485"/>
    <w:rsid w:val="00515BE9"/>
    <w:rsid w:val="00515C74"/>
    <w:rsid w:val="00515CEB"/>
    <w:rsid w:val="0051630F"/>
    <w:rsid w:val="00517113"/>
    <w:rsid w:val="0052007E"/>
    <w:rsid w:val="0052032E"/>
    <w:rsid w:val="00521CAD"/>
    <w:rsid w:val="0052200D"/>
    <w:rsid w:val="00522425"/>
    <w:rsid w:val="00522A1B"/>
    <w:rsid w:val="00522E01"/>
    <w:rsid w:val="0052337A"/>
    <w:rsid w:val="00524385"/>
    <w:rsid w:val="005246BE"/>
    <w:rsid w:val="00525137"/>
    <w:rsid w:val="005251DD"/>
    <w:rsid w:val="0052762C"/>
    <w:rsid w:val="0052792D"/>
    <w:rsid w:val="0053012B"/>
    <w:rsid w:val="005301A6"/>
    <w:rsid w:val="00530A68"/>
    <w:rsid w:val="00530AD4"/>
    <w:rsid w:val="0053129F"/>
    <w:rsid w:val="00531C5A"/>
    <w:rsid w:val="00532CE7"/>
    <w:rsid w:val="00532D8B"/>
    <w:rsid w:val="0053324C"/>
    <w:rsid w:val="00533A8D"/>
    <w:rsid w:val="00534A28"/>
    <w:rsid w:val="00535018"/>
    <w:rsid w:val="00535782"/>
    <w:rsid w:val="0053595E"/>
    <w:rsid w:val="00537571"/>
    <w:rsid w:val="00540056"/>
    <w:rsid w:val="005410E2"/>
    <w:rsid w:val="00541508"/>
    <w:rsid w:val="00541AE3"/>
    <w:rsid w:val="00543498"/>
    <w:rsid w:val="00544011"/>
    <w:rsid w:val="00544BE5"/>
    <w:rsid w:val="005453A3"/>
    <w:rsid w:val="005455F6"/>
    <w:rsid w:val="0054582F"/>
    <w:rsid w:val="0054632B"/>
    <w:rsid w:val="00546FC7"/>
    <w:rsid w:val="005500F9"/>
    <w:rsid w:val="00550160"/>
    <w:rsid w:val="00550249"/>
    <w:rsid w:val="00550540"/>
    <w:rsid w:val="005519E2"/>
    <w:rsid w:val="00551E16"/>
    <w:rsid w:val="005523A8"/>
    <w:rsid w:val="00552F2C"/>
    <w:rsid w:val="00553A25"/>
    <w:rsid w:val="005547EB"/>
    <w:rsid w:val="00554863"/>
    <w:rsid w:val="005555E0"/>
    <w:rsid w:val="0055599F"/>
    <w:rsid w:val="00556D68"/>
    <w:rsid w:val="0055707B"/>
    <w:rsid w:val="005570D6"/>
    <w:rsid w:val="00557E0E"/>
    <w:rsid w:val="00557E45"/>
    <w:rsid w:val="005605F3"/>
    <w:rsid w:val="00560C41"/>
    <w:rsid w:val="00560C68"/>
    <w:rsid w:val="00560CAC"/>
    <w:rsid w:val="00561F44"/>
    <w:rsid w:val="00562B4D"/>
    <w:rsid w:val="00562DB1"/>
    <w:rsid w:val="00563EB8"/>
    <w:rsid w:val="005647BF"/>
    <w:rsid w:val="00564AF1"/>
    <w:rsid w:val="005655DB"/>
    <w:rsid w:val="00565E88"/>
    <w:rsid w:val="00567339"/>
    <w:rsid w:val="005678EE"/>
    <w:rsid w:val="00567910"/>
    <w:rsid w:val="00570270"/>
    <w:rsid w:val="00570464"/>
    <w:rsid w:val="00570601"/>
    <w:rsid w:val="00570BC3"/>
    <w:rsid w:val="00571766"/>
    <w:rsid w:val="0057182A"/>
    <w:rsid w:val="00571E59"/>
    <w:rsid w:val="00572079"/>
    <w:rsid w:val="00572900"/>
    <w:rsid w:val="00573602"/>
    <w:rsid w:val="0057364B"/>
    <w:rsid w:val="00574773"/>
    <w:rsid w:val="005761EC"/>
    <w:rsid w:val="00576E34"/>
    <w:rsid w:val="00577C07"/>
    <w:rsid w:val="00577DB1"/>
    <w:rsid w:val="00580AD3"/>
    <w:rsid w:val="00580DE7"/>
    <w:rsid w:val="005810E1"/>
    <w:rsid w:val="005820CD"/>
    <w:rsid w:val="00582A12"/>
    <w:rsid w:val="00583BDD"/>
    <w:rsid w:val="00583E52"/>
    <w:rsid w:val="00583FFD"/>
    <w:rsid w:val="00584252"/>
    <w:rsid w:val="005848DD"/>
    <w:rsid w:val="0058519A"/>
    <w:rsid w:val="005856BD"/>
    <w:rsid w:val="00585983"/>
    <w:rsid w:val="00586BCA"/>
    <w:rsid w:val="00587038"/>
    <w:rsid w:val="00587319"/>
    <w:rsid w:val="00590608"/>
    <w:rsid w:val="00590B28"/>
    <w:rsid w:val="005911BE"/>
    <w:rsid w:val="00591273"/>
    <w:rsid w:val="00591E9E"/>
    <w:rsid w:val="005927A4"/>
    <w:rsid w:val="00593152"/>
    <w:rsid w:val="00593389"/>
    <w:rsid w:val="00593FE6"/>
    <w:rsid w:val="005956A3"/>
    <w:rsid w:val="00595958"/>
    <w:rsid w:val="00595CAB"/>
    <w:rsid w:val="0059622E"/>
    <w:rsid w:val="0059684D"/>
    <w:rsid w:val="00597671"/>
    <w:rsid w:val="00597BBF"/>
    <w:rsid w:val="005A040C"/>
    <w:rsid w:val="005A0463"/>
    <w:rsid w:val="005A05DF"/>
    <w:rsid w:val="005A0948"/>
    <w:rsid w:val="005A0A03"/>
    <w:rsid w:val="005A10F2"/>
    <w:rsid w:val="005A16C0"/>
    <w:rsid w:val="005A2156"/>
    <w:rsid w:val="005A21E0"/>
    <w:rsid w:val="005A2401"/>
    <w:rsid w:val="005A28FF"/>
    <w:rsid w:val="005A2C09"/>
    <w:rsid w:val="005A3778"/>
    <w:rsid w:val="005A37B0"/>
    <w:rsid w:val="005A3DF8"/>
    <w:rsid w:val="005A5549"/>
    <w:rsid w:val="005A566A"/>
    <w:rsid w:val="005A56E0"/>
    <w:rsid w:val="005A70CA"/>
    <w:rsid w:val="005A7ABD"/>
    <w:rsid w:val="005A7CF8"/>
    <w:rsid w:val="005B0EDA"/>
    <w:rsid w:val="005B121D"/>
    <w:rsid w:val="005B1705"/>
    <w:rsid w:val="005B26B0"/>
    <w:rsid w:val="005B41C9"/>
    <w:rsid w:val="005B44E6"/>
    <w:rsid w:val="005B4853"/>
    <w:rsid w:val="005B591B"/>
    <w:rsid w:val="005B6CA1"/>
    <w:rsid w:val="005B770C"/>
    <w:rsid w:val="005C06ED"/>
    <w:rsid w:val="005C0CE1"/>
    <w:rsid w:val="005C11B8"/>
    <w:rsid w:val="005C1B24"/>
    <w:rsid w:val="005C216C"/>
    <w:rsid w:val="005C2609"/>
    <w:rsid w:val="005C2B30"/>
    <w:rsid w:val="005C412B"/>
    <w:rsid w:val="005C43EC"/>
    <w:rsid w:val="005C45DD"/>
    <w:rsid w:val="005C4704"/>
    <w:rsid w:val="005C4CB1"/>
    <w:rsid w:val="005C70AB"/>
    <w:rsid w:val="005D015C"/>
    <w:rsid w:val="005D3F06"/>
    <w:rsid w:val="005D4608"/>
    <w:rsid w:val="005D4B73"/>
    <w:rsid w:val="005D533D"/>
    <w:rsid w:val="005D5645"/>
    <w:rsid w:val="005D5802"/>
    <w:rsid w:val="005D5AA9"/>
    <w:rsid w:val="005D5B60"/>
    <w:rsid w:val="005D66E6"/>
    <w:rsid w:val="005D7119"/>
    <w:rsid w:val="005D76C8"/>
    <w:rsid w:val="005D7890"/>
    <w:rsid w:val="005D7AAF"/>
    <w:rsid w:val="005E19C1"/>
    <w:rsid w:val="005E2194"/>
    <w:rsid w:val="005E24F0"/>
    <w:rsid w:val="005E3113"/>
    <w:rsid w:val="005E36FE"/>
    <w:rsid w:val="005E3F66"/>
    <w:rsid w:val="005E490F"/>
    <w:rsid w:val="005E4BC9"/>
    <w:rsid w:val="005E5314"/>
    <w:rsid w:val="005E53DC"/>
    <w:rsid w:val="005E764D"/>
    <w:rsid w:val="005E7724"/>
    <w:rsid w:val="005E7C78"/>
    <w:rsid w:val="005F04A7"/>
    <w:rsid w:val="005F114F"/>
    <w:rsid w:val="005F18C5"/>
    <w:rsid w:val="005F247B"/>
    <w:rsid w:val="005F2A08"/>
    <w:rsid w:val="005F36CC"/>
    <w:rsid w:val="005F3EB1"/>
    <w:rsid w:val="005F413E"/>
    <w:rsid w:val="005F466B"/>
    <w:rsid w:val="005F46D8"/>
    <w:rsid w:val="005F480F"/>
    <w:rsid w:val="005F5271"/>
    <w:rsid w:val="005F5469"/>
    <w:rsid w:val="005F63F3"/>
    <w:rsid w:val="005F66F0"/>
    <w:rsid w:val="005F6D7F"/>
    <w:rsid w:val="005F6DFE"/>
    <w:rsid w:val="005F7174"/>
    <w:rsid w:val="005F7B79"/>
    <w:rsid w:val="0060120D"/>
    <w:rsid w:val="006017C1"/>
    <w:rsid w:val="00601ADE"/>
    <w:rsid w:val="00601EEF"/>
    <w:rsid w:val="0060255A"/>
    <w:rsid w:val="00602998"/>
    <w:rsid w:val="00602EB3"/>
    <w:rsid w:val="00604307"/>
    <w:rsid w:val="0060487F"/>
    <w:rsid w:val="00604EAD"/>
    <w:rsid w:val="0060513F"/>
    <w:rsid w:val="006065E2"/>
    <w:rsid w:val="0060694B"/>
    <w:rsid w:val="00607E1D"/>
    <w:rsid w:val="006104FB"/>
    <w:rsid w:val="006116FF"/>
    <w:rsid w:val="0061176D"/>
    <w:rsid w:val="0061200F"/>
    <w:rsid w:val="00612756"/>
    <w:rsid w:val="00612A2F"/>
    <w:rsid w:val="00612AAE"/>
    <w:rsid w:val="00612B07"/>
    <w:rsid w:val="00612FD9"/>
    <w:rsid w:val="006139E0"/>
    <w:rsid w:val="00614D35"/>
    <w:rsid w:val="006156B4"/>
    <w:rsid w:val="00615DAF"/>
    <w:rsid w:val="00616254"/>
    <w:rsid w:val="0061672A"/>
    <w:rsid w:val="00616E05"/>
    <w:rsid w:val="00617985"/>
    <w:rsid w:val="00620641"/>
    <w:rsid w:val="00620B77"/>
    <w:rsid w:val="00621190"/>
    <w:rsid w:val="0062131B"/>
    <w:rsid w:val="00621E26"/>
    <w:rsid w:val="006224EA"/>
    <w:rsid w:val="0062263A"/>
    <w:rsid w:val="006227DF"/>
    <w:rsid w:val="006234A0"/>
    <w:rsid w:val="006236C8"/>
    <w:rsid w:val="00624093"/>
    <w:rsid w:val="0062415E"/>
    <w:rsid w:val="00625A84"/>
    <w:rsid w:val="00626079"/>
    <w:rsid w:val="00626B8F"/>
    <w:rsid w:val="006275B5"/>
    <w:rsid w:val="00631698"/>
    <w:rsid w:val="00631E44"/>
    <w:rsid w:val="00634C57"/>
    <w:rsid w:val="00634CE7"/>
    <w:rsid w:val="006350D5"/>
    <w:rsid w:val="00635EBE"/>
    <w:rsid w:val="0063642C"/>
    <w:rsid w:val="006376B3"/>
    <w:rsid w:val="00637858"/>
    <w:rsid w:val="006404A7"/>
    <w:rsid w:val="00640A38"/>
    <w:rsid w:val="00640E6B"/>
    <w:rsid w:val="00641787"/>
    <w:rsid w:val="0064179B"/>
    <w:rsid w:val="00642338"/>
    <w:rsid w:val="00642489"/>
    <w:rsid w:val="00644055"/>
    <w:rsid w:val="00644137"/>
    <w:rsid w:val="0064478C"/>
    <w:rsid w:val="00644938"/>
    <w:rsid w:val="00645160"/>
    <w:rsid w:val="006451E4"/>
    <w:rsid w:val="0064574B"/>
    <w:rsid w:val="00645B33"/>
    <w:rsid w:val="00650FFC"/>
    <w:rsid w:val="0065153D"/>
    <w:rsid w:val="006516CB"/>
    <w:rsid w:val="00652444"/>
    <w:rsid w:val="00652E30"/>
    <w:rsid w:val="00653BD0"/>
    <w:rsid w:val="00654110"/>
    <w:rsid w:val="00656C5D"/>
    <w:rsid w:val="00656CFB"/>
    <w:rsid w:val="00656D25"/>
    <w:rsid w:val="00657E87"/>
    <w:rsid w:val="00660D2D"/>
    <w:rsid w:val="0066110B"/>
    <w:rsid w:val="00661C41"/>
    <w:rsid w:val="00661EC9"/>
    <w:rsid w:val="00662469"/>
    <w:rsid w:val="0066411C"/>
    <w:rsid w:val="00664205"/>
    <w:rsid w:val="00664647"/>
    <w:rsid w:val="00664803"/>
    <w:rsid w:val="0066502F"/>
    <w:rsid w:val="006653CC"/>
    <w:rsid w:val="00665501"/>
    <w:rsid w:val="00665982"/>
    <w:rsid w:val="00665BA4"/>
    <w:rsid w:val="00666BF3"/>
    <w:rsid w:val="00667748"/>
    <w:rsid w:val="00667856"/>
    <w:rsid w:val="00667AF2"/>
    <w:rsid w:val="00670489"/>
    <w:rsid w:val="006710C9"/>
    <w:rsid w:val="00671D85"/>
    <w:rsid w:val="00672586"/>
    <w:rsid w:val="006727BC"/>
    <w:rsid w:val="006741CD"/>
    <w:rsid w:val="006745DF"/>
    <w:rsid w:val="00674BAC"/>
    <w:rsid w:val="00674D89"/>
    <w:rsid w:val="0067514E"/>
    <w:rsid w:val="00675E37"/>
    <w:rsid w:val="0067635D"/>
    <w:rsid w:val="00676736"/>
    <w:rsid w:val="006769A4"/>
    <w:rsid w:val="006769C6"/>
    <w:rsid w:val="00676D76"/>
    <w:rsid w:val="00676F9F"/>
    <w:rsid w:val="00677519"/>
    <w:rsid w:val="00677591"/>
    <w:rsid w:val="00677594"/>
    <w:rsid w:val="00677FA3"/>
    <w:rsid w:val="0068032F"/>
    <w:rsid w:val="00680D37"/>
    <w:rsid w:val="0068174E"/>
    <w:rsid w:val="00681DCE"/>
    <w:rsid w:val="00682110"/>
    <w:rsid w:val="0068260E"/>
    <w:rsid w:val="006846B3"/>
    <w:rsid w:val="006849F8"/>
    <w:rsid w:val="00684B9B"/>
    <w:rsid w:val="00684D59"/>
    <w:rsid w:val="00684E25"/>
    <w:rsid w:val="006858A4"/>
    <w:rsid w:val="00685C08"/>
    <w:rsid w:val="00685C8C"/>
    <w:rsid w:val="00686718"/>
    <w:rsid w:val="00686BFA"/>
    <w:rsid w:val="00686DED"/>
    <w:rsid w:val="006875A0"/>
    <w:rsid w:val="006878C6"/>
    <w:rsid w:val="00687D27"/>
    <w:rsid w:val="00691943"/>
    <w:rsid w:val="00693550"/>
    <w:rsid w:val="00694622"/>
    <w:rsid w:val="00695065"/>
    <w:rsid w:val="00695BEF"/>
    <w:rsid w:val="00696251"/>
    <w:rsid w:val="006966C7"/>
    <w:rsid w:val="006968C1"/>
    <w:rsid w:val="006977F6"/>
    <w:rsid w:val="00697A13"/>
    <w:rsid w:val="006A0DD4"/>
    <w:rsid w:val="006A109C"/>
    <w:rsid w:val="006A3CAF"/>
    <w:rsid w:val="006A4E91"/>
    <w:rsid w:val="006A5F4B"/>
    <w:rsid w:val="006A6114"/>
    <w:rsid w:val="006A6565"/>
    <w:rsid w:val="006A7665"/>
    <w:rsid w:val="006A7691"/>
    <w:rsid w:val="006A7EE2"/>
    <w:rsid w:val="006B0514"/>
    <w:rsid w:val="006B0F92"/>
    <w:rsid w:val="006B2785"/>
    <w:rsid w:val="006B27C7"/>
    <w:rsid w:val="006B344A"/>
    <w:rsid w:val="006B58C9"/>
    <w:rsid w:val="006B60ED"/>
    <w:rsid w:val="006B6CC5"/>
    <w:rsid w:val="006B74AC"/>
    <w:rsid w:val="006B78D8"/>
    <w:rsid w:val="006B79EA"/>
    <w:rsid w:val="006C0C5D"/>
    <w:rsid w:val="006C113F"/>
    <w:rsid w:val="006C123E"/>
    <w:rsid w:val="006C15A1"/>
    <w:rsid w:val="006C1752"/>
    <w:rsid w:val="006C1DDC"/>
    <w:rsid w:val="006C28CA"/>
    <w:rsid w:val="006C2BBF"/>
    <w:rsid w:val="006C2FBD"/>
    <w:rsid w:val="006C3336"/>
    <w:rsid w:val="006C3495"/>
    <w:rsid w:val="006C4355"/>
    <w:rsid w:val="006C4587"/>
    <w:rsid w:val="006C469D"/>
    <w:rsid w:val="006C46B5"/>
    <w:rsid w:val="006C484F"/>
    <w:rsid w:val="006C52EC"/>
    <w:rsid w:val="006C5506"/>
    <w:rsid w:val="006C56D4"/>
    <w:rsid w:val="006C6681"/>
    <w:rsid w:val="006C683C"/>
    <w:rsid w:val="006C6924"/>
    <w:rsid w:val="006C6C1E"/>
    <w:rsid w:val="006C7076"/>
    <w:rsid w:val="006C7981"/>
    <w:rsid w:val="006C7AEC"/>
    <w:rsid w:val="006C7CA6"/>
    <w:rsid w:val="006D15D3"/>
    <w:rsid w:val="006D18B3"/>
    <w:rsid w:val="006D1E89"/>
    <w:rsid w:val="006D26CE"/>
    <w:rsid w:val="006D317E"/>
    <w:rsid w:val="006D3E8A"/>
    <w:rsid w:val="006D47D9"/>
    <w:rsid w:val="006D61F6"/>
    <w:rsid w:val="006E1081"/>
    <w:rsid w:val="006E1332"/>
    <w:rsid w:val="006E19CB"/>
    <w:rsid w:val="006E279A"/>
    <w:rsid w:val="006E313B"/>
    <w:rsid w:val="006E34B2"/>
    <w:rsid w:val="006E3A45"/>
    <w:rsid w:val="006E4078"/>
    <w:rsid w:val="006E51C4"/>
    <w:rsid w:val="006E53AD"/>
    <w:rsid w:val="006E58CB"/>
    <w:rsid w:val="006E6A93"/>
    <w:rsid w:val="006E7227"/>
    <w:rsid w:val="006E761A"/>
    <w:rsid w:val="006F0646"/>
    <w:rsid w:val="006F0741"/>
    <w:rsid w:val="006F1C27"/>
    <w:rsid w:val="006F2A65"/>
    <w:rsid w:val="006F3DD6"/>
    <w:rsid w:val="006F40DF"/>
    <w:rsid w:val="006F42BB"/>
    <w:rsid w:val="006F438E"/>
    <w:rsid w:val="006F440B"/>
    <w:rsid w:val="006F48A3"/>
    <w:rsid w:val="006F4DA4"/>
    <w:rsid w:val="006F5416"/>
    <w:rsid w:val="006F624B"/>
    <w:rsid w:val="006F6D87"/>
    <w:rsid w:val="006F6FF2"/>
    <w:rsid w:val="006F79FB"/>
    <w:rsid w:val="007008A9"/>
    <w:rsid w:val="00700E8A"/>
    <w:rsid w:val="007018A4"/>
    <w:rsid w:val="0070398A"/>
    <w:rsid w:val="00705242"/>
    <w:rsid w:val="007055E0"/>
    <w:rsid w:val="007056ED"/>
    <w:rsid w:val="00705F4E"/>
    <w:rsid w:val="0070658E"/>
    <w:rsid w:val="007065C5"/>
    <w:rsid w:val="007068E1"/>
    <w:rsid w:val="00706AA0"/>
    <w:rsid w:val="00706AD4"/>
    <w:rsid w:val="00707150"/>
    <w:rsid w:val="007124D7"/>
    <w:rsid w:val="00712C20"/>
    <w:rsid w:val="00713549"/>
    <w:rsid w:val="007140BE"/>
    <w:rsid w:val="007147AB"/>
    <w:rsid w:val="00715502"/>
    <w:rsid w:val="00715D01"/>
    <w:rsid w:val="00715E4D"/>
    <w:rsid w:val="00715F12"/>
    <w:rsid w:val="0071677A"/>
    <w:rsid w:val="00716F48"/>
    <w:rsid w:val="007170FB"/>
    <w:rsid w:val="00717114"/>
    <w:rsid w:val="0071779F"/>
    <w:rsid w:val="007201A6"/>
    <w:rsid w:val="00720310"/>
    <w:rsid w:val="00720D7A"/>
    <w:rsid w:val="007211F5"/>
    <w:rsid w:val="007213C3"/>
    <w:rsid w:val="00721601"/>
    <w:rsid w:val="00722777"/>
    <w:rsid w:val="00723435"/>
    <w:rsid w:val="00723436"/>
    <w:rsid w:val="007240E2"/>
    <w:rsid w:val="0072454C"/>
    <w:rsid w:val="0072583E"/>
    <w:rsid w:val="00725BB5"/>
    <w:rsid w:val="00727C02"/>
    <w:rsid w:val="0073008E"/>
    <w:rsid w:val="00730A8B"/>
    <w:rsid w:val="00730AE8"/>
    <w:rsid w:val="00730F1B"/>
    <w:rsid w:val="0073186D"/>
    <w:rsid w:val="007324A6"/>
    <w:rsid w:val="0073261D"/>
    <w:rsid w:val="0073333D"/>
    <w:rsid w:val="007343D9"/>
    <w:rsid w:val="00734F71"/>
    <w:rsid w:val="00735448"/>
    <w:rsid w:val="00736F07"/>
    <w:rsid w:val="007377BD"/>
    <w:rsid w:val="00737DEC"/>
    <w:rsid w:val="0074004D"/>
    <w:rsid w:val="00741493"/>
    <w:rsid w:val="00741F2A"/>
    <w:rsid w:val="007434E5"/>
    <w:rsid w:val="00743884"/>
    <w:rsid w:val="0074499B"/>
    <w:rsid w:val="007449D6"/>
    <w:rsid w:val="0074501E"/>
    <w:rsid w:val="007450BF"/>
    <w:rsid w:val="0074599A"/>
    <w:rsid w:val="00746EE5"/>
    <w:rsid w:val="00746F45"/>
    <w:rsid w:val="007471A1"/>
    <w:rsid w:val="007477BD"/>
    <w:rsid w:val="007477DA"/>
    <w:rsid w:val="00747EE9"/>
    <w:rsid w:val="007520B6"/>
    <w:rsid w:val="00752180"/>
    <w:rsid w:val="00752323"/>
    <w:rsid w:val="007532B7"/>
    <w:rsid w:val="00753CAB"/>
    <w:rsid w:val="00754A70"/>
    <w:rsid w:val="00754BC9"/>
    <w:rsid w:val="00754FB0"/>
    <w:rsid w:val="00755202"/>
    <w:rsid w:val="00755D3A"/>
    <w:rsid w:val="00757241"/>
    <w:rsid w:val="0075751D"/>
    <w:rsid w:val="0075763E"/>
    <w:rsid w:val="007578D3"/>
    <w:rsid w:val="007602CF"/>
    <w:rsid w:val="00760391"/>
    <w:rsid w:val="007609C6"/>
    <w:rsid w:val="007615F3"/>
    <w:rsid w:val="0076175D"/>
    <w:rsid w:val="00761CB5"/>
    <w:rsid w:val="007629D5"/>
    <w:rsid w:val="007635F8"/>
    <w:rsid w:val="00763A88"/>
    <w:rsid w:val="00763B23"/>
    <w:rsid w:val="00763B85"/>
    <w:rsid w:val="007644A2"/>
    <w:rsid w:val="00764974"/>
    <w:rsid w:val="00764D18"/>
    <w:rsid w:val="0076521E"/>
    <w:rsid w:val="0076579C"/>
    <w:rsid w:val="00765928"/>
    <w:rsid w:val="00765BCC"/>
    <w:rsid w:val="0076600D"/>
    <w:rsid w:val="007661E9"/>
    <w:rsid w:val="00766460"/>
    <w:rsid w:val="00767062"/>
    <w:rsid w:val="00767601"/>
    <w:rsid w:val="00767777"/>
    <w:rsid w:val="00767933"/>
    <w:rsid w:val="00770AB9"/>
    <w:rsid w:val="00770CFC"/>
    <w:rsid w:val="0077130E"/>
    <w:rsid w:val="007715EE"/>
    <w:rsid w:val="00771972"/>
    <w:rsid w:val="00772279"/>
    <w:rsid w:val="00772DAB"/>
    <w:rsid w:val="00772FF9"/>
    <w:rsid w:val="0077348B"/>
    <w:rsid w:val="007743DB"/>
    <w:rsid w:val="00774D2C"/>
    <w:rsid w:val="00775E00"/>
    <w:rsid w:val="0077605B"/>
    <w:rsid w:val="00776169"/>
    <w:rsid w:val="00776527"/>
    <w:rsid w:val="00777040"/>
    <w:rsid w:val="00777CE6"/>
    <w:rsid w:val="00777D57"/>
    <w:rsid w:val="00780BF0"/>
    <w:rsid w:val="00780EF1"/>
    <w:rsid w:val="00781A91"/>
    <w:rsid w:val="00781AD3"/>
    <w:rsid w:val="00781F36"/>
    <w:rsid w:val="00783576"/>
    <w:rsid w:val="00783810"/>
    <w:rsid w:val="00784980"/>
    <w:rsid w:val="007853FD"/>
    <w:rsid w:val="00785778"/>
    <w:rsid w:val="00786C87"/>
    <w:rsid w:val="0078755E"/>
    <w:rsid w:val="007877C9"/>
    <w:rsid w:val="00790764"/>
    <w:rsid w:val="0079085F"/>
    <w:rsid w:val="00790E96"/>
    <w:rsid w:val="00791005"/>
    <w:rsid w:val="00793D78"/>
    <w:rsid w:val="0079420B"/>
    <w:rsid w:val="0079453C"/>
    <w:rsid w:val="00794677"/>
    <w:rsid w:val="00795759"/>
    <w:rsid w:val="007A0B5E"/>
    <w:rsid w:val="007A170B"/>
    <w:rsid w:val="007A20EB"/>
    <w:rsid w:val="007A282C"/>
    <w:rsid w:val="007A293C"/>
    <w:rsid w:val="007A2A3A"/>
    <w:rsid w:val="007A33E2"/>
    <w:rsid w:val="007A3CAF"/>
    <w:rsid w:val="007A4551"/>
    <w:rsid w:val="007A4664"/>
    <w:rsid w:val="007A4782"/>
    <w:rsid w:val="007A516D"/>
    <w:rsid w:val="007A5E65"/>
    <w:rsid w:val="007A65E1"/>
    <w:rsid w:val="007A6A6E"/>
    <w:rsid w:val="007A6AAA"/>
    <w:rsid w:val="007A7033"/>
    <w:rsid w:val="007A775D"/>
    <w:rsid w:val="007B04B0"/>
    <w:rsid w:val="007B0834"/>
    <w:rsid w:val="007B0E83"/>
    <w:rsid w:val="007B11FA"/>
    <w:rsid w:val="007B1396"/>
    <w:rsid w:val="007B16D6"/>
    <w:rsid w:val="007B1D1B"/>
    <w:rsid w:val="007B1E3F"/>
    <w:rsid w:val="007B2011"/>
    <w:rsid w:val="007B2CFE"/>
    <w:rsid w:val="007B309B"/>
    <w:rsid w:val="007B37AB"/>
    <w:rsid w:val="007B3D5E"/>
    <w:rsid w:val="007B3DCB"/>
    <w:rsid w:val="007B54AE"/>
    <w:rsid w:val="007B5725"/>
    <w:rsid w:val="007B5C1F"/>
    <w:rsid w:val="007B6689"/>
    <w:rsid w:val="007B6747"/>
    <w:rsid w:val="007B6F72"/>
    <w:rsid w:val="007B74AA"/>
    <w:rsid w:val="007C10BD"/>
    <w:rsid w:val="007C162D"/>
    <w:rsid w:val="007C1A03"/>
    <w:rsid w:val="007C1F0C"/>
    <w:rsid w:val="007C1FFB"/>
    <w:rsid w:val="007C2D94"/>
    <w:rsid w:val="007C4A6B"/>
    <w:rsid w:val="007C5F92"/>
    <w:rsid w:val="007C6227"/>
    <w:rsid w:val="007C64F7"/>
    <w:rsid w:val="007C6BBD"/>
    <w:rsid w:val="007C6D89"/>
    <w:rsid w:val="007C6F5E"/>
    <w:rsid w:val="007D0382"/>
    <w:rsid w:val="007D0F6B"/>
    <w:rsid w:val="007D14FE"/>
    <w:rsid w:val="007D1A1F"/>
    <w:rsid w:val="007D213B"/>
    <w:rsid w:val="007D2783"/>
    <w:rsid w:val="007D2E18"/>
    <w:rsid w:val="007D3EF3"/>
    <w:rsid w:val="007D40DF"/>
    <w:rsid w:val="007D42E5"/>
    <w:rsid w:val="007D4458"/>
    <w:rsid w:val="007D6AF9"/>
    <w:rsid w:val="007D7763"/>
    <w:rsid w:val="007D7F4F"/>
    <w:rsid w:val="007E0535"/>
    <w:rsid w:val="007E07F2"/>
    <w:rsid w:val="007E0D4A"/>
    <w:rsid w:val="007E1788"/>
    <w:rsid w:val="007E1EE3"/>
    <w:rsid w:val="007E29B4"/>
    <w:rsid w:val="007E2F12"/>
    <w:rsid w:val="007E3627"/>
    <w:rsid w:val="007E435A"/>
    <w:rsid w:val="007E445C"/>
    <w:rsid w:val="007E49F7"/>
    <w:rsid w:val="007E4C70"/>
    <w:rsid w:val="007E5149"/>
    <w:rsid w:val="007E5B5F"/>
    <w:rsid w:val="007E69C6"/>
    <w:rsid w:val="007E78B6"/>
    <w:rsid w:val="007E7E61"/>
    <w:rsid w:val="007F0845"/>
    <w:rsid w:val="007F0873"/>
    <w:rsid w:val="007F20F3"/>
    <w:rsid w:val="007F2353"/>
    <w:rsid w:val="007F2390"/>
    <w:rsid w:val="007F2CAC"/>
    <w:rsid w:val="007F3CB6"/>
    <w:rsid w:val="007F4740"/>
    <w:rsid w:val="007F595A"/>
    <w:rsid w:val="007F5C38"/>
    <w:rsid w:val="007F708D"/>
    <w:rsid w:val="007F7E3F"/>
    <w:rsid w:val="008006B3"/>
    <w:rsid w:val="00800B63"/>
    <w:rsid w:val="0080158A"/>
    <w:rsid w:val="00801E13"/>
    <w:rsid w:val="00803008"/>
    <w:rsid w:val="00803069"/>
    <w:rsid w:val="0080346B"/>
    <w:rsid w:val="00803E08"/>
    <w:rsid w:val="00804155"/>
    <w:rsid w:val="00804C9F"/>
    <w:rsid w:val="0080559E"/>
    <w:rsid w:val="00805AF3"/>
    <w:rsid w:val="00806C9C"/>
    <w:rsid w:val="008071B1"/>
    <w:rsid w:val="0080734C"/>
    <w:rsid w:val="00807C82"/>
    <w:rsid w:val="008107EE"/>
    <w:rsid w:val="008117CC"/>
    <w:rsid w:val="00811FF8"/>
    <w:rsid w:val="0081249F"/>
    <w:rsid w:val="00813D58"/>
    <w:rsid w:val="00813DCA"/>
    <w:rsid w:val="008161A6"/>
    <w:rsid w:val="008165B8"/>
    <w:rsid w:val="00816905"/>
    <w:rsid w:val="00816D98"/>
    <w:rsid w:val="00816E42"/>
    <w:rsid w:val="00817040"/>
    <w:rsid w:val="00817A17"/>
    <w:rsid w:val="00817EC1"/>
    <w:rsid w:val="0082112D"/>
    <w:rsid w:val="00821624"/>
    <w:rsid w:val="00821FF6"/>
    <w:rsid w:val="00822574"/>
    <w:rsid w:val="00822980"/>
    <w:rsid w:val="00822F08"/>
    <w:rsid w:val="00824BA6"/>
    <w:rsid w:val="00825007"/>
    <w:rsid w:val="00825120"/>
    <w:rsid w:val="00825C4D"/>
    <w:rsid w:val="00826A08"/>
    <w:rsid w:val="00826AC0"/>
    <w:rsid w:val="00826D45"/>
    <w:rsid w:val="00827186"/>
    <w:rsid w:val="00827C8E"/>
    <w:rsid w:val="00830569"/>
    <w:rsid w:val="00830AEA"/>
    <w:rsid w:val="00830E86"/>
    <w:rsid w:val="0083143E"/>
    <w:rsid w:val="008315B8"/>
    <w:rsid w:val="008315D5"/>
    <w:rsid w:val="00831CDE"/>
    <w:rsid w:val="00831F2B"/>
    <w:rsid w:val="008320CF"/>
    <w:rsid w:val="008324A3"/>
    <w:rsid w:val="00832F77"/>
    <w:rsid w:val="00834304"/>
    <w:rsid w:val="008343CE"/>
    <w:rsid w:val="0083471A"/>
    <w:rsid w:val="00834FAA"/>
    <w:rsid w:val="00835495"/>
    <w:rsid w:val="008354FB"/>
    <w:rsid w:val="00835FF1"/>
    <w:rsid w:val="00836086"/>
    <w:rsid w:val="0083630F"/>
    <w:rsid w:val="00836A06"/>
    <w:rsid w:val="008374BC"/>
    <w:rsid w:val="008379D6"/>
    <w:rsid w:val="00837E48"/>
    <w:rsid w:val="00840293"/>
    <w:rsid w:val="008402AD"/>
    <w:rsid w:val="008408D4"/>
    <w:rsid w:val="008417B5"/>
    <w:rsid w:val="00841901"/>
    <w:rsid w:val="008458BD"/>
    <w:rsid w:val="00846121"/>
    <w:rsid w:val="008461C2"/>
    <w:rsid w:val="008462F1"/>
    <w:rsid w:val="008466C6"/>
    <w:rsid w:val="0084708F"/>
    <w:rsid w:val="008477C8"/>
    <w:rsid w:val="008478A6"/>
    <w:rsid w:val="008502F6"/>
    <w:rsid w:val="0085036C"/>
    <w:rsid w:val="00850E83"/>
    <w:rsid w:val="0085114D"/>
    <w:rsid w:val="00851163"/>
    <w:rsid w:val="008520A8"/>
    <w:rsid w:val="00852217"/>
    <w:rsid w:val="00853282"/>
    <w:rsid w:val="0085334C"/>
    <w:rsid w:val="00854291"/>
    <w:rsid w:val="00855408"/>
    <w:rsid w:val="00855D03"/>
    <w:rsid w:val="00856AA1"/>
    <w:rsid w:val="00856D65"/>
    <w:rsid w:val="00856FA4"/>
    <w:rsid w:val="00860D79"/>
    <w:rsid w:val="00861B41"/>
    <w:rsid w:val="00861B9F"/>
    <w:rsid w:val="00861BE3"/>
    <w:rsid w:val="00861EB6"/>
    <w:rsid w:val="008625D3"/>
    <w:rsid w:val="00862C0A"/>
    <w:rsid w:val="00863434"/>
    <w:rsid w:val="0086344F"/>
    <w:rsid w:val="008641AC"/>
    <w:rsid w:val="00865E4C"/>
    <w:rsid w:val="00866074"/>
    <w:rsid w:val="00867546"/>
    <w:rsid w:val="0086796D"/>
    <w:rsid w:val="00867DAB"/>
    <w:rsid w:val="0087000B"/>
    <w:rsid w:val="008701E4"/>
    <w:rsid w:val="008704E9"/>
    <w:rsid w:val="008705FB"/>
    <w:rsid w:val="00870ECD"/>
    <w:rsid w:val="0087347C"/>
    <w:rsid w:val="008734E7"/>
    <w:rsid w:val="0087368D"/>
    <w:rsid w:val="008740CC"/>
    <w:rsid w:val="0087442A"/>
    <w:rsid w:val="00874578"/>
    <w:rsid w:val="00874FE8"/>
    <w:rsid w:val="00875A32"/>
    <w:rsid w:val="00875CC1"/>
    <w:rsid w:val="00876086"/>
    <w:rsid w:val="00876651"/>
    <w:rsid w:val="00876E83"/>
    <w:rsid w:val="0087722C"/>
    <w:rsid w:val="008772BC"/>
    <w:rsid w:val="00880A0E"/>
    <w:rsid w:val="008817FE"/>
    <w:rsid w:val="00881CD7"/>
    <w:rsid w:val="00882911"/>
    <w:rsid w:val="00882F6E"/>
    <w:rsid w:val="00883202"/>
    <w:rsid w:val="00884E02"/>
    <w:rsid w:val="0088502B"/>
    <w:rsid w:val="00885D40"/>
    <w:rsid w:val="008873D4"/>
    <w:rsid w:val="008902A5"/>
    <w:rsid w:val="00890CB1"/>
    <w:rsid w:val="00891EDF"/>
    <w:rsid w:val="00892872"/>
    <w:rsid w:val="0089296D"/>
    <w:rsid w:val="00893E85"/>
    <w:rsid w:val="00893EBE"/>
    <w:rsid w:val="00894031"/>
    <w:rsid w:val="00894C5D"/>
    <w:rsid w:val="00895508"/>
    <w:rsid w:val="00895797"/>
    <w:rsid w:val="008967E9"/>
    <w:rsid w:val="00896A5C"/>
    <w:rsid w:val="00897155"/>
    <w:rsid w:val="008972D2"/>
    <w:rsid w:val="0089754C"/>
    <w:rsid w:val="00897CFA"/>
    <w:rsid w:val="008A0659"/>
    <w:rsid w:val="008A0ADD"/>
    <w:rsid w:val="008A0D27"/>
    <w:rsid w:val="008A1C59"/>
    <w:rsid w:val="008A2254"/>
    <w:rsid w:val="008A37E2"/>
    <w:rsid w:val="008A388E"/>
    <w:rsid w:val="008A394E"/>
    <w:rsid w:val="008A3CBA"/>
    <w:rsid w:val="008A4B59"/>
    <w:rsid w:val="008A63E1"/>
    <w:rsid w:val="008A66B7"/>
    <w:rsid w:val="008A68BB"/>
    <w:rsid w:val="008A6AA5"/>
    <w:rsid w:val="008A7127"/>
    <w:rsid w:val="008B02E7"/>
    <w:rsid w:val="008B0CBA"/>
    <w:rsid w:val="008B1850"/>
    <w:rsid w:val="008B2639"/>
    <w:rsid w:val="008B3537"/>
    <w:rsid w:val="008B35C1"/>
    <w:rsid w:val="008B3690"/>
    <w:rsid w:val="008B3A80"/>
    <w:rsid w:val="008B3AEC"/>
    <w:rsid w:val="008B3C07"/>
    <w:rsid w:val="008B3C6E"/>
    <w:rsid w:val="008B3F7B"/>
    <w:rsid w:val="008B43CA"/>
    <w:rsid w:val="008B5324"/>
    <w:rsid w:val="008B5C99"/>
    <w:rsid w:val="008B6106"/>
    <w:rsid w:val="008B7C02"/>
    <w:rsid w:val="008B7D2B"/>
    <w:rsid w:val="008B7EF9"/>
    <w:rsid w:val="008C0049"/>
    <w:rsid w:val="008C025A"/>
    <w:rsid w:val="008C0314"/>
    <w:rsid w:val="008C0E88"/>
    <w:rsid w:val="008C0EBE"/>
    <w:rsid w:val="008C1717"/>
    <w:rsid w:val="008C17F0"/>
    <w:rsid w:val="008C3A32"/>
    <w:rsid w:val="008C3B05"/>
    <w:rsid w:val="008C4B50"/>
    <w:rsid w:val="008C5A37"/>
    <w:rsid w:val="008C7569"/>
    <w:rsid w:val="008C79C3"/>
    <w:rsid w:val="008D006F"/>
    <w:rsid w:val="008D033D"/>
    <w:rsid w:val="008D06A2"/>
    <w:rsid w:val="008D0DBD"/>
    <w:rsid w:val="008D117E"/>
    <w:rsid w:val="008D127E"/>
    <w:rsid w:val="008D1CA8"/>
    <w:rsid w:val="008D1E0A"/>
    <w:rsid w:val="008D1E6A"/>
    <w:rsid w:val="008D2407"/>
    <w:rsid w:val="008D2A16"/>
    <w:rsid w:val="008D2AEC"/>
    <w:rsid w:val="008D3295"/>
    <w:rsid w:val="008D33F5"/>
    <w:rsid w:val="008D35E4"/>
    <w:rsid w:val="008D3ACD"/>
    <w:rsid w:val="008D3D21"/>
    <w:rsid w:val="008D6C3A"/>
    <w:rsid w:val="008D70E2"/>
    <w:rsid w:val="008D7F47"/>
    <w:rsid w:val="008E0001"/>
    <w:rsid w:val="008E039E"/>
    <w:rsid w:val="008E292B"/>
    <w:rsid w:val="008E2C57"/>
    <w:rsid w:val="008E31FF"/>
    <w:rsid w:val="008E3287"/>
    <w:rsid w:val="008E38E4"/>
    <w:rsid w:val="008E3DFA"/>
    <w:rsid w:val="008E419B"/>
    <w:rsid w:val="008E51EB"/>
    <w:rsid w:val="008E5746"/>
    <w:rsid w:val="008E64D7"/>
    <w:rsid w:val="008E6DCB"/>
    <w:rsid w:val="008E6E5D"/>
    <w:rsid w:val="008E6F06"/>
    <w:rsid w:val="008E7000"/>
    <w:rsid w:val="008E723E"/>
    <w:rsid w:val="008E7B8E"/>
    <w:rsid w:val="008E7FC9"/>
    <w:rsid w:val="008F0107"/>
    <w:rsid w:val="008F029B"/>
    <w:rsid w:val="008F0589"/>
    <w:rsid w:val="008F130B"/>
    <w:rsid w:val="008F2A5D"/>
    <w:rsid w:val="008F2BC7"/>
    <w:rsid w:val="008F2E83"/>
    <w:rsid w:val="008F3636"/>
    <w:rsid w:val="008F3FC9"/>
    <w:rsid w:val="008F418F"/>
    <w:rsid w:val="008F509F"/>
    <w:rsid w:val="008F525A"/>
    <w:rsid w:val="008F5383"/>
    <w:rsid w:val="008F585B"/>
    <w:rsid w:val="008F7FB0"/>
    <w:rsid w:val="009003A8"/>
    <w:rsid w:val="009005E4"/>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2E3"/>
    <w:rsid w:val="0091155E"/>
    <w:rsid w:val="00912437"/>
    <w:rsid w:val="00912A92"/>
    <w:rsid w:val="00913237"/>
    <w:rsid w:val="00913B36"/>
    <w:rsid w:val="0091476D"/>
    <w:rsid w:val="00915D07"/>
    <w:rsid w:val="009162AE"/>
    <w:rsid w:val="00917154"/>
    <w:rsid w:val="00917251"/>
    <w:rsid w:val="0091728D"/>
    <w:rsid w:val="0092036B"/>
    <w:rsid w:val="009203CC"/>
    <w:rsid w:val="00920EC4"/>
    <w:rsid w:val="0092180B"/>
    <w:rsid w:val="00921F14"/>
    <w:rsid w:val="0092292F"/>
    <w:rsid w:val="00922D28"/>
    <w:rsid w:val="00923CB0"/>
    <w:rsid w:val="00923D8C"/>
    <w:rsid w:val="00924871"/>
    <w:rsid w:val="00924AC8"/>
    <w:rsid w:val="00925429"/>
    <w:rsid w:val="00925615"/>
    <w:rsid w:val="0092597A"/>
    <w:rsid w:val="00926520"/>
    <w:rsid w:val="00926B2B"/>
    <w:rsid w:val="00926CF0"/>
    <w:rsid w:val="009273A9"/>
    <w:rsid w:val="00930251"/>
    <w:rsid w:val="0093033E"/>
    <w:rsid w:val="009305FC"/>
    <w:rsid w:val="00930FB1"/>
    <w:rsid w:val="0093139F"/>
    <w:rsid w:val="00932239"/>
    <w:rsid w:val="00932443"/>
    <w:rsid w:val="00932B32"/>
    <w:rsid w:val="0093305E"/>
    <w:rsid w:val="00933F4A"/>
    <w:rsid w:val="009341F1"/>
    <w:rsid w:val="00934FF2"/>
    <w:rsid w:val="009358D7"/>
    <w:rsid w:val="00935BD4"/>
    <w:rsid w:val="00935DFE"/>
    <w:rsid w:val="00935F70"/>
    <w:rsid w:val="009360FA"/>
    <w:rsid w:val="0093648B"/>
    <w:rsid w:val="00937017"/>
    <w:rsid w:val="009373B2"/>
    <w:rsid w:val="00937AE2"/>
    <w:rsid w:val="0094061F"/>
    <w:rsid w:val="00940F0F"/>
    <w:rsid w:val="00941912"/>
    <w:rsid w:val="0094416B"/>
    <w:rsid w:val="0094427A"/>
    <w:rsid w:val="009449C6"/>
    <w:rsid w:val="00944C7C"/>
    <w:rsid w:val="00945245"/>
    <w:rsid w:val="00945523"/>
    <w:rsid w:val="00946C43"/>
    <w:rsid w:val="00946FE0"/>
    <w:rsid w:val="00950921"/>
    <w:rsid w:val="00951D68"/>
    <w:rsid w:val="00951E5B"/>
    <w:rsid w:val="00952050"/>
    <w:rsid w:val="00952315"/>
    <w:rsid w:val="009523D9"/>
    <w:rsid w:val="00952B7B"/>
    <w:rsid w:val="0095357B"/>
    <w:rsid w:val="009538B3"/>
    <w:rsid w:val="00954F39"/>
    <w:rsid w:val="009555FD"/>
    <w:rsid w:val="00955BAD"/>
    <w:rsid w:val="0095664B"/>
    <w:rsid w:val="009568DC"/>
    <w:rsid w:val="00956B8B"/>
    <w:rsid w:val="00957140"/>
    <w:rsid w:val="00957445"/>
    <w:rsid w:val="0095759C"/>
    <w:rsid w:val="009618EE"/>
    <w:rsid w:val="00961DDD"/>
    <w:rsid w:val="009624D2"/>
    <w:rsid w:val="009628D9"/>
    <w:rsid w:val="009637AE"/>
    <w:rsid w:val="00963A06"/>
    <w:rsid w:val="00964068"/>
    <w:rsid w:val="009640F6"/>
    <w:rsid w:val="0096469D"/>
    <w:rsid w:val="00964776"/>
    <w:rsid w:val="00964A4E"/>
    <w:rsid w:val="00964B35"/>
    <w:rsid w:val="009651C7"/>
    <w:rsid w:val="00965797"/>
    <w:rsid w:val="00965A10"/>
    <w:rsid w:val="00965AD0"/>
    <w:rsid w:val="009670A3"/>
    <w:rsid w:val="009674BE"/>
    <w:rsid w:val="00970FB5"/>
    <w:rsid w:val="00971710"/>
    <w:rsid w:val="00971B87"/>
    <w:rsid w:val="00971C77"/>
    <w:rsid w:val="0097203A"/>
    <w:rsid w:val="00972FCD"/>
    <w:rsid w:val="00973324"/>
    <w:rsid w:val="009736DF"/>
    <w:rsid w:val="009741AE"/>
    <w:rsid w:val="009741FC"/>
    <w:rsid w:val="00974782"/>
    <w:rsid w:val="00974923"/>
    <w:rsid w:val="00975909"/>
    <w:rsid w:val="00977C33"/>
    <w:rsid w:val="00977C3D"/>
    <w:rsid w:val="00980D3D"/>
    <w:rsid w:val="0098103E"/>
    <w:rsid w:val="0098157D"/>
    <w:rsid w:val="00983101"/>
    <w:rsid w:val="00983E41"/>
    <w:rsid w:val="009845E1"/>
    <w:rsid w:val="00984CE5"/>
    <w:rsid w:val="00984D1B"/>
    <w:rsid w:val="00986246"/>
    <w:rsid w:val="00987A30"/>
    <w:rsid w:val="00990312"/>
    <w:rsid w:val="009908AF"/>
    <w:rsid w:val="0099182E"/>
    <w:rsid w:val="00991D45"/>
    <w:rsid w:val="00992B49"/>
    <w:rsid w:val="00992BB3"/>
    <w:rsid w:val="00992CF3"/>
    <w:rsid w:val="00993194"/>
    <w:rsid w:val="0099321E"/>
    <w:rsid w:val="00993ECA"/>
    <w:rsid w:val="00994171"/>
    <w:rsid w:val="00994868"/>
    <w:rsid w:val="00994976"/>
    <w:rsid w:val="00994D28"/>
    <w:rsid w:val="00994F2C"/>
    <w:rsid w:val="00995720"/>
    <w:rsid w:val="009957CC"/>
    <w:rsid w:val="009968D6"/>
    <w:rsid w:val="00997953"/>
    <w:rsid w:val="00997D55"/>
    <w:rsid w:val="009A0BFF"/>
    <w:rsid w:val="009A10A0"/>
    <w:rsid w:val="009A12B7"/>
    <w:rsid w:val="009A1CAB"/>
    <w:rsid w:val="009A2359"/>
    <w:rsid w:val="009A24F1"/>
    <w:rsid w:val="009A27E0"/>
    <w:rsid w:val="009A4D57"/>
    <w:rsid w:val="009A51A5"/>
    <w:rsid w:val="009A5309"/>
    <w:rsid w:val="009A5759"/>
    <w:rsid w:val="009A60D1"/>
    <w:rsid w:val="009A6225"/>
    <w:rsid w:val="009A64F5"/>
    <w:rsid w:val="009B00D2"/>
    <w:rsid w:val="009B05B3"/>
    <w:rsid w:val="009B07C8"/>
    <w:rsid w:val="009B0CAF"/>
    <w:rsid w:val="009B1324"/>
    <w:rsid w:val="009B2558"/>
    <w:rsid w:val="009B284F"/>
    <w:rsid w:val="009B3742"/>
    <w:rsid w:val="009B3764"/>
    <w:rsid w:val="009B3840"/>
    <w:rsid w:val="009B52AC"/>
    <w:rsid w:val="009B553D"/>
    <w:rsid w:val="009B59EA"/>
    <w:rsid w:val="009B5B6E"/>
    <w:rsid w:val="009B66CE"/>
    <w:rsid w:val="009B6FD3"/>
    <w:rsid w:val="009B72BE"/>
    <w:rsid w:val="009B78A4"/>
    <w:rsid w:val="009B7DB2"/>
    <w:rsid w:val="009C03DB"/>
    <w:rsid w:val="009C15AF"/>
    <w:rsid w:val="009C1750"/>
    <w:rsid w:val="009C2E29"/>
    <w:rsid w:val="009C3E8F"/>
    <w:rsid w:val="009C554B"/>
    <w:rsid w:val="009C5E83"/>
    <w:rsid w:val="009C66F8"/>
    <w:rsid w:val="009C7126"/>
    <w:rsid w:val="009C719E"/>
    <w:rsid w:val="009C7799"/>
    <w:rsid w:val="009D07A9"/>
    <w:rsid w:val="009D0AE2"/>
    <w:rsid w:val="009D0D9F"/>
    <w:rsid w:val="009D0EBB"/>
    <w:rsid w:val="009D2C46"/>
    <w:rsid w:val="009D3ACD"/>
    <w:rsid w:val="009D4254"/>
    <w:rsid w:val="009D4F21"/>
    <w:rsid w:val="009D587D"/>
    <w:rsid w:val="009D6EA6"/>
    <w:rsid w:val="009D7731"/>
    <w:rsid w:val="009D78C3"/>
    <w:rsid w:val="009E1120"/>
    <w:rsid w:val="009E1393"/>
    <w:rsid w:val="009E1922"/>
    <w:rsid w:val="009E1A3D"/>
    <w:rsid w:val="009E4715"/>
    <w:rsid w:val="009E4A58"/>
    <w:rsid w:val="009E5273"/>
    <w:rsid w:val="009E57A8"/>
    <w:rsid w:val="009E5B85"/>
    <w:rsid w:val="009E5DDB"/>
    <w:rsid w:val="009F032E"/>
    <w:rsid w:val="009F1CA6"/>
    <w:rsid w:val="009F2921"/>
    <w:rsid w:val="009F3063"/>
    <w:rsid w:val="009F42CF"/>
    <w:rsid w:val="009F4982"/>
    <w:rsid w:val="009F4CA7"/>
    <w:rsid w:val="009F4F6A"/>
    <w:rsid w:val="009F55BA"/>
    <w:rsid w:val="009F7D36"/>
    <w:rsid w:val="009F7D61"/>
    <w:rsid w:val="00A00470"/>
    <w:rsid w:val="00A00E71"/>
    <w:rsid w:val="00A0187B"/>
    <w:rsid w:val="00A02E8B"/>
    <w:rsid w:val="00A0306F"/>
    <w:rsid w:val="00A03511"/>
    <w:rsid w:val="00A03B10"/>
    <w:rsid w:val="00A03E2E"/>
    <w:rsid w:val="00A04616"/>
    <w:rsid w:val="00A04717"/>
    <w:rsid w:val="00A05D8F"/>
    <w:rsid w:val="00A05EB1"/>
    <w:rsid w:val="00A05EE4"/>
    <w:rsid w:val="00A06F99"/>
    <w:rsid w:val="00A1053B"/>
    <w:rsid w:val="00A10D66"/>
    <w:rsid w:val="00A113A4"/>
    <w:rsid w:val="00A12A8E"/>
    <w:rsid w:val="00A133F9"/>
    <w:rsid w:val="00A14114"/>
    <w:rsid w:val="00A16413"/>
    <w:rsid w:val="00A16545"/>
    <w:rsid w:val="00A16A1A"/>
    <w:rsid w:val="00A16A9F"/>
    <w:rsid w:val="00A16AED"/>
    <w:rsid w:val="00A16BD3"/>
    <w:rsid w:val="00A16C37"/>
    <w:rsid w:val="00A16E1D"/>
    <w:rsid w:val="00A171D5"/>
    <w:rsid w:val="00A17A15"/>
    <w:rsid w:val="00A17A37"/>
    <w:rsid w:val="00A17D5B"/>
    <w:rsid w:val="00A2016A"/>
    <w:rsid w:val="00A201E1"/>
    <w:rsid w:val="00A2028B"/>
    <w:rsid w:val="00A20FE1"/>
    <w:rsid w:val="00A2102F"/>
    <w:rsid w:val="00A21B4D"/>
    <w:rsid w:val="00A22073"/>
    <w:rsid w:val="00A223E0"/>
    <w:rsid w:val="00A22959"/>
    <w:rsid w:val="00A23158"/>
    <w:rsid w:val="00A232D7"/>
    <w:rsid w:val="00A23847"/>
    <w:rsid w:val="00A23E43"/>
    <w:rsid w:val="00A24726"/>
    <w:rsid w:val="00A24DEB"/>
    <w:rsid w:val="00A24ED9"/>
    <w:rsid w:val="00A251DB"/>
    <w:rsid w:val="00A25216"/>
    <w:rsid w:val="00A2597D"/>
    <w:rsid w:val="00A25FC3"/>
    <w:rsid w:val="00A2628E"/>
    <w:rsid w:val="00A266BF"/>
    <w:rsid w:val="00A26777"/>
    <w:rsid w:val="00A269AB"/>
    <w:rsid w:val="00A2731E"/>
    <w:rsid w:val="00A309AC"/>
    <w:rsid w:val="00A30EA4"/>
    <w:rsid w:val="00A30F65"/>
    <w:rsid w:val="00A315D0"/>
    <w:rsid w:val="00A3279E"/>
    <w:rsid w:val="00A33DB1"/>
    <w:rsid w:val="00A33EEB"/>
    <w:rsid w:val="00A351C8"/>
    <w:rsid w:val="00A35900"/>
    <w:rsid w:val="00A35F33"/>
    <w:rsid w:val="00A401A3"/>
    <w:rsid w:val="00A40EAC"/>
    <w:rsid w:val="00A418BC"/>
    <w:rsid w:val="00A419FF"/>
    <w:rsid w:val="00A41FCF"/>
    <w:rsid w:val="00A42936"/>
    <w:rsid w:val="00A43CF8"/>
    <w:rsid w:val="00A43DF2"/>
    <w:rsid w:val="00A445A8"/>
    <w:rsid w:val="00A44B0D"/>
    <w:rsid w:val="00A44D21"/>
    <w:rsid w:val="00A45087"/>
    <w:rsid w:val="00A45489"/>
    <w:rsid w:val="00A45858"/>
    <w:rsid w:val="00A45CED"/>
    <w:rsid w:val="00A465E9"/>
    <w:rsid w:val="00A468E7"/>
    <w:rsid w:val="00A46DE0"/>
    <w:rsid w:val="00A47240"/>
    <w:rsid w:val="00A478BA"/>
    <w:rsid w:val="00A50D73"/>
    <w:rsid w:val="00A518BB"/>
    <w:rsid w:val="00A51A9B"/>
    <w:rsid w:val="00A52A88"/>
    <w:rsid w:val="00A52CAD"/>
    <w:rsid w:val="00A53340"/>
    <w:rsid w:val="00A53FC7"/>
    <w:rsid w:val="00A55569"/>
    <w:rsid w:val="00A55C36"/>
    <w:rsid w:val="00A5661B"/>
    <w:rsid w:val="00A566A0"/>
    <w:rsid w:val="00A601E7"/>
    <w:rsid w:val="00A60AC1"/>
    <w:rsid w:val="00A62162"/>
    <w:rsid w:val="00A626FF"/>
    <w:rsid w:val="00A62CE1"/>
    <w:rsid w:val="00A65469"/>
    <w:rsid w:val="00A65528"/>
    <w:rsid w:val="00A655D3"/>
    <w:rsid w:val="00A662D9"/>
    <w:rsid w:val="00A6630C"/>
    <w:rsid w:val="00A6741E"/>
    <w:rsid w:val="00A67E29"/>
    <w:rsid w:val="00A7016A"/>
    <w:rsid w:val="00A7018D"/>
    <w:rsid w:val="00A7191D"/>
    <w:rsid w:val="00A722F9"/>
    <w:rsid w:val="00A72D42"/>
    <w:rsid w:val="00A746C9"/>
    <w:rsid w:val="00A74C2A"/>
    <w:rsid w:val="00A75E40"/>
    <w:rsid w:val="00A76818"/>
    <w:rsid w:val="00A77D1D"/>
    <w:rsid w:val="00A77E6B"/>
    <w:rsid w:val="00A809AD"/>
    <w:rsid w:val="00A81652"/>
    <w:rsid w:val="00A82BF0"/>
    <w:rsid w:val="00A82C91"/>
    <w:rsid w:val="00A83150"/>
    <w:rsid w:val="00A83398"/>
    <w:rsid w:val="00A83D6E"/>
    <w:rsid w:val="00A83FD5"/>
    <w:rsid w:val="00A8521A"/>
    <w:rsid w:val="00A857C0"/>
    <w:rsid w:val="00A85ACB"/>
    <w:rsid w:val="00A9036F"/>
    <w:rsid w:val="00A9092B"/>
    <w:rsid w:val="00A90F2C"/>
    <w:rsid w:val="00A90FED"/>
    <w:rsid w:val="00A91482"/>
    <w:rsid w:val="00A9189D"/>
    <w:rsid w:val="00A91E71"/>
    <w:rsid w:val="00A91EAD"/>
    <w:rsid w:val="00A925B1"/>
    <w:rsid w:val="00A92A3E"/>
    <w:rsid w:val="00A934F9"/>
    <w:rsid w:val="00A940E3"/>
    <w:rsid w:val="00A94983"/>
    <w:rsid w:val="00A9532C"/>
    <w:rsid w:val="00A95F1A"/>
    <w:rsid w:val="00A96116"/>
    <w:rsid w:val="00A9614E"/>
    <w:rsid w:val="00A96422"/>
    <w:rsid w:val="00A96C0F"/>
    <w:rsid w:val="00A97075"/>
    <w:rsid w:val="00AA0E80"/>
    <w:rsid w:val="00AA16F4"/>
    <w:rsid w:val="00AA17CD"/>
    <w:rsid w:val="00AA1D85"/>
    <w:rsid w:val="00AA212B"/>
    <w:rsid w:val="00AA212F"/>
    <w:rsid w:val="00AA26A9"/>
    <w:rsid w:val="00AA2996"/>
    <w:rsid w:val="00AA2AF4"/>
    <w:rsid w:val="00AA4282"/>
    <w:rsid w:val="00AA43F2"/>
    <w:rsid w:val="00AA4790"/>
    <w:rsid w:val="00AA49E1"/>
    <w:rsid w:val="00AA52BF"/>
    <w:rsid w:val="00AA559A"/>
    <w:rsid w:val="00AA6C31"/>
    <w:rsid w:val="00AA7752"/>
    <w:rsid w:val="00AA7CE8"/>
    <w:rsid w:val="00AB1457"/>
    <w:rsid w:val="00AB2AF1"/>
    <w:rsid w:val="00AB32CB"/>
    <w:rsid w:val="00AB3AD7"/>
    <w:rsid w:val="00AB3BA7"/>
    <w:rsid w:val="00AB3EC7"/>
    <w:rsid w:val="00AB5A64"/>
    <w:rsid w:val="00AB5CA1"/>
    <w:rsid w:val="00AB6456"/>
    <w:rsid w:val="00AB75C5"/>
    <w:rsid w:val="00AC044E"/>
    <w:rsid w:val="00AC2118"/>
    <w:rsid w:val="00AC2395"/>
    <w:rsid w:val="00AC2960"/>
    <w:rsid w:val="00AC2AC4"/>
    <w:rsid w:val="00AC4284"/>
    <w:rsid w:val="00AC45BD"/>
    <w:rsid w:val="00AC50BB"/>
    <w:rsid w:val="00AC5256"/>
    <w:rsid w:val="00AC78F1"/>
    <w:rsid w:val="00AC7B96"/>
    <w:rsid w:val="00AD0B22"/>
    <w:rsid w:val="00AD0EE7"/>
    <w:rsid w:val="00AD168E"/>
    <w:rsid w:val="00AD306C"/>
    <w:rsid w:val="00AD44CD"/>
    <w:rsid w:val="00AD47A7"/>
    <w:rsid w:val="00AD5AD2"/>
    <w:rsid w:val="00AD6462"/>
    <w:rsid w:val="00AD66C5"/>
    <w:rsid w:val="00AD68C4"/>
    <w:rsid w:val="00AD71F9"/>
    <w:rsid w:val="00AE09B3"/>
    <w:rsid w:val="00AE1A83"/>
    <w:rsid w:val="00AE2A78"/>
    <w:rsid w:val="00AE30BE"/>
    <w:rsid w:val="00AE3E6A"/>
    <w:rsid w:val="00AE417E"/>
    <w:rsid w:val="00AE56EE"/>
    <w:rsid w:val="00AE6414"/>
    <w:rsid w:val="00AE7269"/>
    <w:rsid w:val="00AE797C"/>
    <w:rsid w:val="00AE7CE7"/>
    <w:rsid w:val="00AE7FAB"/>
    <w:rsid w:val="00AF0DE4"/>
    <w:rsid w:val="00AF12A0"/>
    <w:rsid w:val="00AF1E87"/>
    <w:rsid w:val="00AF422A"/>
    <w:rsid w:val="00AF436B"/>
    <w:rsid w:val="00AF5179"/>
    <w:rsid w:val="00AF5CC2"/>
    <w:rsid w:val="00AF660D"/>
    <w:rsid w:val="00AF6776"/>
    <w:rsid w:val="00AF6F98"/>
    <w:rsid w:val="00AF7277"/>
    <w:rsid w:val="00B00550"/>
    <w:rsid w:val="00B00913"/>
    <w:rsid w:val="00B00D4D"/>
    <w:rsid w:val="00B01593"/>
    <w:rsid w:val="00B01D0F"/>
    <w:rsid w:val="00B01FF9"/>
    <w:rsid w:val="00B023F2"/>
    <w:rsid w:val="00B026FE"/>
    <w:rsid w:val="00B0271F"/>
    <w:rsid w:val="00B038CA"/>
    <w:rsid w:val="00B05F00"/>
    <w:rsid w:val="00B06DB4"/>
    <w:rsid w:val="00B0750D"/>
    <w:rsid w:val="00B07850"/>
    <w:rsid w:val="00B0799C"/>
    <w:rsid w:val="00B102CE"/>
    <w:rsid w:val="00B10A4D"/>
    <w:rsid w:val="00B10C90"/>
    <w:rsid w:val="00B11002"/>
    <w:rsid w:val="00B1114F"/>
    <w:rsid w:val="00B121B2"/>
    <w:rsid w:val="00B131B1"/>
    <w:rsid w:val="00B141B6"/>
    <w:rsid w:val="00B14BC1"/>
    <w:rsid w:val="00B154DE"/>
    <w:rsid w:val="00B162C3"/>
    <w:rsid w:val="00B16DD1"/>
    <w:rsid w:val="00B16EB8"/>
    <w:rsid w:val="00B1700A"/>
    <w:rsid w:val="00B17E71"/>
    <w:rsid w:val="00B17FDE"/>
    <w:rsid w:val="00B20632"/>
    <w:rsid w:val="00B2379C"/>
    <w:rsid w:val="00B23D5D"/>
    <w:rsid w:val="00B23E6E"/>
    <w:rsid w:val="00B2450C"/>
    <w:rsid w:val="00B2687D"/>
    <w:rsid w:val="00B27EC6"/>
    <w:rsid w:val="00B3108D"/>
    <w:rsid w:val="00B32DDB"/>
    <w:rsid w:val="00B32F57"/>
    <w:rsid w:val="00B3345C"/>
    <w:rsid w:val="00B343C4"/>
    <w:rsid w:val="00B34528"/>
    <w:rsid w:val="00B34750"/>
    <w:rsid w:val="00B34CC9"/>
    <w:rsid w:val="00B34CDA"/>
    <w:rsid w:val="00B35160"/>
    <w:rsid w:val="00B3563B"/>
    <w:rsid w:val="00B36BDC"/>
    <w:rsid w:val="00B37D3A"/>
    <w:rsid w:val="00B37D96"/>
    <w:rsid w:val="00B402FC"/>
    <w:rsid w:val="00B422E2"/>
    <w:rsid w:val="00B42517"/>
    <w:rsid w:val="00B42902"/>
    <w:rsid w:val="00B42D5F"/>
    <w:rsid w:val="00B43216"/>
    <w:rsid w:val="00B439DA"/>
    <w:rsid w:val="00B4411A"/>
    <w:rsid w:val="00B45FE8"/>
    <w:rsid w:val="00B46604"/>
    <w:rsid w:val="00B47089"/>
    <w:rsid w:val="00B47587"/>
    <w:rsid w:val="00B5150A"/>
    <w:rsid w:val="00B52151"/>
    <w:rsid w:val="00B530CD"/>
    <w:rsid w:val="00B53639"/>
    <w:rsid w:val="00B53C7D"/>
    <w:rsid w:val="00B53E56"/>
    <w:rsid w:val="00B55311"/>
    <w:rsid w:val="00B55A97"/>
    <w:rsid w:val="00B55F5E"/>
    <w:rsid w:val="00B5601B"/>
    <w:rsid w:val="00B5642C"/>
    <w:rsid w:val="00B5658D"/>
    <w:rsid w:val="00B56B6F"/>
    <w:rsid w:val="00B5752E"/>
    <w:rsid w:val="00B60AC1"/>
    <w:rsid w:val="00B61FF6"/>
    <w:rsid w:val="00B62316"/>
    <w:rsid w:val="00B6274C"/>
    <w:rsid w:val="00B63A11"/>
    <w:rsid w:val="00B64425"/>
    <w:rsid w:val="00B64C24"/>
    <w:rsid w:val="00B64E72"/>
    <w:rsid w:val="00B65CEF"/>
    <w:rsid w:val="00B6608F"/>
    <w:rsid w:val="00B674C7"/>
    <w:rsid w:val="00B67749"/>
    <w:rsid w:val="00B679FB"/>
    <w:rsid w:val="00B71FBF"/>
    <w:rsid w:val="00B734A0"/>
    <w:rsid w:val="00B73A14"/>
    <w:rsid w:val="00B73FE8"/>
    <w:rsid w:val="00B748BD"/>
    <w:rsid w:val="00B74964"/>
    <w:rsid w:val="00B76100"/>
    <w:rsid w:val="00B7680F"/>
    <w:rsid w:val="00B76B48"/>
    <w:rsid w:val="00B76D1E"/>
    <w:rsid w:val="00B77543"/>
    <w:rsid w:val="00B77584"/>
    <w:rsid w:val="00B77E34"/>
    <w:rsid w:val="00B80D44"/>
    <w:rsid w:val="00B80D89"/>
    <w:rsid w:val="00B80EC6"/>
    <w:rsid w:val="00B81288"/>
    <w:rsid w:val="00B81D70"/>
    <w:rsid w:val="00B833B9"/>
    <w:rsid w:val="00B83AAF"/>
    <w:rsid w:val="00B83E07"/>
    <w:rsid w:val="00B84CF6"/>
    <w:rsid w:val="00B85016"/>
    <w:rsid w:val="00B8561A"/>
    <w:rsid w:val="00B86628"/>
    <w:rsid w:val="00B86643"/>
    <w:rsid w:val="00B868F7"/>
    <w:rsid w:val="00B86EB1"/>
    <w:rsid w:val="00B871A7"/>
    <w:rsid w:val="00B90131"/>
    <w:rsid w:val="00B92951"/>
    <w:rsid w:val="00B92D1D"/>
    <w:rsid w:val="00B92D7E"/>
    <w:rsid w:val="00B930CE"/>
    <w:rsid w:val="00B938C5"/>
    <w:rsid w:val="00B940A8"/>
    <w:rsid w:val="00B9554A"/>
    <w:rsid w:val="00B95940"/>
    <w:rsid w:val="00B95ACA"/>
    <w:rsid w:val="00B95C12"/>
    <w:rsid w:val="00B96D74"/>
    <w:rsid w:val="00B9720E"/>
    <w:rsid w:val="00B97ACC"/>
    <w:rsid w:val="00B97F3A"/>
    <w:rsid w:val="00B97FE2"/>
    <w:rsid w:val="00BA0E0B"/>
    <w:rsid w:val="00BA201A"/>
    <w:rsid w:val="00BA21DF"/>
    <w:rsid w:val="00BA361D"/>
    <w:rsid w:val="00BA3787"/>
    <w:rsid w:val="00BA403A"/>
    <w:rsid w:val="00BA46E8"/>
    <w:rsid w:val="00BA49DB"/>
    <w:rsid w:val="00BA4AE9"/>
    <w:rsid w:val="00BA4E19"/>
    <w:rsid w:val="00BA5125"/>
    <w:rsid w:val="00BA6436"/>
    <w:rsid w:val="00BA64F2"/>
    <w:rsid w:val="00BA684E"/>
    <w:rsid w:val="00BA6C2B"/>
    <w:rsid w:val="00BA7B64"/>
    <w:rsid w:val="00BB02A3"/>
    <w:rsid w:val="00BB0351"/>
    <w:rsid w:val="00BB15C3"/>
    <w:rsid w:val="00BB1AF4"/>
    <w:rsid w:val="00BB2202"/>
    <w:rsid w:val="00BB286B"/>
    <w:rsid w:val="00BB3C6B"/>
    <w:rsid w:val="00BB3FD6"/>
    <w:rsid w:val="00BB453F"/>
    <w:rsid w:val="00BB46F3"/>
    <w:rsid w:val="00BB4A71"/>
    <w:rsid w:val="00BB4CB1"/>
    <w:rsid w:val="00BB4E47"/>
    <w:rsid w:val="00BB4F98"/>
    <w:rsid w:val="00BB50C0"/>
    <w:rsid w:val="00BB5AB2"/>
    <w:rsid w:val="00BB5ABF"/>
    <w:rsid w:val="00BB5F94"/>
    <w:rsid w:val="00BB6EA2"/>
    <w:rsid w:val="00BB7142"/>
    <w:rsid w:val="00BB76F3"/>
    <w:rsid w:val="00BB7B5B"/>
    <w:rsid w:val="00BB7EB1"/>
    <w:rsid w:val="00BC003F"/>
    <w:rsid w:val="00BC06AA"/>
    <w:rsid w:val="00BC0930"/>
    <w:rsid w:val="00BC223A"/>
    <w:rsid w:val="00BC327F"/>
    <w:rsid w:val="00BC3512"/>
    <w:rsid w:val="00BC4B35"/>
    <w:rsid w:val="00BC50BE"/>
    <w:rsid w:val="00BC5332"/>
    <w:rsid w:val="00BC5715"/>
    <w:rsid w:val="00BC5C12"/>
    <w:rsid w:val="00BC641B"/>
    <w:rsid w:val="00BC7154"/>
    <w:rsid w:val="00BC731E"/>
    <w:rsid w:val="00BC7614"/>
    <w:rsid w:val="00BC7EFA"/>
    <w:rsid w:val="00BD041B"/>
    <w:rsid w:val="00BD25BB"/>
    <w:rsid w:val="00BD2AF8"/>
    <w:rsid w:val="00BD366B"/>
    <w:rsid w:val="00BD3C09"/>
    <w:rsid w:val="00BD410B"/>
    <w:rsid w:val="00BD4A73"/>
    <w:rsid w:val="00BD4EDD"/>
    <w:rsid w:val="00BD4EF4"/>
    <w:rsid w:val="00BD6659"/>
    <w:rsid w:val="00BD6C75"/>
    <w:rsid w:val="00BD6D50"/>
    <w:rsid w:val="00BD7105"/>
    <w:rsid w:val="00BD73D2"/>
    <w:rsid w:val="00BE0AD1"/>
    <w:rsid w:val="00BE0EF9"/>
    <w:rsid w:val="00BE10A1"/>
    <w:rsid w:val="00BE18B9"/>
    <w:rsid w:val="00BE190A"/>
    <w:rsid w:val="00BE2495"/>
    <w:rsid w:val="00BE24DD"/>
    <w:rsid w:val="00BE34BB"/>
    <w:rsid w:val="00BE386D"/>
    <w:rsid w:val="00BE4DA9"/>
    <w:rsid w:val="00BE54BF"/>
    <w:rsid w:val="00BE557B"/>
    <w:rsid w:val="00BE55EF"/>
    <w:rsid w:val="00BE652B"/>
    <w:rsid w:val="00BE7F5F"/>
    <w:rsid w:val="00BF02C8"/>
    <w:rsid w:val="00BF1578"/>
    <w:rsid w:val="00BF15CA"/>
    <w:rsid w:val="00BF1D12"/>
    <w:rsid w:val="00BF1D3A"/>
    <w:rsid w:val="00BF2B5B"/>
    <w:rsid w:val="00BF2D41"/>
    <w:rsid w:val="00BF3274"/>
    <w:rsid w:val="00BF32DC"/>
    <w:rsid w:val="00BF35C9"/>
    <w:rsid w:val="00BF4329"/>
    <w:rsid w:val="00BF4E43"/>
    <w:rsid w:val="00BF5C4C"/>
    <w:rsid w:val="00BF765C"/>
    <w:rsid w:val="00BF77FC"/>
    <w:rsid w:val="00C006D6"/>
    <w:rsid w:val="00C00BD7"/>
    <w:rsid w:val="00C01410"/>
    <w:rsid w:val="00C024BB"/>
    <w:rsid w:val="00C02D23"/>
    <w:rsid w:val="00C03D4D"/>
    <w:rsid w:val="00C044F4"/>
    <w:rsid w:val="00C04B78"/>
    <w:rsid w:val="00C052AA"/>
    <w:rsid w:val="00C06EE3"/>
    <w:rsid w:val="00C07279"/>
    <w:rsid w:val="00C07749"/>
    <w:rsid w:val="00C07C2F"/>
    <w:rsid w:val="00C07C67"/>
    <w:rsid w:val="00C10805"/>
    <w:rsid w:val="00C11244"/>
    <w:rsid w:val="00C118A9"/>
    <w:rsid w:val="00C11D48"/>
    <w:rsid w:val="00C12304"/>
    <w:rsid w:val="00C12316"/>
    <w:rsid w:val="00C1246C"/>
    <w:rsid w:val="00C1493E"/>
    <w:rsid w:val="00C15537"/>
    <w:rsid w:val="00C15DBD"/>
    <w:rsid w:val="00C161C5"/>
    <w:rsid w:val="00C172F7"/>
    <w:rsid w:val="00C2010D"/>
    <w:rsid w:val="00C20CB5"/>
    <w:rsid w:val="00C21430"/>
    <w:rsid w:val="00C216DF"/>
    <w:rsid w:val="00C21E61"/>
    <w:rsid w:val="00C21F94"/>
    <w:rsid w:val="00C224BD"/>
    <w:rsid w:val="00C2272B"/>
    <w:rsid w:val="00C234DB"/>
    <w:rsid w:val="00C23C5C"/>
    <w:rsid w:val="00C2479A"/>
    <w:rsid w:val="00C24903"/>
    <w:rsid w:val="00C2590D"/>
    <w:rsid w:val="00C25D9C"/>
    <w:rsid w:val="00C26086"/>
    <w:rsid w:val="00C27913"/>
    <w:rsid w:val="00C27FA7"/>
    <w:rsid w:val="00C300E2"/>
    <w:rsid w:val="00C31F21"/>
    <w:rsid w:val="00C32631"/>
    <w:rsid w:val="00C33301"/>
    <w:rsid w:val="00C33311"/>
    <w:rsid w:val="00C33B68"/>
    <w:rsid w:val="00C34AD4"/>
    <w:rsid w:val="00C35570"/>
    <w:rsid w:val="00C3579B"/>
    <w:rsid w:val="00C35A2A"/>
    <w:rsid w:val="00C36A79"/>
    <w:rsid w:val="00C401A9"/>
    <w:rsid w:val="00C401D2"/>
    <w:rsid w:val="00C4031A"/>
    <w:rsid w:val="00C405D4"/>
    <w:rsid w:val="00C419D5"/>
    <w:rsid w:val="00C41D54"/>
    <w:rsid w:val="00C42EBB"/>
    <w:rsid w:val="00C435E8"/>
    <w:rsid w:val="00C4513B"/>
    <w:rsid w:val="00C475E8"/>
    <w:rsid w:val="00C50E79"/>
    <w:rsid w:val="00C5197D"/>
    <w:rsid w:val="00C525FB"/>
    <w:rsid w:val="00C527AD"/>
    <w:rsid w:val="00C5390B"/>
    <w:rsid w:val="00C540D3"/>
    <w:rsid w:val="00C54257"/>
    <w:rsid w:val="00C54697"/>
    <w:rsid w:val="00C550CE"/>
    <w:rsid w:val="00C553A5"/>
    <w:rsid w:val="00C55402"/>
    <w:rsid w:val="00C5603B"/>
    <w:rsid w:val="00C6020C"/>
    <w:rsid w:val="00C60AE3"/>
    <w:rsid w:val="00C61F47"/>
    <w:rsid w:val="00C62828"/>
    <w:rsid w:val="00C63132"/>
    <w:rsid w:val="00C655DA"/>
    <w:rsid w:val="00C672C1"/>
    <w:rsid w:val="00C706D2"/>
    <w:rsid w:val="00C715CC"/>
    <w:rsid w:val="00C719A3"/>
    <w:rsid w:val="00C71D2F"/>
    <w:rsid w:val="00C72984"/>
    <w:rsid w:val="00C72BC7"/>
    <w:rsid w:val="00C73885"/>
    <w:rsid w:val="00C73C93"/>
    <w:rsid w:val="00C7435A"/>
    <w:rsid w:val="00C747B1"/>
    <w:rsid w:val="00C75510"/>
    <w:rsid w:val="00C755F9"/>
    <w:rsid w:val="00C75752"/>
    <w:rsid w:val="00C75B60"/>
    <w:rsid w:val="00C761EC"/>
    <w:rsid w:val="00C770C9"/>
    <w:rsid w:val="00C8019E"/>
    <w:rsid w:val="00C81070"/>
    <w:rsid w:val="00C8174E"/>
    <w:rsid w:val="00C82191"/>
    <w:rsid w:val="00C83134"/>
    <w:rsid w:val="00C831E7"/>
    <w:rsid w:val="00C832F3"/>
    <w:rsid w:val="00C84307"/>
    <w:rsid w:val="00C845A4"/>
    <w:rsid w:val="00C8504C"/>
    <w:rsid w:val="00C85545"/>
    <w:rsid w:val="00C855B5"/>
    <w:rsid w:val="00C85F0E"/>
    <w:rsid w:val="00C867F9"/>
    <w:rsid w:val="00C872AA"/>
    <w:rsid w:val="00C87C6B"/>
    <w:rsid w:val="00C90357"/>
    <w:rsid w:val="00C90CF4"/>
    <w:rsid w:val="00C91C20"/>
    <w:rsid w:val="00C922DE"/>
    <w:rsid w:val="00C92843"/>
    <w:rsid w:val="00C929FE"/>
    <w:rsid w:val="00C92EB6"/>
    <w:rsid w:val="00C93389"/>
    <w:rsid w:val="00C948E6"/>
    <w:rsid w:val="00C94CDD"/>
    <w:rsid w:val="00C95123"/>
    <w:rsid w:val="00C97588"/>
    <w:rsid w:val="00CA0346"/>
    <w:rsid w:val="00CA0649"/>
    <w:rsid w:val="00CA0BD5"/>
    <w:rsid w:val="00CA0DA1"/>
    <w:rsid w:val="00CA1BD6"/>
    <w:rsid w:val="00CA2D95"/>
    <w:rsid w:val="00CA37FF"/>
    <w:rsid w:val="00CA423A"/>
    <w:rsid w:val="00CA47BC"/>
    <w:rsid w:val="00CA5EAD"/>
    <w:rsid w:val="00CA6AB4"/>
    <w:rsid w:val="00CA7255"/>
    <w:rsid w:val="00CA79E2"/>
    <w:rsid w:val="00CA7E12"/>
    <w:rsid w:val="00CB111E"/>
    <w:rsid w:val="00CB18B2"/>
    <w:rsid w:val="00CB1BEE"/>
    <w:rsid w:val="00CB2351"/>
    <w:rsid w:val="00CB2BF7"/>
    <w:rsid w:val="00CB3605"/>
    <w:rsid w:val="00CB4022"/>
    <w:rsid w:val="00CB4257"/>
    <w:rsid w:val="00CB4930"/>
    <w:rsid w:val="00CB4BA9"/>
    <w:rsid w:val="00CB4C48"/>
    <w:rsid w:val="00CB4C63"/>
    <w:rsid w:val="00CB5A48"/>
    <w:rsid w:val="00CB5E10"/>
    <w:rsid w:val="00CB613B"/>
    <w:rsid w:val="00CB6152"/>
    <w:rsid w:val="00CB64E1"/>
    <w:rsid w:val="00CB6C6F"/>
    <w:rsid w:val="00CB6E4D"/>
    <w:rsid w:val="00CC009B"/>
    <w:rsid w:val="00CC0834"/>
    <w:rsid w:val="00CC0AEA"/>
    <w:rsid w:val="00CC20FE"/>
    <w:rsid w:val="00CC225C"/>
    <w:rsid w:val="00CC2E7D"/>
    <w:rsid w:val="00CC469E"/>
    <w:rsid w:val="00CC5BE8"/>
    <w:rsid w:val="00CC612B"/>
    <w:rsid w:val="00CC655F"/>
    <w:rsid w:val="00CC66F9"/>
    <w:rsid w:val="00CC6C2A"/>
    <w:rsid w:val="00CC6FE5"/>
    <w:rsid w:val="00CC7458"/>
    <w:rsid w:val="00CC76BD"/>
    <w:rsid w:val="00CC7A87"/>
    <w:rsid w:val="00CD08BF"/>
    <w:rsid w:val="00CD0D6B"/>
    <w:rsid w:val="00CD1060"/>
    <w:rsid w:val="00CD10A5"/>
    <w:rsid w:val="00CD1129"/>
    <w:rsid w:val="00CD1A80"/>
    <w:rsid w:val="00CD1CB5"/>
    <w:rsid w:val="00CD2076"/>
    <w:rsid w:val="00CD24CE"/>
    <w:rsid w:val="00CD29B5"/>
    <w:rsid w:val="00CD2B78"/>
    <w:rsid w:val="00CD3866"/>
    <w:rsid w:val="00CD3FAB"/>
    <w:rsid w:val="00CD5456"/>
    <w:rsid w:val="00CD5C3E"/>
    <w:rsid w:val="00CD5C57"/>
    <w:rsid w:val="00CD5EE0"/>
    <w:rsid w:val="00CD6331"/>
    <w:rsid w:val="00CD7E9E"/>
    <w:rsid w:val="00CE12FB"/>
    <w:rsid w:val="00CE14BE"/>
    <w:rsid w:val="00CE17A4"/>
    <w:rsid w:val="00CE1BA9"/>
    <w:rsid w:val="00CE2D8F"/>
    <w:rsid w:val="00CE3532"/>
    <w:rsid w:val="00CE3E48"/>
    <w:rsid w:val="00CE46C0"/>
    <w:rsid w:val="00CE47B8"/>
    <w:rsid w:val="00CE54FD"/>
    <w:rsid w:val="00CE5C92"/>
    <w:rsid w:val="00CE5E12"/>
    <w:rsid w:val="00CE62FA"/>
    <w:rsid w:val="00CE670B"/>
    <w:rsid w:val="00CE6833"/>
    <w:rsid w:val="00CE7562"/>
    <w:rsid w:val="00CF020B"/>
    <w:rsid w:val="00CF0E03"/>
    <w:rsid w:val="00CF15BF"/>
    <w:rsid w:val="00CF2E4D"/>
    <w:rsid w:val="00CF35A7"/>
    <w:rsid w:val="00CF4205"/>
    <w:rsid w:val="00CF4908"/>
    <w:rsid w:val="00CF51EC"/>
    <w:rsid w:val="00CF545D"/>
    <w:rsid w:val="00CF5873"/>
    <w:rsid w:val="00CF6AB7"/>
    <w:rsid w:val="00CF73AE"/>
    <w:rsid w:val="00CF7777"/>
    <w:rsid w:val="00D0085A"/>
    <w:rsid w:val="00D0197F"/>
    <w:rsid w:val="00D01B31"/>
    <w:rsid w:val="00D0242D"/>
    <w:rsid w:val="00D02716"/>
    <w:rsid w:val="00D03842"/>
    <w:rsid w:val="00D03A72"/>
    <w:rsid w:val="00D040DD"/>
    <w:rsid w:val="00D04134"/>
    <w:rsid w:val="00D05C65"/>
    <w:rsid w:val="00D06B56"/>
    <w:rsid w:val="00D06D68"/>
    <w:rsid w:val="00D075BE"/>
    <w:rsid w:val="00D07AFF"/>
    <w:rsid w:val="00D07CC2"/>
    <w:rsid w:val="00D10C15"/>
    <w:rsid w:val="00D11011"/>
    <w:rsid w:val="00D11476"/>
    <w:rsid w:val="00D12C25"/>
    <w:rsid w:val="00D133B4"/>
    <w:rsid w:val="00D13986"/>
    <w:rsid w:val="00D13F3E"/>
    <w:rsid w:val="00D14C5B"/>
    <w:rsid w:val="00D15D3A"/>
    <w:rsid w:val="00D15FED"/>
    <w:rsid w:val="00D16712"/>
    <w:rsid w:val="00D174E0"/>
    <w:rsid w:val="00D214EF"/>
    <w:rsid w:val="00D215B0"/>
    <w:rsid w:val="00D21B36"/>
    <w:rsid w:val="00D21D6D"/>
    <w:rsid w:val="00D21D83"/>
    <w:rsid w:val="00D22A47"/>
    <w:rsid w:val="00D235B7"/>
    <w:rsid w:val="00D23A99"/>
    <w:rsid w:val="00D23FAE"/>
    <w:rsid w:val="00D25F28"/>
    <w:rsid w:val="00D26071"/>
    <w:rsid w:val="00D260C7"/>
    <w:rsid w:val="00D26133"/>
    <w:rsid w:val="00D269B9"/>
    <w:rsid w:val="00D26E6B"/>
    <w:rsid w:val="00D27973"/>
    <w:rsid w:val="00D27F07"/>
    <w:rsid w:val="00D27F3A"/>
    <w:rsid w:val="00D31537"/>
    <w:rsid w:val="00D31E1E"/>
    <w:rsid w:val="00D322A0"/>
    <w:rsid w:val="00D32824"/>
    <w:rsid w:val="00D33297"/>
    <w:rsid w:val="00D334E2"/>
    <w:rsid w:val="00D335E5"/>
    <w:rsid w:val="00D350B1"/>
    <w:rsid w:val="00D35AD6"/>
    <w:rsid w:val="00D35BBB"/>
    <w:rsid w:val="00D35E1A"/>
    <w:rsid w:val="00D36B0A"/>
    <w:rsid w:val="00D36DFB"/>
    <w:rsid w:val="00D36E1C"/>
    <w:rsid w:val="00D373AF"/>
    <w:rsid w:val="00D40556"/>
    <w:rsid w:val="00D418E9"/>
    <w:rsid w:val="00D41F74"/>
    <w:rsid w:val="00D428C8"/>
    <w:rsid w:val="00D43034"/>
    <w:rsid w:val="00D43ED2"/>
    <w:rsid w:val="00D50F46"/>
    <w:rsid w:val="00D5302A"/>
    <w:rsid w:val="00D533C4"/>
    <w:rsid w:val="00D5384E"/>
    <w:rsid w:val="00D544E7"/>
    <w:rsid w:val="00D5499F"/>
    <w:rsid w:val="00D5560A"/>
    <w:rsid w:val="00D56FBF"/>
    <w:rsid w:val="00D57677"/>
    <w:rsid w:val="00D5781F"/>
    <w:rsid w:val="00D60415"/>
    <w:rsid w:val="00D60DAE"/>
    <w:rsid w:val="00D60E3C"/>
    <w:rsid w:val="00D60FA7"/>
    <w:rsid w:val="00D61FAB"/>
    <w:rsid w:val="00D62C4E"/>
    <w:rsid w:val="00D63BE5"/>
    <w:rsid w:val="00D6475F"/>
    <w:rsid w:val="00D652EB"/>
    <w:rsid w:val="00D655D4"/>
    <w:rsid w:val="00D66223"/>
    <w:rsid w:val="00D667B8"/>
    <w:rsid w:val="00D67D55"/>
    <w:rsid w:val="00D70289"/>
    <w:rsid w:val="00D7041F"/>
    <w:rsid w:val="00D70822"/>
    <w:rsid w:val="00D72076"/>
    <w:rsid w:val="00D721B4"/>
    <w:rsid w:val="00D726A9"/>
    <w:rsid w:val="00D72DBA"/>
    <w:rsid w:val="00D743E0"/>
    <w:rsid w:val="00D7469D"/>
    <w:rsid w:val="00D7490C"/>
    <w:rsid w:val="00D75AC1"/>
    <w:rsid w:val="00D77252"/>
    <w:rsid w:val="00D8084C"/>
    <w:rsid w:val="00D81809"/>
    <w:rsid w:val="00D82EF1"/>
    <w:rsid w:val="00D84CC9"/>
    <w:rsid w:val="00D84F43"/>
    <w:rsid w:val="00D85114"/>
    <w:rsid w:val="00D85821"/>
    <w:rsid w:val="00D8598C"/>
    <w:rsid w:val="00D87C06"/>
    <w:rsid w:val="00D915EA"/>
    <w:rsid w:val="00D919ED"/>
    <w:rsid w:val="00D922A1"/>
    <w:rsid w:val="00D928BE"/>
    <w:rsid w:val="00D92CD7"/>
    <w:rsid w:val="00D932B8"/>
    <w:rsid w:val="00D932F0"/>
    <w:rsid w:val="00D95302"/>
    <w:rsid w:val="00D95889"/>
    <w:rsid w:val="00D95C5D"/>
    <w:rsid w:val="00D95CBE"/>
    <w:rsid w:val="00D95E7F"/>
    <w:rsid w:val="00D97D00"/>
    <w:rsid w:val="00DA0121"/>
    <w:rsid w:val="00DA096C"/>
    <w:rsid w:val="00DA1AB6"/>
    <w:rsid w:val="00DA2E65"/>
    <w:rsid w:val="00DA37DE"/>
    <w:rsid w:val="00DA3ADF"/>
    <w:rsid w:val="00DA4174"/>
    <w:rsid w:val="00DA544C"/>
    <w:rsid w:val="00DA5F8E"/>
    <w:rsid w:val="00DA6364"/>
    <w:rsid w:val="00DA7114"/>
    <w:rsid w:val="00DA7C0C"/>
    <w:rsid w:val="00DA7E2F"/>
    <w:rsid w:val="00DB03DD"/>
    <w:rsid w:val="00DB08A9"/>
    <w:rsid w:val="00DB0B33"/>
    <w:rsid w:val="00DB0FD9"/>
    <w:rsid w:val="00DB13EF"/>
    <w:rsid w:val="00DB2DFA"/>
    <w:rsid w:val="00DB2EC8"/>
    <w:rsid w:val="00DB321D"/>
    <w:rsid w:val="00DB459B"/>
    <w:rsid w:val="00DB47FD"/>
    <w:rsid w:val="00DB5E3A"/>
    <w:rsid w:val="00DB5E9A"/>
    <w:rsid w:val="00DB613B"/>
    <w:rsid w:val="00DB657E"/>
    <w:rsid w:val="00DB7342"/>
    <w:rsid w:val="00DB7489"/>
    <w:rsid w:val="00DC0B4D"/>
    <w:rsid w:val="00DC0CBB"/>
    <w:rsid w:val="00DC17D0"/>
    <w:rsid w:val="00DC1E5D"/>
    <w:rsid w:val="00DC2B41"/>
    <w:rsid w:val="00DC2EA7"/>
    <w:rsid w:val="00DC3128"/>
    <w:rsid w:val="00DC435B"/>
    <w:rsid w:val="00DC4AC4"/>
    <w:rsid w:val="00DC53D8"/>
    <w:rsid w:val="00DC56FE"/>
    <w:rsid w:val="00DC5B3B"/>
    <w:rsid w:val="00DC5F11"/>
    <w:rsid w:val="00DC6C2D"/>
    <w:rsid w:val="00DC7B1A"/>
    <w:rsid w:val="00DD04B0"/>
    <w:rsid w:val="00DD129F"/>
    <w:rsid w:val="00DD13FC"/>
    <w:rsid w:val="00DD1A3F"/>
    <w:rsid w:val="00DD29B5"/>
    <w:rsid w:val="00DD32DD"/>
    <w:rsid w:val="00DD33E8"/>
    <w:rsid w:val="00DD5287"/>
    <w:rsid w:val="00DD5B36"/>
    <w:rsid w:val="00DD7849"/>
    <w:rsid w:val="00DE03DE"/>
    <w:rsid w:val="00DE0D8B"/>
    <w:rsid w:val="00DE1237"/>
    <w:rsid w:val="00DE140F"/>
    <w:rsid w:val="00DE17E9"/>
    <w:rsid w:val="00DE2491"/>
    <w:rsid w:val="00DE273F"/>
    <w:rsid w:val="00DE27CD"/>
    <w:rsid w:val="00DE2B97"/>
    <w:rsid w:val="00DE3231"/>
    <w:rsid w:val="00DE3E22"/>
    <w:rsid w:val="00DE3E5D"/>
    <w:rsid w:val="00DE450F"/>
    <w:rsid w:val="00DE4865"/>
    <w:rsid w:val="00DE5CA6"/>
    <w:rsid w:val="00DE5E55"/>
    <w:rsid w:val="00DE6209"/>
    <w:rsid w:val="00DE63AE"/>
    <w:rsid w:val="00DE7156"/>
    <w:rsid w:val="00DE7AC8"/>
    <w:rsid w:val="00DF0830"/>
    <w:rsid w:val="00DF1D57"/>
    <w:rsid w:val="00DF2C5D"/>
    <w:rsid w:val="00DF2CD3"/>
    <w:rsid w:val="00DF3643"/>
    <w:rsid w:val="00DF42FF"/>
    <w:rsid w:val="00DF4369"/>
    <w:rsid w:val="00DF4423"/>
    <w:rsid w:val="00DF4ADF"/>
    <w:rsid w:val="00DF57D6"/>
    <w:rsid w:val="00DF5D1E"/>
    <w:rsid w:val="00DF77E4"/>
    <w:rsid w:val="00DF7F88"/>
    <w:rsid w:val="00E00B88"/>
    <w:rsid w:val="00E01C0E"/>
    <w:rsid w:val="00E0368F"/>
    <w:rsid w:val="00E03D73"/>
    <w:rsid w:val="00E03F9A"/>
    <w:rsid w:val="00E040DA"/>
    <w:rsid w:val="00E04694"/>
    <w:rsid w:val="00E05333"/>
    <w:rsid w:val="00E1168B"/>
    <w:rsid w:val="00E12191"/>
    <w:rsid w:val="00E129E7"/>
    <w:rsid w:val="00E12ABE"/>
    <w:rsid w:val="00E12B1E"/>
    <w:rsid w:val="00E135EB"/>
    <w:rsid w:val="00E13995"/>
    <w:rsid w:val="00E1444C"/>
    <w:rsid w:val="00E159C6"/>
    <w:rsid w:val="00E17262"/>
    <w:rsid w:val="00E17F36"/>
    <w:rsid w:val="00E20016"/>
    <w:rsid w:val="00E2009B"/>
    <w:rsid w:val="00E20BB9"/>
    <w:rsid w:val="00E20BCC"/>
    <w:rsid w:val="00E2251C"/>
    <w:rsid w:val="00E2363D"/>
    <w:rsid w:val="00E23C6A"/>
    <w:rsid w:val="00E2484B"/>
    <w:rsid w:val="00E253A2"/>
    <w:rsid w:val="00E260F6"/>
    <w:rsid w:val="00E27127"/>
    <w:rsid w:val="00E27233"/>
    <w:rsid w:val="00E274BB"/>
    <w:rsid w:val="00E30F15"/>
    <w:rsid w:val="00E31771"/>
    <w:rsid w:val="00E3186D"/>
    <w:rsid w:val="00E31A3E"/>
    <w:rsid w:val="00E32080"/>
    <w:rsid w:val="00E32778"/>
    <w:rsid w:val="00E3309D"/>
    <w:rsid w:val="00E34E3F"/>
    <w:rsid w:val="00E350B1"/>
    <w:rsid w:val="00E35A53"/>
    <w:rsid w:val="00E3634A"/>
    <w:rsid w:val="00E3656B"/>
    <w:rsid w:val="00E3712B"/>
    <w:rsid w:val="00E3724A"/>
    <w:rsid w:val="00E378B1"/>
    <w:rsid w:val="00E41131"/>
    <w:rsid w:val="00E41179"/>
    <w:rsid w:val="00E417BE"/>
    <w:rsid w:val="00E41CD5"/>
    <w:rsid w:val="00E42054"/>
    <w:rsid w:val="00E4372D"/>
    <w:rsid w:val="00E43A9E"/>
    <w:rsid w:val="00E44243"/>
    <w:rsid w:val="00E453F9"/>
    <w:rsid w:val="00E45D7D"/>
    <w:rsid w:val="00E4623F"/>
    <w:rsid w:val="00E4665D"/>
    <w:rsid w:val="00E47854"/>
    <w:rsid w:val="00E478E2"/>
    <w:rsid w:val="00E47C5D"/>
    <w:rsid w:val="00E47EBA"/>
    <w:rsid w:val="00E50156"/>
    <w:rsid w:val="00E504EB"/>
    <w:rsid w:val="00E5076C"/>
    <w:rsid w:val="00E50D2E"/>
    <w:rsid w:val="00E50D7D"/>
    <w:rsid w:val="00E51EF0"/>
    <w:rsid w:val="00E53470"/>
    <w:rsid w:val="00E5368D"/>
    <w:rsid w:val="00E539F6"/>
    <w:rsid w:val="00E54698"/>
    <w:rsid w:val="00E54BE9"/>
    <w:rsid w:val="00E54D22"/>
    <w:rsid w:val="00E54FB4"/>
    <w:rsid w:val="00E5539A"/>
    <w:rsid w:val="00E55791"/>
    <w:rsid w:val="00E55E1A"/>
    <w:rsid w:val="00E578A2"/>
    <w:rsid w:val="00E579ED"/>
    <w:rsid w:val="00E60043"/>
    <w:rsid w:val="00E61740"/>
    <w:rsid w:val="00E61EB5"/>
    <w:rsid w:val="00E6324D"/>
    <w:rsid w:val="00E647C1"/>
    <w:rsid w:val="00E65084"/>
    <w:rsid w:val="00E6519D"/>
    <w:rsid w:val="00E66062"/>
    <w:rsid w:val="00E6660E"/>
    <w:rsid w:val="00E66768"/>
    <w:rsid w:val="00E67305"/>
    <w:rsid w:val="00E67696"/>
    <w:rsid w:val="00E709AF"/>
    <w:rsid w:val="00E70C5F"/>
    <w:rsid w:val="00E71A58"/>
    <w:rsid w:val="00E728D7"/>
    <w:rsid w:val="00E72A26"/>
    <w:rsid w:val="00E72A7A"/>
    <w:rsid w:val="00E7335A"/>
    <w:rsid w:val="00E73986"/>
    <w:rsid w:val="00E7467D"/>
    <w:rsid w:val="00E747DC"/>
    <w:rsid w:val="00E74A2D"/>
    <w:rsid w:val="00E75C94"/>
    <w:rsid w:val="00E76A08"/>
    <w:rsid w:val="00E76B9B"/>
    <w:rsid w:val="00E76E61"/>
    <w:rsid w:val="00E76EE4"/>
    <w:rsid w:val="00E77CC0"/>
    <w:rsid w:val="00E80B3D"/>
    <w:rsid w:val="00E80CA3"/>
    <w:rsid w:val="00E81AAA"/>
    <w:rsid w:val="00E82618"/>
    <w:rsid w:val="00E82A42"/>
    <w:rsid w:val="00E82AB6"/>
    <w:rsid w:val="00E84E09"/>
    <w:rsid w:val="00E87CE2"/>
    <w:rsid w:val="00E87D5B"/>
    <w:rsid w:val="00E90CA8"/>
    <w:rsid w:val="00E911C6"/>
    <w:rsid w:val="00E920DE"/>
    <w:rsid w:val="00E930A1"/>
    <w:rsid w:val="00E93820"/>
    <w:rsid w:val="00E93FD5"/>
    <w:rsid w:val="00E94A86"/>
    <w:rsid w:val="00E951AB"/>
    <w:rsid w:val="00E953F6"/>
    <w:rsid w:val="00E96143"/>
    <w:rsid w:val="00E96833"/>
    <w:rsid w:val="00E97506"/>
    <w:rsid w:val="00E97BB5"/>
    <w:rsid w:val="00E97D5B"/>
    <w:rsid w:val="00E97F14"/>
    <w:rsid w:val="00EA0B1A"/>
    <w:rsid w:val="00EA0C68"/>
    <w:rsid w:val="00EA0E39"/>
    <w:rsid w:val="00EA1D0E"/>
    <w:rsid w:val="00EA1EBB"/>
    <w:rsid w:val="00EA2072"/>
    <w:rsid w:val="00EA2841"/>
    <w:rsid w:val="00EA32BC"/>
    <w:rsid w:val="00EA35A7"/>
    <w:rsid w:val="00EA3B32"/>
    <w:rsid w:val="00EA3CEB"/>
    <w:rsid w:val="00EA3D05"/>
    <w:rsid w:val="00EA4222"/>
    <w:rsid w:val="00EA4402"/>
    <w:rsid w:val="00EA4B8D"/>
    <w:rsid w:val="00EA513E"/>
    <w:rsid w:val="00EA7419"/>
    <w:rsid w:val="00EB0E32"/>
    <w:rsid w:val="00EB1CDC"/>
    <w:rsid w:val="00EB1D89"/>
    <w:rsid w:val="00EB3E60"/>
    <w:rsid w:val="00EB4511"/>
    <w:rsid w:val="00EB48D7"/>
    <w:rsid w:val="00EB49F1"/>
    <w:rsid w:val="00EB4A8E"/>
    <w:rsid w:val="00EB4BC5"/>
    <w:rsid w:val="00EB5BF7"/>
    <w:rsid w:val="00EB5E79"/>
    <w:rsid w:val="00EB6473"/>
    <w:rsid w:val="00EB6DA6"/>
    <w:rsid w:val="00EB6FAC"/>
    <w:rsid w:val="00EB7BAC"/>
    <w:rsid w:val="00EB7CC9"/>
    <w:rsid w:val="00EC03D7"/>
    <w:rsid w:val="00EC13A7"/>
    <w:rsid w:val="00EC189D"/>
    <w:rsid w:val="00EC2EB6"/>
    <w:rsid w:val="00EC4FFF"/>
    <w:rsid w:val="00EC5517"/>
    <w:rsid w:val="00EC6E8C"/>
    <w:rsid w:val="00ED0962"/>
    <w:rsid w:val="00ED0EF0"/>
    <w:rsid w:val="00ED0F73"/>
    <w:rsid w:val="00ED12B9"/>
    <w:rsid w:val="00ED16B8"/>
    <w:rsid w:val="00ED1959"/>
    <w:rsid w:val="00ED1A00"/>
    <w:rsid w:val="00ED1DF0"/>
    <w:rsid w:val="00ED2386"/>
    <w:rsid w:val="00ED2525"/>
    <w:rsid w:val="00ED2EA1"/>
    <w:rsid w:val="00ED3851"/>
    <w:rsid w:val="00ED3E51"/>
    <w:rsid w:val="00ED3F10"/>
    <w:rsid w:val="00ED3F9B"/>
    <w:rsid w:val="00ED3FB3"/>
    <w:rsid w:val="00ED4D04"/>
    <w:rsid w:val="00ED566D"/>
    <w:rsid w:val="00ED5907"/>
    <w:rsid w:val="00ED5F5B"/>
    <w:rsid w:val="00ED62C6"/>
    <w:rsid w:val="00ED64C1"/>
    <w:rsid w:val="00ED781F"/>
    <w:rsid w:val="00EE0E7E"/>
    <w:rsid w:val="00EE249F"/>
    <w:rsid w:val="00EE2EB4"/>
    <w:rsid w:val="00EE3446"/>
    <w:rsid w:val="00EE3E78"/>
    <w:rsid w:val="00EE41FD"/>
    <w:rsid w:val="00EE460E"/>
    <w:rsid w:val="00EE4B1B"/>
    <w:rsid w:val="00EE5FBA"/>
    <w:rsid w:val="00EE601C"/>
    <w:rsid w:val="00EE6A09"/>
    <w:rsid w:val="00EE6E06"/>
    <w:rsid w:val="00EE7179"/>
    <w:rsid w:val="00EF0D90"/>
    <w:rsid w:val="00EF150D"/>
    <w:rsid w:val="00EF1967"/>
    <w:rsid w:val="00EF1F5A"/>
    <w:rsid w:val="00EF23B5"/>
    <w:rsid w:val="00EF326A"/>
    <w:rsid w:val="00EF3898"/>
    <w:rsid w:val="00EF47BF"/>
    <w:rsid w:val="00EF52F7"/>
    <w:rsid w:val="00EF54CF"/>
    <w:rsid w:val="00EF59B1"/>
    <w:rsid w:val="00EF5A13"/>
    <w:rsid w:val="00EF5FF9"/>
    <w:rsid w:val="00EF77D4"/>
    <w:rsid w:val="00EF7CC7"/>
    <w:rsid w:val="00F00535"/>
    <w:rsid w:val="00F00853"/>
    <w:rsid w:val="00F00866"/>
    <w:rsid w:val="00F00EC8"/>
    <w:rsid w:val="00F0160B"/>
    <w:rsid w:val="00F0193E"/>
    <w:rsid w:val="00F03E2F"/>
    <w:rsid w:val="00F03F8D"/>
    <w:rsid w:val="00F04811"/>
    <w:rsid w:val="00F0488C"/>
    <w:rsid w:val="00F04955"/>
    <w:rsid w:val="00F052D2"/>
    <w:rsid w:val="00F06002"/>
    <w:rsid w:val="00F067B8"/>
    <w:rsid w:val="00F0730A"/>
    <w:rsid w:val="00F073ED"/>
    <w:rsid w:val="00F07C4C"/>
    <w:rsid w:val="00F07E45"/>
    <w:rsid w:val="00F10F11"/>
    <w:rsid w:val="00F11159"/>
    <w:rsid w:val="00F1152E"/>
    <w:rsid w:val="00F115E4"/>
    <w:rsid w:val="00F11AC4"/>
    <w:rsid w:val="00F11FDC"/>
    <w:rsid w:val="00F120A5"/>
    <w:rsid w:val="00F12CFB"/>
    <w:rsid w:val="00F13E60"/>
    <w:rsid w:val="00F13FDB"/>
    <w:rsid w:val="00F15AAA"/>
    <w:rsid w:val="00F15BEF"/>
    <w:rsid w:val="00F1770C"/>
    <w:rsid w:val="00F17898"/>
    <w:rsid w:val="00F204BF"/>
    <w:rsid w:val="00F207C2"/>
    <w:rsid w:val="00F21337"/>
    <w:rsid w:val="00F219A1"/>
    <w:rsid w:val="00F23927"/>
    <w:rsid w:val="00F23E20"/>
    <w:rsid w:val="00F24407"/>
    <w:rsid w:val="00F249CE"/>
    <w:rsid w:val="00F24FAA"/>
    <w:rsid w:val="00F25040"/>
    <w:rsid w:val="00F269D7"/>
    <w:rsid w:val="00F26FB5"/>
    <w:rsid w:val="00F27071"/>
    <w:rsid w:val="00F27331"/>
    <w:rsid w:val="00F276D3"/>
    <w:rsid w:val="00F27EE5"/>
    <w:rsid w:val="00F27FB1"/>
    <w:rsid w:val="00F27FD6"/>
    <w:rsid w:val="00F307CB"/>
    <w:rsid w:val="00F30C0C"/>
    <w:rsid w:val="00F30C65"/>
    <w:rsid w:val="00F321D2"/>
    <w:rsid w:val="00F32649"/>
    <w:rsid w:val="00F33523"/>
    <w:rsid w:val="00F3364D"/>
    <w:rsid w:val="00F33914"/>
    <w:rsid w:val="00F339E1"/>
    <w:rsid w:val="00F349BF"/>
    <w:rsid w:val="00F34DDC"/>
    <w:rsid w:val="00F36191"/>
    <w:rsid w:val="00F3629F"/>
    <w:rsid w:val="00F36DF3"/>
    <w:rsid w:val="00F37362"/>
    <w:rsid w:val="00F37EDC"/>
    <w:rsid w:val="00F437CC"/>
    <w:rsid w:val="00F442E7"/>
    <w:rsid w:val="00F44537"/>
    <w:rsid w:val="00F46185"/>
    <w:rsid w:val="00F46423"/>
    <w:rsid w:val="00F4696A"/>
    <w:rsid w:val="00F47067"/>
    <w:rsid w:val="00F47234"/>
    <w:rsid w:val="00F51ADD"/>
    <w:rsid w:val="00F525AB"/>
    <w:rsid w:val="00F525EB"/>
    <w:rsid w:val="00F52CB5"/>
    <w:rsid w:val="00F53378"/>
    <w:rsid w:val="00F53917"/>
    <w:rsid w:val="00F53A68"/>
    <w:rsid w:val="00F54934"/>
    <w:rsid w:val="00F55A92"/>
    <w:rsid w:val="00F5615B"/>
    <w:rsid w:val="00F575D3"/>
    <w:rsid w:val="00F57983"/>
    <w:rsid w:val="00F57A76"/>
    <w:rsid w:val="00F57D57"/>
    <w:rsid w:val="00F6178B"/>
    <w:rsid w:val="00F62BFF"/>
    <w:rsid w:val="00F62CCE"/>
    <w:rsid w:val="00F63092"/>
    <w:rsid w:val="00F63AAE"/>
    <w:rsid w:val="00F63DDE"/>
    <w:rsid w:val="00F63FB7"/>
    <w:rsid w:val="00F6421B"/>
    <w:rsid w:val="00F647F1"/>
    <w:rsid w:val="00F649D2"/>
    <w:rsid w:val="00F64D5A"/>
    <w:rsid w:val="00F6602B"/>
    <w:rsid w:val="00F6799D"/>
    <w:rsid w:val="00F7150B"/>
    <w:rsid w:val="00F717E4"/>
    <w:rsid w:val="00F71DE6"/>
    <w:rsid w:val="00F72D71"/>
    <w:rsid w:val="00F7381C"/>
    <w:rsid w:val="00F73A0C"/>
    <w:rsid w:val="00F752DC"/>
    <w:rsid w:val="00F7549F"/>
    <w:rsid w:val="00F756DB"/>
    <w:rsid w:val="00F766BE"/>
    <w:rsid w:val="00F767A8"/>
    <w:rsid w:val="00F77590"/>
    <w:rsid w:val="00F77A50"/>
    <w:rsid w:val="00F82D14"/>
    <w:rsid w:val="00F84E7D"/>
    <w:rsid w:val="00F85066"/>
    <w:rsid w:val="00F874F8"/>
    <w:rsid w:val="00F87A4D"/>
    <w:rsid w:val="00F90EEB"/>
    <w:rsid w:val="00F9135C"/>
    <w:rsid w:val="00F91B66"/>
    <w:rsid w:val="00F9354A"/>
    <w:rsid w:val="00F93688"/>
    <w:rsid w:val="00F939F3"/>
    <w:rsid w:val="00F93C6E"/>
    <w:rsid w:val="00F93F2C"/>
    <w:rsid w:val="00F947E9"/>
    <w:rsid w:val="00F962AD"/>
    <w:rsid w:val="00F9644E"/>
    <w:rsid w:val="00FA0105"/>
    <w:rsid w:val="00FA05A0"/>
    <w:rsid w:val="00FA0AEF"/>
    <w:rsid w:val="00FA17CC"/>
    <w:rsid w:val="00FA1CFE"/>
    <w:rsid w:val="00FA1EE7"/>
    <w:rsid w:val="00FA1F01"/>
    <w:rsid w:val="00FA26DF"/>
    <w:rsid w:val="00FA2C07"/>
    <w:rsid w:val="00FA32BC"/>
    <w:rsid w:val="00FA3FA8"/>
    <w:rsid w:val="00FA4059"/>
    <w:rsid w:val="00FA4574"/>
    <w:rsid w:val="00FA48A4"/>
    <w:rsid w:val="00FA4CB7"/>
    <w:rsid w:val="00FA5112"/>
    <w:rsid w:val="00FA5526"/>
    <w:rsid w:val="00FA5D4D"/>
    <w:rsid w:val="00FA6CB6"/>
    <w:rsid w:val="00FA70D3"/>
    <w:rsid w:val="00FA7AEC"/>
    <w:rsid w:val="00FB0AEA"/>
    <w:rsid w:val="00FB0EE2"/>
    <w:rsid w:val="00FB1A79"/>
    <w:rsid w:val="00FB1BA4"/>
    <w:rsid w:val="00FB208B"/>
    <w:rsid w:val="00FB2B2D"/>
    <w:rsid w:val="00FB542E"/>
    <w:rsid w:val="00FB5580"/>
    <w:rsid w:val="00FB564F"/>
    <w:rsid w:val="00FB7DBB"/>
    <w:rsid w:val="00FC05F8"/>
    <w:rsid w:val="00FC077B"/>
    <w:rsid w:val="00FC0E5F"/>
    <w:rsid w:val="00FC1070"/>
    <w:rsid w:val="00FC1266"/>
    <w:rsid w:val="00FC1A95"/>
    <w:rsid w:val="00FC1ED4"/>
    <w:rsid w:val="00FC3BEC"/>
    <w:rsid w:val="00FC42C5"/>
    <w:rsid w:val="00FC440B"/>
    <w:rsid w:val="00FC56DE"/>
    <w:rsid w:val="00FC63D9"/>
    <w:rsid w:val="00FC64DE"/>
    <w:rsid w:val="00FC6785"/>
    <w:rsid w:val="00FC684B"/>
    <w:rsid w:val="00FC7D98"/>
    <w:rsid w:val="00FD1135"/>
    <w:rsid w:val="00FD3265"/>
    <w:rsid w:val="00FD3CF7"/>
    <w:rsid w:val="00FD4124"/>
    <w:rsid w:val="00FD4372"/>
    <w:rsid w:val="00FD4916"/>
    <w:rsid w:val="00FD4D12"/>
    <w:rsid w:val="00FD4F73"/>
    <w:rsid w:val="00FD595E"/>
    <w:rsid w:val="00FD6667"/>
    <w:rsid w:val="00FD7802"/>
    <w:rsid w:val="00FD7D3B"/>
    <w:rsid w:val="00FD7FBE"/>
    <w:rsid w:val="00FE27C7"/>
    <w:rsid w:val="00FE2C7E"/>
    <w:rsid w:val="00FE2F78"/>
    <w:rsid w:val="00FE3137"/>
    <w:rsid w:val="00FE346B"/>
    <w:rsid w:val="00FE346F"/>
    <w:rsid w:val="00FE431E"/>
    <w:rsid w:val="00FE460E"/>
    <w:rsid w:val="00FE48E4"/>
    <w:rsid w:val="00FE5466"/>
    <w:rsid w:val="00FE634C"/>
    <w:rsid w:val="00FE6E69"/>
    <w:rsid w:val="00FE6F59"/>
    <w:rsid w:val="00FF01B6"/>
    <w:rsid w:val="00FF0989"/>
    <w:rsid w:val="00FF0F79"/>
    <w:rsid w:val="00FF1136"/>
    <w:rsid w:val="00FF3D76"/>
    <w:rsid w:val="00FF556A"/>
    <w:rsid w:val="00FF5B8C"/>
    <w:rsid w:val="00FF63E6"/>
    <w:rsid w:val="00FF72DC"/>
    <w:rsid w:val="00FF7B96"/>
    <w:rsid w:val="019CB78C"/>
    <w:rsid w:val="0241D284"/>
    <w:rsid w:val="04BD1937"/>
    <w:rsid w:val="0523CDF2"/>
    <w:rsid w:val="06B1A837"/>
    <w:rsid w:val="07FB41B9"/>
    <w:rsid w:val="08A648BF"/>
    <w:rsid w:val="08AB0269"/>
    <w:rsid w:val="0A844D4D"/>
    <w:rsid w:val="0BCD71E1"/>
    <w:rsid w:val="0EBE9DEC"/>
    <w:rsid w:val="0FBB85B6"/>
    <w:rsid w:val="12650F4E"/>
    <w:rsid w:val="1371242A"/>
    <w:rsid w:val="1394E51D"/>
    <w:rsid w:val="14DB2A87"/>
    <w:rsid w:val="15DD577B"/>
    <w:rsid w:val="16EC38E2"/>
    <w:rsid w:val="17178072"/>
    <w:rsid w:val="173F358F"/>
    <w:rsid w:val="17513AF8"/>
    <w:rsid w:val="1812CB49"/>
    <w:rsid w:val="1B53A8C8"/>
    <w:rsid w:val="1BEE6986"/>
    <w:rsid w:val="20D21749"/>
    <w:rsid w:val="2111A021"/>
    <w:rsid w:val="21BE069A"/>
    <w:rsid w:val="224238BC"/>
    <w:rsid w:val="224482AD"/>
    <w:rsid w:val="23E0530E"/>
    <w:rsid w:val="24FC0D77"/>
    <w:rsid w:val="2A0E9F3A"/>
    <w:rsid w:val="2A2A6298"/>
    <w:rsid w:val="2F72CB2D"/>
    <w:rsid w:val="3204B56C"/>
    <w:rsid w:val="36A6CB7D"/>
    <w:rsid w:val="37D604A5"/>
    <w:rsid w:val="38C72AFC"/>
    <w:rsid w:val="3A31F626"/>
    <w:rsid w:val="3AA0BED0"/>
    <w:rsid w:val="3C7646FC"/>
    <w:rsid w:val="3E4A9713"/>
    <w:rsid w:val="3E77F3B4"/>
    <w:rsid w:val="40C3BF09"/>
    <w:rsid w:val="47207A7B"/>
    <w:rsid w:val="48038D4B"/>
    <w:rsid w:val="49E8263C"/>
    <w:rsid w:val="4A567F3C"/>
    <w:rsid w:val="50A35788"/>
    <w:rsid w:val="52944939"/>
    <w:rsid w:val="53942896"/>
    <w:rsid w:val="5536E42E"/>
    <w:rsid w:val="55914544"/>
    <w:rsid w:val="581B14F9"/>
    <w:rsid w:val="58FD3BB8"/>
    <w:rsid w:val="5B145290"/>
    <w:rsid w:val="5CF587E8"/>
    <w:rsid w:val="5DD689BF"/>
    <w:rsid w:val="5E8D8646"/>
    <w:rsid w:val="60B2C930"/>
    <w:rsid w:val="64244C5C"/>
    <w:rsid w:val="64B5C10F"/>
    <w:rsid w:val="661E5011"/>
    <w:rsid w:val="67F8BB57"/>
    <w:rsid w:val="6AEA4E8B"/>
    <w:rsid w:val="6AEC8A78"/>
    <w:rsid w:val="6D951AA9"/>
    <w:rsid w:val="7059F910"/>
    <w:rsid w:val="74248E8F"/>
    <w:rsid w:val="74EA3077"/>
    <w:rsid w:val="754BB0AE"/>
    <w:rsid w:val="75B5B795"/>
    <w:rsid w:val="76D4E0D9"/>
    <w:rsid w:val="78058569"/>
    <w:rsid w:val="785B85D1"/>
    <w:rsid w:val="78E73CD1"/>
    <w:rsid w:val="78EC659F"/>
    <w:rsid w:val="7C941E33"/>
    <w:rsid w:val="7E2BC7B5"/>
    <w:rsid w:val="7F5087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56910147-D8D0-4759-AD79-65565E20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link w:val="OdstavecseseznamemChar"/>
    <w:uiPriority w:val="34"/>
    <w:qFormat/>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Standardnpsmoodstavce"/>
    <w:rsid w:val="006A3CAF"/>
  </w:style>
  <w:style w:type="paragraph" w:customStyle="1" w:styleId="paragraph">
    <w:name w:val="paragraph"/>
    <w:basedOn w:val="Normln"/>
    <w:rsid w:val="006A3CAF"/>
    <w:pPr>
      <w:spacing w:before="100" w:beforeAutospacing="1" w:after="100" w:afterAutospacing="1" w:line="240" w:lineRule="auto"/>
      <w:jc w:val="left"/>
    </w:pPr>
    <w:rPr>
      <w:rFonts w:ascii="Times New Roman" w:hAnsi="Times New Roman"/>
      <w:sz w:val="24"/>
    </w:rPr>
  </w:style>
  <w:style w:type="character" w:customStyle="1" w:styleId="eop">
    <w:name w:val="eop"/>
    <w:basedOn w:val="Standardnpsmoodstavce"/>
    <w:rsid w:val="00784980"/>
  </w:style>
  <w:style w:type="character" w:customStyle="1" w:styleId="scxw9398236">
    <w:name w:val="scxw9398236"/>
    <w:basedOn w:val="Standardnpsmoodstavce"/>
    <w:rsid w:val="000D7C6F"/>
  </w:style>
  <w:style w:type="character" w:customStyle="1" w:styleId="superscript">
    <w:name w:val="superscript"/>
    <w:basedOn w:val="Standardnpsmoodstavce"/>
    <w:rsid w:val="000D7C6F"/>
  </w:style>
  <w:style w:type="character" w:customStyle="1" w:styleId="OdstavecseseznamemChar">
    <w:name w:val="Odstavec se seznamem Char"/>
    <w:basedOn w:val="Standardnpsmoodstavce"/>
    <w:link w:val="Odstavecseseznamem"/>
    <w:uiPriority w:val="34"/>
    <w:rsid w:val="00A51A9B"/>
    <w:rPr>
      <w:rFonts w:ascii="Arial" w:eastAsia="Times New Roman" w:hAnsi="Arial"/>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9753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59646263">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768357224">
      <w:bodyDiv w:val="1"/>
      <w:marLeft w:val="0"/>
      <w:marRight w:val="0"/>
      <w:marTop w:val="0"/>
      <w:marBottom w:val="0"/>
      <w:divBdr>
        <w:top w:val="none" w:sz="0" w:space="0" w:color="auto"/>
        <w:left w:val="none" w:sz="0" w:space="0" w:color="auto"/>
        <w:bottom w:val="none" w:sz="0" w:space="0" w:color="auto"/>
        <w:right w:val="none" w:sz="0" w:space="0" w:color="auto"/>
      </w:divBdr>
      <w:divsChild>
        <w:div w:id="1344359446">
          <w:marLeft w:val="0"/>
          <w:marRight w:val="0"/>
          <w:marTop w:val="0"/>
          <w:marBottom w:val="0"/>
          <w:divBdr>
            <w:top w:val="none" w:sz="0" w:space="0" w:color="auto"/>
            <w:left w:val="none" w:sz="0" w:space="0" w:color="auto"/>
            <w:bottom w:val="none" w:sz="0" w:space="0" w:color="auto"/>
            <w:right w:val="none" w:sz="0" w:space="0" w:color="auto"/>
          </w:divBdr>
        </w:div>
        <w:div w:id="1716659461">
          <w:marLeft w:val="0"/>
          <w:marRight w:val="0"/>
          <w:marTop w:val="0"/>
          <w:marBottom w:val="0"/>
          <w:divBdr>
            <w:top w:val="none" w:sz="0" w:space="0" w:color="auto"/>
            <w:left w:val="none" w:sz="0" w:space="0" w:color="auto"/>
            <w:bottom w:val="none" w:sz="0" w:space="0" w:color="auto"/>
            <w:right w:val="none" w:sz="0" w:space="0" w:color="auto"/>
          </w:divBdr>
          <w:divsChild>
            <w:div w:id="908930234">
              <w:marLeft w:val="-75"/>
              <w:marRight w:val="0"/>
              <w:marTop w:val="30"/>
              <w:marBottom w:val="30"/>
              <w:divBdr>
                <w:top w:val="none" w:sz="0" w:space="0" w:color="auto"/>
                <w:left w:val="none" w:sz="0" w:space="0" w:color="auto"/>
                <w:bottom w:val="none" w:sz="0" w:space="0" w:color="auto"/>
                <w:right w:val="none" w:sz="0" w:space="0" w:color="auto"/>
              </w:divBdr>
              <w:divsChild>
                <w:div w:id="189690384">
                  <w:marLeft w:val="0"/>
                  <w:marRight w:val="0"/>
                  <w:marTop w:val="0"/>
                  <w:marBottom w:val="0"/>
                  <w:divBdr>
                    <w:top w:val="none" w:sz="0" w:space="0" w:color="auto"/>
                    <w:left w:val="none" w:sz="0" w:space="0" w:color="auto"/>
                    <w:bottom w:val="none" w:sz="0" w:space="0" w:color="auto"/>
                    <w:right w:val="none" w:sz="0" w:space="0" w:color="auto"/>
                  </w:divBdr>
                  <w:divsChild>
                    <w:div w:id="345450649">
                      <w:marLeft w:val="0"/>
                      <w:marRight w:val="0"/>
                      <w:marTop w:val="0"/>
                      <w:marBottom w:val="0"/>
                      <w:divBdr>
                        <w:top w:val="none" w:sz="0" w:space="0" w:color="auto"/>
                        <w:left w:val="none" w:sz="0" w:space="0" w:color="auto"/>
                        <w:bottom w:val="none" w:sz="0" w:space="0" w:color="auto"/>
                        <w:right w:val="none" w:sz="0" w:space="0" w:color="auto"/>
                      </w:divBdr>
                    </w:div>
                  </w:divsChild>
                </w:div>
                <w:div w:id="2130083414">
                  <w:marLeft w:val="0"/>
                  <w:marRight w:val="0"/>
                  <w:marTop w:val="0"/>
                  <w:marBottom w:val="0"/>
                  <w:divBdr>
                    <w:top w:val="none" w:sz="0" w:space="0" w:color="auto"/>
                    <w:left w:val="none" w:sz="0" w:space="0" w:color="auto"/>
                    <w:bottom w:val="none" w:sz="0" w:space="0" w:color="auto"/>
                    <w:right w:val="none" w:sz="0" w:space="0" w:color="auto"/>
                  </w:divBdr>
                  <w:divsChild>
                    <w:div w:id="1847819293">
                      <w:marLeft w:val="0"/>
                      <w:marRight w:val="0"/>
                      <w:marTop w:val="0"/>
                      <w:marBottom w:val="0"/>
                      <w:divBdr>
                        <w:top w:val="none" w:sz="0" w:space="0" w:color="auto"/>
                        <w:left w:val="none" w:sz="0" w:space="0" w:color="auto"/>
                        <w:bottom w:val="none" w:sz="0" w:space="0" w:color="auto"/>
                        <w:right w:val="none" w:sz="0" w:space="0" w:color="auto"/>
                      </w:divBdr>
                    </w:div>
                  </w:divsChild>
                </w:div>
                <w:div w:id="141698433">
                  <w:marLeft w:val="0"/>
                  <w:marRight w:val="0"/>
                  <w:marTop w:val="0"/>
                  <w:marBottom w:val="0"/>
                  <w:divBdr>
                    <w:top w:val="none" w:sz="0" w:space="0" w:color="auto"/>
                    <w:left w:val="none" w:sz="0" w:space="0" w:color="auto"/>
                    <w:bottom w:val="none" w:sz="0" w:space="0" w:color="auto"/>
                    <w:right w:val="none" w:sz="0" w:space="0" w:color="auto"/>
                  </w:divBdr>
                  <w:divsChild>
                    <w:div w:id="1561865753">
                      <w:marLeft w:val="0"/>
                      <w:marRight w:val="0"/>
                      <w:marTop w:val="0"/>
                      <w:marBottom w:val="0"/>
                      <w:divBdr>
                        <w:top w:val="none" w:sz="0" w:space="0" w:color="auto"/>
                        <w:left w:val="none" w:sz="0" w:space="0" w:color="auto"/>
                        <w:bottom w:val="none" w:sz="0" w:space="0" w:color="auto"/>
                        <w:right w:val="none" w:sz="0" w:space="0" w:color="auto"/>
                      </w:divBdr>
                    </w:div>
                  </w:divsChild>
                </w:div>
                <w:div w:id="1168449760">
                  <w:marLeft w:val="0"/>
                  <w:marRight w:val="0"/>
                  <w:marTop w:val="0"/>
                  <w:marBottom w:val="0"/>
                  <w:divBdr>
                    <w:top w:val="none" w:sz="0" w:space="0" w:color="auto"/>
                    <w:left w:val="none" w:sz="0" w:space="0" w:color="auto"/>
                    <w:bottom w:val="none" w:sz="0" w:space="0" w:color="auto"/>
                    <w:right w:val="none" w:sz="0" w:space="0" w:color="auto"/>
                  </w:divBdr>
                  <w:divsChild>
                    <w:div w:id="1407143116">
                      <w:marLeft w:val="0"/>
                      <w:marRight w:val="0"/>
                      <w:marTop w:val="0"/>
                      <w:marBottom w:val="0"/>
                      <w:divBdr>
                        <w:top w:val="none" w:sz="0" w:space="0" w:color="auto"/>
                        <w:left w:val="none" w:sz="0" w:space="0" w:color="auto"/>
                        <w:bottom w:val="none" w:sz="0" w:space="0" w:color="auto"/>
                        <w:right w:val="none" w:sz="0" w:space="0" w:color="auto"/>
                      </w:divBdr>
                    </w:div>
                  </w:divsChild>
                </w:div>
                <w:div w:id="2124761785">
                  <w:marLeft w:val="0"/>
                  <w:marRight w:val="0"/>
                  <w:marTop w:val="0"/>
                  <w:marBottom w:val="0"/>
                  <w:divBdr>
                    <w:top w:val="none" w:sz="0" w:space="0" w:color="auto"/>
                    <w:left w:val="none" w:sz="0" w:space="0" w:color="auto"/>
                    <w:bottom w:val="none" w:sz="0" w:space="0" w:color="auto"/>
                    <w:right w:val="none" w:sz="0" w:space="0" w:color="auto"/>
                  </w:divBdr>
                  <w:divsChild>
                    <w:div w:id="1111317610">
                      <w:marLeft w:val="0"/>
                      <w:marRight w:val="0"/>
                      <w:marTop w:val="0"/>
                      <w:marBottom w:val="0"/>
                      <w:divBdr>
                        <w:top w:val="none" w:sz="0" w:space="0" w:color="auto"/>
                        <w:left w:val="none" w:sz="0" w:space="0" w:color="auto"/>
                        <w:bottom w:val="none" w:sz="0" w:space="0" w:color="auto"/>
                        <w:right w:val="none" w:sz="0" w:space="0" w:color="auto"/>
                      </w:divBdr>
                    </w:div>
                  </w:divsChild>
                </w:div>
                <w:div w:id="1016151455">
                  <w:marLeft w:val="0"/>
                  <w:marRight w:val="0"/>
                  <w:marTop w:val="0"/>
                  <w:marBottom w:val="0"/>
                  <w:divBdr>
                    <w:top w:val="none" w:sz="0" w:space="0" w:color="auto"/>
                    <w:left w:val="none" w:sz="0" w:space="0" w:color="auto"/>
                    <w:bottom w:val="none" w:sz="0" w:space="0" w:color="auto"/>
                    <w:right w:val="none" w:sz="0" w:space="0" w:color="auto"/>
                  </w:divBdr>
                  <w:divsChild>
                    <w:div w:id="1179079040">
                      <w:marLeft w:val="0"/>
                      <w:marRight w:val="0"/>
                      <w:marTop w:val="0"/>
                      <w:marBottom w:val="0"/>
                      <w:divBdr>
                        <w:top w:val="none" w:sz="0" w:space="0" w:color="auto"/>
                        <w:left w:val="none" w:sz="0" w:space="0" w:color="auto"/>
                        <w:bottom w:val="none" w:sz="0" w:space="0" w:color="auto"/>
                        <w:right w:val="none" w:sz="0" w:space="0" w:color="auto"/>
                      </w:divBdr>
                    </w:div>
                  </w:divsChild>
                </w:div>
                <w:div w:id="953753815">
                  <w:marLeft w:val="0"/>
                  <w:marRight w:val="0"/>
                  <w:marTop w:val="0"/>
                  <w:marBottom w:val="0"/>
                  <w:divBdr>
                    <w:top w:val="none" w:sz="0" w:space="0" w:color="auto"/>
                    <w:left w:val="none" w:sz="0" w:space="0" w:color="auto"/>
                    <w:bottom w:val="none" w:sz="0" w:space="0" w:color="auto"/>
                    <w:right w:val="none" w:sz="0" w:space="0" w:color="auto"/>
                  </w:divBdr>
                  <w:divsChild>
                    <w:div w:id="126052794">
                      <w:marLeft w:val="0"/>
                      <w:marRight w:val="0"/>
                      <w:marTop w:val="0"/>
                      <w:marBottom w:val="0"/>
                      <w:divBdr>
                        <w:top w:val="none" w:sz="0" w:space="0" w:color="auto"/>
                        <w:left w:val="none" w:sz="0" w:space="0" w:color="auto"/>
                        <w:bottom w:val="none" w:sz="0" w:space="0" w:color="auto"/>
                        <w:right w:val="none" w:sz="0" w:space="0" w:color="auto"/>
                      </w:divBdr>
                    </w:div>
                  </w:divsChild>
                </w:div>
                <w:div w:id="864711492">
                  <w:marLeft w:val="0"/>
                  <w:marRight w:val="0"/>
                  <w:marTop w:val="0"/>
                  <w:marBottom w:val="0"/>
                  <w:divBdr>
                    <w:top w:val="none" w:sz="0" w:space="0" w:color="auto"/>
                    <w:left w:val="none" w:sz="0" w:space="0" w:color="auto"/>
                    <w:bottom w:val="none" w:sz="0" w:space="0" w:color="auto"/>
                    <w:right w:val="none" w:sz="0" w:space="0" w:color="auto"/>
                  </w:divBdr>
                  <w:divsChild>
                    <w:div w:id="1959221365">
                      <w:marLeft w:val="0"/>
                      <w:marRight w:val="0"/>
                      <w:marTop w:val="0"/>
                      <w:marBottom w:val="0"/>
                      <w:divBdr>
                        <w:top w:val="none" w:sz="0" w:space="0" w:color="auto"/>
                        <w:left w:val="none" w:sz="0" w:space="0" w:color="auto"/>
                        <w:bottom w:val="none" w:sz="0" w:space="0" w:color="auto"/>
                        <w:right w:val="none" w:sz="0" w:space="0" w:color="auto"/>
                      </w:divBdr>
                    </w:div>
                  </w:divsChild>
                </w:div>
                <w:div w:id="708652465">
                  <w:marLeft w:val="0"/>
                  <w:marRight w:val="0"/>
                  <w:marTop w:val="0"/>
                  <w:marBottom w:val="0"/>
                  <w:divBdr>
                    <w:top w:val="none" w:sz="0" w:space="0" w:color="auto"/>
                    <w:left w:val="none" w:sz="0" w:space="0" w:color="auto"/>
                    <w:bottom w:val="none" w:sz="0" w:space="0" w:color="auto"/>
                    <w:right w:val="none" w:sz="0" w:space="0" w:color="auto"/>
                  </w:divBdr>
                  <w:divsChild>
                    <w:div w:id="587033635">
                      <w:marLeft w:val="0"/>
                      <w:marRight w:val="0"/>
                      <w:marTop w:val="0"/>
                      <w:marBottom w:val="0"/>
                      <w:divBdr>
                        <w:top w:val="none" w:sz="0" w:space="0" w:color="auto"/>
                        <w:left w:val="none" w:sz="0" w:space="0" w:color="auto"/>
                        <w:bottom w:val="none" w:sz="0" w:space="0" w:color="auto"/>
                        <w:right w:val="none" w:sz="0" w:space="0" w:color="auto"/>
                      </w:divBdr>
                    </w:div>
                  </w:divsChild>
                </w:div>
                <w:div w:id="970284968">
                  <w:marLeft w:val="0"/>
                  <w:marRight w:val="0"/>
                  <w:marTop w:val="0"/>
                  <w:marBottom w:val="0"/>
                  <w:divBdr>
                    <w:top w:val="none" w:sz="0" w:space="0" w:color="auto"/>
                    <w:left w:val="none" w:sz="0" w:space="0" w:color="auto"/>
                    <w:bottom w:val="none" w:sz="0" w:space="0" w:color="auto"/>
                    <w:right w:val="none" w:sz="0" w:space="0" w:color="auto"/>
                  </w:divBdr>
                  <w:divsChild>
                    <w:div w:id="1759984152">
                      <w:marLeft w:val="0"/>
                      <w:marRight w:val="0"/>
                      <w:marTop w:val="0"/>
                      <w:marBottom w:val="0"/>
                      <w:divBdr>
                        <w:top w:val="none" w:sz="0" w:space="0" w:color="auto"/>
                        <w:left w:val="none" w:sz="0" w:space="0" w:color="auto"/>
                        <w:bottom w:val="none" w:sz="0" w:space="0" w:color="auto"/>
                        <w:right w:val="none" w:sz="0" w:space="0" w:color="auto"/>
                      </w:divBdr>
                    </w:div>
                  </w:divsChild>
                </w:div>
                <w:div w:id="1041595004">
                  <w:marLeft w:val="0"/>
                  <w:marRight w:val="0"/>
                  <w:marTop w:val="0"/>
                  <w:marBottom w:val="0"/>
                  <w:divBdr>
                    <w:top w:val="none" w:sz="0" w:space="0" w:color="auto"/>
                    <w:left w:val="none" w:sz="0" w:space="0" w:color="auto"/>
                    <w:bottom w:val="none" w:sz="0" w:space="0" w:color="auto"/>
                    <w:right w:val="none" w:sz="0" w:space="0" w:color="auto"/>
                  </w:divBdr>
                  <w:divsChild>
                    <w:div w:id="1259410822">
                      <w:marLeft w:val="0"/>
                      <w:marRight w:val="0"/>
                      <w:marTop w:val="0"/>
                      <w:marBottom w:val="0"/>
                      <w:divBdr>
                        <w:top w:val="none" w:sz="0" w:space="0" w:color="auto"/>
                        <w:left w:val="none" w:sz="0" w:space="0" w:color="auto"/>
                        <w:bottom w:val="none" w:sz="0" w:space="0" w:color="auto"/>
                        <w:right w:val="none" w:sz="0" w:space="0" w:color="auto"/>
                      </w:divBdr>
                    </w:div>
                  </w:divsChild>
                </w:div>
                <w:div w:id="1384409651">
                  <w:marLeft w:val="0"/>
                  <w:marRight w:val="0"/>
                  <w:marTop w:val="0"/>
                  <w:marBottom w:val="0"/>
                  <w:divBdr>
                    <w:top w:val="none" w:sz="0" w:space="0" w:color="auto"/>
                    <w:left w:val="none" w:sz="0" w:space="0" w:color="auto"/>
                    <w:bottom w:val="none" w:sz="0" w:space="0" w:color="auto"/>
                    <w:right w:val="none" w:sz="0" w:space="0" w:color="auto"/>
                  </w:divBdr>
                  <w:divsChild>
                    <w:div w:id="73013662">
                      <w:marLeft w:val="0"/>
                      <w:marRight w:val="0"/>
                      <w:marTop w:val="0"/>
                      <w:marBottom w:val="0"/>
                      <w:divBdr>
                        <w:top w:val="none" w:sz="0" w:space="0" w:color="auto"/>
                        <w:left w:val="none" w:sz="0" w:space="0" w:color="auto"/>
                        <w:bottom w:val="none" w:sz="0" w:space="0" w:color="auto"/>
                        <w:right w:val="none" w:sz="0" w:space="0" w:color="auto"/>
                      </w:divBdr>
                    </w:div>
                  </w:divsChild>
                </w:div>
                <w:div w:id="1396856273">
                  <w:marLeft w:val="0"/>
                  <w:marRight w:val="0"/>
                  <w:marTop w:val="0"/>
                  <w:marBottom w:val="0"/>
                  <w:divBdr>
                    <w:top w:val="none" w:sz="0" w:space="0" w:color="auto"/>
                    <w:left w:val="none" w:sz="0" w:space="0" w:color="auto"/>
                    <w:bottom w:val="none" w:sz="0" w:space="0" w:color="auto"/>
                    <w:right w:val="none" w:sz="0" w:space="0" w:color="auto"/>
                  </w:divBdr>
                  <w:divsChild>
                    <w:div w:id="1129475919">
                      <w:marLeft w:val="0"/>
                      <w:marRight w:val="0"/>
                      <w:marTop w:val="0"/>
                      <w:marBottom w:val="0"/>
                      <w:divBdr>
                        <w:top w:val="none" w:sz="0" w:space="0" w:color="auto"/>
                        <w:left w:val="none" w:sz="0" w:space="0" w:color="auto"/>
                        <w:bottom w:val="none" w:sz="0" w:space="0" w:color="auto"/>
                        <w:right w:val="none" w:sz="0" w:space="0" w:color="auto"/>
                      </w:divBdr>
                    </w:div>
                  </w:divsChild>
                </w:div>
                <w:div w:id="241991679">
                  <w:marLeft w:val="0"/>
                  <w:marRight w:val="0"/>
                  <w:marTop w:val="0"/>
                  <w:marBottom w:val="0"/>
                  <w:divBdr>
                    <w:top w:val="none" w:sz="0" w:space="0" w:color="auto"/>
                    <w:left w:val="none" w:sz="0" w:space="0" w:color="auto"/>
                    <w:bottom w:val="none" w:sz="0" w:space="0" w:color="auto"/>
                    <w:right w:val="none" w:sz="0" w:space="0" w:color="auto"/>
                  </w:divBdr>
                  <w:divsChild>
                    <w:div w:id="1142037930">
                      <w:marLeft w:val="0"/>
                      <w:marRight w:val="0"/>
                      <w:marTop w:val="0"/>
                      <w:marBottom w:val="0"/>
                      <w:divBdr>
                        <w:top w:val="none" w:sz="0" w:space="0" w:color="auto"/>
                        <w:left w:val="none" w:sz="0" w:space="0" w:color="auto"/>
                        <w:bottom w:val="none" w:sz="0" w:space="0" w:color="auto"/>
                        <w:right w:val="none" w:sz="0" w:space="0" w:color="auto"/>
                      </w:divBdr>
                    </w:div>
                  </w:divsChild>
                </w:div>
                <w:div w:id="87964264">
                  <w:marLeft w:val="0"/>
                  <w:marRight w:val="0"/>
                  <w:marTop w:val="0"/>
                  <w:marBottom w:val="0"/>
                  <w:divBdr>
                    <w:top w:val="none" w:sz="0" w:space="0" w:color="auto"/>
                    <w:left w:val="none" w:sz="0" w:space="0" w:color="auto"/>
                    <w:bottom w:val="none" w:sz="0" w:space="0" w:color="auto"/>
                    <w:right w:val="none" w:sz="0" w:space="0" w:color="auto"/>
                  </w:divBdr>
                  <w:divsChild>
                    <w:div w:id="297150500">
                      <w:marLeft w:val="0"/>
                      <w:marRight w:val="0"/>
                      <w:marTop w:val="0"/>
                      <w:marBottom w:val="0"/>
                      <w:divBdr>
                        <w:top w:val="none" w:sz="0" w:space="0" w:color="auto"/>
                        <w:left w:val="none" w:sz="0" w:space="0" w:color="auto"/>
                        <w:bottom w:val="none" w:sz="0" w:space="0" w:color="auto"/>
                        <w:right w:val="none" w:sz="0" w:space="0" w:color="auto"/>
                      </w:divBdr>
                    </w:div>
                  </w:divsChild>
                </w:div>
                <w:div w:id="368145167">
                  <w:marLeft w:val="0"/>
                  <w:marRight w:val="0"/>
                  <w:marTop w:val="0"/>
                  <w:marBottom w:val="0"/>
                  <w:divBdr>
                    <w:top w:val="none" w:sz="0" w:space="0" w:color="auto"/>
                    <w:left w:val="none" w:sz="0" w:space="0" w:color="auto"/>
                    <w:bottom w:val="none" w:sz="0" w:space="0" w:color="auto"/>
                    <w:right w:val="none" w:sz="0" w:space="0" w:color="auto"/>
                  </w:divBdr>
                  <w:divsChild>
                    <w:div w:id="1170104264">
                      <w:marLeft w:val="0"/>
                      <w:marRight w:val="0"/>
                      <w:marTop w:val="0"/>
                      <w:marBottom w:val="0"/>
                      <w:divBdr>
                        <w:top w:val="none" w:sz="0" w:space="0" w:color="auto"/>
                        <w:left w:val="none" w:sz="0" w:space="0" w:color="auto"/>
                        <w:bottom w:val="none" w:sz="0" w:space="0" w:color="auto"/>
                        <w:right w:val="none" w:sz="0" w:space="0" w:color="auto"/>
                      </w:divBdr>
                    </w:div>
                  </w:divsChild>
                </w:div>
                <w:div w:id="542448709">
                  <w:marLeft w:val="0"/>
                  <w:marRight w:val="0"/>
                  <w:marTop w:val="0"/>
                  <w:marBottom w:val="0"/>
                  <w:divBdr>
                    <w:top w:val="none" w:sz="0" w:space="0" w:color="auto"/>
                    <w:left w:val="none" w:sz="0" w:space="0" w:color="auto"/>
                    <w:bottom w:val="none" w:sz="0" w:space="0" w:color="auto"/>
                    <w:right w:val="none" w:sz="0" w:space="0" w:color="auto"/>
                  </w:divBdr>
                  <w:divsChild>
                    <w:div w:id="811479007">
                      <w:marLeft w:val="0"/>
                      <w:marRight w:val="0"/>
                      <w:marTop w:val="0"/>
                      <w:marBottom w:val="0"/>
                      <w:divBdr>
                        <w:top w:val="none" w:sz="0" w:space="0" w:color="auto"/>
                        <w:left w:val="none" w:sz="0" w:space="0" w:color="auto"/>
                        <w:bottom w:val="none" w:sz="0" w:space="0" w:color="auto"/>
                        <w:right w:val="none" w:sz="0" w:space="0" w:color="auto"/>
                      </w:divBdr>
                    </w:div>
                  </w:divsChild>
                </w:div>
                <w:div w:id="218828323">
                  <w:marLeft w:val="0"/>
                  <w:marRight w:val="0"/>
                  <w:marTop w:val="0"/>
                  <w:marBottom w:val="0"/>
                  <w:divBdr>
                    <w:top w:val="none" w:sz="0" w:space="0" w:color="auto"/>
                    <w:left w:val="none" w:sz="0" w:space="0" w:color="auto"/>
                    <w:bottom w:val="none" w:sz="0" w:space="0" w:color="auto"/>
                    <w:right w:val="none" w:sz="0" w:space="0" w:color="auto"/>
                  </w:divBdr>
                  <w:divsChild>
                    <w:div w:id="521748238">
                      <w:marLeft w:val="0"/>
                      <w:marRight w:val="0"/>
                      <w:marTop w:val="0"/>
                      <w:marBottom w:val="0"/>
                      <w:divBdr>
                        <w:top w:val="none" w:sz="0" w:space="0" w:color="auto"/>
                        <w:left w:val="none" w:sz="0" w:space="0" w:color="auto"/>
                        <w:bottom w:val="none" w:sz="0" w:space="0" w:color="auto"/>
                        <w:right w:val="none" w:sz="0" w:space="0" w:color="auto"/>
                      </w:divBdr>
                    </w:div>
                  </w:divsChild>
                </w:div>
                <w:div w:id="929586458">
                  <w:marLeft w:val="0"/>
                  <w:marRight w:val="0"/>
                  <w:marTop w:val="0"/>
                  <w:marBottom w:val="0"/>
                  <w:divBdr>
                    <w:top w:val="none" w:sz="0" w:space="0" w:color="auto"/>
                    <w:left w:val="none" w:sz="0" w:space="0" w:color="auto"/>
                    <w:bottom w:val="none" w:sz="0" w:space="0" w:color="auto"/>
                    <w:right w:val="none" w:sz="0" w:space="0" w:color="auto"/>
                  </w:divBdr>
                  <w:divsChild>
                    <w:div w:id="1428455051">
                      <w:marLeft w:val="0"/>
                      <w:marRight w:val="0"/>
                      <w:marTop w:val="0"/>
                      <w:marBottom w:val="0"/>
                      <w:divBdr>
                        <w:top w:val="none" w:sz="0" w:space="0" w:color="auto"/>
                        <w:left w:val="none" w:sz="0" w:space="0" w:color="auto"/>
                        <w:bottom w:val="none" w:sz="0" w:space="0" w:color="auto"/>
                        <w:right w:val="none" w:sz="0" w:space="0" w:color="auto"/>
                      </w:divBdr>
                    </w:div>
                  </w:divsChild>
                </w:div>
                <w:div w:id="118381659">
                  <w:marLeft w:val="0"/>
                  <w:marRight w:val="0"/>
                  <w:marTop w:val="0"/>
                  <w:marBottom w:val="0"/>
                  <w:divBdr>
                    <w:top w:val="none" w:sz="0" w:space="0" w:color="auto"/>
                    <w:left w:val="none" w:sz="0" w:space="0" w:color="auto"/>
                    <w:bottom w:val="none" w:sz="0" w:space="0" w:color="auto"/>
                    <w:right w:val="none" w:sz="0" w:space="0" w:color="auto"/>
                  </w:divBdr>
                  <w:divsChild>
                    <w:div w:id="1199583312">
                      <w:marLeft w:val="0"/>
                      <w:marRight w:val="0"/>
                      <w:marTop w:val="0"/>
                      <w:marBottom w:val="0"/>
                      <w:divBdr>
                        <w:top w:val="none" w:sz="0" w:space="0" w:color="auto"/>
                        <w:left w:val="none" w:sz="0" w:space="0" w:color="auto"/>
                        <w:bottom w:val="none" w:sz="0" w:space="0" w:color="auto"/>
                        <w:right w:val="none" w:sz="0" w:space="0" w:color="auto"/>
                      </w:divBdr>
                    </w:div>
                  </w:divsChild>
                </w:div>
                <w:div w:id="427849766">
                  <w:marLeft w:val="0"/>
                  <w:marRight w:val="0"/>
                  <w:marTop w:val="0"/>
                  <w:marBottom w:val="0"/>
                  <w:divBdr>
                    <w:top w:val="none" w:sz="0" w:space="0" w:color="auto"/>
                    <w:left w:val="none" w:sz="0" w:space="0" w:color="auto"/>
                    <w:bottom w:val="none" w:sz="0" w:space="0" w:color="auto"/>
                    <w:right w:val="none" w:sz="0" w:space="0" w:color="auto"/>
                  </w:divBdr>
                  <w:divsChild>
                    <w:div w:id="975451761">
                      <w:marLeft w:val="0"/>
                      <w:marRight w:val="0"/>
                      <w:marTop w:val="0"/>
                      <w:marBottom w:val="0"/>
                      <w:divBdr>
                        <w:top w:val="none" w:sz="0" w:space="0" w:color="auto"/>
                        <w:left w:val="none" w:sz="0" w:space="0" w:color="auto"/>
                        <w:bottom w:val="none" w:sz="0" w:space="0" w:color="auto"/>
                        <w:right w:val="none" w:sz="0" w:space="0" w:color="auto"/>
                      </w:divBdr>
                    </w:div>
                  </w:divsChild>
                </w:div>
                <w:div w:id="1316687618">
                  <w:marLeft w:val="0"/>
                  <w:marRight w:val="0"/>
                  <w:marTop w:val="0"/>
                  <w:marBottom w:val="0"/>
                  <w:divBdr>
                    <w:top w:val="none" w:sz="0" w:space="0" w:color="auto"/>
                    <w:left w:val="none" w:sz="0" w:space="0" w:color="auto"/>
                    <w:bottom w:val="none" w:sz="0" w:space="0" w:color="auto"/>
                    <w:right w:val="none" w:sz="0" w:space="0" w:color="auto"/>
                  </w:divBdr>
                  <w:divsChild>
                    <w:div w:id="1760709789">
                      <w:marLeft w:val="0"/>
                      <w:marRight w:val="0"/>
                      <w:marTop w:val="0"/>
                      <w:marBottom w:val="0"/>
                      <w:divBdr>
                        <w:top w:val="none" w:sz="0" w:space="0" w:color="auto"/>
                        <w:left w:val="none" w:sz="0" w:space="0" w:color="auto"/>
                        <w:bottom w:val="none" w:sz="0" w:space="0" w:color="auto"/>
                        <w:right w:val="none" w:sz="0" w:space="0" w:color="auto"/>
                      </w:divBdr>
                    </w:div>
                  </w:divsChild>
                </w:div>
                <w:div w:id="91436658">
                  <w:marLeft w:val="0"/>
                  <w:marRight w:val="0"/>
                  <w:marTop w:val="0"/>
                  <w:marBottom w:val="0"/>
                  <w:divBdr>
                    <w:top w:val="none" w:sz="0" w:space="0" w:color="auto"/>
                    <w:left w:val="none" w:sz="0" w:space="0" w:color="auto"/>
                    <w:bottom w:val="none" w:sz="0" w:space="0" w:color="auto"/>
                    <w:right w:val="none" w:sz="0" w:space="0" w:color="auto"/>
                  </w:divBdr>
                  <w:divsChild>
                    <w:div w:id="1271090708">
                      <w:marLeft w:val="0"/>
                      <w:marRight w:val="0"/>
                      <w:marTop w:val="0"/>
                      <w:marBottom w:val="0"/>
                      <w:divBdr>
                        <w:top w:val="none" w:sz="0" w:space="0" w:color="auto"/>
                        <w:left w:val="none" w:sz="0" w:space="0" w:color="auto"/>
                        <w:bottom w:val="none" w:sz="0" w:space="0" w:color="auto"/>
                        <w:right w:val="none" w:sz="0" w:space="0" w:color="auto"/>
                      </w:divBdr>
                    </w:div>
                  </w:divsChild>
                </w:div>
                <w:div w:id="251159376">
                  <w:marLeft w:val="0"/>
                  <w:marRight w:val="0"/>
                  <w:marTop w:val="0"/>
                  <w:marBottom w:val="0"/>
                  <w:divBdr>
                    <w:top w:val="none" w:sz="0" w:space="0" w:color="auto"/>
                    <w:left w:val="none" w:sz="0" w:space="0" w:color="auto"/>
                    <w:bottom w:val="none" w:sz="0" w:space="0" w:color="auto"/>
                    <w:right w:val="none" w:sz="0" w:space="0" w:color="auto"/>
                  </w:divBdr>
                  <w:divsChild>
                    <w:div w:id="1281374192">
                      <w:marLeft w:val="0"/>
                      <w:marRight w:val="0"/>
                      <w:marTop w:val="0"/>
                      <w:marBottom w:val="0"/>
                      <w:divBdr>
                        <w:top w:val="none" w:sz="0" w:space="0" w:color="auto"/>
                        <w:left w:val="none" w:sz="0" w:space="0" w:color="auto"/>
                        <w:bottom w:val="none" w:sz="0" w:space="0" w:color="auto"/>
                        <w:right w:val="none" w:sz="0" w:space="0" w:color="auto"/>
                      </w:divBdr>
                    </w:div>
                  </w:divsChild>
                </w:div>
                <w:div w:id="1298798031">
                  <w:marLeft w:val="0"/>
                  <w:marRight w:val="0"/>
                  <w:marTop w:val="0"/>
                  <w:marBottom w:val="0"/>
                  <w:divBdr>
                    <w:top w:val="none" w:sz="0" w:space="0" w:color="auto"/>
                    <w:left w:val="none" w:sz="0" w:space="0" w:color="auto"/>
                    <w:bottom w:val="none" w:sz="0" w:space="0" w:color="auto"/>
                    <w:right w:val="none" w:sz="0" w:space="0" w:color="auto"/>
                  </w:divBdr>
                  <w:divsChild>
                    <w:div w:id="739056931">
                      <w:marLeft w:val="0"/>
                      <w:marRight w:val="0"/>
                      <w:marTop w:val="0"/>
                      <w:marBottom w:val="0"/>
                      <w:divBdr>
                        <w:top w:val="none" w:sz="0" w:space="0" w:color="auto"/>
                        <w:left w:val="none" w:sz="0" w:space="0" w:color="auto"/>
                        <w:bottom w:val="none" w:sz="0" w:space="0" w:color="auto"/>
                        <w:right w:val="none" w:sz="0" w:space="0" w:color="auto"/>
                      </w:divBdr>
                    </w:div>
                  </w:divsChild>
                </w:div>
                <w:div w:id="1063525951">
                  <w:marLeft w:val="0"/>
                  <w:marRight w:val="0"/>
                  <w:marTop w:val="0"/>
                  <w:marBottom w:val="0"/>
                  <w:divBdr>
                    <w:top w:val="none" w:sz="0" w:space="0" w:color="auto"/>
                    <w:left w:val="none" w:sz="0" w:space="0" w:color="auto"/>
                    <w:bottom w:val="none" w:sz="0" w:space="0" w:color="auto"/>
                    <w:right w:val="none" w:sz="0" w:space="0" w:color="auto"/>
                  </w:divBdr>
                  <w:divsChild>
                    <w:div w:id="117337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08559">
          <w:marLeft w:val="0"/>
          <w:marRight w:val="0"/>
          <w:marTop w:val="0"/>
          <w:marBottom w:val="0"/>
          <w:divBdr>
            <w:top w:val="none" w:sz="0" w:space="0" w:color="auto"/>
            <w:left w:val="none" w:sz="0" w:space="0" w:color="auto"/>
            <w:bottom w:val="none" w:sz="0" w:space="0" w:color="auto"/>
            <w:right w:val="none" w:sz="0" w:space="0" w:color="auto"/>
          </w:divBdr>
        </w:div>
        <w:div w:id="1058825861">
          <w:marLeft w:val="0"/>
          <w:marRight w:val="0"/>
          <w:marTop w:val="0"/>
          <w:marBottom w:val="0"/>
          <w:divBdr>
            <w:top w:val="none" w:sz="0" w:space="0" w:color="auto"/>
            <w:left w:val="none" w:sz="0" w:space="0" w:color="auto"/>
            <w:bottom w:val="none" w:sz="0" w:space="0" w:color="auto"/>
            <w:right w:val="none" w:sz="0" w:space="0" w:color="auto"/>
          </w:divBdr>
        </w:div>
        <w:div w:id="485049849">
          <w:marLeft w:val="0"/>
          <w:marRight w:val="0"/>
          <w:marTop w:val="0"/>
          <w:marBottom w:val="0"/>
          <w:divBdr>
            <w:top w:val="none" w:sz="0" w:space="0" w:color="auto"/>
            <w:left w:val="none" w:sz="0" w:space="0" w:color="auto"/>
            <w:bottom w:val="none" w:sz="0" w:space="0" w:color="auto"/>
            <w:right w:val="none" w:sz="0" w:space="0" w:color="auto"/>
          </w:divBdr>
        </w:div>
        <w:div w:id="1856000505">
          <w:marLeft w:val="0"/>
          <w:marRight w:val="0"/>
          <w:marTop w:val="0"/>
          <w:marBottom w:val="0"/>
          <w:divBdr>
            <w:top w:val="none" w:sz="0" w:space="0" w:color="auto"/>
            <w:left w:val="none" w:sz="0" w:space="0" w:color="auto"/>
            <w:bottom w:val="none" w:sz="0" w:space="0" w:color="auto"/>
            <w:right w:val="none" w:sz="0" w:space="0" w:color="auto"/>
          </w:divBdr>
        </w:div>
        <w:div w:id="1800152014">
          <w:marLeft w:val="0"/>
          <w:marRight w:val="0"/>
          <w:marTop w:val="0"/>
          <w:marBottom w:val="0"/>
          <w:divBdr>
            <w:top w:val="none" w:sz="0" w:space="0" w:color="auto"/>
            <w:left w:val="none" w:sz="0" w:space="0" w:color="auto"/>
            <w:bottom w:val="none" w:sz="0" w:space="0" w:color="auto"/>
            <w:right w:val="none" w:sz="0" w:space="0" w:color="auto"/>
          </w:divBdr>
        </w:div>
      </w:divsChild>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064597922">
      <w:bodyDiv w:val="1"/>
      <w:marLeft w:val="0"/>
      <w:marRight w:val="0"/>
      <w:marTop w:val="0"/>
      <w:marBottom w:val="0"/>
      <w:divBdr>
        <w:top w:val="none" w:sz="0" w:space="0" w:color="auto"/>
        <w:left w:val="none" w:sz="0" w:space="0" w:color="auto"/>
        <w:bottom w:val="none" w:sz="0" w:space="0" w:color="auto"/>
        <w:right w:val="none" w:sz="0" w:space="0" w:color="auto"/>
      </w:divBdr>
    </w:div>
    <w:div w:id="117888910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0947959">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649438197">
      <w:bodyDiv w:val="1"/>
      <w:marLeft w:val="0"/>
      <w:marRight w:val="0"/>
      <w:marTop w:val="0"/>
      <w:marBottom w:val="0"/>
      <w:divBdr>
        <w:top w:val="none" w:sz="0" w:space="0" w:color="auto"/>
        <w:left w:val="none" w:sz="0" w:space="0" w:color="auto"/>
        <w:bottom w:val="none" w:sz="0" w:space="0" w:color="auto"/>
        <w:right w:val="none" w:sz="0" w:space="0" w:color="auto"/>
      </w:divBdr>
    </w:div>
    <w:div w:id="1832671944">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65171563">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26651344">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195251445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zso.cz/csu/czso/cri/analyza-ctvrtletnich-sektorovych-uctu-3-ctvrtleti-202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amenicky3604\JKAM%20CSU\PUBLIKACE\PUBLIKACE\2023\Qmakro\Ceolorok-2023\Rozpo&#269;et\Grafy-st&#225;tn&#237;%20rozpo&#269;et-4q-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amenicky3604\JKAM%20CSU\PUBLIKACE\PUBLIKACE\2023\Qmakro\Ceolorok-2023\Rozpo&#269;et\Grafy-st&#225;tn&#237;%20rozpo&#269;et-4q-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547146084085555E-2"/>
          <c:y val="1.7107287133586925E-2"/>
          <c:w val="0.83962774835667464"/>
          <c:h val="0.75194595942833975"/>
        </c:manualLayout>
      </c:layout>
      <c:barChart>
        <c:barDir val="col"/>
        <c:grouping val="stacked"/>
        <c:varyColors val="0"/>
        <c:ser>
          <c:idx val="1"/>
          <c:order val="1"/>
          <c:tx>
            <c:strRef>
              <c:f>'G1-SR-příjmy-příspěvky'!$A$35</c:f>
              <c:strCache>
                <c:ptCount val="1"/>
                <c:pt idx="0">
                  <c:v>Ostatní daně a poplatky</c:v>
                </c:pt>
              </c:strCache>
            </c:strRef>
          </c:tx>
          <c:spPr>
            <a:solidFill>
              <a:schemeClr val="bg1">
                <a:lumMod val="75000"/>
              </a:schemeClr>
            </a:solidFill>
            <a:ln w="12700">
              <a:noFill/>
              <a:prstDash val="solid"/>
            </a:ln>
          </c:spPr>
          <c:invertIfNegative val="0"/>
          <c:cat>
            <c:numRef>
              <c:f>'G1-SR-příjmy-příspěvky'!$E$33:$T$33</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'G1-SR-příjmy-příspěvky'!$E$35:$T$35</c:f>
              <c:numCache>
                <c:formatCode>0.0</c:formatCode>
                <c:ptCount val="16"/>
                <c:pt idx="0">
                  <c:v>0.1343620572631733</c:v>
                </c:pt>
                <c:pt idx="1">
                  <c:v>-0.43783892347861714</c:v>
                </c:pt>
                <c:pt idx="2">
                  <c:v>0.3996608937870903</c:v>
                </c:pt>
                <c:pt idx="3">
                  <c:v>0.45359346851715454</c:v>
                </c:pt>
                <c:pt idx="4">
                  <c:v>0.36091954456633163</c:v>
                </c:pt>
                <c:pt idx="5">
                  <c:v>-0.19669432258787536</c:v>
                </c:pt>
                <c:pt idx="6">
                  <c:v>-3.3756193936022499E-2</c:v>
                </c:pt>
                <c:pt idx="7">
                  <c:v>-0.21161967177130617</c:v>
                </c:pt>
                <c:pt idx="8">
                  <c:v>0.99101056462652193</c:v>
                </c:pt>
                <c:pt idx="9">
                  <c:v>0.24244696058614981</c:v>
                </c:pt>
                <c:pt idx="10">
                  <c:v>0.15610407782378988</c:v>
                </c:pt>
                <c:pt idx="11">
                  <c:v>0.45615292592707923</c:v>
                </c:pt>
                <c:pt idx="12">
                  <c:v>-0.24507318270758649</c:v>
                </c:pt>
                <c:pt idx="13">
                  <c:v>0.38912595873892392</c:v>
                </c:pt>
                <c:pt idx="14">
                  <c:v>0.49625884514210133</c:v>
                </c:pt>
                <c:pt idx="15">
                  <c:v>4.8454264222480505</c:v>
                </c:pt>
              </c:numCache>
            </c:numRef>
          </c:val>
          <c:extLst>
            <c:ext xmlns:c16="http://schemas.microsoft.com/office/drawing/2014/chart" uri="{C3380CC4-5D6E-409C-BE32-E72D297353CC}">
              <c16:uniqueId val="{00000000-3ECE-4893-8977-4E505701A2D9}"/>
            </c:ext>
          </c:extLst>
        </c:ser>
        <c:ser>
          <c:idx val="3"/>
          <c:order val="2"/>
          <c:tx>
            <c:strRef>
              <c:f>'G1-SR-příjmy-příspěvky'!$A$36</c:f>
              <c:strCache>
                <c:ptCount val="1"/>
                <c:pt idx="0">
                  <c:v>Daně z příjmů FO, placená plátci</c:v>
                </c:pt>
              </c:strCache>
            </c:strRef>
          </c:tx>
          <c:spPr>
            <a:solidFill>
              <a:srgbClr val="EA6C75"/>
            </a:solidFill>
            <a:ln w="19050">
              <a:noFill/>
              <a:prstDash val="sysDot"/>
            </a:ln>
          </c:spPr>
          <c:invertIfNegative val="0"/>
          <c:cat>
            <c:numRef>
              <c:f>'G1-SR-příjmy-příspěvky'!$E$33:$T$33</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'G1-SR-příjmy-příspěvky'!$E$36:$T$36</c:f>
              <c:numCache>
                <c:formatCode>0.0</c:formatCode>
                <c:ptCount val="16"/>
                <c:pt idx="0">
                  <c:v>-1.5527821256908561</c:v>
                </c:pt>
                <c:pt idx="1">
                  <c:v>-0.55432817834906578</c:v>
                </c:pt>
                <c:pt idx="2">
                  <c:v>0.12110936175366319</c:v>
                </c:pt>
                <c:pt idx="3">
                  <c:v>1.0852176920748899</c:v>
                </c:pt>
                <c:pt idx="4">
                  <c:v>5.9256972671682132E-2</c:v>
                </c:pt>
                <c:pt idx="5">
                  <c:v>0.87185461004427189</c:v>
                </c:pt>
                <c:pt idx="6">
                  <c:v>0.63141477746024122</c:v>
                </c:pt>
                <c:pt idx="7">
                  <c:v>0.67342941472377815</c:v>
                </c:pt>
                <c:pt idx="8">
                  <c:v>1.6207594849932945</c:v>
                </c:pt>
                <c:pt idx="9">
                  <c:v>2.2360758157590221</c:v>
                </c:pt>
                <c:pt idx="10">
                  <c:v>2.5650495208593473</c:v>
                </c:pt>
                <c:pt idx="11">
                  <c:v>2.2145487595779803</c:v>
                </c:pt>
                <c:pt idx="12">
                  <c:v>-1.0526560208410933</c:v>
                </c:pt>
                <c:pt idx="13">
                  <c:v>-6.4557034146693084</c:v>
                </c:pt>
                <c:pt idx="14">
                  <c:v>1.0630342864068221</c:v>
                </c:pt>
                <c:pt idx="15">
                  <c:v>2.2839349884944506</c:v>
                </c:pt>
              </c:numCache>
            </c:numRef>
          </c:val>
          <c:extLst>
            <c:ext xmlns:c16="http://schemas.microsoft.com/office/drawing/2014/chart" uri="{C3380CC4-5D6E-409C-BE32-E72D297353CC}">
              <c16:uniqueId val="{00000001-3ECE-4893-8977-4E505701A2D9}"/>
            </c:ext>
          </c:extLst>
        </c:ser>
        <c:ser>
          <c:idx val="4"/>
          <c:order val="3"/>
          <c:tx>
            <c:strRef>
              <c:f>'G1-SR-příjmy-příspěvky'!$A$37</c:f>
              <c:strCache>
                <c:ptCount val="1"/>
                <c:pt idx="0">
                  <c:v>Daně z příjmů FO, ostatní</c:v>
                </c:pt>
              </c:strCache>
            </c:strRef>
          </c:tx>
          <c:spPr>
            <a:solidFill>
              <a:srgbClr val="FFD757"/>
            </a:solidFill>
            <a:ln w="19050">
              <a:noFill/>
            </a:ln>
          </c:spPr>
          <c:invertIfNegative val="0"/>
          <c:cat>
            <c:numRef>
              <c:f>'G1-SR-příjmy-příspěvky'!$E$33:$T$33</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'G1-SR-příjmy-příspěvky'!$E$37:$T$37</c:f>
              <c:numCache>
                <c:formatCode>0.0</c:formatCode>
                <c:ptCount val="16"/>
                <c:pt idx="0">
                  <c:v>0.35321984125884742</c:v>
                </c:pt>
                <c:pt idx="1">
                  <c:v>-1.6643234919997321</c:v>
                </c:pt>
                <c:pt idx="2">
                  <c:v>0.3739251544144363</c:v>
                </c:pt>
                <c:pt idx="3">
                  <c:v>-0.60097712828051542</c:v>
                </c:pt>
                <c:pt idx="4">
                  <c:v>0.35272007542667605</c:v>
                </c:pt>
                <c:pt idx="5">
                  <c:v>-0.13614133500691264</c:v>
                </c:pt>
                <c:pt idx="6">
                  <c:v>5.5948144838251251E-2</c:v>
                </c:pt>
                <c:pt idx="7">
                  <c:v>0.29502621978374827</c:v>
                </c:pt>
                <c:pt idx="8">
                  <c:v>0.58137265625984347</c:v>
                </c:pt>
                <c:pt idx="9">
                  <c:v>6.7589193423445854E-2</c:v>
                </c:pt>
                <c:pt idx="10">
                  <c:v>0.27497666712976415</c:v>
                </c:pt>
                <c:pt idx="11">
                  <c:v>0.40549455394307282</c:v>
                </c:pt>
                <c:pt idx="12">
                  <c:v>-0.32978914864881037</c:v>
                </c:pt>
                <c:pt idx="13">
                  <c:v>0.71473521007537144</c:v>
                </c:pt>
                <c:pt idx="14">
                  <c:v>1.1235494742441319</c:v>
                </c:pt>
                <c:pt idx="15">
                  <c:v>1.0754046813056026</c:v>
                </c:pt>
              </c:numCache>
            </c:numRef>
          </c:val>
          <c:extLst>
            <c:ext xmlns:c16="http://schemas.microsoft.com/office/drawing/2014/chart" uri="{C3380CC4-5D6E-409C-BE32-E72D297353CC}">
              <c16:uniqueId val="{00000002-3ECE-4893-8977-4E505701A2D9}"/>
            </c:ext>
          </c:extLst>
        </c:ser>
        <c:ser>
          <c:idx val="2"/>
          <c:order val="4"/>
          <c:tx>
            <c:strRef>
              <c:f>'G1-SR-příjmy-příspěvky'!$A$38</c:f>
              <c:strCache>
                <c:ptCount val="1"/>
                <c:pt idx="0">
                  <c:v>Daně z příjmů PO</c:v>
                </c:pt>
              </c:strCache>
            </c:strRef>
          </c:tx>
          <c:spPr>
            <a:solidFill>
              <a:srgbClr val="F9B073"/>
            </a:solidFill>
            <a:ln>
              <a:noFill/>
            </a:ln>
          </c:spPr>
          <c:invertIfNegative val="0"/>
          <c:cat>
            <c:numRef>
              <c:f>'G1-SR-příjmy-příspěvky'!$E$33:$T$33</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'G1-SR-příjmy-příspěvky'!$E$38:$T$38</c:f>
              <c:numCache>
                <c:formatCode>0.0</c:formatCode>
                <c:ptCount val="16"/>
                <c:pt idx="0">
                  <c:v>2.7315667724017563</c:v>
                </c:pt>
                <c:pt idx="1">
                  <c:v>-8.4233781883912329</c:v>
                </c:pt>
                <c:pt idx="2">
                  <c:v>0.6449073513382596</c:v>
                </c:pt>
                <c:pt idx="3">
                  <c:v>-0.82868548863620461</c:v>
                </c:pt>
                <c:pt idx="4">
                  <c:v>1.3953606183879375</c:v>
                </c:pt>
                <c:pt idx="5">
                  <c:v>-1.0011201200508371</c:v>
                </c:pt>
                <c:pt idx="6">
                  <c:v>1.5558912659779756</c:v>
                </c:pt>
                <c:pt idx="7">
                  <c:v>1.9381939917097659</c:v>
                </c:pt>
                <c:pt idx="8">
                  <c:v>2.1019797088722423</c:v>
                </c:pt>
                <c:pt idx="9">
                  <c:v>0.66800652833506335</c:v>
                </c:pt>
                <c:pt idx="10">
                  <c:v>0.35264183265496607</c:v>
                </c:pt>
                <c:pt idx="11">
                  <c:v>0.87073588998886731</c:v>
                </c:pt>
                <c:pt idx="12">
                  <c:v>-2.0708537130072977</c:v>
                </c:pt>
                <c:pt idx="13">
                  <c:v>3.8866812074729902</c:v>
                </c:pt>
                <c:pt idx="14">
                  <c:v>3.3224740440006921</c:v>
                </c:pt>
                <c:pt idx="15">
                  <c:v>6.5729866214661019</c:v>
                </c:pt>
              </c:numCache>
            </c:numRef>
          </c:val>
          <c:extLst>
            <c:ext xmlns:c16="http://schemas.microsoft.com/office/drawing/2014/chart" uri="{C3380CC4-5D6E-409C-BE32-E72D297353CC}">
              <c16:uniqueId val="{00000003-3ECE-4893-8977-4E505701A2D9}"/>
            </c:ext>
          </c:extLst>
        </c:ser>
        <c:ser>
          <c:idx val="5"/>
          <c:order val="5"/>
          <c:tx>
            <c:strRef>
              <c:f>'G1-SR-příjmy-příspěvky'!$A$39</c:f>
              <c:strCache>
                <c:ptCount val="1"/>
                <c:pt idx="0">
                  <c:v>Spotřební daň</c:v>
                </c:pt>
              </c:strCache>
            </c:strRef>
          </c:tx>
          <c:spPr>
            <a:solidFill>
              <a:srgbClr val="00B050"/>
            </a:solidFill>
            <a:ln>
              <a:noFill/>
            </a:ln>
          </c:spPr>
          <c:invertIfNegative val="0"/>
          <c:cat>
            <c:numRef>
              <c:f>'G1-SR-příjmy-příspěvky'!$E$33:$T$33</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'G1-SR-příjmy-příspěvky'!$E$39:$T$39</c:f>
              <c:numCache>
                <c:formatCode>0.0</c:formatCode>
                <c:ptCount val="16"/>
                <c:pt idx="0">
                  <c:v>-0.82002410205975462</c:v>
                </c:pt>
                <c:pt idx="1">
                  <c:v>-0.2624355626966603</c:v>
                </c:pt>
                <c:pt idx="2">
                  <c:v>1.0899842557829742</c:v>
                </c:pt>
                <c:pt idx="3">
                  <c:v>1.1976306800985841</c:v>
                </c:pt>
                <c:pt idx="4">
                  <c:v>2.8217606034132627E-2</c:v>
                </c:pt>
                <c:pt idx="5">
                  <c:v>-0.4620554400234651</c:v>
                </c:pt>
                <c:pt idx="6">
                  <c:v>-0.28107282287786883</c:v>
                </c:pt>
                <c:pt idx="7">
                  <c:v>1.1788221564402885</c:v>
                </c:pt>
                <c:pt idx="8">
                  <c:v>0.94411988085894216</c:v>
                </c:pt>
                <c:pt idx="9">
                  <c:v>0.51818381624642562</c:v>
                </c:pt>
                <c:pt idx="10">
                  <c:v>0.48698157842828732</c:v>
                </c:pt>
                <c:pt idx="11">
                  <c:v>-3.2322029662130089E-2</c:v>
                </c:pt>
                <c:pt idx="12">
                  <c:v>-0.43076419151862833</c:v>
                </c:pt>
                <c:pt idx="13">
                  <c:v>-0.47146544798768436</c:v>
                </c:pt>
                <c:pt idx="14">
                  <c:v>0.28868970114686071</c:v>
                </c:pt>
                <c:pt idx="15">
                  <c:v>-0.4259694478513813</c:v>
                </c:pt>
              </c:numCache>
            </c:numRef>
          </c:val>
          <c:extLst>
            <c:ext xmlns:c16="http://schemas.microsoft.com/office/drawing/2014/chart" uri="{C3380CC4-5D6E-409C-BE32-E72D297353CC}">
              <c16:uniqueId val="{00000004-3ECE-4893-8977-4E505701A2D9}"/>
            </c:ext>
          </c:extLst>
        </c:ser>
        <c:ser>
          <c:idx val="6"/>
          <c:order val="6"/>
          <c:tx>
            <c:strRef>
              <c:f>'G1-SR-příjmy-příspěvky'!$A$40</c:f>
              <c:strCache>
                <c:ptCount val="1"/>
                <c:pt idx="0">
                  <c:v>DPH</c:v>
                </c:pt>
              </c:strCache>
            </c:strRef>
          </c:tx>
          <c:spPr>
            <a:solidFill>
              <a:schemeClr val="accent5">
                <a:lumMod val="60000"/>
                <a:lumOff val="40000"/>
              </a:schemeClr>
            </a:solidFill>
            <a:ln w="19050">
              <a:noFill/>
            </a:ln>
          </c:spPr>
          <c:invertIfNegative val="0"/>
          <c:cat>
            <c:numRef>
              <c:f>'G1-SR-příjmy-příspěvky'!$E$33:$T$33</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'G1-SR-příjmy-příspěvky'!$E$40:$T$40</c:f>
              <c:numCache>
                <c:formatCode>0.0</c:formatCode>
                <c:ptCount val="16"/>
                <c:pt idx="0">
                  <c:v>2.6055157702270306</c:v>
                </c:pt>
                <c:pt idx="1">
                  <c:v>-0.21155519850036608</c:v>
                </c:pt>
                <c:pt idx="2">
                  <c:v>2.4131040329417472</c:v>
                </c:pt>
                <c:pt idx="3">
                  <c:v>0.84165621802355051</c:v>
                </c:pt>
                <c:pt idx="4">
                  <c:v>0.40069000568471075</c:v>
                </c:pt>
                <c:pt idx="5">
                  <c:v>4.1571237952110938</c:v>
                </c:pt>
                <c:pt idx="6">
                  <c:v>1.9208863061132222</c:v>
                </c:pt>
                <c:pt idx="7">
                  <c:v>1.149319534461912</c:v>
                </c:pt>
                <c:pt idx="8">
                  <c:v>2.1838115743542001</c:v>
                </c:pt>
                <c:pt idx="9">
                  <c:v>3.6002510363555791</c:v>
                </c:pt>
                <c:pt idx="10">
                  <c:v>3.3186115323065706</c:v>
                </c:pt>
                <c:pt idx="11">
                  <c:v>1.7904445521930756</c:v>
                </c:pt>
                <c:pt idx="12">
                  <c:v>-0.47516406466208932</c:v>
                </c:pt>
                <c:pt idx="13">
                  <c:v>3.6157405564344214</c:v>
                </c:pt>
                <c:pt idx="14">
                  <c:v>6.9272296081153666</c:v>
                </c:pt>
                <c:pt idx="15">
                  <c:v>2.6134043336641866</c:v>
                </c:pt>
              </c:numCache>
            </c:numRef>
          </c:val>
          <c:extLst>
            <c:ext xmlns:c16="http://schemas.microsoft.com/office/drawing/2014/chart" uri="{C3380CC4-5D6E-409C-BE32-E72D297353CC}">
              <c16:uniqueId val="{00000005-3ECE-4893-8977-4E505701A2D9}"/>
            </c:ext>
          </c:extLst>
        </c:ser>
        <c:dLbls>
          <c:showLegendKey val="0"/>
          <c:showVal val="0"/>
          <c:showCatName val="0"/>
          <c:showSerName val="0"/>
          <c:showPercent val="0"/>
          <c:showBubbleSize val="0"/>
        </c:dLbls>
        <c:gapWidth val="49"/>
        <c:overlap val="100"/>
        <c:axId val="82778368"/>
        <c:axId val="82788352"/>
      </c:barChart>
      <c:lineChart>
        <c:grouping val="standard"/>
        <c:varyColors val="0"/>
        <c:ser>
          <c:idx val="0"/>
          <c:order val="0"/>
          <c:tx>
            <c:strRef>
              <c:f>'G1-SR-příjmy-příspěvky'!$A$34</c:f>
              <c:strCache>
                <c:ptCount val="1"/>
                <c:pt idx="0">
                  <c:v>Celk. daňové příjmy (bez pojistného na SZ)</c:v>
                </c:pt>
              </c:strCache>
            </c:strRef>
          </c:tx>
          <c:spPr>
            <a:ln w="19050">
              <a:noFill/>
            </a:ln>
          </c:spPr>
          <c:marker>
            <c:symbol val="circle"/>
            <c:size val="7"/>
            <c:spPr>
              <a:solidFill>
                <a:schemeClr val="bg1"/>
              </a:solidFill>
              <a:ln>
                <a:solidFill>
                  <a:schemeClr val="tx1">
                    <a:lumMod val="95000"/>
                    <a:lumOff val="5000"/>
                  </a:schemeClr>
                </a:solidFill>
              </a:ln>
            </c:spPr>
          </c:marker>
          <c:cat>
            <c:numRef>
              <c:f>'G1-SR-příjmy-příspěvky'!$E$33:$T$33</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'G1-SR-příjmy-příspěvky'!$E$34:$T$34</c:f>
              <c:numCache>
                <c:formatCode>0.0</c:formatCode>
                <c:ptCount val="16"/>
                <c:pt idx="0">
                  <c:v>3.4518582134001985</c:v>
                </c:pt>
                <c:pt idx="1">
                  <c:v>-11.553859543415687</c:v>
                </c:pt>
                <c:pt idx="2">
                  <c:v>5.0426910500181794</c:v>
                </c:pt>
                <c:pt idx="3">
                  <c:v>2.1484354417974609</c:v>
                </c:pt>
                <c:pt idx="4">
                  <c:v>2.5971648227714619</c:v>
                </c:pt>
                <c:pt idx="5">
                  <c:v>3.2329671875862829</c:v>
                </c:pt>
                <c:pt idx="6">
                  <c:v>3.8493114775757959</c:v>
                </c:pt>
                <c:pt idx="7">
                  <c:v>5.0231716453481852</c:v>
                </c:pt>
                <c:pt idx="8">
                  <c:v>8.4230538699650488</c:v>
                </c:pt>
                <c:pt idx="9">
                  <c:v>7.3325533507056795</c:v>
                </c:pt>
                <c:pt idx="10">
                  <c:v>7.1543652092027354</c:v>
                </c:pt>
                <c:pt idx="11">
                  <c:v>5.7050546519679255</c:v>
                </c:pt>
                <c:pt idx="12">
                  <c:v>-4.6043003213854918</c:v>
                </c:pt>
                <c:pt idx="13">
                  <c:v>1.6791140700647138</c:v>
                </c:pt>
                <c:pt idx="14">
                  <c:v>13.221235959055971</c:v>
                </c:pt>
                <c:pt idx="15">
                  <c:v>16.965187599326995</c:v>
                </c:pt>
              </c:numCache>
            </c:numRef>
          </c:val>
          <c:smooth val="0"/>
          <c:extLst>
            <c:ext xmlns:c16="http://schemas.microsoft.com/office/drawing/2014/chart" uri="{C3380CC4-5D6E-409C-BE32-E72D297353CC}">
              <c16:uniqueId val="{00000006-3ECE-4893-8977-4E505701A2D9}"/>
            </c:ext>
          </c:extLst>
        </c:ser>
        <c:ser>
          <c:idx val="7"/>
          <c:order val="7"/>
          <c:tx>
            <c:strRef>
              <c:f>'G1-SR-příjmy-příspěvky'!$A$41</c:f>
              <c:strCache>
                <c:ptCount val="1"/>
                <c:pt idx="0">
                  <c:v>Příjmy z pojistného na soc. zabezpečení*</c:v>
                </c:pt>
              </c:strCache>
            </c:strRef>
          </c:tx>
          <c:spPr>
            <a:ln w="6350">
              <a:noFill/>
              <a:prstDash val="dash"/>
            </a:ln>
          </c:spPr>
          <c:marker>
            <c:symbol val="triangle"/>
            <c:size val="5"/>
            <c:spPr>
              <a:solidFill>
                <a:schemeClr val="bg1"/>
              </a:solidFill>
              <a:ln>
                <a:solidFill>
                  <a:schemeClr val="tx1">
                    <a:lumMod val="95000"/>
                    <a:lumOff val="5000"/>
                  </a:schemeClr>
                </a:solidFill>
              </a:ln>
            </c:spPr>
          </c:marker>
          <c:cat>
            <c:numRef>
              <c:f>'G1-SR-příjmy-příspěvky'!$E$33:$T$33</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'G1-SR-příjmy-příspěvky'!$E$41:$T$41</c:f>
              <c:numCache>
                <c:formatCode>0.0</c:formatCode>
                <c:ptCount val="16"/>
                <c:pt idx="0">
                  <c:v>4.9633804350785358</c:v>
                </c:pt>
                <c:pt idx="1">
                  <c:v>-9.7530608009960531</c:v>
                </c:pt>
                <c:pt idx="2">
                  <c:v>2.2763853759484789</c:v>
                </c:pt>
                <c:pt idx="3">
                  <c:v>3.085656474820154</c:v>
                </c:pt>
                <c:pt idx="4">
                  <c:v>1.2752902432500828</c:v>
                </c:pt>
                <c:pt idx="5">
                  <c:v>0.18597279569168279</c:v>
                </c:pt>
                <c:pt idx="6">
                  <c:v>2.8854393544132928</c:v>
                </c:pt>
                <c:pt idx="7">
                  <c:v>5.7035679195659696</c:v>
                </c:pt>
                <c:pt idx="8">
                  <c:v>5.8559128258724487</c:v>
                </c:pt>
                <c:pt idx="9">
                  <c:v>8.8183903383047806</c:v>
                </c:pt>
                <c:pt idx="10">
                  <c:v>10.091138884587679</c:v>
                </c:pt>
                <c:pt idx="11">
                  <c:v>7.4816515195790476</c:v>
                </c:pt>
                <c:pt idx="12">
                  <c:v>-2.0277306648235518</c:v>
                </c:pt>
                <c:pt idx="13">
                  <c:v>10.169913745206131</c:v>
                </c:pt>
                <c:pt idx="14">
                  <c:v>7.0843896490699034</c:v>
                </c:pt>
                <c:pt idx="15">
                  <c:v>8.091383454368124</c:v>
                </c:pt>
              </c:numCache>
            </c:numRef>
          </c:val>
          <c:smooth val="0"/>
          <c:extLst>
            <c:ext xmlns:c16="http://schemas.microsoft.com/office/drawing/2014/chart" uri="{C3380CC4-5D6E-409C-BE32-E72D297353CC}">
              <c16:uniqueId val="{00000007-3ECE-4893-8977-4E505701A2D9}"/>
            </c:ext>
          </c:extLst>
        </c:ser>
        <c:dLbls>
          <c:showLegendKey val="0"/>
          <c:showVal val="0"/>
          <c:showCatName val="0"/>
          <c:showSerName val="0"/>
          <c:showPercent val="0"/>
          <c:showBubbleSize val="0"/>
        </c:dLbls>
        <c:marker val="1"/>
        <c:smooth val="0"/>
        <c:axId val="82778368"/>
        <c:axId val="82788352"/>
      </c:lineChart>
      <c:lineChart>
        <c:grouping val="standard"/>
        <c:varyColors val="0"/>
        <c:ser>
          <c:idx val="8"/>
          <c:order val="8"/>
          <c:tx>
            <c:strRef>
              <c:f>'G1-SR-příjmy-příspěvky'!$A$42</c:f>
              <c:strCache>
                <c:ptCount val="1"/>
                <c:pt idx="0">
                  <c:v>Saldo státního rozpočtu (pravá osa)</c:v>
                </c:pt>
              </c:strCache>
            </c:strRef>
          </c:tx>
          <c:spPr>
            <a:ln w="19050">
              <a:solidFill>
                <a:schemeClr val="bg2">
                  <a:lumMod val="50000"/>
                </a:schemeClr>
              </a:solidFill>
            </a:ln>
          </c:spPr>
          <c:marker>
            <c:symbol val="none"/>
          </c:marker>
          <c:cat>
            <c:numRef>
              <c:f>'G1-SR-příjmy-příspěvky'!$E$33:$T$33</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'G1-SR-příjmy-příspěvky'!$E$42:$T$42</c:f>
              <c:numCache>
                <c:formatCode>#\ ##0.0</c:formatCode>
                <c:ptCount val="16"/>
                <c:pt idx="0">
                  <c:v>-20.003</c:v>
                </c:pt>
                <c:pt idx="1">
                  <c:v>-192.39400000000001</c:v>
                </c:pt>
                <c:pt idx="2">
                  <c:v>-156.416</c:v>
                </c:pt>
                <c:pt idx="3">
                  <c:v>-142.77099999999999</c:v>
                </c:pt>
                <c:pt idx="4">
                  <c:v>-101</c:v>
                </c:pt>
                <c:pt idx="5">
                  <c:v>-81.263999999999996</c:v>
                </c:pt>
                <c:pt idx="6">
                  <c:v>-77.78</c:v>
                </c:pt>
                <c:pt idx="7">
                  <c:v>-62.8</c:v>
                </c:pt>
                <c:pt idx="8">
                  <c:v>61.77</c:v>
                </c:pt>
                <c:pt idx="9">
                  <c:v>-6.1499999999999995</c:v>
                </c:pt>
                <c:pt idx="10">
                  <c:v>2.94</c:v>
                </c:pt>
                <c:pt idx="11">
                  <c:v>-28.52</c:v>
                </c:pt>
                <c:pt idx="12">
                  <c:v>-367.44914888590034</c:v>
                </c:pt>
                <c:pt idx="13">
                  <c:v>-419.6878585549</c:v>
                </c:pt>
                <c:pt idx="14">
                  <c:v>-360.40186851624929</c:v>
                </c:pt>
                <c:pt idx="15">
                  <c:v>-288.51503705804936</c:v>
                </c:pt>
              </c:numCache>
            </c:numRef>
          </c:val>
          <c:smooth val="0"/>
          <c:extLst>
            <c:ext xmlns:c16="http://schemas.microsoft.com/office/drawing/2014/chart" uri="{C3380CC4-5D6E-409C-BE32-E72D297353CC}">
              <c16:uniqueId val="{00000008-3ECE-4893-8977-4E505701A2D9}"/>
            </c:ext>
          </c:extLst>
        </c:ser>
        <c:ser>
          <c:idx val="9"/>
          <c:order val="9"/>
          <c:tx>
            <c:strRef>
              <c:f>'G1-SR-příjmy-příspěvky'!$A$43</c:f>
              <c:strCache>
                <c:ptCount val="1"/>
                <c:pt idx="0">
                  <c:v>Saldo SR očištěné o vliv EU a FM** (pr. osa)</c:v>
                </c:pt>
              </c:strCache>
            </c:strRef>
          </c:tx>
          <c:spPr>
            <a:ln w="19050">
              <a:solidFill>
                <a:schemeClr val="bg2">
                  <a:lumMod val="50000"/>
                </a:schemeClr>
              </a:solidFill>
              <a:prstDash val="sysDash"/>
            </a:ln>
          </c:spPr>
          <c:marker>
            <c:symbol val="none"/>
          </c:marker>
          <c:cat>
            <c:numRef>
              <c:f>'G1-SR-příjmy-příspěvky'!$E$33:$T$33</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'G1-SR-příjmy-příspěvky'!$E$43:$T$43</c:f>
              <c:numCache>
                <c:formatCode>General</c:formatCode>
                <c:ptCount val="16"/>
                <c:pt idx="2" formatCode="#\ ##0.0">
                  <c:v>-139.30000000000001</c:v>
                </c:pt>
                <c:pt idx="3" formatCode="#\ ##0.0">
                  <c:v>-117.5</c:v>
                </c:pt>
                <c:pt idx="4" formatCode="#\ ##0.0">
                  <c:v>-70.599999999999994</c:v>
                </c:pt>
                <c:pt idx="5" formatCode="#\ ##0.0">
                  <c:v>-81.73296260617991</c:v>
                </c:pt>
                <c:pt idx="6" formatCode="#\ ##0.0">
                  <c:v>-64.099999999999994</c:v>
                </c:pt>
                <c:pt idx="7" formatCode="#\ ##0.0">
                  <c:v>-41.7</c:v>
                </c:pt>
                <c:pt idx="8" formatCode="#\ ##0.0">
                  <c:v>-13.6</c:v>
                </c:pt>
                <c:pt idx="9" formatCode="#\ ##0.0">
                  <c:v>-1.3</c:v>
                </c:pt>
                <c:pt idx="10" formatCode="#\ ##0.0">
                  <c:v>-3.5</c:v>
                </c:pt>
                <c:pt idx="11" formatCode="#\ ##0.0">
                  <c:v>-29.2</c:v>
                </c:pt>
                <c:pt idx="12" formatCode="#\ ##0.0">
                  <c:v>-364.9</c:v>
                </c:pt>
                <c:pt idx="13" formatCode="#\ ##0.0">
                  <c:v>-408.62534300787991</c:v>
                </c:pt>
                <c:pt idx="14" formatCode="#\ ##0.0">
                  <c:v>-316.78614650160915</c:v>
                </c:pt>
                <c:pt idx="15" formatCode="#\ ##0.0">
                  <c:v>-299.4469719521191</c:v>
                </c:pt>
              </c:numCache>
            </c:numRef>
          </c:val>
          <c:smooth val="0"/>
          <c:extLst>
            <c:ext xmlns:c16="http://schemas.microsoft.com/office/drawing/2014/chart" uri="{C3380CC4-5D6E-409C-BE32-E72D297353CC}">
              <c16:uniqueId val="{00000009-3ECE-4893-8977-4E505701A2D9}"/>
            </c:ext>
          </c:extLst>
        </c:ser>
        <c:dLbls>
          <c:showLegendKey val="0"/>
          <c:showVal val="0"/>
          <c:showCatName val="0"/>
          <c:showSerName val="0"/>
          <c:showPercent val="0"/>
          <c:showBubbleSize val="0"/>
        </c:dLbls>
        <c:marker val="1"/>
        <c:smooth val="0"/>
        <c:axId val="82800640"/>
        <c:axId val="82790272"/>
      </c:lineChart>
      <c:catAx>
        <c:axId val="82778368"/>
        <c:scaling>
          <c:orientation val="minMax"/>
        </c:scaling>
        <c:delete val="0"/>
        <c:axPos val="b"/>
        <c:numFmt formatCode="General" sourceLinked="1"/>
        <c:majorTickMark val="out"/>
        <c:minorTickMark val="none"/>
        <c:tickLblPos val="low"/>
        <c:spPr>
          <a:ln w="6350">
            <a:solidFill>
              <a:schemeClr val="tx1"/>
            </a:solidFill>
          </a:ln>
        </c:spPr>
        <c:txPr>
          <a:bodyPr rot="-2220000"/>
          <a:lstStyle/>
          <a:p>
            <a:pPr>
              <a:defRPr sz="800" b="0" i="0"/>
            </a:pPr>
            <a:endParaRPr lang="cs-CZ"/>
          </a:p>
        </c:txPr>
        <c:crossAx val="82788352"/>
        <c:crosses val="autoZero"/>
        <c:auto val="1"/>
        <c:lblAlgn val="ctr"/>
        <c:lblOffset val="0"/>
        <c:noMultiLvlLbl val="0"/>
      </c:catAx>
      <c:valAx>
        <c:axId val="82788352"/>
        <c:scaling>
          <c:orientation val="minMax"/>
          <c:max val="20"/>
          <c:min val="-35"/>
        </c:scaling>
        <c:delete val="0"/>
        <c:axPos val="l"/>
        <c:majorGridlines>
          <c:spPr>
            <a:ln w="6350">
              <a:solidFill>
                <a:schemeClr val="bg1">
                  <a:lumMod val="75000"/>
                </a:schemeClr>
              </a:solidFill>
            </a:ln>
          </c:spPr>
        </c:majorGridlines>
        <c:title>
          <c:tx>
            <c:rich>
              <a:bodyPr/>
              <a:lstStyle/>
              <a:p>
                <a:pPr>
                  <a:defRPr b="0"/>
                </a:pPr>
                <a:r>
                  <a:rPr lang="cs-CZ" b="0"/>
                  <a:t>Růst příjmů z pojistného, příspěvek k růstu daň. příjmů</a:t>
                </a:r>
              </a:p>
            </c:rich>
          </c:tx>
          <c:overlay val="0"/>
        </c:title>
        <c:numFmt formatCode="0" sourceLinked="0"/>
        <c:majorTickMark val="out"/>
        <c:minorTickMark val="none"/>
        <c:tickLblPos val="nextTo"/>
        <c:spPr>
          <a:ln w="6350">
            <a:solidFill>
              <a:schemeClr val="tx1"/>
            </a:solidFill>
          </a:ln>
        </c:spPr>
        <c:txPr>
          <a:bodyPr/>
          <a:lstStyle/>
          <a:p>
            <a:pPr>
              <a:defRPr sz="800" b="0" i="0"/>
            </a:pPr>
            <a:endParaRPr lang="cs-CZ"/>
          </a:p>
        </c:txPr>
        <c:crossAx val="82778368"/>
        <c:crosses val="autoZero"/>
        <c:crossBetween val="between"/>
        <c:majorUnit val="5"/>
      </c:valAx>
      <c:valAx>
        <c:axId val="82790272"/>
        <c:scaling>
          <c:orientation val="minMax"/>
          <c:max val="240"/>
          <c:min val="-420"/>
        </c:scaling>
        <c:delete val="0"/>
        <c:axPos val="r"/>
        <c:title>
          <c:tx>
            <c:rich>
              <a:bodyPr/>
              <a:lstStyle/>
              <a:p>
                <a:pPr>
                  <a:defRPr b="0"/>
                </a:pPr>
                <a:r>
                  <a:rPr lang="cs-CZ" b="0"/>
                  <a:t>Saldo státního rozpočtu</a:t>
                </a:r>
              </a:p>
            </c:rich>
          </c:tx>
          <c:layout>
            <c:manualLayout>
              <c:xMode val="edge"/>
              <c:yMode val="edge"/>
              <c:x val="0.97036646544776561"/>
              <c:y val="0.20963215506367219"/>
            </c:manualLayout>
          </c:layout>
          <c:overlay val="0"/>
        </c:title>
        <c:numFmt formatCode="#,##0" sourceLinked="0"/>
        <c:majorTickMark val="out"/>
        <c:minorTickMark val="none"/>
        <c:tickLblPos val="nextTo"/>
        <c:txPr>
          <a:bodyPr/>
          <a:lstStyle/>
          <a:p>
            <a:pPr>
              <a:defRPr sz="800" b="0" i="0"/>
            </a:pPr>
            <a:endParaRPr lang="cs-CZ"/>
          </a:p>
        </c:txPr>
        <c:crossAx val="82800640"/>
        <c:crosses val="max"/>
        <c:crossBetween val="between"/>
        <c:majorUnit val="60"/>
      </c:valAx>
      <c:catAx>
        <c:axId val="82800640"/>
        <c:scaling>
          <c:orientation val="minMax"/>
        </c:scaling>
        <c:delete val="1"/>
        <c:axPos val="b"/>
        <c:numFmt formatCode="General" sourceLinked="1"/>
        <c:majorTickMark val="out"/>
        <c:minorTickMark val="none"/>
        <c:tickLblPos val="none"/>
        <c:crossAx val="82790272"/>
        <c:crosses val="autoZero"/>
        <c:auto val="1"/>
        <c:lblAlgn val="ctr"/>
        <c:lblOffset val="100"/>
        <c:noMultiLvlLbl val="0"/>
      </c:catAx>
      <c:spPr>
        <a:ln w="6350">
          <a:solidFill>
            <a:schemeClr val="tx1"/>
          </a:solidFill>
        </a:ln>
      </c:spPr>
    </c:plotArea>
    <c:legend>
      <c:legendPos val="b"/>
      <c:layout>
        <c:manualLayout>
          <c:xMode val="edge"/>
          <c:yMode val="edge"/>
          <c:x val="1.340471342706971E-2"/>
          <c:y val="0.84262968908968405"/>
          <c:w val="0.97057855178488139"/>
          <c:h val="0.15368252151393277"/>
        </c:manualLayout>
      </c:layout>
      <c:overlay val="0"/>
      <c:spPr>
        <a:ln w="6350">
          <a:solidFill>
            <a:schemeClr val="tx1"/>
          </a:solidFill>
        </a:ln>
      </c:spPr>
      <c:txPr>
        <a:bodyPr/>
        <a:lstStyle/>
        <a:p>
          <a:pPr>
            <a:defRPr sz="750" b="0" i="0"/>
          </a:pPr>
          <a:endParaRPr lang="cs-CZ"/>
        </a:p>
      </c:txPr>
    </c:legend>
    <c:plotVisOnly val="1"/>
    <c:dispBlanksAs val="gap"/>
    <c:showDLblsOverMax val="0"/>
  </c:chart>
  <c:spPr>
    <a:ln>
      <a:noFill/>
    </a:ln>
  </c:spPr>
  <c:txPr>
    <a:bodyPr/>
    <a:lstStyle/>
    <a:p>
      <a:pPr>
        <a:defRPr sz="700" b="1" i="1">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249333313906573E-2"/>
          <c:y val="2.1433051007174356E-2"/>
          <c:w val="0.82973125407935466"/>
          <c:h val="0.70569386992454619"/>
        </c:manualLayout>
      </c:layout>
      <c:barChart>
        <c:barDir val="col"/>
        <c:grouping val="clustered"/>
        <c:varyColors val="0"/>
        <c:ser>
          <c:idx val="0"/>
          <c:order val="0"/>
          <c:tx>
            <c:strRef>
              <c:f>'G2-St.rozpočet-výdaje'!$B$31</c:f>
              <c:strCache>
                <c:ptCount val="1"/>
                <c:pt idx="0">
                  <c:v>Běžné výdaje celkem (pravá osa)</c:v>
                </c:pt>
              </c:strCache>
            </c:strRef>
          </c:tx>
          <c:spPr>
            <a:solidFill>
              <a:schemeClr val="bg1">
                <a:lumMod val="95000"/>
              </a:schemeClr>
            </a:solidFill>
            <a:ln w="6350">
              <a:solidFill>
                <a:schemeClr val="bg1">
                  <a:lumMod val="75000"/>
                </a:schemeClr>
              </a:solidFill>
            </a:ln>
          </c:spPr>
          <c:invertIfNegative val="0"/>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'G2-St.rozpočet-výdaje'!$B$35:$B$50</c:f>
              <c:numCache>
                <c:formatCode>0.0</c:formatCode>
                <c:ptCount val="16"/>
                <c:pt idx="0">
                  <c:v>975.85999999999979</c:v>
                </c:pt>
                <c:pt idx="1">
                  <c:v>1032.78</c:v>
                </c:pt>
                <c:pt idx="2">
                  <c:v>1021.89</c:v>
                </c:pt>
                <c:pt idx="3">
                  <c:v>1031.83</c:v>
                </c:pt>
                <c:pt idx="4">
                  <c:v>1038.76</c:v>
                </c:pt>
                <c:pt idx="5">
                  <c:v>1070.8129999999999</c:v>
                </c:pt>
                <c:pt idx="6">
                  <c:v>1100.1019999999999</c:v>
                </c:pt>
                <c:pt idx="7">
                  <c:v>1121.6599999999999</c:v>
                </c:pt>
                <c:pt idx="8">
                  <c:v>1135.57</c:v>
                </c:pt>
                <c:pt idx="9">
                  <c:v>1198.05</c:v>
                </c:pt>
                <c:pt idx="10">
                  <c:v>1284.5</c:v>
                </c:pt>
                <c:pt idx="11">
                  <c:v>1412.5989294339895</c:v>
                </c:pt>
                <c:pt idx="12">
                  <c:v>1670.3085864663701</c:v>
                </c:pt>
                <c:pt idx="13">
                  <c:v>1729.78958897348</c:v>
                </c:pt>
                <c:pt idx="14">
                  <c:v>1798.8098500209101</c:v>
                </c:pt>
                <c:pt idx="15">
                  <c:v>1991.2519146137097</c:v>
                </c:pt>
              </c:numCache>
            </c:numRef>
          </c:val>
          <c:extLst>
            <c:ext xmlns:c16="http://schemas.microsoft.com/office/drawing/2014/chart" uri="{C3380CC4-5D6E-409C-BE32-E72D297353CC}">
              <c16:uniqueId val="{00000000-730A-4974-8AA7-829B5B3A89C2}"/>
            </c:ext>
          </c:extLst>
        </c:ser>
        <c:ser>
          <c:idx val="1"/>
          <c:order val="1"/>
          <c:tx>
            <c:strRef>
              <c:f>'G2-St.rozpočet-výdaje'!$C$31</c:f>
              <c:strCache>
                <c:ptCount val="1"/>
                <c:pt idx="0">
                  <c:v>z toho výdaje na důchody (pr. osa)</c:v>
                </c:pt>
              </c:strCache>
            </c:strRef>
          </c:tx>
          <c:spPr>
            <a:solidFill>
              <a:schemeClr val="bg1">
                <a:lumMod val="75000"/>
              </a:schemeClr>
            </a:solidFill>
            <a:ln w="6350">
              <a:solidFill>
                <a:schemeClr val="bg1">
                  <a:lumMod val="75000"/>
                </a:schemeClr>
              </a:solidFill>
            </a:ln>
          </c:spPr>
          <c:invertIfNegative val="0"/>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'G2-St.rozpočet-výdaje'!$C$35:$C$50</c:f>
              <c:numCache>
                <c:formatCode>#\ ##0.0</c:formatCode>
                <c:ptCount val="16"/>
                <c:pt idx="0">
                  <c:v>312.53199999999975</c:v>
                </c:pt>
                <c:pt idx="1">
                  <c:v>339.7879999999999</c:v>
                </c:pt>
                <c:pt idx="2">
                  <c:v>346.21299999999991</c:v>
                </c:pt>
                <c:pt idx="3">
                  <c:v>368.06900000000002</c:v>
                </c:pt>
                <c:pt idx="4">
                  <c:v>382.03099999999989</c:v>
                </c:pt>
                <c:pt idx="5">
                  <c:v>382.77299999999991</c:v>
                </c:pt>
                <c:pt idx="6">
                  <c:v>385.84000000000009</c:v>
                </c:pt>
                <c:pt idx="7">
                  <c:v>395.21999999999991</c:v>
                </c:pt>
                <c:pt idx="8">
                  <c:v>398.96999999999991</c:v>
                </c:pt>
                <c:pt idx="9">
                  <c:v>414.39</c:v>
                </c:pt>
                <c:pt idx="10">
                  <c:v>433.84000000000009</c:v>
                </c:pt>
                <c:pt idx="11">
                  <c:v>471.58934759291003</c:v>
                </c:pt>
                <c:pt idx="12">
                  <c:v>519.56821115257981</c:v>
                </c:pt>
                <c:pt idx="13">
                  <c:v>530.49962626152001</c:v>
                </c:pt>
                <c:pt idx="14">
                  <c:v>588.08604572466004</c:v>
                </c:pt>
                <c:pt idx="15">
                  <c:v>685.21298320429992</c:v>
                </c:pt>
              </c:numCache>
            </c:numRef>
          </c:val>
          <c:extLst>
            <c:ext xmlns:c16="http://schemas.microsoft.com/office/drawing/2014/chart" uri="{C3380CC4-5D6E-409C-BE32-E72D297353CC}">
              <c16:uniqueId val="{00000001-730A-4974-8AA7-829B5B3A89C2}"/>
            </c:ext>
          </c:extLst>
        </c:ser>
        <c:dLbls>
          <c:showLegendKey val="0"/>
          <c:showVal val="0"/>
          <c:showCatName val="0"/>
          <c:showSerName val="0"/>
          <c:showPercent val="0"/>
          <c:showBubbleSize val="0"/>
        </c:dLbls>
        <c:gapWidth val="82"/>
        <c:overlap val="100"/>
        <c:axId val="83767680"/>
        <c:axId val="83544320"/>
      </c:barChart>
      <c:lineChart>
        <c:grouping val="standard"/>
        <c:varyColors val="0"/>
        <c:ser>
          <c:idx val="6"/>
          <c:order val="2"/>
          <c:tx>
            <c:strRef>
              <c:f>'G2-St.rozpočet-výdaje'!$D$31</c:f>
              <c:strCache>
                <c:ptCount val="1"/>
                <c:pt idx="0">
                  <c:v>Platy státních zaměstnanců*</c:v>
                </c:pt>
              </c:strCache>
            </c:strRef>
          </c:tx>
          <c:spPr>
            <a:ln w="15875">
              <a:solidFill>
                <a:srgbClr val="D5D000"/>
              </a:solidFill>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'G2-St.rozpočet-výdaje'!$D$35:$D$50</c:f>
              <c:numCache>
                <c:formatCode>0.0</c:formatCode>
                <c:ptCount val="16"/>
                <c:pt idx="0">
                  <c:v>97.33</c:v>
                </c:pt>
                <c:pt idx="1">
                  <c:v>100.19</c:v>
                </c:pt>
                <c:pt idx="2">
                  <c:v>97.669999999999987</c:v>
                </c:pt>
                <c:pt idx="3">
                  <c:v>89.6</c:v>
                </c:pt>
                <c:pt idx="4">
                  <c:v>90.45</c:v>
                </c:pt>
                <c:pt idx="5">
                  <c:v>92.374999999999986</c:v>
                </c:pt>
                <c:pt idx="6">
                  <c:v>96.582999999999998</c:v>
                </c:pt>
                <c:pt idx="7">
                  <c:v>104.19</c:v>
                </c:pt>
                <c:pt idx="8">
                  <c:v>109.86</c:v>
                </c:pt>
                <c:pt idx="9">
                  <c:v>120.08</c:v>
                </c:pt>
                <c:pt idx="10">
                  <c:v>133.9</c:v>
                </c:pt>
                <c:pt idx="11">
                  <c:v>143.72754730148012</c:v>
                </c:pt>
                <c:pt idx="12">
                  <c:v>150.49796216553</c:v>
                </c:pt>
                <c:pt idx="13">
                  <c:v>152.83601356255002</c:v>
                </c:pt>
                <c:pt idx="14">
                  <c:v>154.26261187671003</c:v>
                </c:pt>
                <c:pt idx="15">
                  <c:v>165.62244310158005</c:v>
                </c:pt>
              </c:numCache>
            </c:numRef>
          </c:val>
          <c:smooth val="0"/>
          <c:extLst>
            <c:ext xmlns:c16="http://schemas.microsoft.com/office/drawing/2014/chart" uri="{C3380CC4-5D6E-409C-BE32-E72D297353CC}">
              <c16:uniqueId val="{00000002-730A-4974-8AA7-829B5B3A89C2}"/>
            </c:ext>
          </c:extLst>
        </c:ser>
        <c:ser>
          <c:idx val="7"/>
          <c:order val="3"/>
          <c:tx>
            <c:strRef>
              <c:f>'G2-St.rozpočet-výdaje'!$E$31</c:f>
              <c:strCache>
                <c:ptCount val="1"/>
                <c:pt idx="0">
                  <c:v>Podpora v nezaměstnanosti</c:v>
                </c:pt>
              </c:strCache>
            </c:strRef>
          </c:tx>
          <c:spPr>
            <a:ln w="15875">
              <a:solidFill>
                <a:srgbClr val="996633"/>
              </a:solidFill>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'G2-St.rozpočet-výdaje'!$E$35:$E$50</c:f>
              <c:numCache>
                <c:formatCode>0.0</c:formatCode>
                <c:ptCount val="16"/>
                <c:pt idx="0">
                  <c:v>7.1099999999999985</c:v>
                </c:pt>
                <c:pt idx="1">
                  <c:v>15.078000000000001</c:v>
                </c:pt>
                <c:pt idx="2">
                  <c:v>13.355000000000004</c:v>
                </c:pt>
                <c:pt idx="3">
                  <c:v>10.349</c:v>
                </c:pt>
                <c:pt idx="4">
                  <c:v>8.76</c:v>
                </c:pt>
                <c:pt idx="5">
                  <c:v>9.65</c:v>
                </c:pt>
                <c:pt idx="6">
                  <c:v>9.2620000000000005</c:v>
                </c:pt>
                <c:pt idx="7">
                  <c:v>8.2760000000000016</c:v>
                </c:pt>
                <c:pt idx="8">
                  <c:v>8.2200000000000024</c:v>
                </c:pt>
                <c:pt idx="9">
                  <c:v>7.8199999999999985</c:v>
                </c:pt>
                <c:pt idx="10">
                  <c:v>7.51</c:v>
                </c:pt>
                <c:pt idx="11">
                  <c:v>8.1136251569399995</c:v>
                </c:pt>
                <c:pt idx="12">
                  <c:v>10.524849742540001</c:v>
                </c:pt>
                <c:pt idx="13">
                  <c:v>9.9694941281400062</c:v>
                </c:pt>
                <c:pt idx="14">
                  <c:v>9.8463264355100009</c:v>
                </c:pt>
                <c:pt idx="15">
                  <c:v>10.45997211533</c:v>
                </c:pt>
              </c:numCache>
            </c:numRef>
          </c:val>
          <c:smooth val="0"/>
          <c:extLst>
            <c:ext xmlns:c16="http://schemas.microsoft.com/office/drawing/2014/chart" uri="{C3380CC4-5D6E-409C-BE32-E72D297353CC}">
              <c16:uniqueId val="{00000003-730A-4974-8AA7-829B5B3A89C2}"/>
            </c:ext>
          </c:extLst>
        </c:ser>
        <c:ser>
          <c:idx val="2"/>
          <c:order val="4"/>
          <c:tx>
            <c:strRef>
              <c:f>'G2-St.rozpočet-výdaje'!$F$31</c:f>
              <c:strCache>
                <c:ptCount val="1"/>
                <c:pt idx="0">
                  <c:v>Státní sociální podpora**</c:v>
                </c:pt>
              </c:strCache>
            </c:strRef>
          </c:tx>
          <c:spPr>
            <a:ln w="15875">
              <a:solidFill>
                <a:schemeClr val="accent6">
                  <a:lumMod val="75000"/>
                </a:schemeClr>
              </a:solidFill>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'G2-St.rozpočet-výdaje'!$F$35:$F$50</c:f>
              <c:numCache>
                <c:formatCode>0.0</c:formatCode>
                <c:ptCount val="16"/>
                <c:pt idx="0">
                  <c:v>41.97</c:v>
                </c:pt>
                <c:pt idx="1">
                  <c:v>41.168000000000013</c:v>
                </c:pt>
                <c:pt idx="2">
                  <c:v>40.880999999999993</c:v>
                </c:pt>
                <c:pt idx="3">
                  <c:v>36.094000000000001</c:v>
                </c:pt>
                <c:pt idx="4">
                  <c:v>35.554000000000002</c:v>
                </c:pt>
                <c:pt idx="5">
                  <c:v>37.423000000000002</c:v>
                </c:pt>
                <c:pt idx="6">
                  <c:v>37.544000000000004</c:v>
                </c:pt>
                <c:pt idx="7">
                  <c:v>37.65</c:v>
                </c:pt>
                <c:pt idx="8">
                  <c:v>37.78</c:v>
                </c:pt>
                <c:pt idx="9">
                  <c:v>37.220000000000013</c:v>
                </c:pt>
                <c:pt idx="10">
                  <c:v>39.220000000000013</c:v>
                </c:pt>
                <c:pt idx="11">
                  <c:v>37.87859106618</c:v>
                </c:pt>
                <c:pt idx="12">
                  <c:v>51.685289497479999</c:v>
                </c:pt>
                <c:pt idx="13">
                  <c:v>48.771589956349999</c:v>
                </c:pt>
                <c:pt idx="14">
                  <c:v>56.34439888851</c:v>
                </c:pt>
                <c:pt idx="15">
                  <c:v>59.955940890070003</c:v>
                </c:pt>
              </c:numCache>
            </c:numRef>
          </c:val>
          <c:smooth val="0"/>
          <c:extLst>
            <c:ext xmlns:c16="http://schemas.microsoft.com/office/drawing/2014/chart" uri="{C3380CC4-5D6E-409C-BE32-E72D297353CC}">
              <c16:uniqueId val="{00000004-730A-4974-8AA7-829B5B3A89C2}"/>
            </c:ext>
          </c:extLst>
        </c:ser>
        <c:ser>
          <c:idx val="3"/>
          <c:order val="5"/>
          <c:tx>
            <c:strRef>
              <c:f>'G2-St.rozpočet-výdaje'!$G$31</c:f>
              <c:strCache>
                <c:ptCount val="1"/>
                <c:pt idx="0">
                  <c:v>Dávky nemocenského pojištění</c:v>
                </c:pt>
              </c:strCache>
            </c:strRef>
          </c:tx>
          <c:spPr>
            <a:ln w="15875">
              <a:solidFill>
                <a:srgbClr val="00B0F0"/>
              </a:solidFill>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'G2-St.rozpočet-výdaje'!$G$35:$G$50</c:f>
              <c:numCache>
                <c:formatCode>0.0</c:formatCode>
                <c:ptCount val="16"/>
                <c:pt idx="0">
                  <c:v>31.881999999999994</c:v>
                </c:pt>
                <c:pt idx="1">
                  <c:v>26.233000000000001</c:v>
                </c:pt>
                <c:pt idx="2">
                  <c:v>22.995999999999988</c:v>
                </c:pt>
                <c:pt idx="3">
                  <c:v>21.734000000000005</c:v>
                </c:pt>
                <c:pt idx="4">
                  <c:v>19.602</c:v>
                </c:pt>
                <c:pt idx="5">
                  <c:v>20.350000000000001</c:v>
                </c:pt>
                <c:pt idx="6">
                  <c:v>22.282999999999991</c:v>
                </c:pt>
                <c:pt idx="7">
                  <c:v>24.310000000000006</c:v>
                </c:pt>
                <c:pt idx="8">
                  <c:v>26.5</c:v>
                </c:pt>
                <c:pt idx="9">
                  <c:v>28.57</c:v>
                </c:pt>
                <c:pt idx="10">
                  <c:v>34.300000000000004</c:v>
                </c:pt>
                <c:pt idx="11">
                  <c:v>39.200000000000003</c:v>
                </c:pt>
                <c:pt idx="12">
                  <c:v>55.6</c:v>
                </c:pt>
                <c:pt idx="13">
                  <c:v>51.9</c:v>
                </c:pt>
                <c:pt idx="14">
                  <c:v>48.1</c:v>
                </c:pt>
                <c:pt idx="15">
                  <c:v>45.9</c:v>
                </c:pt>
              </c:numCache>
            </c:numRef>
          </c:val>
          <c:smooth val="0"/>
          <c:extLst>
            <c:ext xmlns:c16="http://schemas.microsoft.com/office/drawing/2014/chart" uri="{C3380CC4-5D6E-409C-BE32-E72D297353CC}">
              <c16:uniqueId val="{00000005-730A-4974-8AA7-829B5B3A89C2}"/>
            </c:ext>
          </c:extLst>
        </c:ser>
        <c:ser>
          <c:idx val="4"/>
          <c:order val="6"/>
          <c:tx>
            <c:strRef>
              <c:f>'G2-St.rozpočet-výdaje'!$H$31</c:f>
              <c:strCache>
                <c:ptCount val="1"/>
                <c:pt idx="0">
                  <c:v>Dávky sociální péče***</c:v>
                </c:pt>
              </c:strCache>
            </c:strRef>
          </c:tx>
          <c:spPr>
            <a:ln w="15875">
              <a:solidFill>
                <a:srgbClr val="00B050"/>
              </a:solidFill>
              <a:prstDash val="solid"/>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'G2-St.rozpočet-výdaje'!$H$35:$H$50</c:f>
              <c:numCache>
                <c:formatCode>0.0</c:formatCode>
                <c:ptCount val="16"/>
                <c:pt idx="0">
                  <c:v>23.542000000000002</c:v>
                </c:pt>
                <c:pt idx="1">
                  <c:v>24.256</c:v>
                </c:pt>
                <c:pt idx="2">
                  <c:v>25.292000000000002</c:v>
                </c:pt>
                <c:pt idx="3">
                  <c:v>24.966999999999988</c:v>
                </c:pt>
                <c:pt idx="4">
                  <c:v>27.695499999999992</c:v>
                </c:pt>
                <c:pt idx="5">
                  <c:v>31.978999999999992</c:v>
                </c:pt>
                <c:pt idx="6">
                  <c:v>33.622000000000014</c:v>
                </c:pt>
                <c:pt idx="7">
                  <c:v>33.621000000000002</c:v>
                </c:pt>
                <c:pt idx="8">
                  <c:v>34.295000000000016</c:v>
                </c:pt>
                <c:pt idx="9">
                  <c:v>34.439</c:v>
                </c:pt>
                <c:pt idx="10">
                  <c:v>33.990400000000001</c:v>
                </c:pt>
                <c:pt idx="11">
                  <c:v>36.831099999999999</c:v>
                </c:pt>
                <c:pt idx="12">
                  <c:v>40.510200000000005</c:v>
                </c:pt>
                <c:pt idx="13">
                  <c:v>40.74</c:v>
                </c:pt>
                <c:pt idx="14">
                  <c:v>53.6</c:v>
                </c:pt>
                <c:pt idx="15">
                  <c:v>54</c:v>
                </c:pt>
              </c:numCache>
            </c:numRef>
          </c:val>
          <c:smooth val="0"/>
          <c:extLst>
            <c:ext xmlns:c16="http://schemas.microsoft.com/office/drawing/2014/chart" uri="{C3380CC4-5D6E-409C-BE32-E72D297353CC}">
              <c16:uniqueId val="{00000006-730A-4974-8AA7-829B5B3A89C2}"/>
            </c:ext>
          </c:extLst>
        </c:ser>
        <c:ser>
          <c:idx val="11"/>
          <c:order val="7"/>
          <c:tx>
            <c:strRef>
              <c:f>'G2-St.rozpočet-výdaje'!$M$31</c:f>
              <c:strCache>
                <c:ptCount val="1"/>
                <c:pt idx="0">
                  <c:v>Stavební spoření a důchod. připojištění</c:v>
                </c:pt>
              </c:strCache>
            </c:strRef>
          </c:tx>
          <c:spPr>
            <a:ln w="15875">
              <a:solidFill>
                <a:srgbClr val="0070C0"/>
              </a:solidFill>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'G2-St.rozpočet-výdaje'!$M$35:$M$50</c:f>
              <c:numCache>
                <c:formatCode>0.0</c:formatCode>
                <c:ptCount val="16"/>
                <c:pt idx="0">
                  <c:v>19.21</c:v>
                </c:pt>
                <c:pt idx="1">
                  <c:v>18.559999999999999</c:v>
                </c:pt>
                <c:pt idx="2">
                  <c:v>17.21</c:v>
                </c:pt>
                <c:pt idx="3">
                  <c:v>16.32</c:v>
                </c:pt>
                <c:pt idx="4">
                  <c:v>11.030000000000001</c:v>
                </c:pt>
                <c:pt idx="5">
                  <c:v>11.64</c:v>
                </c:pt>
                <c:pt idx="6">
                  <c:v>11.65</c:v>
                </c:pt>
                <c:pt idx="7">
                  <c:v>11.380000000000004</c:v>
                </c:pt>
                <c:pt idx="8">
                  <c:v>11.09</c:v>
                </c:pt>
                <c:pt idx="9">
                  <c:v>10.83</c:v>
                </c:pt>
                <c:pt idx="10">
                  <c:v>10.91</c:v>
                </c:pt>
                <c:pt idx="11">
                  <c:v>11.17778915189</c:v>
                </c:pt>
                <c:pt idx="12">
                  <c:v>11.47836191851</c:v>
                </c:pt>
                <c:pt idx="13">
                  <c:v>11.740370910779998</c:v>
                </c:pt>
                <c:pt idx="14">
                  <c:v>11.961994479700003</c:v>
                </c:pt>
                <c:pt idx="15">
                  <c:v>11.74050024079</c:v>
                </c:pt>
              </c:numCache>
            </c:numRef>
          </c:val>
          <c:smooth val="0"/>
          <c:extLst>
            <c:ext xmlns:c16="http://schemas.microsoft.com/office/drawing/2014/chart" uri="{C3380CC4-5D6E-409C-BE32-E72D297353CC}">
              <c16:uniqueId val="{00000007-730A-4974-8AA7-829B5B3A89C2}"/>
            </c:ext>
          </c:extLst>
        </c:ser>
        <c:ser>
          <c:idx val="5"/>
          <c:order val="8"/>
          <c:tx>
            <c:strRef>
              <c:f>'G2-St.rozpočet-výdaje'!$I$31</c:f>
              <c:strCache>
                <c:ptCount val="1"/>
                <c:pt idx="0">
                  <c:v>Neinvestič. nákupy a souvis. výdaje****</c:v>
                </c:pt>
              </c:strCache>
            </c:strRef>
          </c:tx>
          <c:spPr>
            <a:ln w="15875">
              <a:solidFill>
                <a:srgbClr val="F0949B"/>
              </a:solidFill>
              <a:prstDash val="solid"/>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'G2-St.rozpočet-výdaje'!$I$35:$I$50</c:f>
              <c:numCache>
                <c:formatCode>0.0</c:formatCode>
                <c:ptCount val="16"/>
                <c:pt idx="0">
                  <c:v>71.581999999999994</c:v>
                </c:pt>
                <c:pt idx="1">
                  <c:v>69.73</c:v>
                </c:pt>
                <c:pt idx="2">
                  <c:v>65.116</c:v>
                </c:pt>
                <c:pt idx="3">
                  <c:v>57.98</c:v>
                </c:pt>
                <c:pt idx="4">
                  <c:v>53.175000000000011</c:v>
                </c:pt>
                <c:pt idx="5">
                  <c:v>54.193000000000012</c:v>
                </c:pt>
                <c:pt idx="6">
                  <c:v>54.751000000000005</c:v>
                </c:pt>
                <c:pt idx="7">
                  <c:v>62.36</c:v>
                </c:pt>
                <c:pt idx="8">
                  <c:v>57.560000000000009</c:v>
                </c:pt>
                <c:pt idx="9">
                  <c:v>62.760000000000012</c:v>
                </c:pt>
                <c:pt idx="10">
                  <c:v>68.410000000000025</c:v>
                </c:pt>
                <c:pt idx="11">
                  <c:v>66.430000000000007</c:v>
                </c:pt>
                <c:pt idx="12">
                  <c:v>77.884951001920001</c:v>
                </c:pt>
                <c:pt idx="13">
                  <c:v>78.966372350419945</c:v>
                </c:pt>
                <c:pt idx="14">
                  <c:v>91.193704519299928</c:v>
                </c:pt>
                <c:pt idx="15">
                  <c:v>81.628682751309938</c:v>
                </c:pt>
              </c:numCache>
            </c:numRef>
          </c:val>
          <c:smooth val="0"/>
          <c:extLst>
            <c:ext xmlns:c16="http://schemas.microsoft.com/office/drawing/2014/chart" uri="{C3380CC4-5D6E-409C-BE32-E72D297353CC}">
              <c16:uniqueId val="{00000008-730A-4974-8AA7-829B5B3A89C2}"/>
            </c:ext>
          </c:extLst>
        </c:ser>
        <c:ser>
          <c:idx val="9"/>
          <c:order val="9"/>
          <c:tx>
            <c:strRef>
              <c:f>'G2-St.rozpočet-výdaje'!$J$31</c:f>
              <c:strCache>
                <c:ptCount val="1"/>
                <c:pt idx="0">
                  <c:v>Státní dluh (čisté výdaje)*****</c:v>
                </c:pt>
              </c:strCache>
            </c:strRef>
          </c:tx>
          <c:spPr>
            <a:ln w="3175">
              <a:solidFill>
                <a:srgbClr val="7030A0"/>
              </a:solidFill>
              <a:prstDash val="dash"/>
            </a:ln>
          </c:spPr>
          <c:marker>
            <c:symbol val="square"/>
            <c:size val="5"/>
            <c:spPr>
              <a:solidFill>
                <a:schemeClr val="bg1"/>
              </a:solidFill>
              <a:ln>
                <a:solidFill>
                  <a:srgbClr val="7030A0"/>
                </a:solidFill>
              </a:ln>
            </c:spPr>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'G2-St.rozpočet-výdaje'!$J$35:$J$50</c:f>
              <c:numCache>
                <c:formatCode>0.0</c:formatCode>
                <c:ptCount val="16"/>
                <c:pt idx="0">
                  <c:v>37.64</c:v>
                </c:pt>
                <c:pt idx="1">
                  <c:v>44.46</c:v>
                </c:pt>
                <c:pt idx="2">
                  <c:v>35.840000000000003</c:v>
                </c:pt>
                <c:pt idx="3">
                  <c:v>45.120000000000012</c:v>
                </c:pt>
                <c:pt idx="4">
                  <c:v>41.400000000000006</c:v>
                </c:pt>
                <c:pt idx="5">
                  <c:v>50.89</c:v>
                </c:pt>
                <c:pt idx="6">
                  <c:v>48.49</c:v>
                </c:pt>
                <c:pt idx="7">
                  <c:v>45.28</c:v>
                </c:pt>
                <c:pt idx="8">
                  <c:v>40.65</c:v>
                </c:pt>
                <c:pt idx="9">
                  <c:v>39.77000000000001</c:v>
                </c:pt>
                <c:pt idx="10">
                  <c:v>40.730000000000011</c:v>
                </c:pt>
                <c:pt idx="11">
                  <c:v>39.550577993799998</c:v>
                </c:pt>
                <c:pt idx="12">
                  <c:v>40.145474011320005</c:v>
                </c:pt>
                <c:pt idx="13">
                  <c:v>42.233847726200004</c:v>
                </c:pt>
                <c:pt idx="14">
                  <c:v>49.705483243530011</c:v>
                </c:pt>
                <c:pt idx="15">
                  <c:v>68.317693750440029</c:v>
                </c:pt>
              </c:numCache>
            </c:numRef>
          </c:val>
          <c:smooth val="0"/>
          <c:extLst>
            <c:ext xmlns:c16="http://schemas.microsoft.com/office/drawing/2014/chart" uri="{C3380CC4-5D6E-409C-BE32-E72D297353CC}">
              <c16:uniqueId val="{00000009-730A-4974-8AA7-829B5B3A89C2}"/>
            </c:ext>
          </c:extLst>
        </c:ser>
        <c:ser>
          <c:idx val="8"/>
          <c:order val="10"/>
          <c:tx>
            <c:strRef>
              <c:f>'G2-St.rozpočet-výdaje'!$K$31</c:f>
              <c:strCache>
                <c:ptCount val="1"/>
                <c:pt idx="0">
                  <c:v>Neinvestič. transfery podnikatelům</c:v>
                </c:pt>
              </c:strCache>
            </c:strRef>
          </c:tx>
          <c:spPr>
            <a:ln w="6350">
              <a:solidFill>
                <a:schemeClr val="accent6">
                  <a:lumMod val="75000"/>
                </a:schemeClr>
              </a:solidFill>
              <a:prstDash val="sysDot"/>
            </a:ln>
          </c:spPr>
          <c:marker>
            <c:symbol val="circle"/>
            <c:size val="4"/>
            <c:spPr>
              <a:solidFill>
                <a:schemeClr val="accent6">
                  <a:lumMod val="75000"/>
                </a:schemeClr>
              </a:solidFill>
              <a:ln>
                <a:noFill/>
              </a:ln>
            </c:spPr>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'G2-St.rozpočet-výdaje'!$K$35:$K$50</c:f>
              <c:numCache>
                <c:formatCode>0.00</c:formatCode>
                <c:ptCount val="16"/>
                <c:pt idx="0">
                  <c:v>26.108000000000001</c:v>
                </c:pt>
                <c:pt idx="1">
                  <c:v>28.491</c:v>
                </c:pt>
                <c:pt idx="2">
                  <c:v>28.100999999999999</c:v>
                </c:pt>
                <c:pt idx="3">
                  <c:v>33.263000000000012</c:v>
                </c:pt>
                <c:pt idx="4">
                  <c:v>35.61</c:v>
                </c:pt>
                <c:pt idx="5">
                  <c:v>35.03</c:v>
                </c:pt>
                <c:pt idx="6">
                  <c:v>41.230000000000011</c:v>
                </c:pt>
                <c:pt idx="7">
                  <c:v>39.14</c:v>
                </c:pt>
                <c:pt idx="8">
                  <c:v>44.230000000000011</c:v>
                </c:pt>
                <c:pt idx="9">
                  <c:v>48.3</c:v>
                </c:pt>
                <c:pt idx="10">
                  <c:v>57.32</c:v>
                </c:pt>
                <c:pt idx="11">
                  <c:v>57.932912725290002</c:v>
                </c:pt>
                <c:pt idx="12">
                  <c:v>106.75302514385</c:v>
                </c:pt>
                <c:pt idx="13">
                  <c:v>125.41352918255002</c:v>
                </c:pt>
                <c:pt idx="14">
                  <c:v>89.127821109149963</c:v>
                </c:pt>
                <c:pt idx="15">
                  <c:v>137.81610345564008</c:v>
                </c:pt>
              </c:numCache>
            </c:numRef>
          </c:val>
          <c:smooth val="0"/>
          <c:extLst>
            <c:ext xmlns:c16="http://schemas.microsoft.com/office/drawing/2014/chart" uri="{C3380CC4-5D6E-409C-BE32-E72D297353CC}">
              <c16:uniqueId val="{0000000A-730A-4974-8AA7-829B5B3A89C2}"/>
            </c:ext>
          </c:extLst>
        </c:ser>
        <c:ser>
          <c:idx val="10"/>
          <c:order val="11"/>
          <c:tx>
            <c:strRef>
              <c:f>'G2-St.rozpočet-výdaje'!$L$31</c:f>
              <c:strCache>
                <c:ptCount val="1"/>
                <c:pt idx="0">
                  <c:v>Kapitálové výdaje</c:v>
                </c:pt>
              </c:strCache>
            </c:strRef>
          </c:tx>
          <c:spPr>
            <a:ln w="15875">
              <a:solidFill>
                <a:srgbClr val="706840"/>
              </a:solidFill>
              <a:prstDash val="sysDash"/>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'G2-St.rozpočet-výdaje'!$L$35:$L$50</c:f>
              <c:numCache>
                <c:formatCode>0.0</c:formatCode>
                <c:ptCount val="16"/>
                <c:pt idx="0">
                  <c:v>108.08</c:v>
                </c:pt>
                <c:pt idx="1">
                  <c:v>134.22999999999999</c:v>
                </c:pt>
                <c:pt idx="2">
                  <c:v>134.91</c:v>
                </c:pt>
                <c:pt idx="3">
                  <c:v>123.69</c:v>
                </c:pt>
                <c:pt idx="4">
                  <c:v>113.61999999999999</c:v>
                </c:pt>
                <c:pt idx="5">
                  <c:v>102.315</c:v>
                </c:pt>
                <c:pt idx="6">
                  <c:v>111.50700000000002</c:v>
                </c:pt>
                <c:pt idx="7">
                  <c:v>175.66</c:v>
                </c:pt>
                <c:pt idx="8">
                  <c:v>84.27</c:v>
                </c:pt>
                <c:pt idx="9">
                  <c:v>81.75</c:v>
                </c:pt>
                <c:pt idx="10">
                  <c:v>116.46000000000002</c:v>
                </c:pt>
                <c:pt idx="11">
                  <c:v>139.13928546781997</c:v>
                </c:pt>
                <c:pt idx="12">
                  <c:v>172.62079654905</c:v>
                </c:pt>
                <c:pt idx="13">
                  <c:v>177.13556603781998</c:v>
                </c:pt>
                <c:pt idx="14">
                  <c:v>185.99907287821003</c:v>
                </c:pt>
                <c:pt idx="15">
                  <c:v>211.37968431810998</c:v>
                </c:pt>
              </c:numCache>
            </c:numRef>
          </c:val>
          <c:smooth val="0"/>
          <c:extLst>
            <c:ext xmlns:c16="http://schemas.microsoft.com/office/drawing/2014/chart" uri="{C3380CC4-5D6E-409C-BE32-E72D297353CC}">
              <c16:uniqueId val="{0000000B-730A-4974-8AA7-829B5B3A89C2}"/>
            </c:ext>
          </c:extLst>
        </c:ser>
        <c:dLbls>
          <c:showLegendKey val="0"/>
          <c:showVal val="0"/>
          <c:showCatName val="0"/>
          <c:showSerName val="0"/>
          <c:showPercent val="0"/>
          <c:showBubbleSize val="0"/>
        </c:dLbls>
        <c:marker val="1"/>
        <c:smooth val="0"/>
        <c:axId val="83520128"/>
        <c:axId val="83542400"/>
      </c:lineChart>
      <c:catAx>
        <c:axId val="83520128"/>
        <c:scaling>
          <c:orientation val="minMax"/>
        </c:scaling>
        <c:delete val="0"/>
        <c:axPos val="b"/>
        <c:numFmt formatCode="General" sourceLinked="1"/>
        <c:majorTickMark val="out"/>
        <c:minorTickMark val="none"/>
        <c:tickLblPos val="low"/>
        <c:spPr>
          <a:ln w="6350">
            <a:solidFill>
              <a:schemeClr val="bg1">
                <a:lumMod val="50000"/>
              </a:schemeClr>
            </a:solidFill>
          </a:ln>
        </c:spPr>
        <c:txPr>
          <a:bodyPr rot="-2220000"/>
          <a:lstStyle/>
          <a:p>
            <a:pPr>
              <a:defRPr/>
            </a:pPr>
            <a:endParaRPr lang="cs-CZ"/>
          </a:p>
        </c:txPr>
        <c:crossAx val="83542400"/>
        <c:crosses val="autoZero"/>
        <c:auto val="1"/>
        <c:lblAlgn val="ctr"/>
        <c:lblOffset val="0"/>
        <c:noMultiLvlLbl val="0"/>
      </c:catAx>
      <c:valAx>
        <c:axId val="83542400"/>
        <c:scaling>
          <c:orientation val="minMax"/>
          <c:max val="220"/>
          <c:min val="0"/>
        </c:scaling>
        <c:delete val="0"/>
        <c:axPos val="l"/>
        <c:majorGridlines>
          <c:spPr>
            <a:ln w="6350">
              <a:solidFill>
                <a:schemeClr val="bg1">
                  <a:lumMod val="75000"/>
                </a:schemeClr>
              </a:solidFill>
            </a:ln>
          </c:spPr>
        </c:majorGridlines>
        <c:title>
          <c:tx>
            <c:rich>
              <a:bodyPr/>
              <a:lstStyle/>
              <a:p>
                <a:pPr>
                  <a:defRPr sz="700" b="0" i="1"/>
                </a:pPr>
                <a:r>
                  <a:rPr lang="cs-CZ" sz="700" b="0" i="1"/>
                  <a:t>Vybrané</a:t>
                </a:r>
                <a:r>
                  <a:rPr lang="cs-CZ" sz="700" b="0" i="1" baseline="0"/>
                  <a:t> </a:t>
                </a:r>
                <a:r>
                  <a:rPr lang="cs-CZ" sz="700" b="0" i="1"/>
                  <a:t>výdaje</a:t>
                </a:r>
              </a:p>
            </c:rich>
          </c:tx>
          <c:overlay val="0"/>
        </c:title>
        <c:numFmt formatCode="0" sourceLinked="0"/>
        <c:majorTickMark val="out"/>
        <c:minorTickMark val="none"/>
        <c:tickLblPos val="nextTo"/>
        <c:spPr>
          <a:ln w="6350">
            <a:solidFill>
              <a:schemeClr val="tx1"/>
            </a:solidFill>
          </a:ln>
        </c:spPr>
        <c:crossAx val="83520128"/>
        <c:crosses val="autoZero"/>
        <c:crossBetween val="between"/>
        <c:majorUnit val="20"/>
      </c:valAx>
      <c:valAx>
        <c:axId val="83544320"/>
        <c:scaling>
          <c:orientation val="minMax"/>
          <c:max val="2200"/>
          <c:min val="0"/>
        </c:scaling>
        <c:delete val="0"/>
        <c:axPos val="r"/>
        <c:title>
          <c:tx>
            <c:rich>
              <a:bodyPr/>
              <a:lstStyle/>
              <a:p>
                <a:pPr>
                  <a:defRPr sz="700" b="0" i="1"/>
                </a:pPr>
                <a:r>
                  <a:rPr lang="cs-CZ" sz="700" b="0" i="1"/>
                  <a:t>Běžné výdaje celkem, důchody</a:t>
                </a:r>
              </a:p>
            </c:rich>
          </c:tx>
          <c:layout>
            <c:manualLayout>
              <c:xMode val="edge"/>
              <c:yMode val="edge"/>
              <c:x val="0.96904916688072085"/>
              <c:y val="0.17285226107922294"/>
            </c:manualLayout>
          </c:layout>
          <c:overlay val="0"/>
        </c:title>
        <c:numFmt formatCode="0" sourceLinked="0"/>
        <c:majorTickMark val="out"/>
        <c:minorTickMark val="none"/>
        <c:tickLblPos val="nextTo"/>
        <c:spPr>
          <a:ln w="6350">
            <a:solidFill>
              <a:schemeClr val="tx1"/>
            </a:solidFill>
          </a:ln>
        </c:spPr>
        <c:txPr>
          <a:bodyPr rot="0" vert="horz"/>
          <a:lstStyle/>
          <a:p>
            <a:pPr>
              <a:defRPr/>
            </a:pPr>
            <a:endParaRPr lang="cs-CZ"/>
          </a:p>
        </c:txPr>
        <c:crossAx val="83767680"/>
        <c:crosses val="max"/>
        <c:crossBetween val="between"/>
        <c:majorUnit val="200"/>
        <c:minorUnit val="10"/>
      </c:valAx>
      <c:catAx>
        <c:axId val="83767680"/>
        <c:scaling>
          <c:orientation val="minMax"/>
        </c:scaling>
        <c:delete val="1"/>
        <c:axPos val="b"/>
        <c:numFmt formatCode="General" sourceLinked="1"/>
        <c:majorTickMark val="out"/>
        <c:minorTickMark val="none"/>
        <c:tickLblPos val="none"/>
        <c:crossAx val="83544320"/>
        <c:crosses val="autoZero"/>
        <c:auto val="1"/>
        <c:lblAlgn val="ctr"/>
        <c:lblOffset val="100"/>
        <c:noMultiLvlLbl val="0"/>
      </c:catAx>
      <c:spPr>
        <a:ln w="6350">
          <a:solidFill>
            <a:schemeClr val="tx1"/>
          </a:solidFill>
        </a:ln>
      </c:spPr>
    </c:plotArea>
    <c:legend>
      <c:legendPos val="b"/>
      <c:layout>
        <c:manualLayout>
          <c:xMode val="edge"/>
          <c:yMode val="edge"/>
          <c:x val="2.8258891545233353E-2"/>
          <c:y val="0.80444865216742056"/>
          <c:w val="0.95831696719062276"/>
          <c:h val="0.19181717089267364"/>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0204C7C21F48A488F44995C5F8FB06D" ma:contentTypeVersion="11" ma:contentTypeDescription="Vytvoří nový dokument" ma:contentTypeScope="" ma:versionID="9a58d24f60b264923fe9c7150327a53c">
  <xsd:schema xmlns:xsd="http://www.w3.org/2001/XMLSchema" xmlns:xs="http://www.w3.org/2001/XMLSchema" xmlns:p="http://schemas.microsoft.com/office/2006/metadata/properties" xmlns:ns3="b8c0c86d-151e-4fca-b0d5-747e6692fa1d" targetNamespace="http://schemas.microsoft.com/office/2006/metadata/properties" ma:root="true" ma:fieldsID="91c8efd7c542b57fe84d8bfb95d003d1" ns3:_="">
    <xsd:import namespace="b8c0c86d-151e-4fca-b0d5-747e6692fa1d"/>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SystemTags" minOccurs="0"/>
                <xsd:element ref="ns3:MediaServiceGenerationTime" minOccurs="0"/>
                <xsd:element ref="ns3:MediaServiceEventHashCode" minOccurs="0"/>
                <xsd:element ref="ns3:MediaLengthInSecond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0c86d-151e-4fca-b0d5-747e6692f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38702-393C-4E0B-95FC-6397490058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87926D-EFC2-4F8B-B71C-495191F49346}">
  <ds:schemaRefs>
    <ds:schemaRef ds:uri="http://schemas.microsoft.com/sharepoint/v3/contenttype/forms"/>
  </ds:schemaRefs>
</ds:datastoreItem>
</file>

<file path=customXml/itemProps3.xml><?xml version="1.0" encoding="utf-8"?>
<ds:datastoreItem xmlns:ds="http://schemas.openxmlformats.org/officeDocument/2006/customXml" ds:itemID="{E5E561CC-7D6C-40EF-AB10-C45997A72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c0c86d-151e-4fca-b0d5-747e6692f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EDE614-274F-4D3C-B471-908DD6B8894C}">
  <ds:schemaRefs>
    <ds:schemaRef ds:uri="http://schemas.openxmlformats.org/officeDocument/2006/bibliography"/>
  </ds:schemaRefs>
</ds:datastoreItem>
</file>

<file path=customXml/itemProps5.xml><?xml version="1.0" encoding="utf-8"?>
<ds:datastoreItem xmlns:ds="http://schemas.openxmlformats.org/officeDocument/2006/customXml" ds:itemID="{5791C473-70E9-4682-99CD-8F40EEA37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1</TotalTime>
  <Pages>6</Pages>
  <Words>3179</Words>
  <Characters>18758</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21894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Karolína Súkupová</dc:creator>
  <cp:keywords/>
  <dc:description/>
  <cp:lastModifiedBy>Zábojníková Karolína</cp:lastModifiedBy>
  <cp:revision>4</cp:revision>
  <cp:lastPrinted>2023-06-09T17:23:00Z</cp:lastPrinted>
  <dcterms:created xsi:type="dcterms:W3CDTF">2024-03-21T10:53:00Z</dcterms:created>
  <dcterms:modified xsi:type="dcterms:W3CDTF">2024-03-21T11:02:00Z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0x01010070204C7C21F48A488F44995C5F8FB06D</vt:lpwstr>
  </property>
</Properties>
</file>