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74" w:rsidRDefault="0086241D" w:rsidP="0086241D">
      <w:pPr>
        <w:pStyle w:val="Zkladntext"/>
        <w:jc w:val="left"/>
        <w:rPr>
          <w:b/>
          <w:bCs/>
          <w:sz w:val="22"/>
        </w:rPr>
      </w:pPr>
      <w:r>
        <w:rPr>
          <w:b/>
          <w:bCs/>
          <w:sz w:val="22"/>
        </w:rPr>
        <w:t>Zahraniční obchod České republiky se zbožím</w:t>
      </w:r>
      <w:r>
        <w:rPr>
          <w:rStyle w:val="Znakapoznpodarou"/>
          <w:b/>
          <w:bCs/>
          <w:sz w:val="22"/>
        </w:rPr>
        <w:footnoteReference w:id="1"/>
      </w:r>
      <w:r>
        <w:rPr>
          <w:b/>
          <w:bCs/>
          <w:sz w:val="22"/>
        </w:rPr>
        <w:t xml:space="preserve"> v roce 20</w:t>
      </w:r>
      <w:r w:rsidR="00913F00">
        <w:rPr>
          <w:b/>
          <w:bCs/>
          <w:sz w:val="22"/>
        </w:rPr>
        <w:t>2</w:t>
      </w:r>
      <w:r w:rsidR="00C224AB">
        <w:rPr>
          <w:b/>
          <w:bCs/>
          <w:sz w:val="22"/>
        </w:rPr>
        <w:t>2</w:t>
      </w:r>
      <w:r w:rsidR="00C224AB">
        <w:rPr>
          <w:rStyle w:val="Znakapoznpodarou"/>
          <w:b/>
          <w:bCs/>
          <w:sz w:val="22"/>
        </w:rPr>
        <w:footnoteReference w:id="2"/>
      </w:r>
    </w:p>
    <w:p w:rsidR="006E7274" w:rsidRDefault="006E7274">
      <w:pPr>
        <w:pStyle w:val="Zkladntext"/>
        <w:jc w:val="center"/>
        <w:rPr>
          <w:b/>
          <w:bCs/>
          <w:sz w:val="22"/>
        </w:rPr>
      </w:pPr>
    </w:p>
    <w:p w:rsidR="006E7274" w:rsidRDefault="006E7274">
      <w:pPr>
        <w:pStyle w:val="Zkladntext"/>
        <w:jc w:val="center"/>
      </w:pPr>
    </w:p>
    <w:p w:rsidR="00FA26DB" w:rsidRPr="00FA26DB" w:rsidRDefault="00FA26DB" w:rsidP="00873E3B">
      <w:pPr>
        <w:spacing w:after="160"/>
        <w:rPr>
          <w:rFonts w:cs="Arial"/>
          <w:sz w:val="18"/>
          <w:szCs w:val="18"/>
        </w:rPr>
      </w:pPr>
      <w:r w:rsidRPr="00FA26DB">
        <w:rPr>
          <w:rFonts w:cs="Arial"/>
          <w:sz w:val="18"/>
          <w:szCs w:val="18"/>
        </w:rPr>
        <w:t xml:space="preserve">Česká republika zaznamenala </w:t>
      </w:r>
      <w:r>
        <w:rPr>
          <w:rFonts w:cs="Arial"/>
          <w:sz w:val="18"/>
          <w:szCs w:val="18"/>
        </w:rPr>
        <w:t>v roce 2022 největší meziroční přírůstek obratu zahraničního obchodu se zbožím od vstupu do Evropské unie. V porovnání s rokem 2021 se součet hodnoty vývozu a dovozu zvýšil o 1</w:t>
      </w:r>
      <w:r w:rsidR="00300DB6">
        <w:rPr>
          <w:rFonts w:cs="Arial"/>
          <w:sz w:val="18"/>
          <w:szCs w:val="18"/>
        </w:rPr>
        <w:t>6,1 %, tj. o 1 247,5 mld. Kč</w:t>
      </w:r>
      <w:r>
        <w:rPr>
          <w:rFonts w:cs="Arial"/>
          <w:sz w:val="18"/>
          <w:szCs w:val="18"/>
        </w:rPr>
        <w:t>. Hodnota obratu v roce 2022 dosáhla 9 019,5 mld. Kč.</w:t>
      </w:r>
    </w:p>
    <w:p w:rsidR="001A02F0" w:rsidRDefault="00834326" w:rsidP="00873E3B">
      <w:pPr>
        <w:spacing w:after="160"/>
        <w:rPr>
          <w:bCs/>
          <w:sz w:val="18"/>
          <w:szCs w:val="18"/>
        </w:rPr>
      </w:pPr>
      <w:r w:rsidRPr="00300DB6">
        <w:rPr>
          <w:b/>
          <w:bCs/>
          <w:sz w:val="18"/>
          <w:szCs w:val="18"/>
        </w:rPr>
        <w:t xml:space="preserve">Bilance zahraničního obchodu se zbožím </w:t>
      </w:r>
      <w:r w:rsidR="00300DB6" w:rsidRPr="00300DB6">
        <w:rPr>
          <w:bCs/>
          <w:sz w:val="18"/>
          <w:szCs w:val="18"/>
        </w:rPr>
        <w:t xml:space="preserve">v běžných cenách </w:t>
      </w:r>
      <w:r w:rsidRPr="00300DB6">
        <w:rPr>
          <w:bCs/>
          <w:sz w:val="18"/>
          <w:szCs w:val="18"/>
        </w:rPr>
        <w:t xml:space="preserve">skončila schodkem </w:t>
      </w:r>
      <w:r w:rsidR="00300DB6" w:rsidRPr="00300DB6">
        <w:rPr>
          <w:bCs/>
          <w:sz w:val="18"/>
          <w:szCs w:val="18"/>
        </w:rPr>
        <w:t>204,8</w:t>
      </w:r>
      <w:r w:rsidRPr="00300DB6">
        <w:rPr>
          <w:bCs/>
          <w:sz w:val="18"/>
          <w:szCs w:val="18"/>
        </w:rPr>
        <w:t> mld. Kč</w:t>
      </w:r>
      <w:r w:rsidR="001A02F0">
        <w:rPr>
          <w:bCs/>
          <w:sz w:val="18"/>
          <w:szCs w:val="18"/>
        </w:rPr>
        <w:t>, který byl meziročně o </w:t>
      </w:r>
      <w:r w:rsidR="00300DB6">
        <w:rPr>
          <w:bCs/>
          <w:sz w:val="18"/>
          <w:szCs w:val="18"/>
        </w:rPr>
        <w:t>195,6 mld. Kč větší</w:t>
      </w:r>
      <w:r w:rsidR="001A520D">
        <w:rPr>
          <w:bCs/>
          <w:sz w:val="18"/>
          <w:szCs w:val="18"/>
        </w:rPr>
        <w:t>, což bylo</w:t>
      </w:r>
      <w:r w:rsidR="00300DB6">
        <w:rPr>
          <w:bCs/>
          <w:sz w:val="18"/>
          <w:szCs w:val="18"/>
        </w:rPr>
        <w:t xml:space="preserve"> v </w:t>
      </w:r>
      <w:r w:rsidR="001A02F0">
        <w:rPr>
          <w:bCs/>
          <w:sz w:val="18"/>
          <w:szCs w:val="18"/>
        </w:rPr>
        <w:t>podobné</w:t>
      </w:r>
      <w:r w:rsidR="00300DB6">
        <w:rPr>
          <w:bCs/>
          <w:sz w:val="18"/>
          <w:szCs w:val="18"/>
        </w:rPr>
        <w:t xml:space="preserve"> výši jako mezi rokem 2020 a 2021 (188,8 mld</w:t>
      </w:r>
      <w:r w:rsidR="001A02F0">
        <w:rPr>
          <w:bCs/>
          <w:sz w:val="18"/>
          <w:szCs w:val="18"/>
        </w:rPr>
        <w:t>.</w:t>
      </w:r>
      <w:r w:rsidR="00300DB6">
        <w:rPr>
          <w:bCs/>
          <w:sz w:val="18"/>
          <w:szCs w:val="18"/>
        </w:rPr>
        <w:t xml:space="preserve"> Kč). </w:t>
      </w:r>
      <w:r w:rsidR="001A02F0">
        <w:rPr>
          <w:bCs/>
          <w:sz w:val="18"/>
          <w:szCs w:val="18"/>
        </w:rPr>
        <w:t>Záporná roční obchodní bilance byla výsledkem deficitních hodnot ve všech čtvrtletích.</w:t>
      </w:r>
    </w:p>
    <w:p w:rsidR="00EA52A8" w:rsidRDefault="00EA52A8" w:rsidP="00873E3B">
      <w:pPr>
        <w:spacing w:after="160"/>
        <w:rPr>
          <w:bCs/>
          <w:sz w:val="18"/>
          <w:szCs w:val="18"/>
        </w:rPr>
      </w:pPr>
      <w:r>
        <w:rPr>
          <w:bCs/>
          <w:sz w:val="18"/>
          <w:szCs w:val="18"/>
        </w:rPr>
        <w:t>Podle definitivních údajů za rok 2022 vzrostl meziročně vývoz o 13,6 % na 4 407,3 mld. Kč a dovoz o 18,5 % na 4 612,1 mld. Kč.</w:t>
      </w:r>
    </w:p>
    <w:p w:rsidR="00CC3F07" w:rsidRPr="00C224AB" w:rsidRDefault="00CC3F07" w:rsidP="00873E3B">
      <w:pPr>
        <w:spacing w:after="160"/>
        <w:rPr>
          <w:color w:val="FF0000"/>
          <w:sz w:val="18"/>
          <w:szCs w:val="18"/>
        </w:rPr>
      </w:pPr>
      <w:r w:rsidRPr="00F74CE2">
        <w:rPr>
          <w:bCs/>
          <w:sz w:val="18"/>
          <w:szCs w:val="18"/>
        </w:rPr>
        <w:t>Celkové saldo zahraničního obchod</w:t>
      </w:r>
      <w:r w:rsidR="00D37B05" w:rsidRPr="00F74CE2">
        <w:rPr>
          <w:bCs/>
          <w:sz w:val="18"/>
          <w:szCs w:val="18"/>
        </w:rPr>
        <w:t>u</w:t>
      </w:r>
      <w:r w:rsidRPr="00F74CE2">
        <w:rPr>
          <w:bCs/>
          <w:sz w:val="18"/>
          <w:szCs w:val="18"/>
        </w:rPr>
        <w:t xml:space="preserve"> se zbožím </w:t>
      </w:r>
      <w:r w:rsidR="008C36F4" w:rsidRPr="00F74CE2">
        <w:rPr>
          <w:b/>
          <w:bCs/>
          <w:sz w:val="18"/>
          <w:szCs w:val="18"/>
        </w:rPr>
        <w:t>nepříznivě ovlivnil</w:t>
      </w:r>
      <w:r w:rsidR="008C36F4" w:rsidRPr="00F74CE2">
        <w:rPr>
          <w:bCs/>
          <w:sz w:val="18"/>
          <w:szCs w:val="18"/>
        </w:rPr>
        <w:t xml:space="preserve"> především meziročně </w:t>
      </w:r>
      <w:r w:rsidR="002B706D" w:rsidRPr="00F74CE2">
        <w:rPr>
          <w:bCs/>
          <w:sz w:val="18"/>
          <w:szCs w:val="18"/>
        </w:rPr>
        <w:t>větší</w:t>
      </w:r>
      <w:r w:rsidR="008C36F4" w:rsidRPr="00F74CE2">
        <w:rPr>
          <w:bCs/>
          <w:sz w:val="18"/>
          <w:szCs w:val="18"/>
        </w:rPr>
        <w:t xml:space="preserve"> deficit bilance s ropou </w:t>
      </w:r>
      <w:r w:rsidR="00104DCD" w:rsidRPr="00F74CE2">
        <w:rPr>
          <w:bCs/>
          <w:sz w:val="18"/>
          <w:szCs w:val="18"/>
        </w:rPr>
        <w:t>a </w:t>
      </w:r>
      <w:r w:rsidR="008C36F4" w:rsidRPr="00F74CE2">
        <w:rPr>
          <w:bCs/>
          <w:sz w:val="18"/>
          <w:szCs w:val="18"/>
        </w:rPr>
        <w:t xml:space="preserve">zemním plynem o </w:t>
      </w:r>
      <w:r w:rsidR="00F74CE2">
        <w:rPr>
          <w:bCs/>
          <w:sz w:val="18"/>
          <w:szCs w:val="18"/>
        </w:rPr>
        <w:t>177,0</w:t>
      </w:r>
      <w:r w:rsidR="008C36F4" w:rsidRPr="00F74CE2">
        <w:rPr>
          <w:bCs/>
          <w:sz w:val="18"/>
          <w:szCs w:val="18"/>
        </w:rPr>
        <w:t xml:space="preserve"> mld. Kč</w:t>
      </w:r>
      <w:r w:rsidR="00C31FF3" w:rsidRPr="00F74CE2">
        <w:rPr>
          <w:sz w:val="18"/>
          <w:szCs w:val="18"/>
        </w:rPr>
        <w:t xml:space="preserve"> v</w:t>
      </w:r>
      <w:r w:rsidR="00FC0555" w:rsidRPr="00F74CE2">
        <w:rPr>
          <w:sz w:val="18"/>
          <w:szCs w:val="18"/>
        </w:rPr>
        <w:t xml:space="preserve"> důsledku </w:t>
      </w:r>
      <w:r w:rsidR="00C31FF3" w:rsidRPr="00F74CE2">
        <w:rPr>
          <w:sz w:val="18"/>
          <w:szCs w:val="18"/>
        </w:rPr>
        <w:t>růstu cen na světových trzích i vyššího dovezeného množství</w:t>
      </w:r>
      <w:r w:rsidR="00FC0555" w:rsidRPr="00F74CE2">
        <w:rPr>
          <w:sz w:val="18"/>
          <w:szCs w:val="18"/>
        </w:rPr>
        <w:t xml:space="preserve">. </w:t>
      </w:r>
      <w:r w:rsidR="00DD6EA4" w:rsidRPr="00F74CE2">
        <w:rPr>
          <w:sz w:val="18"/>
          <w:szCs w:val="18"/>
        </w:rPr>
        <w:t xml:space="preserve">Dále </w:t>
      </w:r>
      <w:r w:rsidR="002B706D" w:rsidRPr="00F74CE2">
        <w:rPr>
          <w:sz w:val="18"/>
          <w:szCs w:val="18"/>
        </w:rPr>
        <w:t>se zvětšil</w:t>
      </w:r>
      <w:r w:rsidR="00DD6EA4" w:rsidRPr="00F74CE2">
        <w:rPr>
          <w:sz w:val="18"/>
          <w:szCs w:val="18"/>
        </w:rPr>
        <w:t xml:space="preserve"> schodek obchodu se základními kovy o </w:t>
      </w:r>
      <w:r w:rsidR="00F74CE2" w:rsidRPr="00F74CE2">
        <w:rPr>
          <w:sz w:val="18"/>
          <w:szCs w:val="18"/>
        </w:rPr>
        <w:t>29,4</w:t>
      </w:r>
      <w:r w:rsidR="00DD6EA4" w:rsidRPr="00F74CE2">
        <w:rPr>
          <w:sz w:val="18"/>
          <w:szCs w:val="18"/>
        </w:rPr>
        <w:t xml:space="preserve"> mld. K</w:t>
      </w:r>
      <w:r w:rsidR="00F74CE2">
        <w:rPr>
          <w:sz w:val="18"/>
          <w:szCs w:val="18"/>
        </w:rPr>
        <w:t xml:space="preserve">č, rafinovanými ropnými produkty o 22,8 mld. Kč a </w:t>
      </w:r>
      <w:r w:rsidR="00F74CE2" w:rsidRPr="00F74CE2">
        <w:rPr>
          <w:sz w:val="18"/>
          <w:szCs w:val="18"/>
        </w:rPr>
        <w:t>elektrickými zařízeními o 21,6 mld. Kč</w:t>
      </w:r>
      <w:r w:rsidR="00F74CE2">
        <w:rPr>
          <w:sz w:val="18"/>
          <w:szCs w:val="18"/>
        </w:rPr>
        <w:t>.</w:t>
      </w:r>
    </w:p>
    <w:p w:rsidR="00081ABA" w:rsidRPr="00962B1E" w:rsidRDefault="00081ABA" w:rsidP="00081ABA">
      <w:pPr>
        <w:spacing w:after="160"/>
        <w:rPr>
          <w:bCs/>
          <w:sz w:val="18"/>
          <w:szCs w:val="18"/>
        </w:rPr>
      </w:pPr>
      <w:r w:rsidRPr="00F74CE2">
        <w:rPr>
          <w:b/>
          <w:sz w:val="18"/>
          <w:szCs w:val="18"/>
        </w:rPr>
        <w:t>Příznivý vliv</w:t>
      </w:r>
      <w:r w:rsidRPr="00F74CE2">
        <w:rPr>
          <w:sz w:val="18"/>
          <w:szCs w:val="18"/>
        </w:rPr>
        <w:t xml:space="preserve"> na celkové saldo zahraničního obchodu se zbožím </w:t>
      </w:r>
      <w:r>
        <w:rPr>
          <w:rFonts w:cs="Arial"/>
          <w:color w:val="000000" w:themeColor="text1"/>
          <w:sz w:val="18"/>
          <w:szCs w:val="18"/>
        </w:rPr>
        <w:t>měla</w:t>
      </w:r>
      <w:r w:rsidRPr="00FA7AB5">
        <w:rPr>
          <w:rFonts w:cs="Arial"/>
          <w:color w:val="000000" w:themeColor="text1"/>
          <w:sz w:val="18"/>
          <w:szCs w:val="18"/>
        </w:rPr>
        <w:t xml:space="preserve"> </w:t>
      </w:r>
      <w:r w:rsidR="00DB1984">
        <w:rPr>
          <w:rFonts w:cs="Arial"/>
          <w:color w:val="000000" w:themeColor="text1"/>
          <w:sz w:val="18"/>
          <w:szCs w:val="18"/>
        </w:rPr>
        <w:t>zejména</w:t>
      </w:r>
      <w:r w:rsidRPr="00FA7AB5">
        <w:rPr>
          <w:rFonts w:cs="Arial"/>
          <w:color w:val="000000" w:themeColor="text1"/>
          <w:sz w:val="18"/>
          <w:szCs w:val="18"/>
        </w:rPr>
        <w:t xml:space="preserve"> </w:t>
      </w:r>
      <w:r w:rsidRPr="00FA7AB5">
        <w:rPr>
          <w:rFonts w:cs="Arial"/>
          <w:b/>
          <w:color w:val="000000" w:themeColor="text1"/>
          <w:sz w:val="18"/>
          <w:szCs w:val="18"/>
        </w:rPr>
        <w:t>motorová vozidla</w:t>
      </w:r>
      <w:r w:rsidRPr="00FA7AB5">
        <w:rPr>
          <w:rFonts w:cs="Arial"/>
          <w:color w:val="000000" w:themeColor="text1"/>
          <w:sz w:val="18"/>
          <w:szCs w:val="18"/>
        </w:rPr>
        <w:t xml:space="preserve"> (včetně dílů a příslušenství). V roce 202</w:t>
      </w:r>
      <w:r>
        <w:rPr>
          <w:rFonts w:cs="Arial"/>
          <w:color w:val="000000" w:themeColor="text1"/>
          <w:sz w:val="18"/>
          <w:szCs w:val="18"/>
        </w:rPr>
        <w:t>2</w:t>
      </w:r>
      <w:r w:rsidRPr="00FA7AB5">
        <w:rPr>
          <w:rFonts w:cs="Arial"/>
          <w:color w:val="000000" w:themeColor="text1"/>
          <w:sz w:val="18"/>
          <w:szCs w:val="18"/>
        </w:rPr>
        <w:t xml:space="preserve"> skončila bilance </w:t>
      </w:r>
      <w:r w:rsidR="00771825">
        <w:rPr>
          <w:rFonts w:cs="Arial"/>
          <w:color w:val="000000" w:themeColor="text1"/>
          <w:sz w:val="18"/>
          <w:szCs w:val="18"/>
        </w:rPr>
        <w:t xml:space="preserve">jejich obchodu </w:t>
      </w:r>
      <w:r w:rsidRPr="00FA7AB5">
        <w:rPr>
          <w:rFonts w:cs="Arial"/>
          <w:color w:val="000000" w:themeColor="text1"/>
          <w:sz w:val="18"/>
          <w:szCs w:val="18"/>
        </w:rPr>
        <w:t xml:space="preserve">přebytkem 460,5 mld. Kč, </w:t>
      </w:r>
      <w:r w:rsidRPr="00FA7AB5">
        <w:rPr>
          <w:rStyle w:val="Siln"/>
          <w:b w:val="0"/>
          <w:color w:val="000000" w:themeColor="text1"/>
          <w:sz w:val="18"/>
          <w:szCs w:val="18"/>
        </w:rPr>
        <w:t>což byl meziročně o</w:t>
      </w:r>
      <w:r>
        <w:rPr>
          <w:rStyle w:val="Siln"/>
          <w:b w:val="0"/>
          <w:color w:val="000000" w:themeColor="text1"/>
          <w:sz w:val="18"/>
          <w:szCs w:val="18"/>
        </w:rPr>
        <w:t xml:space="preserve"> 34,4</w:t>
      </w:r>
      <w:r w:rsidRPr="00C224AB">
        <w:rPr>
          <w:rStyle w:val="Siln"/>
          <w:b w:val="0"/>
          <w:color w:val="FF0000"/>
          <w:sz w:val="18"/>
          <w:szCs w:val="18"/>
        </w:rPr>
        <w:t> </w:t>
      </w:r>
      <w:r w:rsidRPr="00FA7AB5">
        <w:rPr>
          <w:rStyle w:val="Siln"/>
          <w:b w:val="0"/>
          <w:color w:val="000000" w:themeColor="text1"/>
          <w:sz w:val="18"/>
          <w:szCs w:val="18"/>
        </w:rPr>
        <w:t xml:space="preserve">mld. Kč lepší výsledek. Vývoz </w:t>
      </w:r>
      <w:r>
        <w:rPr>
          <w:rStyle w:val="Siln"/>
          <w:b w:val="0"/>
          <w:color w:val="000000" w:themeColor="text1"/>
          <w:sz w:val="18"/>
          <w:szCs w:val="18"/>
        </w:rPr>
        <w:t xml:space="preserve">tohoto zboží z České republiky </w:t>
      </w:r>
      <w:r w:rsidRPr="00FA7AB5">
        <w:rPr>
          <w:rStyle w:val="Siln"/>
          <w:b w:val="0"/>
          <w:color w:val="000000" w:themeColor="text1"/>
          <w:sz w:val="18"/>
          <w:szCs w:val="18"/>
        </w:rPr>
        <w:t xml:space="preserve">vzrostl o </w:t>
      </w:r>
      <w:r w:rsidRPr="00962B1E">
        <w:rPr>
          <w:rStyle w:val="Siln"/>
          <w:b w:val="0"/>
          <w:sz w:val="18"/>
          <w:szCs w:val="18"/>
        </w:rPr>
        <w:t xml:space="preserve">101,7 mld. Kč na </w:t>
      </w:r>
      <w:r>
        <w:rPr>
          <w:rStyle w:val="Siln"/>
          <w:b w:val="0"/>
          <w:color w:val="000000" w:themeColor="text1"/>
          <w:sz w:val="18"/>
          <w:szCs w:val="18"/>
        </w:rPr>
        <w:t>1 041,9</w:t>
      </w:r>
      <w:r w:rsidRPr="00FA7AB5">
        <w:rPr>
          <w:rStyle w:val="Siln"/>
          <w:b w:val="0"/>
          <w:color w:val="000000" w:themeColor="text1"/>
          <w:sz w:val="18"/>
          <w:szCs w:val="18"/>
        </w:rPr>
        <w:t xml:space="preserve"> mld. Kč a dovoz </w:t>
      </w:r>
      <w:r>
        <w:rPr>
          <w:rStyle w:val="Siln"/>
          <w:b w:val="0"/>
          <w:color w:val="000000" w:themeColor="text1"/>
          <w:sz w:val="18"/>
          <w:szCs w:val="18"/>
        </w:rPr>
        <w:t xml:space="preserve">do Česka </w:t>
      </w:r>
      <w:r w:rsidR="00771825">
        <w:rPr>
          <w:rStyle w:val="Siln"/>
          <w:b w:val="0"/>
          <w:color w:val="000000" w:themeColor="text1"/>
          <w:sz w:val="18"/>
          <w:szCs w:val="18"/>
        </w:rPr>
        <w:t xml:space="preserve">stoupl </w:t>
      </w:r>
      <w:r w:rsidRPr="00962B1E">
        <w:rPr>
          <w:rStyle w:val="Siln"/>
          <w:b w:val="0"/>
          <w:sz w:val="18"/>
          <w:szCs w:val="18"/>
        </w:rPr>
        <w:t>o 67,8</w:t>
      </w:r>
      <w:r>
        <w:rPr>
          <w:rStyle w:val="Siln"/>
          <w:b w:val="0"/>
          <w:sz w:val="18"/>
          <w:szCs w:val="18"/>
        </w:rPr>
        <w:t xml:space="preserve"> mld. Kč na </w:t>
      </w:r>
      <w:r w:rsidRPr="00962B1E">
        <w:rPr>
          <w:rStyle w:val="Siln"/>
          <w:b w:val="0"/>
          <w:sz w:val="18"/>
          <w:szCs w:val="18"/>
        </w:rPr>
        <w:t>581,4</w:t>
      </w:r>
      <w:r>
        <w:rPr>
          <w:rStyle w:val="Siln"/>
          <w:b w:val="0"/>
          <w:sz w:val="18"/>
          <w:szCs w:val="18"/>
        </w:rPr>
        <w:t> </w:t>
      </w:r>
      <w:r w:rsidRPr="00962B1E">
        <w:rPr>
          <w:rStyle w:val="Siln"/>
          <w:b w:val="0"/>
          <w:sz w:val="18"/>
          <w:szCs w:val="18"/>
        </w:rPr>
        <w:t>mld. Kč.</w:t>
      </w:r>
    </w:p>
    <w:p w:rsidR="00DD6EA4" w:rsidRPr="00962B1E" w:rsidRDefault="0057482D" w:rsidP="00873E3B">
      <w:pPr>
        <w:spacing w:after="160"/>
        <w:rPr>
          <w:sz w:val="18"/>
          <w:szCs w:val="18"/>
        </w:rPr>
      </w:pPr>
      <w:r w:rsidRPr="0057482D">
        <w:rPr>
          <w:sz w:val="18"/>
          <w:szCs w:val="18"/>
        </w:rPr>
        <w:t>Zvýšil se také</w:t>
      </w:r>
      <w:r w:rsidR="00DD6EA4" w:rsidRPr="0057482D">
        <w:rPr>
          <w:sz w:val="18"/>
          <w:szCs w:val="18"/>
        </w:rPr>
        <w:t xml:space="preserve"> přebytek </w:t>
      </w:r>
      <w:r w:rsidR="00104DCD" w:rsidRPr="00F74CE2">
        <w:rPr>
          <w:sz w:val="18"/>
          <w:szCs w:val="18"/>
        </w:rPr>
        <w:t>obchodu s elektřinou o </w:t>
      </w:r>
      <w:r w:rsidR="00F74CE2">
        <w:rPr>
          <w:sz w:val="18"/>
          <w:szCs w:val="18"/>
        </w:rPr>
        <w:t>46,6</w:t>
      </w:r>
      <w:r w:rsidR="00104DCD" w:rsidRPr="00F74CE2">
        <w:rPr>
          <w:sz w:val="18"/>
          <w:szCs w:val="18"/>
        </w:rPr>
        <w:t xml:space="preserve"> mld. Kč vlivem růstu ceny a vyššího vyvezeného množství </w:t>
      </w:r>
      <w:r w:rsidR="00104DCD" w:rsidRPr="00962B1E">
        <w:rPr>
          <w:sz w:val="18"/>
          <w:szCs w:val="18"/>
        </w:rPr>
        <w:t>elektřiny</w:t>
      </w:r>
      <w:r w:rsidR="00AB29B6" w:rsidRPr="00962B1E">
        <w:rPr>
          <w:sz w:val="18"/>
          <w:szCs w:val="18"/>
        </w:rPr>
        <w:t xml:space="preserve">. </w:t>
      </w:r>
      <w:r w:rsidR="00DB1984">
        <w:rPr>
          <w:sz w:val="18"/>
          <w:szCs w:val="18"/>
        </w:rPr>
        <w:t>U</w:t>
      </w:r>
      <w:r w:rsidR="00AB29B6" w:rsidRPr="00962B1E">
        <w:rPr>
          <w:sz w:val="18"/>
          <w:szCs w:val="18"/>
        </w:rPr>
        <w:t xml:space="preserve"> </w:t>
      </w:r>
      <w:r w:rsidR="00962B1E" w:rsidRPr="00962B1E">
        <w:rPr>
          <w:sz w:val="18"/>
          <w:szCs w:val="18"/>
        </w:rPr>
        <w:t>kovodělných výrobků</w:t>
      </w:r>
      <w:r w:rsidR="000755BD" w:rsidRPr="00962B1E">
        <w:rPr>
          <w:sz w:val="18"/>
          <w:szCs w:val="18"/>
        </w:rPr>
        <w:t xml:space="preserve"> </w:t>
      </w:r>
      <w:r w:rsidR="00DB1984">
        <w:rPr>
          <w:sz w:val="18"/>
          <w:szCs w:val="18"/>
        </w:rPr>
        <w:t xml:space="preserve">se </w:t>
      </w:r>
      <w:r w:rsidR="00303D4A">
        <w:rPr>
          <w:sz w:val="18"/>
          <w:szCs w:val="18"/>
        </w:rPr>
        <w:t xml:space="preserve">kladná </w:t>
      </w:r>
      <w:r w:rsidR="00DB1984">
        <w:rPr>
          <w:sz w:val="18"/>
          <w:szCs w:val="18"/>
        </w:rPr>
        <w:t xml:space="preserve">bilance zlepšila </w:t>
      </w:r>
      <w:r w:rsidR="000755BD" w:rsidRPr="00962B1E">
        <w:rPr>
          <w:sz w:val="18"/>
          <w:szCs w:val="18"/>
        </w:rPr>
        <w:t>o </w:t>
      </w:r>
      <w:r w:rsidR="00962B1E" w:rsidRPr="00962B1E">
        <w:rPr>
          <w:sz w:val="18"/>
          <w:szCs w:val="18"/>
        </w:rPr>
        <w:t>9,1</w:t>
      </w:r>
      <w:r w:rsidR="000755BD" w:rsidRPr="00962B1E">
        <w:rPr>
          <w:sz w:val="18"/>
          <w:szCs w:val="18"/>
        </w:rPr>
        <w:t> mld. </w:t>
      </w:r>
      <w:r w:rsidR="00104DCD" w:rsidRPr="00962B1E">
        <w:rPr>
          <w:sz w:val="18"/>
          <w:szCs w:val="18"/>
        </w:rPr>
        <w:t>Kč.</w:t>
      </w:r>
    </w:p>
    <w:p w:rsidR="00C91DD7" w:rsidRPr="00E075D3" w:rsidRDefault="00C91DD7" w:rsidP="00C91DD7">
      <w:pPr>
        <w:spacing w:after="120"/>
        <w:rPr>
          <w:rFonts w:cs="Arial"/>
          <w:sz w:val="18"/>
          <w:szCs w:val="18"/>
        </w:rPr>
      </w:pPr>
      <w:r w:rsidRPr="00E075D3">
        <w:rPr>
          <w:rFonts w:cs="Arial"/>
          <w:b/>
          <w:sz w:val="18"/>
          <w:szCs w:val="18"/>
        </w:rPr>
        <w:t xml:space="preserve">Podíl </w:t>
      </w:r>
      <w:r w:rsidRPr="00E075D3">
        <w:rPr>
          <w:rFonts w:cs="Arial"/>
          <w:sz w:val="18"/>
          <w:szCs w:val="18"/>
        </w:rPr>
        <w:t>zahraničního obchodu se státy EU</w:t>
      </w:r>
      <w:r w:rsidR="00E075D3" w:rsidRPr="00FA7AB5">
        <w:rPr>
          <w:rStyle w:val="Znakapoznpodarou"/>
          <w:bCs/>
          <w:color w:val="000000" w:themeColor="text1"/>
          <w:szCs w:val="18"/>
        </w:rPr>
        <w:footnoteReference w:id="3"/>
      </w:r>
      <w:r w:rsidRPr="00E075D3">
        <w:rPr>
          <w:rFonts w:cs="Arial"/>
          <w:sz w:val="18"/>
          <w:szCs w:val="18"/>
        </w:rPr>
        <w:t xml:space="preserve"> na celkovém </w:t>
      </w:r>
      <w:r w:rsidRPr="00E075D3">
        <w:rPr>
          <w:rFonts w:cs="Arial"/>
          <w:b/>
          <w:sz w:val="18"/>
          <w:szCs w:val="18"/>
        </w:rPr>
        <w:t>obratu</w:t>
      </w:r>
      <w:r w:rsidRPr="00E075D3">
        <w:rPr>
          <w:rFonts w:cs="Arial"/>
          <w:sz w:val="18"/>
          <w:szCs w:val="18"/>
        </w:rPr>
        <w:t xml:space="preserve"> zahraničního obchodu České republiky v roce 20</w:t>
      </w:r>
      <w:r w:rsidR="00313172" w:rsidRPr="00E075D3">
        <w:rPr>
          <w:rFonts w:cs="Arial"/>
          <w:sz w:val="18"/>
          <w:szCs w:val="18"/>
        </w:rPr>
        <w:t>22</w:t>
      </w:r>
      <w:r w:rsidRPr="00E075D3">
        <w:rPr>
          <w:rFonts w:cs="Arial"/>
          <w:sz w:val="18"/>
          <w:szCs w:val="18"/>
        </w:rPr>
        <w:t xml:space="preserve"> dosáhl</w:t>
      </w:r>
      <w:r w:rsidRPr="00E075D3">
        <w:rPr>
          <w:rFonts w:cs="Arial"/>
          <w:color w:val="FF0000"/>
          <w:sz w:val="18"/>
          <w:szCs w:val="18"/>
        </w:rPr>
        <w:t xml:space="preserve"> </w:t>
      </w:r>
      <w:r w:rsidR="00313172" w:rsidRPr="00E075D3">
        <w:rPr>
          <w:rFonts w:cs="Arial"/>
          <w:sz w:val="18"/>
          <w:szCs w:val="18"/>
        </w:rPr>
        <w:t>70,0</w:t>
      </w:r>
      <w:r w:rsidRPr="00E075D3">
        <w:rPr>
          <w:rFonts w:cs="Arial"/>
          <w:sz w:val="18"/>
          <w:szCs w:val="18"/>
        </w:rPr>
        <w:t xml:space="preserve"> % (</w:t>
      </w:r>
      <w:r w:rsidR="00313172" w:rsidRPr="00E075D3">
        <w:rPr>
          <w:rFonts w:cs="Arial"/>
          <w:sz w:val="18"/>
          <w:szCs w:val="18"/>
        </w:rPr>
        <w:t>6 312,8</w:t>
      </w:r>
      <w:r w:rsidRPr="00E075D3">
        <w:rPr>
          <w:rFonts w:cs="Arial"/>
          <w:sz w:val="18"/>
          <w:szCs w:val="18"/>
        </w:rPr>
        <w:t xml:space="preserve"> mld. Kč), přičemž na obchod se státy mimo EU</w:t>
      </w:r>
      <w:r w:rsidRPr="00E075D3">
        <w:rPr>
          <w:rFonts w:cs="Arial"/>
          <w:color w:val="FF0000"/>
          <w:sz w:val="18"/>
          <w:szCs w:val="18"/>
        </w:rPr>
        <w:t xml:space="preserve"> </w:t>
      </w:r>
      <w:r w:rsidRPr="00E075D3">
        <w:rPr>
          <w:rFonts w:cs="Arial"/>
          <w:sz w:val="18"/>
          <w:szCs w:val="18"/>
        </w:rPr>
        <w:t xml:space="preserve">připadlo </w:t>
      </w:r>
      <w:r w:rsidR="00313172" w:rsidRPr="00E075D3">
        <w:rPr>
          <w:rFonts w:cs="Arial"/>
          <w:sz w:val="18"/>
          <w:szCs w:val="18"/>
        </w:rPr>
        <w:t>29,7</w:t>
      </w:r>
      <w:r w:rsidRPr="00E075D3">
        <w:rPr>
          <w:rFonts w:cs="Arial"/>
          <w:sz w:val="18"/>
          <w:szCs w:val="18"/>
        </w:rPr>
        <w:t xml:space="preserve"> % (</w:t>
      </w:r>
      <w:r w:rsidR="00E075D3" w:rsidRPr="00E075D3">
        <w:rPr>
          <w:rFonts w:cs="Arial"/>
          <w:sz w:val="18"/>
          <w:szCs w:val="18"/>
        </w:rPr>
        <w:t>2 675,1</w:t>
      </w:r>
      <w:r w:rsidRPr="00E075D3">
        <w:rPr>
          <w:rFonts w:cs="Arial"/>
          <w:sz w:val="18"/>
          <w:szCs w:val="18"/>
        </w:rPr>
        <w:t xml:space="preserve"> mld. Kč).</w:t>
      </w:r>
    </w:p>
    <w:p w:rsidR="00104DCD" w:rsidRPr="005B23A7" w:rsidRDefault="00104DCD" w:rsidP="00104DCD">
      <w:pPr>
        <w:spacing w:after="160"/>
        <w:rPr>
          <w:bCs/>
          <w:sz w:val="18"/>
          <w:szCs w:val="18"/>
        </w:rPr>
      </w:pPr>
      <w:r w:rsidRPr="00FA7AB5">
        <w:rPr>
          <w:b/>
          <w:bCs/>
          <w:color w:val="000000" w:themeColor="text1"/>
          <w:sz w:val="18"/>
          <w:szCs w:val="18"/>
        </w:rPr>
        <w:t>Přebytek zahraničního obchodu se státy Evropské unie</w:t>
      </w:r>
      <w:r w:rsidRPr="00FA7AB5">
        <w:rPr>
          <w:bCs/>
          <w:color w:val="000000" w:themeColor="text1"/>
          <w:sz w:val="18"/>
          <w:szCs w:val="18"/>
        </w:rPr>
        <w:t xml:space="preserve"> dosáhl </w:t>
      </w:r>
      <w:r w:rsidR="00FA7AB5">
        <w:rPr>
          <w:bCs/>
          <w:color w:val="000000" w:themeColor="text1"/>
          <w:sz w:val="18"/>
          <w:szCs w:val="18"/>
        </w:rPr>
        <w:t>794,2</w:t>
      </w:r>
      <w:r w:rsidRPr="00FA7AB5">
        <w:rPr>
          <w:bCs/>
          <w:color w:val="000000" w:themeColor="text1"/>
          <w:sz w:val="18"/>
          <w:szCs w:val="18"/>
        </w:rPr>
        <w:t xml:space="preserve"> mld. Kč a byl proti roku 202</w:t>
      </w:r>
      <w:r w:rsidR="00FA7AB5">
        <w:rPr>
          <w:bCs/>
          <w:color w:val="000000" w:themeColor="text1"/>
          <w:sz w:val="18"/>
          <w:szCs w:val="18"/>
        </w:rPr>
        <w:t>1</w:t>
      </w:r>
      <w:r w:rsidRPr="00FA7AB5">
        <w:rPr>
          <w:bCs/>
          <w:color w:val="000000" w:themeColor="text1"/>
          <w:sz w:val="18"/>
          <w:szCs w:val="18"/>
        </w:rPr>
        <w:t xml:space="preserve"> o </w:t>
      </w:r>
      <w:r w:rsidR="00FA7AB5" w:rsidRPr="00FA7AB5">
        <w:rPr>
          <w:bCs/>
          <w:color w:val="000000" w:themeColor="text1"/>
          <w:sz w:val="18"/>
          <w:szCs w:val="18"/>
        </w:rPr>
        <w:t>15</w:t>
      </w:r>
      <w:r w:rsidR="00E075D3">
        <w:rPr>
          <w:bCs/>
          <w:color w:val="000000" w:themeColor="text1"/>
          <w:sz w:val="18"/>
          <w:szCs w:val="18"/>
        </w:rPr>
        <w:t>8</w:t>
      </w:r>
      <w:r w:rsidR="00FA7AB5" w:rsidRPr="00FA7AB5">
        <w:rPr>
          <w:bCs/>
          <w:color w:val="000000" w:themeColor="text1"/>
          <w:sz w:val="18"/>
          <w:szCs w:val="18"/>
        </w:rPr>
        <w:t>,1</w:t>
      </w:r>
      <w:r w:rsidRPr="00FA7AB5">
        <w:rPr>
          <w:bCs/>
          <w:color w:val="000000" w:themeColor="text1"/>
          <w:sz w:val="18"/>
          <w:szCs w:val="18"/>
        </w:rPr>
        <w:t xml:space="preserve"> mld. Kč vyšší. Největší přírůstek aktiva byl zaznamenán v obchodě s </w:t>
      </w:r>
      <w:r w:rsidRPr="005B23A7">
        <w:rPr>
          <w:bCs/>
          <w:sz w:val="18"/>
          <w:szCs w:val="18"/>
        </w:rPr>
        <w:t>Německem o </w:t>
      </w:r>
      <w:r w:rsidR="005B23A7" w:rsidRPr="005B23A7">
        <w:rPr>
          <w:bCs/>
          <w:sz w:val="18"/>
          <w:szCs w:val="18"/>
        </w:rPr>
        <w:t>65,5</w:t>
      </w:r>
      <w:r w:rsidRPr="005B23A7">
        <w:rPr>
          <w:bCs/>
          <w:sz w:val="18"/>
          <w:szCs w:val="18"/>
        </w:rPr>
        <w:t> mld. Kč</w:t>
      </w:r>
      <w:r w:rsidR="009D6E11" w:rsidRPr="005B23A7">
        <w:rPr>
          <w:bCs/>
          <w:sz w:val="18"/>
          <w:szCs w:val="18"/>
        </w:rPr>
        <w:t>,</w:t>
      </w:r>
      <w:r w:rsidRPr="005B23A7">
        <w:rPr>
          <w:bCs/>
          <w:sz w:val="18"/>
          <w:szCs w:val="18"/>
        </w:rPr>
        <w:t xml:space="preserve"> Slovenskem o </w:t>
      </w:r>
      <w:r w:rsidR="005B23A7" w:rsidRPr="005B23A7">
        <w:rPr>
          <w:bCs/>
          <w:sz w:val="18"/>
          <w:szCs w:val="18"/>
        </w:rPr>
        <w:t>49,7</w:t>
      </w:r>
      <w:r w:rsidRPr="005B23A7">
        <w:rPr>
          <w:bCs/>
          <w:sz w:val="18"/>
          <w:szCs w:val="18"/>
        </w:rPr>
        <w:t xml:space="preserve"> mld. Kč</w:t>
      </w:r>
      <w:r w:rsidR="009D6E11" w:rsidRPr="005B23A7">
        <w:rPr>
          <w:bCs/>
          <w:sz w:val="18"/>
          <w:szCs w:val="18"/>
        </w:rPr>
        <w:t xml:space="preserve"> a </w:t>
      </w:r>
      <w:r w:rsidR="005B23A7">
        <w:rPr>
          <w:bCs/>
          <w:sz w:val="18"/>
          <w:szCs w:val="18"/>
        </w:rPr>
        <w:t>Španělskem</w:t>
      </w:r>
      <w:r w:rsidR="009D6E11" w:rsidRPr="005B23A7">
        <w:rPr>
          <w:bCs/>
          <w:sz w:val="18"/>
          <w:szCs w:val="18"/>
        </w:rPr>
        <w:t xml:space="preserve"> o </w:t>
      </w:r>
      <w:r w:rsidR="005B23A7">
        <w:rPr>
          <w:bCs/>
          <w:sz w:val="18"/>
          <w:szCs w:val="18"/>
        </w:rPr>
        <w:t>11,7</w:t>
      </w:r>
      <w:r w:rsidR="009D6E11" w:rsidRPr="005B23A7">
        <w:rPr>
          <w:bCs/>
          <w:sz w:val="18"/>
          <w:szCs w:val="18"/>
        </w:rPr>
        <w:t xml:space="preserve"> mld. Kč</w:t>
      </w:r>
      <w:r w:rsidRPr="005B23A7">
        <w:rPr>
          <w:bCs/>
          <w:sz w:val="18"/>
          <w:szCs w:val="18"/>
        </w:rPr>
        <w:t xml:space="preserve">. </w:t>
      </w:r>
      <w:r w:rsidR="009D6E11" w:rsidRPr="005B23A7">
        <w:rPr>
          <w:bCs/>
          <w:sz w:val="18"/>
          <w:szCs w:val="18"/>
        </w:rPr>
        <w:t>V roce 202</w:t>
      </w:r>
      <w:r w:rsidR="0022527D">
        <w:rPr>
          <w:bCs/>
          <w:sz w:val="18"/>
          <w:szCs w:val="18"/>
        </w:rPr>
        <w:t>2</w:t>
      </w:r>
      <w:r w:rsidR="009D6E11" w:rsidRPr="005B23A7">
        <w:rPr>
          <w:bCs/>
          <w:sz w:val="18"/>
          <w:szCs w:val="18"/>
        </w:rPr>
        <w:t xml:space="preserve"> </w:t>
      </w:r>
      <w:r w:rsidR="00C17C9F" w:rsidRPr="005B23A7">
        <w:rPr>
          <w:bCs/>
          <w:sz w:val="18"/>
          <w:szCs w:val="18"/>
        </w:rPr>
        <w:t xml:space="preserve">se </w:t>
      </w:r>
      <w:r w:rsidR="009D6E11" w:rsidRPr="005B23A7">
        <w:rPr>
          <w:bCs/>
          <w:sz w:val="18"/>
          <w:szCs w:val="18"/>
        </w:rPr>
        <w:t xml:space="preserve">meziročně </w:t>
      </w:r>
      <w:r w:rsidR="00FC0555" w:rsidRPr="005B23A7">
        <w:rPr>
          <w:bCs/>
          <w:sz w:val="18"/>
          <w:szCs w:val="18"/>
        </w:rPr>
        <w:t>prohloubil</w:t>
      </w:r>
      <w:r w:rsidR="009D6E11" w:rsidRPr="005B23A7">
        <w:rPr>
          <w:bCs/>
          <w:sz w:val="18"/>
          <w:szCs w:val="18"/>
        </w:rPr>
        <w:t xml:space="preserve"> </w:t>
      </w:r>
      <w:r w:rsidR="00771825">
        <w:rPr>
          <w:bCs/>
          <w:sz w:val="18"/>
          <w:szCs w:val="18"/>
        </w:rPr>
        <w:t>schodek obchodu</w:t>
      </w:r>
      <w:r w:rsidR="009D6E11" w:rsidRPr="005B23A7">
        <w:rPr>
          <w:bCs/>
          <w:sz w:val="18"/>
          <w:szCs w:val="18"/>
        </w:rPr>
        <w:t xml:space="preserve"> s Polskem o </w:t>
      </w:r>
      <w:r w:rsidR="005B23A7" w:rsidRPr="005B23A7">
        <w:rPr>
          <w:bCs/>
          <w:sz w:val="18"/>
          <w:szCs w:val="18"/>
        </w:rPr>
        <w:t>29,3</w:t>
      </w:r>
      <w:r w:rsidR="009D6E11" w:rsidRPr="005B23A7">
        <w:rPr>
          <w:bCs/>
          <w:sz w:val="18"/>
          <w:szCs w:val="18"/>
        </w:rPr>
        <w:t xml:space="preserve"> mld. Kč</w:t>
      </w:r>
      <w:r w:rsidR="005B23A7">
        <w:rPr>
          <w:bCs/>
          <w:sz w:val="18"/>
          <w:szCs w:val="18"/>
        </w:rPr>
        <w:t>, naopak s Itálií se záporná bilance zlepšila o 14,4 mld. Kč</w:t>
      </w:r>
      <w:r w:rsidR="009D6E11" w:rsidRPr="005B23A7">
        <w:rPr>
          <w:bCs/>
          <w:sz w:val="18"/>
          <w:szCs w:val="18"/>
        </w:rPr>
        <w:t>.</w:t>
      </w:r>
    </w:p>
    <w:p w:rsidR="00FF6F7B" w:rsidRDefault="009D6E11" w:rsidP="00104DCD">
      <w:pPr>
        <w:spacing w:after="160"/>
        <w:rPr>
          <w:bCs/>
          <w:sz w:val="18"/>
          <w:szCs w:val="18"/>
        </w:rPr>
      </w:pPr>
      <w:r w:rsidRPr="00FA7AB5">
        <w:rPr>
          <w:b/>
          <w:bCs/>
          <w:color w:val="000000" w:themeColor="text1"/>
          <w:sz w:val="18"/>
          <w:szCs w:val="18"/>
        </w:rPr>
        <w:t>Schodek zahraničního obchodu se zbožím se státy mimo Evropskou uni</w:t>
      </w:r>
      <w:r w:rsidR="006378B1">
        <w:rPr>
          <w:b/>
          <w:bCs/>
          <w:color w:val="000000" w:themeColor="text1"/>
          <w:sz w:val="18"/>
          <w:szCs w:val="18"/>
        </w:rPr>
        <w:t>i</w:t>
      </w:r>
      <w:r w:rsidRPr="00FA7AB5">
        <w:rPr>
          <w:bCs/>
          <w:color w:val="000000" w:themeColor="text1"/>
          <w:sz w:val="18"/>
          <w:szCs w:val="18"/>
        </w:rPr>
        <w:t xml:space="preserve"> se meziročně </w:t>
      </w:r>
      <w:r w:rsidR="00690A3A" w:rsidRPr="00FA7AB5">
        <w:rPr>
          <w:bCs/>
          <w:color w:val="000000" w:themeColor="text1"/>
          <w:sz w:val="18"/>
          <w:szCs w:val="18"/>
        </w:rPr>
        <w:t>zvětšil</w:t>
      </w:r>
      <w:r w:rsidRPr="00FA7AB5">
        <w:rPr>
          <w:bCs/>
          <w:color w:val="000000" w:themeColor="text1"/>
          <w:sz w:val="18"/>
          <w:szCs w:val="18"/>
        </w:rPr>
        <w:t xml:space="preserve"> o </w:t>
      </w:r>
      <w:r w:rsidR="00FA7AB5" w:rsidRPr="00FA7AB5">
        <w:rPr>
          <w:bCs/>
          <w:color w:val="000000" w:themeColor="text1"/>
          <w:sz w:val="18"/>
          <w:szCs w:val="18"/>
        </w:rPr>
        <w:t>349,9</w:t>
      </w:r>
      <w:r w:rsidRPr="00FA7AB5">
        <w:rPr>
          <w:bCs/>
          <w:color w:val="000000" w:themeColor="text1"/>
          <w:sz w:val="18"/>
          <w:szCs w:val="18"/>
        </w:rPr>
        <w:t xml:space="preserve"> mld. Kč na </w:t>
      </w:r>
      <w:r w:rsidR="00FA7AB5" w:rsidRPr="00FA7AB5">
        <w:rPr>
          <w:bCs/>
          <w:color w:val="000000" w:themeColor="text1"/>
          <w:sz w:val="18"/>
          <w:szCs w:val="18"/>
        </w:rPr>
        <w:t>970,6</w:t>
      </w:r>
      <w:r w:rsidRPr="00FA7AB5">
        <w:rPr>
          <w:bCs/>
          <w:color w:val="000000" w:themeColor="text1"/>
          <w:sz w:val="18"/>
          <w:szCs w:val="18"/>
        </w:rPr>
        <w:t> mld. Kč</w:t>
      </w:r>
      <w:r w:rsidR="00191F16" w:rsidRPr="00FA7AB5">
        <w:rPr>
          <w:bCs/>
          <w:color w:val="000000" w:themeColor="text1"/>
          <w:sz w:val="18"/>
          <w:szCs w:val="18"/>
        </w:rPr>
        <w:t>, čímž výrazně ovlivnil celkovou hodnotu obchodní bilance České republiky</w:t>
      </w:r>
      <w:r w:rsidRPr="00FA7AB5">
        <w:rPr>
          <w:bCs/>
          <w:color w:val="000000" w:themeColor="text1"/>
          <w:sz w:val="18"/>
          <w:szCs w:val="18"/>
        </w:rPr>
        <w:t>.</w:t>
      </w:r>
      <w:r w:rsidRPr="00FF6F7B">
        <w:rPr>
          <w:bCs/>
          <w:sz w:val="18"/>
          <w:szCs w:val="18"/>
        </w:rPr>
        <w:t xml:space="preserve"> </w:t>
      </w:r>
      <w:r w:rsidR="00FF6F7B">
        <w:rPr>
          <w:bCs/>
          <w:sz w:val="18"/>
          <w:szCs w:val="18"/>
        </w:rPr>
        <w:t>Zvětšil se deficit</w:t>
      </w:r>
      <w:r w:rsidRPr="00FF6F7B">
        <w:rPr>
          <w:bCs/>
          <w:sz w:val="18"/>
          <w:szCs w:val="18"/>
        </w:rPr>
        <w:t xml:space="preserve"> obchodu </w:t>
      </w:r>
      <w:r w:rsidR="00FF6F7B">
        <w:rPr>
          <w:bCs/>
          <w:sz w:val="18"/>
          <w:szCs w:val="18"/>
        </w:rPr>
        <w:t xml:space="preserve">především </w:t>
      </w:r>
      <w:r w:rsidRPr="00FF6F7B">
        <w:rPr>
          <w:bCs/>
          <w:sz w:val="18"/>
          <w:szCs w:val="18"/>
        </w:rPr>
        <w:t xml:space="preserve">s Ruskou federací o </w:t>
      </w:r>
      <w:r w:rsidR="00FF6F7B">
        <w:rPr>
          <w:bCs/>
          <w:sz w:val="18"/>
          <w:szCs w:val="18"/>
        </w:rPr>
        <w:t>162,2</w:t>
      </w:r>
      <w:r w:rsidRPr="00FF6F7B">
        <w:rPr>
          <w:bCs/>
          <w:sz w:val="18"/>
          <w:szCs w:val="18"/>
        </w:rPr>
        <w:t xml:space="preserve"> mld. Kč</w:t>
      </w:r>
      <w:r w:rsidR="00FF6F7B">
        <w:rPr>
          <w:bCs/>
          <w:sz w:val="18"/>
          <w:szCs w:val="18"/>
        </w:rPr>
        <w:t xml:space="preserve"> a Čínou o 114,4 mld. Kč</w:t>
      </w:r>
      <w:r w:rsidR="00771825">
        <w:rPr>
          <w:bCs/>
          <w:sz w:val="18"/>
          <w:szCs w:val="18"/>
        </w:rPr>
        <w:t>, d</w:t>
      </w:r>
      <w:r w:rsidR="00FF6F7B">
        <w:rPr>
          <w:bCs/>
          <w:sz w:val="18"/>
          <w:szCs w:val="18"/>
        </w:rPr>
        <w:t>ále pak s Ázerbájdžánem o 19,0 mld. Kč</w:t>
      </w:r>
      <w:r w:rsidR="002E5794">
        <w:rPr>
          <w:bCs/>
          <w:sz w:val="18"/>
          <w:szCs w:val="18"/>
        </w:rPr>
        <w:t xml:space="preserve"> a </w:t>
      </w:r>
      <w:r w:rsidR="00FF6F7B">
        <w:rPr>
          <w:bCs/>
          <w:sz w:val="18"/>
          <w:szCs w:val="18"/>
        </w:rPr>
        <w:t xml:space="preserve">Korejskou republikou o 12,1 mld. Kč. Přechodem z aktiva do pasiva se zhoršila bilance obchodu s Norskem </w:t>
      </w:r>
      <w:r w:rsidR="002E5794">
        <w:rPr>
          <w:bCs/>
          <w:sz w:val="18"/>
          <w:szCs w:val="18"/>
        </w:rPr>
        <w:t>o 35,3 </w:t>
      </w:r>
      <w:r w:rsidR="00FF6F7B">
        <w:rPr>
          <w:bCs/>
          <w:sz w:val="18"/>
          <w:szCs w:val="18"/>
        </w:rPr>
        <w:t>mld. Kč.</w:t>
      </w:r>
      <w:r w:rsidR="002E5794">
        <w:rPr>
          <w:bCs/>
          <w:sz w:val="18"/>
          <w:szCs w:val="18"/>
        </w:rPr>
        <w:t xml:space="preserve"> Zlepšila se </w:t>
      </w:r>
      <w:r w:rsidR="005F5C1D">
        <w:rPr>
          <w:bCs/>
          <w:sz w:val="18"/>
          <w:szCs w:val="18"/>
        </w:rPr>
        <w:t>záporná</w:t>
      </w:r>
      <w:r w:rsidR="002E5794">
        <w:rPr>
          <w:bCs/>
          <w:sz w:val="18"/>
          <w:szCs w:val="18"/>
        </w:rPr>
        <w:t xml:space="preserve"> bilance s Kazachstánem o 9,6 mld. Kč a </w:t>
      </w:r>
      <w:r w:rsidR="005F5C1D">
        <w:rPr>
          <w:bCs/>
          <w:sz w:val="18"/>
          <w:szCs w:val="18"/>
        </w:rPr>
        <w:t xml:space="preserve">kladná bilance </w:t>
      </w:r>
      <w:r w:rsidR="002E5794">
        <w:rPr>
          <w:bCs/>
          <w:sz w:val="18"/>
          <w:szCs w:val="18"/>
        </w:rPr>
        <w:t>se Švýcarskem o 8,1 mld. Kč.</w:t>
      </w:r>
    </w:p>
    <w:p w:rsidR="00FF6F7B" w:rsidRDefault="00FF6F7B" w:rsidP="00104DCD">
      <w:pPr>
        <w:spacing w:after="160"/>
        <w:rPr>
          <w:bCs/>
          <w:sz w:val="18"/>
          <w:szCs w:val="18"/>
        </w:rPr>
      </w:pPr>
    </w:p>
    <w:p w:rsidR="00765355" w:rsidRDefault="00765355" w:rsidP="006E6ECF">
      <w:pPr>
        <w:spacing w:after="160"/>
        <w:rPr>
          <w:rFonts w:ascii="Tahoma" w:hAnsi="Tahoma" w:cs="Tahoma"/>
          <w:szCs w:val="20"/>
          <w:shd w:val="clear" w:color="auto" w:fill="FFFFFF"/>
        </w:rPr>
      </w:pPr>
    </w:p>
    <w:sectPr w:rsidR="00765355">
      <w:footerReference w:type="even" r:id="rId8"/>
      <w:footerReference w:type="default" r:id="rId9"/>
      <w:pgSz w:w="11906" w:h="16838"/>
      <w:pgMar w:top="1418" w:right="1134" w:bottom="1418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56" w:rsidRDefault="005E5356">
      <w:r>
        <w:separator/>
      </w:r>
    </w:p>
  </w:endnote>
  <w:endnote w:type="continuationSeparator" w:id="0">
    <w:p w:rsidR="005E5356" w:rsidRDefault="005E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74" w:rsidRDefault="006E727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7274" w:rsidRDefault="006E72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74" w:rsidRDefault="006E727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0DB6">
      <w:rPr>
        <w:rStyle w:val="slostrnky"/>
        <w:noProof/>
      </w:rPr>
      <w:t>2</w:t>
    </w:r>
    <w:r>
      <w:rPr>
        <w:rStyle w:val="slostrnky"/>
      </w:rPr>
      <w:fldChar w:fldCharType="end"/>
    </w:r>
  </w:p>
  <w:p w:rsidR="006E7274" w:rsidRDefault="006E72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56" w:rsidRDefault="005E5356">
      <w:r>
        <w:separator/>
      </w:r>
    </w:p>
  </w:footnote>
  <w:footnote w:type="continuationSeparator" w:id="0">
    <w:p w:rsidR="005E5356" w:rsidRDefault="005E5356">
      <w:r>
        <w:continuationSeparator/>
      </w:r>
    </w:p>
  </w:footnote>
  <w:footnote w:id="1">
    <w:p w:rsidR="0086241D" w:rsidRPr="0054218D" w:rsidRDefault="0086241D" w:rsidP="00C22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b/>
          <w:sz w:val="17"/>
          <w:szCs w:val="17"/>
        </w:rPr>
      </w:pPr>
      <w:r w:rsidRPr="0054218D">
        <w:rPr>
          <w:rStyle w:val="Znakapoznpodarou"/>
          <w:sz w:val="17"/>
          <w:szCs w:val="17"/>
        </w:rPr>
        <w:footnoteRef/>
      </w:r>
      <w:r w:rsidR="00B5735C">
        <w:rPr>
          <w:sz w:val="17"/>
          <w:szCs w:val="17"/>
        </w:rPr>
        <w:t xml:space="preserve"> </w:t>
      </w:r>
      <w:r w:rsidR="00C224AB" w:rsidRPr="00C224AB">
        <w:rPr>
          <w:b/>
          <w:bCs/>
          <w:iCs/>
          <w:sz w:val="17"/>
          <w:szCs w:val="17"/>
        </w:rPr>
        <w:t>Statistika zahraničního obchodu se zbožím</w:t>
      </w:r>
      <w:r w:rsidR="00C224AB" w:rsidRPr="00C224AB">
        <w:rPr>
          <w:bCs/>
          <w:iCs/>
          <w:sz w:val="17"/>
          <w:szCs w:val="17"/>
        </w:rPr>
        <w:t xml:space="preserve"> vypovídá o vývozní a dovozní výkonnosti české ekonomiky, tedy i o obchodní bilanci České republiky. K zahraničnímu obchodu dochází ve chvíli, kdy spolu obchodují české subjekty (rezidenti) a zahraniční subjekty (nerezidenti), a samotný pohyb zboží přes hranice pro něj nemusí být rozhodující.</w:t>
      </w:r>
    </w:p>
  </w:footnote>
  <w:footnote w:id="2">
    <w:p w:rsidR="00C224AB" w:rsidRDefault="00C224AB" w:rsidP="00E075D3">
      <w:pPr>
        <w:pStyle w:val="Textpoznpodarou"/>
        <w:spacing w:after="120"/>
      </w:pPr>
      <w:r>
        <w:rPr>
          <w:rStyle w:val="Znakapoznpodarou"/>
        </w:rPr>
        <w:footnoteRef/>
      </w:r>
      <w:r w:rsidR="00B5735C">
        <w:t xml:space="preserve"> </w:t>
      </w:r>
      <w:r w:rsidRPr="0054218D">
        <w:rPr>
          <w:b/>
          <w:iCs/>
          <w:sz w:val="17"/>
          <w:szCs w:val="17"/>
        </w:rPr>
        <w:t>Údaje za rok 20</w:t>
      </w:r>
      <w:r>
        <w:rPr>
          <w:b/>
          <w:iCs/>
          <w:sz w:val="17"/>
          <w:szCs w:val="17"/>
        </w:rPr>
        <w:t>21</w:t>
      </w:r>
      <w:r w:rsidRPr="0054218D">
        <w:rPr>
          <w:b/>
          <w:iCs/>
          <w:sz w:val="17"/>
          <w:szCs w:val="17"/>
        </w:rPr>
        <w:t xml:space="preserve"> a 20</w:t>
      </w:r>
      <w:r>
        <w:rPr>
          <w:b/>
          <w:iCs/>
          <w:sz w:val="17"/>
          <w:szCs w:val="17"/>
        </w:rPr>
        <w:t>22</w:t>
      </w:r>
      <w:r w:rsidRPr="0054218D">
        <w:rPr>
          <w:b/>
          <w:iCs/>
          <w:sz w:val="17"/>
          <w:szCs w:val="17"/>
        </w:rPr>
        <w:t xml:space="preserve"> jsou definitivní.</w:t>
      </w:r>
      <w:r>
        <w:rPr>
          <w:b/>
          <w:iCs/>
          <w:sz w:val="17"/>
          <w:szCs w:val="17"/>
        </w:rPr>
        <w:t xml:space="preserve"> Údaje za zahraniční obchod se zbožím od roku 2020 jsou přepočítávány aktualizovanou metodou založenou na vyšší míře detailu.</w:t>
      </w:r>
    </w:p>
  </w:footnote>
  <w:footnote w:id="3">
    <w:p w:rsidR="00E075D3" w:rsidRPr="00F77A7D" w:rsidRDefault="00E075D3" w:rsidP="00E075D3">
      <w:pPr>
        <w:spacing w:before="120"/>
        <w:rPr>
          <w:rFonts w:cs="Arial"/>
          <w:b/>
          <w:bCs/>
          <w:sz w:val="17"/>
          <w:szCs w:val="17"/>
        </w:rPr>
      </w:pPr>
      <w:r w:rsidRPr="00C92C10">
        <w:rPr>
          <w:rStyle w:val="Znakapoznpodarou"/>
          <w:sz w:val="17"/>
          <w:szCs w:val="17"/>
        </w:rPr>
        <w:footnoteRef/>
      </w:r>
      <w:r w:rsidR="00B5735C">
        <w:rPr>
          <w:sz w:val="17"/>
          <w:szCs w:val="17"/>
        </w:rPr>
        <w:t xml:space="preserve">  </w:t>
      </w:r>
      <w:r w:rsidR="00823756" w:rsidRPr="00F77A7D">
        <w:rPr>
          <w:b/>
          <w:sz w:val="17"/>
          <w:szCs w:val="17"/>
        </w:rPr>
        <w:t>EU (</w:t>
      </w:r>
      <w:r w:rsidRPr="00F77A7D">
        <w:rPr>
          <w:rFonts w:cs="Arial"/>
          <w:b/>
          <w:bCs/>
          <w:sz w:val="17"/>
          <w:szCs w:val="17"/>
        </w:rPr>
        <w:t>Evropská unie</w:t>
      </w:r>
      <w:r w:rsidR="00823756" w:rsidRPr="00F77A7D">
        <w:rPr>
          <w:rFonts w:cs="Arial"/>
          <w:b/>
          <w:bCs/>
          <w:sz w:val="17"/>
          <w:szCs w:val="17"/>
        </w:rPr>
        <w:t>)</w:t>
      </w:r>
      <w:r w:rsidRPr="00F77A7D">
        <w:rPr>
          <w:rFonts w:cs="Arial"/>
          <w:b/>
          <w:bCs/>
          <w:sz w:val="17"/>
          <w:szCs w:val="17"/>
        </w:rPr>
        <w:t xml:space="preserve"> - 27 členských států: </w:t>
      </w:r>
    </w:p>
    <w:p w:rsidR="00E075D3" w:rsidRPr="00DC0EAD" w:rsidRDefault="00E075D3" w:rsidP="00E075D3">
      <w:pPr>
        <w:spacing w:after="120"/>
        <w:rPr>
          <w:rFonts w:cs="Arial"/>
          <w:bCs/>
          <w:sz w:val="17"/>
          <w:szCs w:val="17"/>
        </w:rPr>
      </w:pPr>
      <w:r w:rsidRPr="00C92C10">
        <w:rPr>
          <w:rFonts w:cs="Arial"/>
          <w:bCs/>
          <w:sz w:val="17"/>
          <w:szCs w:val="17"/>
        </w:rPr>
        <w:t xml:space="preserve">Belgie, Bulharsko, Česká republika, Dánsko, Estonsko, Finsko, Francie, Chorvatsko, Irsko, Itálie, Kypr, Litva, Lotyšsko, Lucembursko, Maďarsko, Malta, Německo, Nizozemsko, Polsko, Portugalsko, Rakousko, Rumunsko, Řecko, Slovensko, Slovinsko, Španělsko, Švédsko.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A1"/>
    <w:rsid w:val="00031E03"/>
    <w:rsid w:val="00034AF4"/>
    <w:rsid w:val="00037E9E"/>
    <w:rsid w:val="00065675"/>
    <w:rsid w:val="000755BD"/>
    <w:rsid w:val="00081ABA"/>
    <w:rsid w:val="00097EE2"/>
    <w:rsid w:val="00097EF2"/>
    <w:rsid w:val="000D0A08"/>
    <w:rsid w:val="00104DCD"/>
    <w:rsid w:val="001242DB"/>
    <w:rsid w:val="0012745B"/>
    <w:rsid w:val="00137EC3"/>
    <w:rsid w:val="0016428B"/>
    <w:rsid w:val="00191F16"/>
    <w:rsid w:val="001A02F0"/>
    <w:rsid w:val="001A520D"/>
    <w:rsid w:val="001A74B0"/>
    <w:rsid w:val="001B6335"/>
    <w:rsid w:val="001C0FE8"/>
    <w:rsid w:val="001C59D6"/>
    <w:rsid w:val="001D021F"/>
    <w:rsid w:val="001D0FA4"/>
    <w:rsid w:val="001D3893"/>
    <w:rsid w:val="001E0C4F"/>
    <w:rsid w:val="001E36E8"/>
    <w:rsid w:val="00200120"/>
    <w:rsid w:val="0022527D"/>
    <w:rsid w:val="00231503"/>
    <w:rsid w:val="002463BF"/>
    <w:rsid w:val="002470CC"/>
    <w:rsid w:val="002518B5"/>
    <w:rsid w:val="00252D35"/>
    <w:rsid w:val="002B706D"/>
    <w:rsid w:val="002E5794"/>
    <w:rsid w:val="00300DB6"/>
    <w:rsid w:val="00303D4A"/>
    <w:rsid w:val="00313172"/>
    <w:rsid w:val="00344528"/>
    <w:rsid w:val="00371D34"/>
    <w:rsid w:val="003972AF"/>
    <w:rsid w:val="003D14A9"/>
    <w:rsid w:val="003D1C54"/>
    <w:rsid w:val="003D797C"/>
    <w:rsid w:val="0045301A"/>
    <w:rsid w:val="004828A1"/>
    <w:rsid w:val="00502A15"/>
    <w:rsid w:val="00512EA1"/>
    <w:rsid w:val="005212C2"/>
    <w:rsid w:val="005274A5"/>
    <w:rsid w:val="0054218D"/>
    <w:rsid w:val="0056373D"/>
    <w:rsid w:val="0057482D"/>
    <w:rsid w:val="0058345C"/>
    <w:rsid w:val="00595B06"/>
    <w:rsid w:val="005A5137"/>
    <w:rsid w:val="005B23A7"/>
    <w:rsid w:val="005B3E9D"/>
    <w:rsid w:val="005C1A61"/>
    <w:rsid w:val="005E5356"/>
    <w:rsid w:val="005F5C1D"/>
    <w:rsid w:val="005F6D46"/>
    <w:rsid w:val="006378B1"/>
    <w:rsid w:val="00637E93"/>
    <w:rsid w:val="006559BC"/>
    <w:rsid w:val="006722B7"/>
    <w:rsid w:val="00674F3D"/>
    <w:rsid w:val="0068238B"/>
    <w:rsid w:val="00690A3A"/>
    <w:rsid w:val="006B7C40"/>
    <w:rsid w:val="006D40EC"/>
    <w:rsid w:val="006E6ECF"/>
    <w:rsid w:val="006E7274"/>
    <w:rsid w:val="0072727F"/>
    <w:rsid w:val="00765355"/>
    <w:rsid w:val="00771825"/>
    <w:rsid w:val="007F023A"/>
    <w:rsid w:val="00816CD3"/>
    <w:rsid w:val="00823756"/>
    <w:rsid w:val="00834326"/>
    <w:rsid w:val="00843C42"/>
    <w:rsid w:val="0086241D"/>
    <w:rsid w:val="00862D29"/>
    <w:rsid w:val="00870484"/>
    <w:rsid w:val="00873E3B"/>
    <w:rsid w:val="008C36F4"/>
    <w:rsid w:val="008E5263"/>
    <w:rsid w:val="00913F00"/>
    <w:rsid w:val="0096213C"/>
    <w:rsid w:val="00962B1E"/>
    <w:rsid w:val="009718E0"/>
    <w:rsid w:val="009804C5"/>
    <w:rsid w:val="009851B9"/>
    <w:rsid w:val="009A258C"/>
    <w:rsid w:val="009D6E11"/>
    <w:rsid w:val="00A03125"/>
    <w:rsid w:val="00A057EE"/>
    <w:rsid w:val="00A82DFC"/>
    <w:rsid w:val="00A835AE"/>
    <w:rsid w:val="00AA12EA"/>
    <w:rsid w:val="00AA1BFB"/>
    <w:rsid w:val="00AB29B6"/>
    <w:rsid w:val="00AB3C88"/>
    <w:rsid w:val="00AE44B8"/>
    <w:rsid w:val="00B31EAC"/>
    <w:rsid w:val="00B32463"/>
    <w:rsid w:val="00B52F55"/>
    <w:rsid w:val="00B5735C"/>
    <w:rsid w:val="00B91E5C"/>
    <w:rsid w:val="00BC6718"/>
    <w:rsid w:val="00BD7E31"/>
    <w:rsid w:val="00BF7171"/>
    <w:rsid w:val="00C0070B"/>
    <w:rsid w:val="00C17C9F"/>
    <w:rsid w:val="00C224AB"/>
    <w:rsid w:val="00C31FF3"/>
    <w:rsid w:val="00C84598"/>
    <w:rsid w:val="00C91DD7"/>
    <w:rsid w:val="00C92C10"/>
    <w:rsid w:val="00CA1C97"/>
    <w:rsid w:val="00CA739C"/>
    <w:rsid w:val="00CB282D"/>
    <w:rsid w:val="00CB645E"/>
    <w:rsid w:val="00CB76F3"/>
    <w:rsid w:val="00CC10CF"/>
    <w:rsid w:val="00CC3F07"/>
    <w:rsid w:val="00D04241"/>
    <w:rsid w:val="00D37B05"/>
    <w:rsid w:val="00DA7581"/>
    <w:rsid w:val="00DB1984"/>
    <w:rsid w:val="00DC0EAD"/>
    <w:rsid w:val="00DD18F2"/>
    <w:rsid w:val="00DD5D09"/>
    <w:rsid w:val="00DD6EA4"/>
    <w:rsid w:val="00DF4A4A"/>
    <w:rsid w:val="00E075D3"/>
    <w:rsid w:val="00E336D7"/>
    <w:rsid w:val="00E370EE"/>
    <w:rsid w:val="00E5677A"/>
    <w:rsid w:val="00E65E83"/>
    <w:rsid w:val="00E8598B"/>
    <w:rsid w:val="00E927D4"/>
    <w:rsid w:val="00EA52A8"/>
    <w:rsid w:val="00EC0DE2"/>
    <w:rsid w:val="00ED79AD"/>
    <w:rsid w:val="00EE5CFB"/>
    <w:rsid w:val="00EF7BA4"/>
    <w:rsid w:val="00F55324"/>
    <w:rsid w:val="00F74CE2"/>
    <w:rsid w:val="00F77A7D"/>
    <w:rsid w:val="00F83179"/>
    <w:rsid w:val="00FA0616"/>
    <w:rsid w:val="00FA26DB"/>
    <w:rsid w:val="00FA7AB5"/>
    <w:rsid w:val="00FC0555"/>
    <w:rsid w:val="00FD1AD4"/>
    <w:rsid w:val="00FE53CD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02998-4F4D-466A-AE92-4A455C31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sz w:val="18"/>
    </w:rPr>
  </w:style>
  <w:style w:type="character" w:styleId="Odkaznakoment">
    <w:name w:val="annotation reference"/>
    <w:uiPriority w:val="99"/>
    <w:semiHidden/>
    <w:unhideWhenUsed/>
    <w:rsid w:val="00BC67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6718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C671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71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C6718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7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C671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6718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C6718"/>
    <w:rPr>
      <w:rFonts w:ascii="Arial" w:hAnsi="Arial"/>
    </w:rPr>
  </w:style>
  <w:style w:type="character" w:styleId="Znakapoznpodarou">
    <w:name w:val="footnote reference"/>
    <w:uiPriority w:val="99"/>
    <w:semiHidden/>
    <w:unhideWhenUsed/>
    <w:rsid w:val="00BC6718"/>
    <w:rPr>
      <w:vertAlign w:val="superscript"/>
    </w:rPr>
  </w:style>
  <w:style w:type="character" w:customStyle="1" w:styleId="hgkelc">
    <w:name w:val="hgkelc"/>
    <w:rsid w:val="0086241D"/>
  </w:style>
  <w:style w:type="paragraph" w:styleId="Revize">
    <w:name w:val="Revision"/>
    <w:hidden/>
    <w:uiPriority w:val="99"/>
    <w:semiHidden/>
    <w:rsid w:val="00E336D7"/>
    <w:rPr>
      <w:rFonts w:ascii="Arial" w:hAnsi="Arial"/>
      <w:szCs w:val="24"/>
    </w:rPr>
  </w:style>
  <w:style w:type="character" w:styleId="Siln">
    <w:name w:val="Strong"/>
    <w:basedOn w:val="Standardnpsmoodstavce"/>
    <w:uiPriority w:val="22"/>
    <w:qFormat/>
    <w:rsid w:val="00595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5D633-AC0B-4F16-A744-532C8402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491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Zahraniční obchod podle SKP 2 zaznamenal v 1</vt:lpstr>
    </vt:vector>
  </TitlesOfParts>
  <Company>CSU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Zahraniční obchod podle SKP 2 zaznamenal v 1</dc:title>
  <dc:subject/>
  <dc:creator>system service</dc:creator>
  <cp:keywords/>
  <dc:description/>
  <cp:lastModifiedBy>Bartlová Monika</cp:lastModifiedBy>
  <cp:revision>48</cp:revision>
  <cp:lastPrinted>2023-09-05T08:58:00Z</cp:lastPrinted>
  <dcterms:created xsi:type="dcterms:W3CDTF">2021-09-22T08:33:00Z</dcterms:created>
  <dcterms:modified xsi:type="dcterms:W3CDTF">2023-09-12T08:42:00Z</dcterms:modified>
</cp:coreProperties>
</file>