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5FA2" w14:textId="3B5BA6B1" w:rsidR="00B112AC" w:rsidRPr="00B112AC" w:rsidRDefault="00670C91" w:rsidP="00EC248B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8</w:t>
      </w:r>
      <w:r w:rsidR="006D0540">
        <w:rPr>
          <w:sz w:val="30"/>
          <w:szCs w:val="30"/>
        </w:rPr>
        <w:t xml:space="preserve">.  </w:t>
      </w:r>
      <w:r>
        <w:rPr>
          <w:sz w:val="30"/>
          <w:szCs w:val="30"/>
        </w:rPr>
        <w:t>P</w:t>
      </w:r>
      <w:r w:rsidRPr="00670C91">
        <w:rPr>
          <w:sz w:val="30"/>
          <w:szCs w:val="30"/>
        </w:rPr>
        <w:t>rodej přes webové stránky, mobilní aplikace nebo online tržiště</w:t>
      </w:r>
      <w:r w:rsidR="003E74CB">
        <w:rPr>
          <w:rFonts w:cs="Arial"/>
          <w:sz w:val="30"/>
          <w:szCs w:val="30"/>
        </w:rPr>
        <w:t xml:space="preserve"> </w:t>
      </w:r>
    </w:p>
    <w:p w14:paraId="08449588" w14:textId="0E8ECE03" w:rsidR="000401F3" w:rsidRDefault="00E84F00" w:rsidP="00EC248B">
      <w:pPr>
        <w:pStyle w:val="Zkladntext"/>
        <w:spacing w:before="0" w:after="80" w:line="264" w:lineRule="auto"/>
        <w:ind w:right="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t>Díky webovým stránkám se mohou firmy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velmi efektivně nejen prezentovat a budovat své dobré jméno</w:t>
      </w:r>
      <w:r>
        <w:rPr>
          <w:rFonts w:ascii="Arial" w:hAnsi="Arial" w:cs="Arial"/>
          <w:i/>
          <w:sz w:val="20"/>
          <w:szCs w:val="20"/>
        </w:rPr>
        <w:t>,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ale i</w:t>
      </w:r>
      <w:r w:rsidR="00AF0D57">
        <w:rPr>
          <w:rFonts w:ascii="Arial" w:hAnsi="Arial" w:cs="Arial"/>
          <w:i/>
          <w:sz w:val="20"/>
          <w:szCs w:val="20"/>
        </w:rPr>
        <w:t> 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komunikovat se svými zákazníky či dodavateli. </w:t>
      </w:r>
      <w:r w:rsidR="00385CD1">
        <w:rPr>
          <w:rFonts w:ascii="Arial" w:hAnsi="Arial" w:cs="Arial"/>
          <w:i/>
          <w:sz w:val="20"/>
          <w:szCs w:val="20"/>
        </w:rPr>
        <w:t>V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mnoha případech</w:t>
      </w:r>
      <w:r w:rsidR="003673E5">
        <w:rPr>
          <w:rFonts w:ascii="Arial" w:hAnsi="Arial" w:cs="Arial"/>
          <w:i/>
          <w:sz w:val="20"/>
          <w:szCs w:val="20"/>
        </w:rPr>
        <w:t xml:space="preserve"> </w:t>
      </w:r>
      <w:r w:rsidR="00385CD1">
        <w:rPr>
          <w:rFonts w:ascii="Arial" w:hAnsi="Arial" w:cs="Arial"/>
          <w:i/>
          <w:sz w:val="20"/>
          <w:szCs w:val="20"/>
        </w:rPr>
        <w:t xml:space="preserve">dnes </w:t>
      </w:r>
      <w:r w:rsidR="003673E5">
        <w:rPr>
          <w:rFonts w:ascii="Arial" w:hAnsi="Arial" w:cs="Arial"/>
          <w:i/>
          <w:sz w:val="20"/>
          <w:szCs w:val="20"/>
        </w:rPr>
        <w:t>firmy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přes webové stránky</w:t>
      </w:r>
      <w:r w:rsidR="007743A9">
        <w:rPr>
          <w:rFonts w:ascii="Arial" w:hAnsi="Arial" w:cs="Arial"/>
          <w:i/>
          <w:sz w:val="20"/>
          <w:szCs w:val="20"/>
        </w:rPr>
        <w:t xml:space="preserve"> a aplikace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své zboží či služby</w:t>
      </w:r>
      <w:r w:rsidR="003673E5" w:rsidRPr="003673E5">
        <w:rPr>
          <w:rFonts w:ascii="Arial" w:hAnsi="Arial" w:cs="Arial"/>
          <w:i/>
          <w:sz w:val="20"/>
          <w:szCs w:val="20"/>
        </w:rPr>
        <w:t xml:space="preserve"> </w:t>
      </w:r>
      <w:r w:rsidR="003673E5" w:rsidRPr="00C16BD2">
        <w:rPr>
          <w:rFonts w:ascii="Arial" w:hAnsi="Arial" w:cs="Arial"/>
          <w:i/>
          <w:sz w:val="20"/>
          <w:szCs w:val="20"/>
        </w:rPr>
        <w:t>prodávají</w:t>
      </w:r>
      <w:r>
        <w:rPr>
          <w:rFonts w:ascii="Arial" w:hAnsi="Arial" w:cs="Arial"/>
          <w:i/>
          <w:sz w:val="20"/>
          <w:szCs w:val="20"/>
        </w:rPr>
        <w:t xml:space="preserve"> a tržby z online prodejů tvoří nezanedbatelnou součást jejich celkových tržeb.</w:t>
      </w:r>
      <w:r w:rsidR="000401F3">
        <w:rPr>
          <w:rFonts w:ascii="Arial" w:hAnsi="Arial" w:cs="Arial"/>
          <w:i/>
          <w:sz w:val="20"/>
          <w:szCs w:val="20"/>
        </w:rPr>
        <w:t xml:space="preserve"> </w:t>
      </w:r>
      <w:r w:rsidR="003673E5">
        <w:rPr>
          <w:rFonts w:ascii="Arial" w:hAnsi="Arial" w:cs="Arial"/>
          <w:bCs/>
          <w:i/>
          <w:sz w:val="20"/>
        </w:rPr>
        <w:t>Podnik</w:t>
      </w:r>
      <w:r w:rsidR="007743A9">
        <w:rPr>
          <w:rFonts w:ascii="Arial" w:hAnsi="Arial" w:cs="Arial"/>
          <w:bCs/>
          <w:i/>
          <w:sz w:val="20"/>
        </w:rPr>
        <w:t>ové prodeje</w:t>
      </w:r>
      <w:r w:rsidR="006512EF" w:rsidRPr="006512EF">
        <w:rPr>
          <w:rFonts w:ascii="Arial" w:hAnsi="Arial" w:cs="Arial"/>
          <w:bCs/>
          <w:i/>
          <w:sz w:val="20"/>
        </w:rPr>
        <w:t xml:space="preserve"> </w:t>
      </w:r>
      <w:r w:rsidR="000401F3" w:rsidRPr="006512EF">
        <w:rPr>
          <w:rFonts w:ascii="Arial" w:hAnsi="Arial" w:cs="Arial"/>
          <w:bCs/>
          <w:i/>
          <w:sz w:val="20"/>
        </w:rPr>
        <w:t xml:space="preserve">začínají </w:t>
      </w:r>
      <w:r w:rsidR="000401F3">
        <w:rPr>
          <w:rFonts w:ascii="Arial" w:hAnsi="Arial" w:cs="Arial"/>
          <w:bCs/>
          <w:i/>
          <w:sz w:val="20"/>
        </w:rPr>
        <w:t xml:space="preserve">zvolna pronikat i na online tržiště. </w:t>
      </w:r>
      <w:r w:rsidR="00BF6E22">
        <w:rPr>
          <w:rFonts w:ascii="Arial" w:hAnsi="Arial" w:cs="Arial"/>
          <w:bCs/>
          <w:i/>
          <w:sz w:val="20"/>
        </w:rPr>
        <w:t>V tomto prostředí prodávají v současné době</w:t>
      </w:r>
      <w:r w:rsidR="000401F3">
        <w:rPr>
          <w:rFonts w:ascii="Arial" w:hAnsi="Arial" w:cs="Arial"/>
          <w:bCs/>
          <w:i/>
          <w:sz w:val="20"/>
        </w:rPr>
        <w:t xml:space="preserve"> především </w:t>
      </w:r>
      <w:r w:rsidR="00D05463">
        <w:rPr>
          <w:rFonts w:ascii="Arial" w:hAnsi="Arial" w:cs="Arial"/>
          <w:bCs/>
          <w:i/>
          <w:sz w:val="20"/>
        </w:rPr>
        <w:t>ekonomick</w:t>
      </w:r>
      <w:r w:rsidR="00BF6E22">
        <w:rPr>
          <w:rFonts w:ascii="Arial" w:hAnsi="Arial" w:cs="Arial"/>
          <w:bCs/>
          <w:i/>
          <w:sz w:val="20"/>
        </w:rPr>
        <w:t>é</w:t>
      </w:r>
      <w:r w:rsidR="00D05463">
        <w:rPr>
          <w:rFonts w:ascii="Arial" w:hAnsi="Arial" w:cs="Arial"/>
          <w:bCs/>
          <w:i/>
          <w:sz w:val="20"/>
        </w:rPr>
        <w:t xml:space="preserve"> </w:t>
      </w:r>
      <w:r w:rsidR="000401F3">
        <w:rPr>
          <w:rFonts w:ascii="Arial" w:hAnsi="Arial" w:cs="Arial"/>
          <w:bCs/>
          <w:i/>
          <w:sz w:val="20"/>
        </w:rPr>
        <w:t>subjekt</w:t>
      </w:r>
      <w:r w:rsidR="00BF6E22">
        <w:rPr>
          <w:rFonts w:ascii="Arial" w:hAnsi="Arial" w:cs="Arial"/>
          <w:bCs/>
          <w:i/>
          <w:sz w:val="20"/>
        </w:rPr>
        <w:t>y</w:t>
      </w:r>
      <w:r w:rsidR="000401F3">
        <w:rPr>
          <w:rFonts w:ascii="Arial" w:hAnsi="Arial" w:cs="Arial"/>
          <w:bCs/>
          <w:i/>
          <w:sz w:val="20"/>
        </w:rPr>
        <w:t xml:space="preserve"> působící v cestovním ruchu, zvláště firm</w:t>
      </w:r>
      <w:r w:rsidR="00BF6E22">
        <w:rPr>
          <w:rFonts w:ascii="Arial" w:hAnsi="Arial" w:cs="Arial"/>
          <w:bCs/>
          <w:i/>
          <w:sz w:val="20"/>
        </w:rPr>
        <w:t>y</w:t>
      </w:r>
      <w:r w:rsidR="000401F3">
        <w:rPr>
          <w:rFonts w:ascii="Arial" w:hAnsi="Arial" w:cs="Arial"/>
          <w:bCs/>
          <w:i/>
          <w:sz w:val="20"/>
        </w:rPr>
        <w:t xml:space="preserve"> </w:t>
      </w:r>
      <w:r w:rsidR="00C470BD">
        <w:rPr>
          <w:rFonts w:ascii="Arial" w:hAnsi="Arial" w:cs="Arial"/>
          <w:bCs/>
          <w:i/>
          <w:sz w:val="20"/>
        </w:rPr>
        <w:t xml:space="preserve">v </w:t>
      </w:r>
      <w:r w:rsidR="000401F3">
        <w:rPr>
          <w:rFonts w:ascii="Arial" w:hAnsi="Arial" w:cs="Arial"/>
          <w:bCs/>
          <w:i/>
          <w:sz w:val="20"/>
        </w:rPr>
        <w:t>ubytování.</w:t>
      </w:r>
      <w:r w:rsidR="0090283D">
        <w:rPr>
          <w:rFonts w:ascii="Arial" w:hAnsi="Arial" w:cs="Arial"/>
          <w:bCs/>
          <w:i/>
          <w:sz w:val="20"/>
        </w:rPr>
        <w:t xml:space="preserve"> </w:t>
      </w:r>
    </w:p>
    <w:p w14:paraId="4A29476A" w14:textId="026E9A15" w:rsidR="00A371B7" w:rsidRPr="007477AC" w:rsidRDefault="00A371B7" w:rsidP="00EC248B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otázky v této kapitole se vztahují k roku předcházejícímu šetření, tj. zde konkrétně k roku 20</w:t>
      </w:r>
      <w:r w:rsidR="00A42D7D">
        <w:rPr>
          <w:rFonts w:ascii="Arial" w:hAnsi="Arial" w:cs="Arial"/>
          <w:bCs/>
          <w:i/>
          <w:sz w:val="20"/>
          <w:szCs w:val="20"/>
          <w:lang w:eastAsia="cs-CZ"/>
        </w:rPr>
        <w:t>2</w:t>
      </w:r>
      <w:r w:rsidR="00011264">
        <w:rPr>
          <w:rFonts w:ascii="Arial" w:hAnsi="Arial" w:cs="Arial"/>
          <w:bCs/>
          <w:i/>
          <w:sz w:val="20"/>
          <w:szCs w:val="20"/>
          <w:lang w:eastAsia="cs-CZ"/>
        </w:rPr>
        <w:t>2</w:t>
      </w:r>
      <w:r w:rsidR="00A372F7">
        <w:rPr>
          <w:rFonts w:ascii="Arial" w:hAnsi="Arial" w:cs="Arial"/>
          <w:bCs/>
          <w:i/>
          <w:sz w:val="20"/>
          <w:szCs w:val="20"/>
          <w:lang w:eastAsia="cs-CZ"/>
        </w:rPr>
        <w:t xml:space="preserve">. </w:t>
      </w:r>
      <w:r w:rsidR="0055263E">
        <w:rPr>
          <w:rFonts w:ascii="Arial" w:hAnsi="Arial" w:cs="Arial"/>
          <w:bCs/>
          <w:i/>
          <w:sz w:val="20"/>
          <w:szCs w:val="20"/>
          <w:lang w:eastAsia="cs-CZ"/>
        </w:rPr>
        <w:t>Namísto celého názvu „prodej přes webové stránky, mobilní aplikace nebo online tržiště“ jsou v textu</w:t>
      </w:r>
      <w:r w:rsidR="00A372F7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  <w:r w:rsidR="0055263E">
        <w:rPr>
          <w:rFonts w:ascii="Arial" w:hAnsi="Arial" w:cs="Arial"/>
          <w:bCs/>
          <w:i/>
          <w:sz w:val="20"/>
          <w:szCs w:val="20"/>
          <w:lang w:eastAsia="cs-CZ"/>
        </w:rPr>
        <w:t xml:space="preserve">používána </w:t>
      </w:r>
      <w:r w:rsidR="00232FC2">
        <w:rPr>
          <w:rFonts w:ascii="Arial" w:hAnsi="Arial" w:cs="Arial"/>
          <w:bCs/>
          <w:i/>
          <w:sz w:val="20"/>
          <w:szCs w:val="20"/>
          <w:lang w:eastAsia="cs-CZ"/>
        </w:rPr>
        <w:t xml:space="preserve">i </w:t>
      </w:r>
      <w:r w:rsidR="00A372F7">
        <w:rPr>
          <w:rFonts w:ascii="Arial" w:hAnsi="Arial" w:cs="Arial"/>
          <w:bCs/>
          <w:i/>
          <w:sz w:val="20"/>
          <w:szCs w:val="20"/>
          <w:lang w:eastAsia="cs-CZ"/>
        </w:rPr>
        <w:t>slovní spojení „prodej přes web“</w:t>
      </w:r>
      <w:r w:rsidR="00FB7330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  <w:r w:rsidR="0055263E">
        <w:rPr>
          <w:rFonts w:ascii="Arial" w:hAnsi="Arial" w:cs="Arial"/>
          <w:bCs/>
          <w:i/>
          <w:sz w:val="20"/>
          <w:szCs w:val="20"/>
          <w:lang w:eastAsia="cs-CZ"/>
        </w:rPr>
        <w:t xml:space="preserve">a </w:t>
      </w:r>
      <w:r w:rsidR="00FB7330">
        <w:rPr>
          <w:rFonts w:ascii="Arial" w:hAnsi="Arial" w:cs="Arial"/>
          <w:bCs/>
          <w:i/>
          <w:sz w:val="20"/>
          <w:szCs w:val="20"/>
          <w:lang w:eastAsia="cs-CZ"/>
        </w:rPr>
        <w:t>„online prodej“</w:t>
      </w:r>
      <w:r w:rsidR="00B65861">
        <w:rPr>
          <w:rFonts w:ascii="Arial" w:hAnsi="Arial" w:cs="Arial"/>
          <w:bCs/>
          <w:i/>
          <w:sz w:val="20"/>
          <w:szCs w:val="20"/>
          <w:lang w:eastAsia="cs-CZ"/>
        </w:rPr>
        <w:t>.</w:t>
      </w:r>
    </w:p>
    <w:p w14:paraId="2CA59283" w14:textId="77777777" w:rsidR="00C16BD2" w:rsidRPr="00790ED6" w:rsidRDefault="00E84F00" w:rsidP="00EC248B">
      <w:pPr>
        <w:spacing w:after="80" w:line="264" w:lineRule="auto"/>
        <w:jc w:val="both"/>
        <w:rPr>
          <w:rFonts w:ascii="Arial" w:hAnsi="Arial" w:cs="Arial"/>
          <w:i/>
          <w:sz w:val="4"/>
          <w:szCs w:val="4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6F27FBB" w14:textId="77777777" w:rsidR="00B112AC" w:rsidRPr="00B112AC" w:rsidRDefault="00B112AC" w:rsidP="00EC248B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14:paraId="001B2877" w14:textId="345339BB" w:rsidR="003E6ED3" w:rsidRPr="002A2199" w:rsidRDefault="00C23868" w:rsidP="00781A83">
      <w:pPr>
        <w:pStyle w:val="Zkladntext"/>
        <w:numPr>
          <w:ilvl w:val="0"/>
          <w:numId w:val="5"/>
        </w:numPr>
        <w:spacing w:before="0" w:after="60" w:line="276" w:lineRule="auto"/>
        <w:ind w:left="284" w:right="0" w:hanging="284"/>
        <w:rPr>
          <w:rFonts w:ascii="Arial" w:eastAsia="Calibri" w:hAnsi="Arial" w:cs="Arial"/>
          <w:spacing w:val="-4"/>
          <w:sz w:val="20"/>
          <w:szCs w:val="22"/>
          <w:lang w:eastAsia="en-US"/>
        </w:rPr>
      </w:pP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V</w:t>
      </w:r>
      <w:r w:rsidR="003E6ED3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 průběhu 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ro</w:t>
      </w:r>
      <w:r w:rsidR="003E6ED3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ku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20</w:t>
      </w:r>
      <w:r w:rsidR="00065DE3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2</w:t>
      </w:r>
      <w:r w:rsidR="001C7FEB">
        <w:rPr>
          <w:rFonts w:ascii="Arial" w:eastAsia="Calibri" w:hAnsi="Arial" w:cs="Arial"/>
          <w:spacing w:val="-4"/>
          <w:sz w:val="20"/>
          <w:szCs w:val="22"/>
          <w:lang w:eastAsia="en-US"/>
        </w:rPr>
        <w:t>2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prodávala v Česku </w:t>
      </w:r>
      <w:r w:rsidRPr="002A219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>přes webové stránky</w:t>
      </w:r>
      <w:r w:rsidR="00FB7330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>, mobilní aplikace nebo online tržiště</w:t>
      </w:r>
      <w:r w:rsidRPr="002A219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 xml:space="preserve"> </w:t>
      </w:r>
      <w:r w:rsidR="00065DE3" w:rsidRPr="002A219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>pětina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="00065DE3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podniků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s deseti a více zaměstnanci. 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T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ento podíl 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je</w:t>
      </w:r>
      <w:r w:rsid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sice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v porovnání s rokem 2007</w:t>
      </w:r>
      <w:r w:rsidR="00A8680F">
        <w:rPr>
          <w:rFonts w:ascii="Arial" w:eastAsia="Calibri" w:hAnsi="Arial" w:cs="Arial"/>
          <w:spacing w:val="-4"/>
          <w:sz w:val="20"/>
          <w:szCs w:val="22"/>
          <w:lang w:eastAsia="en-US"/>
        </w:rPr>
        <w:t>, kdy</w:t>
      </w:r>
      <w:r w:rsidR="00FB7330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online prodávalo 11 % podniků</w:t>
      </w:r>
      <w:r w:rsidR="00A8680F">
        <w:rPr>
          <w:rFonts w:ascii="Arial" w:eastAsia="Calibri" w:hAnsi="Arial" w:cs="Arial"/>
          <w:spacing w:val="-4"/>
          <w:sz w:val="20"/>
          <w:szCs w:val="22"/>
          <w:lang w:eastAsia="en-US"/>
        </w:rPr>
        <w:t>,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téměř dvojnásobný, </w:t>
      </w:r>
      <w:r w:rsidR="00A8680F">
        <w:rPr>
          <w:rFonts w:ascii="Arial" w:eastAsia="Calibri" w:hAnsi="Arial" w:cs="Arial"/>
          <w:spacing w:val="-4"/>
          <w:sz w:val="20"/>
          <w:szCs w:val="22"/>
          <w:lang w:eastAsia="en-US"/>
        </w:rPr>
        <w:t>ale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="006A49D9">
        <w:rPr>
          <w:rFonts w:ascii="Arial" w:eastAsia="Calibri" w:hAnsi="Arial" w:cs="Arial"/>
          <w:spacing w:val="-4"/>
          <w:sz w:val="20"/>
          <w:szCs w:val="22"/>
          <w:lang w:eastAsia="en-US"/>
        </w:rPr>
        <w:t>podíl</w:t>
      </w:r>
      <w:r w:rsidR="006A49D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firem prodávajících své výrobky nebo služby online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se</w:t>
      </w:r>
      <w:r w:rsid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od roku 2012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Pr="002A219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 xml:space="preserve">již </w:t>
      </w:r>
      <w:r w:rsidR="002A2199" w:rsidRPr="002A219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 xml:space="preserve">zásadně </w:t>
      </w:r>
      <w:r w:rsidRPr="002A219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>nemění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a</w:t>
      </w:r>
      <w:r w:rsid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 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pohybu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j</w:t>
      </w:r>
      <w:r w:rsidR="006A49D9">
        <w:rPr>
          <w:rFonts w:ascii="Arial" w:eastAsia="Calibri" w:hAnsi="Arial" w:cs="Arial"/>
          <w:spacing w:val="-4"/>
          <w:sz w:val="20"/>
          <w:szCs w:val="22"/>
          <w:lang w:eastAsia="en-US"/>
        </w:rPr>
        <w:t>e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se </w:t>
      </w:r>
      <w:r w:rsidR="00724CBA">
        <w:rPr>
          <w:rFonts w:ascii="Arial" w:eastAsia="Calibri" w:hAnsi="Arial" w:cs="Arial"/>
          <w:spacing w:val="-4"/>
          <w:sz w:val="20"/>
          <w:szCs w:val="22"/>
          <w:lang w:eastAsia="en-US"/>
        </w:rPr>
        <w:t>okolo</w:t>
      </w:r>
      <w:r w:rsidR="00C25AE8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20 %</w:t>
      </w:r>
      <w:r w:rsidR="003E6ED3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.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</w:p>
    <w:p w14:paraId="2CEC168D" w14:textId="79BA4804" w:rsidR="00C23868" w:rsidRPr="002A2199" w:rsidRDefault="00C23868" w:rsidP="00781A83">
      <w:pPr>
        <w:pStyle w:val="Zkladntext"/>
        <w:numPr>
          <w:ilvl w:val="0"/>
          <w:numId w:val="5"/>
        </w:numPr>
        <w:spacing w:before="0" w:after="60" w:line="276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Na rozdíl od většiny </w:t>
      </w:r>
      <w:r w:rsidR="00FB7330">
        <w:rPr>
          <w:rFonts w:ascii="Arial" w:eastAsia="Calibri" w:hAnsi="Arial" w:cs="Arial"/>
          <w:sz w:val="20"/>
          <w:szCs w:val="22"/>
          <w:lang w:eastAsia="en-US"/>
        </w:rPr>
        <w:t>ostatních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 ICT </w:t>
      </w:r>
      <w:r w:rsidR="003E6ED3" w:rsidRPr="002A2199">
        <w:rPr>
          <w:rFonts w:ascii="Arial" w:eastAsia="Calibri" w:hAnsi="Arial" w:cs="Arial"/>
          <w:sz w:val="20"/>
          <w:szCs w:val="22"/>
          <w:lang w:eastAsia="en-US"/>
        </w:rPr>
        <w:t xml:space="preserve">ukazatelů </w:t>
      </w:r>
      <w:r w:rsidR="00FB7330">
        <w:rPr>
          <w:rFonts w:ascii="Arial" w:eastAsia="Calibri" w:hAnsi="Arial" w:cs="Arial"/>
          <w:sz w:val="20"/>
          <w:szCs w:val="22"/>
          <w:lang w:eastAsia="en-US"/>
        </w:rPr>
        <w:t xml:space="preserve">se </w:t>
      </w:r>
      <w:r w:rsidR="008C4575">
        <w:rPr>
          <w:rFonts w:ascii="Arial" w:eastAsia="Calibri" w:hAnsi="Arial" w:cs="Arial"/>
          <w:sz w:val="20"/>
          <w:szCs w:val="22"/>
          <w:lang w:eastAsia="en-US"/>
        </w:rPr>
        <w:t>rozšíření prodeje přes web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065DE3" w:rsidRPr="002A2199">
        <w:rPr>
          <w:rFonts w:ascii="Arial" w:eastAsia="Calibri" w:hAnsi="Arial" w:cs="Arial"/>
          <w:sz w:val="20"/>
          <w:szCs w:val="22"/>
          <w:lang w:eastAsia="en-US"/>
        </w:rPr>
        <w:t xml:space="preserve">liší 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v závislosti na velikosti </w:t>
      </w:r>
      <w:r w:rsidR="00D05463">
        <w:rPr>
          <w:rFonts w:ascii="Arial" w:eastAsia="Calibri" w:hAnsi="Arial" w:cs="Arial"/>
          <w:sz w:val="20"/>
          <w:szCs w:val="22"/>
          <w:lang w:eastAsia="en-US"/>
        </w:rPr>
        <w:t>podniku</w:t>
      </w:r>
      <w:r w:rsidR="002A2199" w:rsidRPr="002A2199">
        <w:rPr>
          <w:rFonts w:ascii="Arial" w:eastAsia="Calibri" w:hAnsi="Arial" w:cs="Arial"/>
          <w:sz w:val="20"/>
          <w:szCs w:val="22"/>
          <w:lang w:eastAsia="en-US"/>
        </w:rPr>
        <w:t xml:space="preserve"> málo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. </w:t>
      </w:r>
      <w:r w:rsidR="002A2199" w:rsidRPr="002A2199">
        <w:rPr>
          <w:rFonts w:ascii="Arial" w:eastAsia="Calibri" w:hAnsi="Arial" w:cs="Arial"/>
          <w:sz w:val="20"/>
          <w:szCs w:val="22"/>
          <w:lang w:eastAsia="en-US"/>
        </w:rPr>
        <w:t>I zde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 platí, že velké firmy prodáva</w:t>
      </w:r>
      <w:r w:rsidR="003E6ED3" w:rsidRPr="002A2199">
        <w:rPr>
          <w:rFonts w:ascii="Arial" w:eastAsia="Calibri" w:hAnsi="Arial" w:cs="Arial"/>
          <w:sz w:val="20"/>
          <w:szCs w:val="22"/>
          <w:lang w:eastAsia="en-US"/>
        </w:rPr>
        <w:t>jí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 přes web častěji (2</w:t>
      </w:r>
      <w:r w:rsidR="001C7FEB">
        <w:rPr>
          <w:rFonts w:ascii="Arial" w:eastAsia="Calibri" w:hAnsi="Arial" w:cs="Arial"/>
          <w:sz w:val="20"/>
          <w:szCs w:val="22"/>
          <w:lang w:eastAsia="en-US"/>
        </w:rPr>
        <w:t>7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> %</w:t>
      </w:r>
      <w:r w:rsidR="00A8680F">
        <w:rPr>
          <w:rFonts w:ascii="Arial" w:eastAsia="Calibri" w:hAnsi="Arial" w:cs="Arial"/>
          <w:sz w:val="20"/>
          <w:szCs w:val="22"/>
          <w:lang w:eastAsia="en-US"/>
        </w:rPr>
        <w:t xml:space="preserve"> podniků v roce 2022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), ale rozdíl mezi nimi a </w:t>
      </w:r>
      <w:r w:rsidR="00065DE3" w:rsidRPr="002A2199">
        <w:rPr>
          <w:rFonts w:ascii="Arial" w:eastAsia="Calibri" w:hAnsi="Arial" w:cs="Arial"/>
          <w:sz w:val="20"/>
          <w:szCs w:val="22"/>
          <w:lang w:eastAsia="en-US"/>
        </w:rPr>
        <w:t>malými firmami (20 %)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 není výrazný.</w:t>
      </w:r>
    </w:p>
    <w:p w14:paraId="7829F756" w14:textId="79F51A64" w:rsidR="004A0CD3" w:rsidRPr="00AE3D80" w:rsidRDefault="004A0CD3" w:rsidP="00781A83">
      <w:pPr>
        <w:pStyle w:val="Zkladntext"/>
        <w:numPr>
          <w:ilvl w:val="0"/>
          <w:numId w:val="5"/>
        </w:numPr>
        <w:spacing w:before="0" w:after="60" w:line="276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FB7330">
        <w:rPr>
          <w:rFonts w:ascii="Arial" w:eastAsia="Calibri" w:hAnsi="Arial" w:cs="Arial"/>
          <w:b/>
          <w:sz w:val="20"/>
          <w:szCs w:val="22"/>
          <w:lang w:eastAsia="en-US"/>
        </w:rPr>
        <w:t>Nejčastěji</w:t>
      </w:r>
      <w:r w:rsidRPr="00FB7330">
        <w:rPr>
          <w:rFonts w:ascii="Arial" w:eastAsia="Calibri" w:hAnsi="Arial" w:cs="Arial"/>
          <w:sz w:val="20"/>
          <w:szCs w:val="22"/>
          <w:lang w:eastAsia="en-US"/>
        </w:rPr>
        <w:t xml:space="preserve"> prodávají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AE3D80" w:rsidRPr="00AE3D80">
        <w:rPr>
          <w:rFonts w:ascii="Arial" w:eastAsia="Calibri" w:hAnsi="Arial" w:cs="Arial"/>
          <w:sz w:val="20"/>
          <w:szCs w:val="22"/>
          <w:lang w:eastAsia="en-US"/>
        </w:rPr>
        <w:t xml:space="preserve">své produkty </w:t>
      </w:r>
      <w:r w:rsidR="00D748C3">
        <w:rPr>
          <w:rFonts w:ascii="Arial" w:eastAsia="Calibri" w:hAnsi="Arial" w:cs="Arial"/>
          <w:sz w:val="20"/>
          <w:szCs w:val="22"/>
          <w:lang w:eastAsia="en-US"/>
        </w:rPr>
        <w:t>pomocí on-line prodeje</w:t>
      </w:r>
      <w:r w:rsidR="00FB7330">
        <w:rPr>
          <w:rFonts w:ascii="Arial" w:hAnsi="Arial" w:cs="Arial"/>
          <w:b/>
          <w:sz w:val="20"/>
        </w:rPr>
        <w:t xml:space="preserve"> podniky působící v cestovním ruchu</w:t>
      </w:r>
      <w:r w:rsidRPr="00AE3D80">
        <w:rPr>
          <w:rFonts w:ascii="Arial" w:hAnsi="Arial" w:cs="Arial"/>
          <w:b/>
          <w:sz w:val="20"/>
        </w:rPr>
        <w:t xml:space="preserve"> 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>– v roce 20</w:t>
      </w:r>
      <w:r w:rsidR="00065DE3" w:rsidRPr="00AE3D80">
        <w:rPr>
          <w:rFonts w:ascii="Arial" w:eastAsia="Calibri" w:hAnsi="Arial" w:cs="Arial"/>
          <w:sz w:val="20"/>
          <w:szCs w:val="22"/>
          <w:lang w:eastAsia="en-US"/>
        </w:rPr>
        <w:t>2</w:t>
      </w:r>
      <w:r w:rsidR="001C7FEB">
        <w:rPr>
          <w:rFonts w:ascii="Arial" w:eastAsia="Calibri" w:hAnsi="Arial" w:cs="Arial"/>
          <w:sz w:val="20"/>
          <w:szCs w:val="22"/>
          <w:lang w:eastAsia="en-US"/>
        </w:rPr>
        <w:t>2</w:t>
      </w:r>
      <w:r w:rsidR="00065DE3" w:rsidRPr="00AE3D8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C7FEB">
        <w:rPr>
          <w:rFonts w:ascii="Arial" w:eastAsia="Calibri" w:hAnsi="Arial" w:cs="Arial"/>
          <w:sz w:val="20"/>
          <w:szCs w:val="22"/>
          <w:lang w:eastAsia="en-US"/>
        </w:rPr>
        <w:t>do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sáhl podíl prodávajících </w:t>
      </w:r>
      <w:r w:rsidR="00FB7330">
        <w:rPr>
          <w:rFonts w:ascii="Arial" w:eastAsia="Calibri" w:hAnsi="Arial" w:cs="Arial"/>
          <w:sz w:val="20"/>
          <w:szCs w:val="22"/>
          <w:lang w:eastAsia="en-US"/>
        </w:rPr>
        <w:t>v</w:t>
      </w:r>
      <w:r w:rsidR="00065DE3" w:rsidRPr="00AE3D80">
        <w:rPr>
          <w:rFonts w:ascii="Arial" w:eastAsia="Calibri" w:hAnsi="Arial" w:cs="Arial"/>
          <w:sz w:val="20"/>
          <w:szCs w:val="22"/>
          <w:lang w:eastAsia="en-US"/>
        </w:rPr>
        <w:t xml:space="preserve"> odvětví</w:t>
      </w:r>
      <w:r w:rsidR="00C50497" w:rsidRPr="00AE3D8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FB7330">
        <w:rPr>
          <w:rFonts w:ascii="Arial" w:eastAsia="Calibri" w:hAnsi="Arial" w:cs="Arial"/>
          <w:sz w:val="20"/>
          <w:szCs w:val="22"/>
          <w:lang w:eastAsia="en-US"/>
        </w:rPr>
        <w:t xml:space="preserve">činnosti </w:t>
      </w:r>
      <w:r w:rsidR="00FB7330" w:rsidRPr="00FB7330">
        <w:rPr>
          <w:rFonts w:ascii="Arial" w:hAnsi="Arial" w:cs="Arial"/>
          <w:sz w:val="20"/>
        </w:rPr>
        <w:t>cestovních agentur a kanceláří</w:t>
      </w:r>
      <w:r w:rsidR="00FB7330">
        <w:rPr>
          <w:rFonts w:ascii="Arial" w:hAnsi="Arial" w:cs="Arial"/>
          <w:b/>
          <w:sz w:val="20"/>
        </w:rPr>
        <w:t xml:space="preserve"> </w:t>
      </w:r>
      <w:r w:rsidR="00065DE3" w:rsidRPr="00AE3D80">
        <w:rPr>
          <w:rFonts w:ascii="Arial" w:eastAsia="Calibri" w:hAnsi="Arial" w:cs="Arial"/>
          <w:sz w:val="20"/>
          <w:szCs w:val="22"/>
          <w:lang w:eastAsia="en-US"/>
        </w:rPr>
        <w:t>hranici</w:t>
      </w:r>
      <w:r w:rsidR="00C50497" w:rsidRPr="00AE3D8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>7</w:t>
      </w:r>
      <w:r w:rsidR="00065DE3" w:rsidRPr="00AE3D80">
        <w:rPr>
          <w:rFonts w:ascii="Arial" w:eastAsia="Calibri" w:hAnsi="Arial" w:cs="Arial"/>
          <w:sz w:val="20"/>
          <w:szCs w:val="22"/>
          <w:lang w:eastAsia="en-US"/>
        </w:rPr>
        <w:t>0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> %</w:t>
      </w:r>
      <w:r w:rsidR="001C7FEB">
        <w:rPr>
          <w:rFonts w:ascii="Arial" w:eastAsia="Calibri" w:hAnsi="Arial" w:cs="Arial"/>
          <w:sz w:val="20"/>
          <w:szCs w:val="22"/>
          <w:lang w:eastAsia="en-US"/>
        </w:rPr>
        <w:t>, v ubytování to bylo dokonce 72 % podniků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>.</w:t>
      </w:r>
      <w:r w:rsidR="00AE3D80">
        <w:rPr>
          <w:rFonts w:ascii="Arial" w:eastAsia="Calibri" w:hAnsi="Arial" w:cs="Arial"/>
          <w:sz w:val="20"/>
          <w:szCs w:val="22"/>
          <w:lang w:eastAsia="en-US"/>
        </w:rPr>
        <w:t xml:space="preserve"> Nejméně </w:t>
      </w:r>
      <w:r w:rsidR="00124D49">
        <w:rPr>
          <w:rFonts w:ascii="Arial" w:eastAsia="Calibri" w:hAnsi="Arial" w:cs="Arial"/>
          <w:sz w:val="20"/>
          <w:szCs w:val="22"/>
          <w:lang w:eastAsia="en-US"/>
        </w:rPr>
        <w:t xml:space="preserve">prodávají online </w:t>
      </w:r>
      <w:r w:rsidR="00AE3D80">
        <w:rPr>
          <w:rFonts w:ascii="Arial" w:eastAsia="Calibri" w:hAnsi="Arial" w:cs="Arial"/>
          <w:sz w:val="20"/>
          <w:szCs w:val="22"/>
          <w:lang w:eastAsia="en-US"/>
        </w:rPr>
        <w:t>naopak firmy z oboru stavebnictví (</w:t>
      </w:r>
      <w:r w:rsidR="001C7FEB">
        <w:rPr>
          <w:rFonts w:ascii="Arial" w:eastAsia="Calibri" w:hAnsi="Arial" w:cs="Arial"/>
          <w:sz w:val="20"/>
          <w:szCs w:val="22"/>
          <w:lang w:eastAsia="en-US"/>
        </w:rPr>
        <w:t xml:space="preserve">6 %), </w:t>
      </w:r>
      <w:r w:rsidR="00AE3D80">
        <w:rPr>
          <w:rFonts w:ascii="Arial" w:eastAsia="Calibri" w:hAnsi="Arial" w:cs="Arial"/>
          <w:sz w:val="20"/>
          <w:szCs w:val="22"/>
          <w:lang w:eastAsia="en-US"/>
        </w:rPr>
        <w:t>z</w:t>
      </w:r>
      <w:r w:rsidR="001C7FEB">
        <w:rPr>
          <w:rFonts w:ascii="Arial" w:eastAsia="Calibri" w:hAnsi="Arial" w:cs="Arial"/>
          <w:sz w:val="20"/>
          <w:szCs w:val="22"/>
          <w:lang w:eastAsia="en-US"/>
        </w:rPr>
        <w:t> dopravy a skladování</w:t>
      </w:r>
      <w:r w:rsidR="00AE3D80">
        <w:rPr>
          <w:rFonts w:ascii="Arial" w:eastAsia="Calibri" w:hAnsi="Arial" w:cs="Arial"/>
          <w:sz w:val="20"/>
          <w:szCs w:val="22"/>
          <w:lang w:eastAsia="en-US"/>
        </w:rPr>
        <w:t xml:space="preserve"> (</w:t>
      </w:r>
      <w:r w:rsidR="006512EF">
        <w:rPr>
          <w:rFonts w:ascii="Arial" w:eastAsia="Calibri" w:hAnsi="Arial" w:cs="Arial"/>
          <w:sz w:val="20"/>
          <w:szCs w:val="22"/>
          <w:lang w:eastAsia="en-US"/>
        </w:rPr>
        <w:t>8</w:t>
      </w:r>
      <w:r w:rsidR="00AE3D80">
        <w:rPr>
          <w:rFonts w:ascii="Arial" w:eastAsia="Calibri" w:hAnsi="Arial" w:cs="Arial"/>
          <w:sz w:val="20"/>
          <w:szCs w:val="22"/>
          <w:lang w:eastAsia="en-US"/>
        </w:rPr>
        <w:t xml:space="preserve"> %)</w:t>
      </w:r>
      <w:r w:rsidR="001C7FEB">
        <w:rPr>
          <w:rFonts w:ascii="Arial" w:eastAsia="Calibri" w:hAnsi="Arial" w:cs="Arial"/>
          <w:sz w:val="20"/>
          <w:szCs w:val="22"/>
          <w:lang w:eastAsia="en-US"/>
        </w:rPr>
        <w:t xml:space="preserve"> nebo z energetiky (8 %)</w:t>
      </w:r>
      <w:r w:rsidR="00AE3D80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7D029DD7" w14:textId="53A715FB" w:rsidR="008D1319" w:rsidRPr="00D775FF" w:rsidRDefault="008D1319" w:rsidP="00781A83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D775FF">
        <w:rPr>
          <w:rFonts w:ascii="Arial" w:hAnsi="Arial" w:cs="Arial"/>
          <w:sz w:val="20"/>
        </w:rPr>
        <w:t xml:space="preserve">Mezi </w:t>
      </w:r>
      <w:r w:rsidRPr="00D775FF">
        <w:rPr>
          <w:rFonts w:ascii="Arial" w:hAnsi="Arial" w:cs="Arial"/>
          <w:b/>
          <w:sz w:val="20"/>
        </w:rPr>
        <w:t>zeměmi EU2</w:t>
      </w:r>
      <w:r w:rsidR="00C50497" w:rsidRPr="00D775FF">
        <w:rPr>
          <w:rFonts w:ascii="Arial" w:hAnsi="Arial" w:cs="Arial"/>
          <w:b/>
          <w:sz w:val="20"/>
        </w:rPr>
        <w:t>7</w:t>
      </w:r>
      <w:r w:rsidRPr="00D775FF">
        <w:rPr>
          <w:rFonts w:ascii="Arial" w:hAnsi="Arial" w:cs="Arial"/>
          <w:sz w:val="20"/>
        </w:rPr>
        <w:t xml:space="preserve"> se </w:t>
      </w:r>
      <w:r w:rsidR="00A8680F">
        <w:rPr>
          <w:rFonts w:ascii="Arial" w:hAnsi="Arial" w:cs="Arial"/>
          <w:sz w:val="20"/>
        </w:rPr>
        <w:t>tuzemské</w:t>
      </w:r>
      <w:r w:rsidR="00852D63" w:rsidRPr="00D775FF">
        <w:rPr>
          <w:rFonts w:ascii="Arial" w:hAnsi="Arial" w:cs="Arial"/>
          <w:sz w:val="20"/>
        </w:rPr>
        <w:t xml:space="preserve"> </w:t>
      </w:r>
      <w:r w:rsidRPr="00D775FF">
        <w:rPr>
          <w:rFonts w:ascii="Arial" w:hAnsi="Arial" w:cs="Arial"/>
          <w:sz w:val="20"/>
        </w:rPr>
        <w:t xml:space="preserve">firmy </w:t>
      </w:r>
      <w:r w:rsidR="006B3096" w:rsidRPr="00D775FF">
        <w:rPr>
          <w:rFonts w:ascii="Arial" w:hAnsi="Arial" w:cs="Arial"/>
          <w:sz w:val="20"/>
        </w:rPr>
        <w:t>realizující</w:t>
      </w:r>
      <w:r w:rsidR="00FB7330">
        <w:rPr>
          <w:rFonts w:ascii="Arial" w:hAnsi="Arial" w:cs="Arial"/>
          <w:sz w:val="20"/>
        </w:rPr>
        <w:t xml:space="preserve"> online</w:t>
      </w:r>
      <w:r w:rsidR="006B3096" w:rsidRPr="00D775FF">
        <w:rPr>
          <w:rFonts w:ascii="Arial" w:hAnsi="Arial" w:cs="Arial"/>
          <w:sz w:val="20"/>
        </w:rPr>
        <w:t xml:space="preserve"> prodeje </w:t>
      </w:r>
      <w:r w:rsidR="000A3598" w:rsidRPr="00D775FF">
        <w:rPr>
          <w:rFonts w:ascii="Arial" w:hAnsi="Arial" w:cs="Arial"/>
          <w:sz w:val="20"/>
        </w:rPr>
        <w:t>v roce 202</w:t>
      </w:r>
      <w:r w:rsidR="002A1B16" w:rsidRPr="00D775FF">
        <w:rPr>
          <w:rFonts w:ascii="Arial" w:hAnsi="Arial" w:cs="Arial"/>
          <w:sz w:val="20"/>
        </w:rPr>
        <w:t>2</w:t>
      </w:r>
      <w:r w:rsidR="000A3598" w:rsidRPr="00D775FF">
        <w:rPr>
          <w:rFonts w:ascii="Arial" w:hAnsi="Arial" w:cs="Arial"/>
          <w:sz w:val="20"/>
        </w:rPr>
        <w:t xml:space="preserve"> </w:t>
      </w:r>
      <w:r w:rsidRPr="00D775FF">
        <w:rPr>
          <w:rFonts w:ascii="Arial" w:hAnsi="Arial" w:cs="Arial"/>
          <w:sz w:val="20"/>
        </w:rPr>
        <w:t>umístily</w:t>
      </w:r>
      <w:r w:rsidR="00852D63" w:rsidRPr="00D775FF">
        <w:rPr>
          <w:rFonts w:ascii="Arial" w:hAnsi="Arial" w:cs="Arial"/>
          <w:sz w:val="20"/>
        </w:rPr>
        <w:t xml:space="preserve"> </w:t>
      </w:r>
      <w:r w:rsidR="006F61B1">
        <w:rPr>
          <w:rFonts w:ascii="Arial" w:hAnsi="Arial" w:cs="Arial"/>
          <w:sz w:val="20"/>
        </w:rPr>
        <w:t>na</w:t>
      </w:r>
      <w:r w:rsidR="00B30777" w:rsidRPr="006512EF">
        <w:rPr>
          <w:rFonts w:ascii="Arial" w:hAnsi="Arial" w:cs="Arial"/>
          <w:sz w:val="20"/>
        </w:rPr>
        <w:t xml:space="preserve"> průměr</w:t>
      </w:r>
      <w:r w:rsidR="006F61B1">
        <w:rPr>
          <w:rFonts w:ascii="Arial" w:hAnsi="Arial" w:cs="Arial"/>
          <w:sz w:val="20"/>
        </w:rPr>
        <w:t>u</w:t>
      </w:r>
      <w:r w:rsidR="00B30777" w:rsidRPr="00FB7330">
        <w:rPr>
          <w:rFonts w:ascii="Arial" w:hAnsi="Arial" w:cs="Arial"/>
          <w:b/>
          <w:sz w:val="20"/>
        </w:rPr>
        <w:t xml:space="preserve"> </w:t>
      </w:r>
      <w:r w:rsidRPr="00D775FF">
        <w:rPr>
          <w:rFonts w:ascii="Arial" w:hAnsi="Arial" w:cs="Arial"/>
          <w:sz w:val="20"/>
        </w:rPr>
        <w:t xml:space="preserve">evropské </w:t>
      </w:r>
      <w:r w:rsidR="00C50497" w:rsidRPr="00D775FF">
        <w:rPr>
          <w:rFonts w:ascii="Arial" w:hAnsi="Arial" w:cs="Arial"/>
          <w:sz w:val="20"/>
        </w:rPr>
        <w:t>sedmadvacítky</w:t>
      </w:r>
      <w:r w:rsidR="00B30777" w:rsidRPr="00D775FF">
        <w:rPr>
          <w:rFonts w:ascii="Arial" w:hAnsi="Arial" w:cs="Arial"/>
          <w:sz w:val="20"/>
        </w:rPr>
        <w:t>, který v</w:t>
      </w:r>
      <w:r w:rsidR="00D775FF" w:rsidRPr="00D775FF">
        <w:rPr>
          <w:rFonts w:ascii="Arial" w:hAnsi="Arial" w:cs="Arial"/>
          <w:sz w:val="20"/>
        </w:rPr>
        <w:t xml:space="preserve"> tomto </w:t>
      </w:r>
      <w:r w:rsidR="00B30777" w:rsidRPr="00D775FF">
        <w:rPr>
          <w:rFonts w:ascii="Arial" w:hAnsi="Arial" w:cs="Arial"/>
          <w:sz w:val="20"/>
        </w:rPr>
        <w:t>roce činil</w:t>
      </w:r>
      <w:r w:rsidR="000A3598" w:rsidRPr="00D775FF">
        <w:rPr>
          <w:rFonts w:ascii="Arial" w:hAnsi="Arial" w:cs="Arial"/>
          <w:sz w:val="20"/>
        </w:rPr>
        <w:t xml:space="preserve"> </w:t>
      </w:r>
      <w:r w:rsidR="00D775FF" w:rsidRPr="00D775FF">
        <w:rPr>
          <w:rFonts w:ascii="Arial" w:hAnsi="Arial" w:cs="Arial"/>
          <w:sz w:val="20"/>
        </w:rPr>
        <w:t>20</w:t>
      </w:r>
      <w:r w:rsidRPr="00D775FF">
        <w:rPr>
          <w:rFonts w:ascii="Arial" w:hAnsi="Arial" w:cs="Arial"/>
          <w:sz w:val="20"/>
        </w:rPr>
        <w:t> %</w:t>
      </w:r>
      <w:r w:rsidR="006B3096" w:rsidRPr="00D775FF">
        <w:rPr>
          <w:rFonts w:ascii="Arial" w:hAnsi="Arial" w:cs="Arial"/>
          <w:sz w:val="20"/>
        </w:rPr>
        <w:t>.</w:t>
      </w:r>
      <w:r w:rsidRPr="00D775FF">
        <w:rPr>
          <w:rFonts w:ascii="Arial" w:hAnsi="Arial" w:cs="Arial"/>
          <w:sz w:val="20"/>
        </w:rPr>
        <w:t xml:space="preserve"> </w:t>
      </w:r>
      <w:r w:rsidR="003E70D6" w:rsidRPr="00D775FF">
        <w:rPr>
          <w:rFonts w:ascii="Arial" w:hAnsi="Arial" w:cs="Arial"/>
          <w:sz w:val="20"/>
        </w:rPr>
        <w:t xml:space="preserve">První </w:t>
      </w:r>
      <w:r w:rsidR="00232FC2" w:rsidRPr="00D775FF">
        <w:rPr>
          <w:rFonts w:ascii="Arial" w:hAnsi="Arial" w:cs="Arial"/>
          <w:sz w:val="20"/>
        </w:rPr>
        <w:t>příčk</w:t>
      </w:r>
      <w:r w:rsidR="00232FC2">
        <w:rPr>
          <w:rFonts w:ascii="Arial" w:hAnsi="Arial" w:cs="Arial"/>
          <w:sz w:val="20"/>
        </w:rPr>
        <w:t>a</w:t>
      </w:r>
      <w:r w:rsidR="00232FC2" w:rsidRPr="00D775FF">
        <w:rPr>
          <w:rFonts w:ascii="Arial" w:hAnsi="Arial" w:cs="Arial"/>
          <w:sz w:val="20"/>
        </w:rPr>
        <w:t xml:space="preserve"> patřil</w:t>
      </w:r>
      <w:r w:rsidR="00232FC2">
        <w:rPr>
          <w:rFonts w:ascii="Arial" w:hAnsi="Arial" w:cs="Arial"/>
          <w:sz w:val="20"/>
        </w:rPr>
        <w:t>a</w:t>
      </w:r>
      <w:r w:rsidR="00232FC2" w:rsidRPr="00D775FF">
        <w:rPr>
          <w:rFonts w:ascii="Arial" w:hAnsi="Arial" w:cs="Arial"/>
          <w:sz w:val="20"/>
        </w:rPr>
        <w:t xml:space="preserve"> </w:t>
      </w:r>
      <w:r w:rsidR="003E70D6" w:rsidRPr="00D775FF">
        <w:rPr>
          <w:rFonts w:ascii="Arial" w:hAnsi="Arial" w:cs="Arial"/>
          <w:sz w:val="20"/>
        </w:rPr>
        <w:t>v roce 20</w:t>
      </w:r>
      <w:r w:rsidR="002E0AD3" w:rsidRPr="00D775FF">
        <w:rPr>
          <w:rFonts w:ascii="Arial" w:hAnsi="Arial" w:cs="Arial"/>
          <w:sz w:val="20"/>
        </w:rPr>
        <w:t>2</w:t>
      </w:r>
      <w:r w:rsidR="00D775FF" w:rsidRPr="00D775FF">
        <w:rPr>
          <w:rFonts w:ascii="Arial" w:hAnsi="Arial" w:cs="Arial"/>
          <w:sz w:val="20"/>
        </w:rPr>
        <w:t>2</w:t>
      </w:r>
      <w:r w:rsidR="003E70D6" w:rsidRPr="00D775FF">
        <w:rPr>
          <w:rFonts w:ascii="Arial" w:hAnsi="Arial" w:cs="Arial"/>
          <w:sz w:val="20"/>
        </w:rPr>
        <w:t xml:space="preserve"> </w:t>
      </w:r>
      <w:r w:rsidR="00D775FF" w:rsidRPr="00D775FF">
        <w:rPr>
          <w:rFonts w:ascii="Arial" w:hAnsi="Arial" w:cs="Arial"/>
          <w:sz w:val="20"/>
        </w:rPr>
        <w:t>Litvě</w:t>
      </w:r>
      <w:r w:rsidR="002E0AD3" w:rsidRPr="00D775FF">
        <w:rPr>
          <w:rFonts w:ascii="Arial" w:hAnsi="Arial" w:cs="Arial"/>
          <w:sz w:val="20"/>
        </w:rPr>
        <w:t xml:space="preserve"> (37 %</w:t>
      </w:r>
      <w:r w:rsidR="006E2514">
        <w:rPr>
          <w:rFonts w:ascii="Arial" w:hAnsi="Arial" w:cs="Arial"/>
          <w:sz w:val="20"/>
        </w:rPr>
        <w:t xml:space="preserve"> podniků</w:t>
      </w:r>
      <w:r w:rsidR="002E0AD3" w:rsidRPr="00D775FF">
        <w:rPr>
          <w:rFonts w:ascii="Arial" w:hAnsi="Arial" w:cs="Arial"/>
          <w:sz w:val="20"/>
        </w:rPr>
        <w:t>)</w:t>
      </w:r>
      <w:r w:rsidR="003E70D6" w:rsidRPr="00D775FF">
        <w:rPr>
          <w:rFonts w:ascii="Arial" w:hAnsi="Arial" w:cs="Arial"/>
          <w:sz w:val="20"/>
        </w:rPr>
        <w:t xml:space="preserve">, nejméně často </w:t>
      </w:r>
      <w:r w:rsidR="00232FC2">
        <w:rPr>
          <w:rFonts w:ascii="Arial" w:hAnsi="Arial" w:cs="Arial"/>
          <w:sz w:val="20"/>
        </w:rPr>
        <w:t xml:space="preserve">pak </w:t>
      </w:r>
      <w:r w:rsidR="003E70D6" w:rsidRPr="00D775FF">
        <w:rPr>
          <w:rFonts w:ascii="Arial" w:hAnsi="Arial" w:cs="Arial"/>
          <w:sz w:val="20"/>
        </w:rPr>
        <w:t>přes web prodávaly podniky v</w:t>
      </w:r>
      <w:r w:rsidR="00317B97" w:rsidRPr="00D775FF">
        <w:rPr>
          <w:rFonts w:ascii="Arial" w:hAnsi="Arial" w:cs="Arial"/>
          <w:sz w:val="20"/>
        </w:rPr>
        <w:t> </w:t>
      </w:r>
      <w:r w:rsidR="003E70D6" w:rsidRPr="00D775FF">
        <w:rPr>
          <w:rFonts w:ascii="Arial" w:hAnsi="Arial" w:cs="Arial"/>
          <w:sz w:val="20"/>
        </w:rPr>
        <w:t>Rumunsku</w:t>
      </w:r>
      <w:r w:rsidR="00317B97" w:rsidRPr="00D775FF">
        <w:rPr>
          <w:rFonts w:ascii="Arial" w:hAnsi="Arial" w:cs="Arial"/>
          <w:sz w:val="20"/>
        </w:rPr>
        <w:t xml:space="preserve"> (1</w:t>
      </w:r>
      <w:r w:rsidR="00D775FF" w:rsidRPr="00D775FF">
        <w:rPr>
          <w:rFonts w:ascii="Arial" w:hAnsi="Arial" w:cs="Arial"/>
          <w:sz w:val="20"/>
        </w:rPr>
        <w:t>1</w:t>
      </w:r>
      <w:r w:rsidR="00317B97" w:rsidRPr="00D775FF">
        <w:rPr>
          <w:rFonts w:ascii="Arial" w:hAnsi="Arial" w:cs="Arial"/>
          <w:sz w:val="20"/>
        </w:rPr>
        <w:t xml:space="preserve"> %)</w:t>
      </w:r>
      <w:r w:rsidR="003E70D6" w:rsidRPr="00D775FF">
        <w:rPr>
          <w:rFonts w:ascii="Arial" w:hAnsi="Arial" w:cs="Arial"/>
          <w:sz w:val="20"/>
        </w:rPr>
        <w:t xml:space="preserve"> </w:t>
      </w:r>
      <w:r w:rsidR="00C74974" w:rsidRPr="00D775FF">
        <w:rPr>
          <w:rFonts w:ascii="Arial" w:hAnsi="Arial" w:cs="Arial"/>
          <w:sz w:val="20"/>
        </w:rPr>
        <w:t>nebo v Lucembursku</w:t>
      </w:r>
      <w:r w:rsidR="00317B97" w:rsidRPr="00D775FF">
        <w:rPr>
          <w:rFonts w:ascii="Arial" w:hAnsi="Arial" w:cs="Arial"/>
          <w:sz w:val="20"/>
        </w:rPr>
        <w:t xml:space="preserve"> (1</w:t>
      </w:r>
      <w:r w:rsidR="00D775FF" w:rsidRPr="00D775FF">
        <w:rPr>
          <w:rFonts w:ascii="Arial" w:hAnsi="Arial" w:cs="Arial"/>
          <w:sz w:val="20"/>
        </w:rPr>
        <w:t>2</w:t>
      </w:r>
      <w:r w:rsidR="00A74540">
        <w:rPr>
          <w:rFonts w:ascii="Arial" w:hAnsi="Arial" w:cs="Arial"/>
          <w:sz w:val="20"/>
        </w:rPr>
        <w:t> </w:t>
      </w:r>
      <w:r w:rsidR="00317B97" w:rsidRPr="00D775FF">
        <w:rPr>
          <w:rFonts w:ascii="Arial" w:hAnsi="Arial" w:cs="Arial"/>
          <w:sz w:val="20"/>
        </w:rPr>
        <w:t>%)</w:t>
      </w:r>
      <w:r w:rsidR="003E70D6" w:rsidRPr="00D775FF">
        <w:rPr>
          <w:rFonts w:ascii="Arial" w:hAnsi="Arial" w:cs="Arial"/>
          <w:sz w:val="20"/>
        </w:rPr>
        <w:t>.</w:t>
      </w:r>
    </w:p>
    <w:p w14:paraId="686E4E31" w14:textId="6A2B7334" w:rsidR="00EC660D" w:rsidRDefault="00EC660D" w:rsidP="00781A83">
      <w:pPr>
        <w:pStyle w:val="Zkladntext"/>
        <w:numPr>
          <w:ilvl w:val="0"/>
          <w:numId w:val="5"/>
        </w:numPr>
        <w:spacing w:before="0" w:after="60" w:line="276" w:lineRule="auto"/>
        <w:ind w:left="284" w:right="0" w:hanging="284"/>
        <w:rPr>
          <w:rFonts w:ascii="Arial" w:eastAsia="Calibri" w:hAnsi="Arial" w:cs="Arial"/>
          <w:spacing w:val="-2"/>
          <w:sz w:val="20"/>
          <w:szCs w:val="22"/>
          <w:lang w:eastAsia="en-US"/>
        </w:rPr>
      </w:pP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Firmy prodávající online prodávají </w:t>
      </w:r>
      <w:r w:rsidRPr="00611049">
        <w:rPr>
          <w:rFonts w:ascii="Arial" w:eastAsia="Calibri" w:hAnsi="Arial" w:cs="Arial"/>
          <w:b/>
          <w:spacing w:val="-2"/>
          <w:sz w:val="20"/>
          <w:szCs w:val="22"/>
          <w:lang w:eastAsia="en-US"/>
        </w:rPr>
        <w:t>téměř výhradně přes své vlastní webové stránky</w:t>
      </w:r>
      <w:r w:rsidR="00FC1BBB">
        <w:rPr>
          <w:rFonts w:ascii="Arial" w:eastAsia="Calibri" w:hAnsi="Arial" w:cs="Arial"/>
          <w:b/>
          <w:spacing w:val="-2"/>
          <w:sz w:val="20"/>
          <w:szCs w:val="22"/>
          <w:lang w:eastAsia="en-US"/>
        </w:rPr>
        <w:t xml:space="preserve"> nebo aplikace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. Prodej přes online tržiště</w:t>
      </w:r>
      <w:r w:rsidR="002F7DC0" w:rsidRPr="00D775FF">
        <w:rPr>
          <w:rStyle w:val="Znakapoznpodarou"/>
          <w:rFonts w:ascii="Arial" w:hAnsi="Arial" w:cs="Arial"/>
          <w:sz w:val="20"/>
        </w:rPr>
        <w:footnoteReference w:id="1"/>
      </w:r>
      <w:r w:rsidR="003B7832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není</w:t>
      </w:r>
      <w:r w:rsidR="00BD03BD">
        <w:rPr>
          <w:rFonts w:ascii="Arial" w:eastAsia="Calibri" w:hAnsi="Arial" w:cs="Arial"/>
          <w:spacing w:val="-2"/>
          <w:sz w:val="20"/>
          <w:szCs w:val="22"/>
          <w:lang w:eastAsia="en-US"/>
        </w:rPr>
        <w:t>,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v českém prostředí</w:t>
      </w:r>
      <w:r w:rsidR="00BD03BD">
        <w:rPr>
          <w:rFonts w:ascii="Arial" w:eastAsia="Calibri" w:hAnsi="Arial" w:cs="Arial"/>
          <w:spacing w:val="-2"/>
          <w:sz w:val="20"/>
          <w:szCs w:val="22"/>
          <w:lang w:eastAsia="en-US"/>
        </w:rPr>
        <w:t>,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zatím příliš rozšířen</w:t>
      </w:r>
      <w:r w:rsidR="003274BE">
        <w:rPr>
          <w:rFonts w:ascii="Arial" w:eastAsia="Calibri" w:hAnsi="Arial" w:cs="Arial"/>
          <w:spacing w:val="-2"/>
          <w:sz w:val="20"/>
          <w:szCs w:val="22"/>
          <w:lang w:eastAsia="en-US"/>
        </w:rPr>
        <w:t>.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V</w:t>
      </w:r>
      <w:r w:rsidR="003B7832">
        <w:rPr>
          <w:rFonts w:ascii="Arial" w:eastAsia="Calibri" w:hAnsi="Arial" w:cs="Arial"/>
          <w:spacing w:val="-2"/>
          <w:sz w:val="20"/>
          <w:szCs w:val="22"/>
          <w:lang w:eastAsia="en-US"/>
        </w:rPr>
        <w:t> 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roce 202</w:t>
      </w:r>
      <w:r w:rsidR="00D775FF">
        <w:rPr>
          <w:rFonts w:ascii="Arial" w:eastAsia="Calibri" w:hAnsi="Arial" w:cs="Arial"/>
          <w:spacing w:val="-2"/>
          <w:sz w:val="20"/>
          <w:szCs w:val="22"/>
          <w:lang w:eastAsia="en-US"/>
        </w:rPr>
        <w:t>2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prodával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o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prostřednictvím online tržišť </w:t>
      </w:r>
      <w:r w:rsidR="00D775FF">
        <w:rPr>
          <w:rFonts w:ascii="Arial" w:eastAsia="Calibri" w:hAnsi="Arial" w:cs="Arial"/>
          <w:spacing w:val="-2"/>
          <w:sz w:val="20"/>
          <w:szCs w:val="22"/>
          <w:lang w:eastAsia="en-US"/>
        </w:rPr>
        <w:t>6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 % všech podniků s více než 10 zaměstnanci. </w:t>
      </w:r>
      <w:r w:rsidRPr="00611049">
        <w:rPr>
          <w:rFonts w:ascii="Arial" w:eastAsia="Calibri" w:hAnsi="Arial" w:cs="Arial"/>
          <w:b/>
          <w:spacing w:val="-2"/>
          <w:sz w:val="20"/>
          <w:szCs w:val="22"/>
          <w:lang w:eastAsia="en-US"/>
        </w:rPr>
        <w:t>Výjimku v prodejích přes online tržiště tvoří podniky působící v oblasti ubytování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. </w:t>
      </w:r>
      <w:r w:rsidR="00D775FF">
        <w:rPr>
          <w:rFonts w:ascii="Arial" w:eastAsia="Calibri" w:hAnsi="Arial" w:cs="Arial"/>
          <w:spacing w:val="-2"/>
          <w:sz w:val="20"/>
          <w:szCs w:val="22"/>
          <w:lang w:eastAsia="en-US"/>
        </w:rPr>
        <w:t>V roce 2022</w:t>
      </w:r>
      <w:r w:rsidR="00F03B2A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přes ně </w:t>
      </w:r>
      <w:r w:rsidR="004C21C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prodával</w:t>
      </w:r>
      <w:r w:rsidR="004C21C9">
        <w:rPr>
          <w:rFonts w:ascii="Arial" w:eastAsia="Calibri" w:hAnsi="Arial" w:cs="Arial"/>
          <w:spacing w:val="-2"/>
          <w:sz w:val="20"/>
          <w:szCs w:val="22"/>
          <w:lang w:eastAsia="en-US"/>
        </w:rPr>
        <w:t>o</w:t>
      </w:r>
      <w:r w:rsidR="004C21C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již více než </w:t>
      </w:r>
      <w:r w:rsidR="004C21C9">
        <w:rPr>
          <w:rFonts w:ascii="Arial" w:eastAsia="Calibri" w:hAnsi="Arial" w:cs="Arial"/>
          <w:spacing w:val="-2"/>
          <w:sz w:val="20"/>
          <w:szCs w:val="22"/>
          <w:lang w:eastAsia="en-US"/>
        </w:rPr>
        <w:t>41 </w:t>
      </w:r>
      <w:r w:rsidR="00D775FF">
        <w:rPr>
          <w:rFonts w:ascii="Arial" w:eastAsia="Calibri" w:hAnsi="Arial" w:cs="Arial"/>
          <w:spacing w:val="-2"/>
          <w:sz w:val="20"/>
          <w:szCs w:val="22"/>
          <w:lang w:eastAsia="en-US"/>
        </w:rPr>
        <w:t>%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</w:t>
      </w:r>
      <w:r w:rsidR="00D0546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ekonomických 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subjektů </w:t>
      </w:r>
      <w:r w:rsidR="00D775FF">
        <w:rPr>
          <w:rFonts w:ascii="Arial" w:eastAsia="Calibri" w:hAnsi="Arial" w:cs="Arial"/>
          <w:spacing w:val="-2"/>
          <w:sz w:val="20"/>
          <w:szCs w:val="22"/>
          <w:lang w:eastAsia="en-US"/>
        </w:rPr>
        <w:t>v tomto odvětví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.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S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 </w:t>
      </w:r>
      <w:r w:rsidR="00414E76">
        <w:rPr>
          <w:rFonts w:ascii="Arial" w:eastAsia="Calibri" w:hAnsi="Arial" w:cs="Arial"/>
          <w:spacing w:val="-2"/>
          <w:sz w:val="20"/>
          <w:szCs w:val="22"/>
          <w:lang w:eastAsia="en-US"/>
        </w:rPr>
        <w:t>výrazným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odstupem pak následuj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í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cestovní agentur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y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a kancelář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e</w:t>
      </w:r>
      <w:r w:rsidR="00D775FF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(</w:t>
      </w:r>
      <w:r w:rsidR="004C21C9">
        <w:rPr>
          <w:rFonts w:ascii="Arial" w:eastAsia="Calibri" w:hAnsi="Arial" w:cs="Arial"/>
          <w:spacing w:val="-2"/>
          <w:sz w:val="20"/>
          <w:szCs w:val="22"/>
          <w:lang w:eastAsia="en-US"/>
        </w:rPr>
        <w:t>20 </w:t>
      </w:r>
      <w:r w:rsidR="00D775FF">
        <w:rPr>
          <w:rFonts w:ascii="Arial" w:eastAsia="Calibri" w:hAnsi="Arial" w:cs="Arial"/>
          <w:spacing w:val="-2"/>
          <w:sz w:val="20"/>
          <w:szCs w:val="22"/>
          <w:lang w:eastAsia="en-US"/>
        </w:rPr>
        <w:t>% podniků), činnosti v oblasti vydavatelství, filmu a televizních pořadů (16 % podniků) a velkoobchod (16 % podniků).</w:t>
      </w:r>
    </w:p>
    <w:p w14:paraId="5C59B75B" w14:textId="6324EC99" w:rsidR="006E2514" w:rsidRDefault="006E2514" w:rsidP="00781A83">
      <w:pPr>
        <w:pStyle w:val="Zkladntext"/>
        <w:numPr>
          <w:ilvl w:val="0"/>
          <w:numId w:val="5"/>
        </w:numPr>
        <w:spacing w:before="0" w:after="60" w:line="276" w:lineRule="auto"/>
        <w:ind w:left="284" w:right="0" w:hanging="284"/>
        <w:rPr>
          <w:rFonts w:ascii="Arial" w:eastAsia="Calibri" w:hAnsi="Arial" w:cs="Arial"/>
          <w:spacing w:val="-2"/>
          <w:sz w:val="20"/>
          <w:szCs w:val="22"/>
          <w:lang w:eastAsia="en-US"/>
        </w:rPr>
      </w:pPr>
      <w:r w:rsidRPr="006E2514">
        <w:rPr>
          <w:rFonts w:ascii="Arial" w:eastAsia="Calibri" w:hAnsi="Arial" w:cs="Arial"/>
          <w:b/>
          <w:spacing w:val="-2"/>
          <w:sz w:val="20"/>
          <w:szCs w:val="22"/>
          <w:lang w:eastAsia="en-US"/>
        </w:rPr>
        <w:t>Pouze přes online tržiště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(nikoli přes firemní webové stránky nebo aplikace) prodávalo v roce 2022 </w:t>
      </w:r>
      <w:r w:rsidR="00FA3E64">
        <w:rPr>
          <w:rFonts w:ascii="Arial" w:eastAsia="Calibri" w:hAnsi="Arial" w:cs="Arial"/>
          <w:spacing w:val="-2"/>
          <w:sz w:val="20"/>
          <w:szCs w:val="22"/>
          <w:lang w:eastAsia="en-US"/>
        </w:rPr>
        <w:t>pouze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1</w:t>
      </w:r>
      <w:r w:rsidR="00FA3E64">
        <w:rPr>
          <w:rFonts w:ascii="Arial" w:eastAsia="Calibri" w:hAnsi="Arial" w:cs="Arial"/>
          <w:spacing w:val="-2"/>
          <w:sz w:val="20"/>
          <w:szCs w:val="22"/>
          <w:lang w:eastAsia="en-US"/>
        </w:rPr>
        <w:t> 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>% všech tuzemských podniků s více než deseti zaměstnanci, především pak firmy z oboru stravování a pohostinství (4 % z nich), ubytování (3 %) nebo z mediálního sektoru (3 %).</w:t>
      </w:r>
    </w:p>
    <w:p w14:paraId="23CF7879" w14:textId="3F74D190" w:rsidR="000A0A53" w:rsidRDefault="000A0A53" w:rsidP="00781A83">
      <w:pPr>
        <w:pStyle w:val="Zkladntext"/>
        <w:numPr>
          <w:ilvl w:val="0"/>
          <w:numId w:val="5"/>
        </w:numPr>
        <w:tabs>
          <w:tab w:val="clear" w:pos="643"/>
          <w:tab w:val="num" w:pos="284"/>
        </w:tabs>
        <w:spacing w:before="0" w:after="60" w:line="276" w:lineRule="auto"/>
        <w:ind w:left="284" w:right="0" w:hanging="284"/>
        <w:rPr>
          <w:rFonts w:ascii="Arial" w:eastAsia="Calibri" w:hAnsi="Arial" w:cs="Arial"/>
          <w:spacing w:val="-2"/>
          <w:sz w:val="20"/>
          <w:szCs w:val="22"/>
          <w:lang w:eastAsia="en-US"/>
        </w:rPr>
      </w:pPr>
      <w:r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>Relativní zastoupení firem v Česku, které v roce 202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2 </w:t>
      </w:r>
      <w:r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prodávaly přes vlastní webové </w:t>
      </w:r>
      <w:r w:rsidR="004C21C9"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>stránky</w:t>
      </w:r>
      <w:r w:rsidR="004C21C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nebo</w:t>
      </w:r>
      <w:r w:rsidR="004C21C9"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mobilní aplikac</w:t>
      </w:r>
      <w:r w:rsidR="006E2514">
        <w:rPr>
          <w:rFonts w:ascii="Arial" w:eastAsia="Calibri" w:hAnsi="Arial" w:cs="Arial"/>
          <w:spacing w:val="-2"/>
          <w:sz w:val="20"/>
          <w:szCs w:val="22"/>
          <w:lang w:eastAsia="en-US"/>
        </w:rPr>
        <w:t>e</w:t>
      </w:r>
      <w:r w:rsidR="00414E76">
        <w:rPr>
          <w:rFonts w:ascii="Arial" w:eastAsia="Calibri" w:hAnsi="Arial" w:cs="Arial"/>
          <w:spacing w:val="-2"/>
          <w:sz w:val="20"/>
          <w:szCs w:val="22"/>
          <w:lang w:eastAsia="en-US"/>
        </w:rPr>
        <w:t>,</w:t>
      </w:r>
      <w:r w:rsidR="004C21C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bylo 19 % a</w:t>
      </w:r>
      <w:r w:rsidR="00A46B25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průměr evropské sedmadvacítky b</w:t>
      </w:r>
      <w:r w:rsidR="004C21C9">
        <w:rPr>
          <w:rFonts w:ascii="Arial" w:eastAsia="Calibri" w:hAnsi="Arial" w:cs="Arial"/>
          <w:spacing w:val="-2"/>
          <w:sz w:val="20"/>
          <w:szCs w:val="22"/>
          <w:lang w:eastAsia="en-US"/>
        </w:rPr>
        <w:t>yl ve stejném roce 17 %.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</w:t>
      </w:r>
      <w:r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První příčky patřily podnikům 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>na Maltě</w:t>
      </w:r>
      <w:r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(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>28</w:t>
      </w:r>
      <w:r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%)</w:t>
      </w:r>
      <w:r w:rsidR="00A46B25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a</w:t>
      </w:r>
      <w:r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ve Švédsku (28 %), naproti tomu nejméně často tímto způsobem prodávaly podniky v</w:t>
      </w:r>
      <w:r w:rsidR="00C470BD">
        <w:rPr>
          <w:rFonts w:ascii="Arial" w:eastAsia="Calibri" w:hAnsi="Arial" w:cs="Arial"/>
          <w:spacing w:val="-2"/>
          <w:sz w:val="20"/>
          <w:szCs w:val="22"/>
          <w:lang w:eastAsia="en-US"/>
        </w:rPr>
        <w:t> </w:t>
      </w:r>
      <w:r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>Rumunsku (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>10</w:t>
      </w:r>
      <w:r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%)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a v Lucembursku (9 %)</w:t>
      </w:r>
      <w:r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>.</w:t>
      </w:r>
    </w:p>
    <w:p w14:paraId="2D5BF730" w14:textId="11C5A62A" w:rsidR="000A0A53" w:rsidRPr="00611049" w:rsidRDefault="001124B0" w:rsidP="00781A83">
      <w:pPr>
        <w:pStyle w:val="Zkladntext"/>
        <w:numPr>
          <w:ilvl w:val="0"/>
          <w:numId w:val="5"/>
        </w:numPr>
        <w:tabs>
          <w:tab w:val="clear" w:pos="643"/>
          <w:tab w:val="num" w:pos="284"/>
        </w:tabs>
        <w:spacing w:before="0" w:after="60" w:line="276" w:lineRule="auto"/>
        <w:ind w:left="284" w:right="0" w:hanging="284"/>
        <w:rPr>
          <w:rFonts w:ascii="Arial" w:eastAsia="Calibri" w:hAnsi="Arial" w:cs="Arial"/>
          <w:spacing w:val="-2"/>
          <w:sz w:val="20"/>
          <w:szCs w:val="22"/>
          <w:lang w:eastAsia="en-US"/>
        </w:rPr>
      </w:pP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Zastoupení podniků prodávajících přes on-line tržiště je relativně nízké </w:t>
      </w:r>
      <w:r w:rsidR="003E495F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i 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>ve většině zemí EU27 (průměr za</w:t>
      </w:r>
      <w:r w:rsidR="001220F7">
        <w:rPr>
          <w:rFonts w:ascii="Arial" w:eastAsia="Calibri" w:hAnsi="Arial" w:cs="Arial"/>
          <w:spacing w:val="-2"/>
          <w:sz w:val="20"/>
          <w:szCs w:val="22"/>
          <w:lang w:eastAsia="en-US"/>
        </w:rPr>
        <w:t> 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EU27 činil </w:t>
      </w:r>
      <w:r w:rsidR="00C470BD">
        <w:rPr>
          <w:rFonts w:ascii="Arial" w:eastAsia="Calibri" w:hAnsi="Arial" w:cs="Arial"/>
          <w:spacing w:val="-2"/>
          <w:sz w:val="20"/>
          <w:szCs w:val="22"/>
          <w:lang w:eastAsia="en-US"/>
        </w:rPr>
        <w:t>9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> %</w:t>
      </w:r>
      <w:r w:rsidR="001220F7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za rok 2022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). Desetiprocentní hranici překračují Malta, Kypr, Rakousko a Španělko, nejvyšší hodnoty ze čtyř jmenovaných dosahuje s 13% podílem Malta. </w:t>
      </w:r>
      <w:r w:rsidR="000A0A53"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Výrazné prvenství </w:t>
      </w:r>
      <w:r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pak </w:t>
      </w:r>
      <w:r w:rsidR="000A0A53"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>patří Litvě, kde v roce 202</w:t>
      </w:r>
      <w:r w:rsid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>2</w:t>
      </w:r>
      <w:r w:rsidR="000A0A53"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přes online tržiště prodávalo </w:t>
      </w:r>
      <w:r w:rsid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>30</w:t>
      </w:r>
      <w:r w:rsidR="000A0A53" w:rsidRPr="000A0A5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% podniků. </w:t>
      </w:r>
    </w:p>
    <w:p w14:paraId="5009F682" w14:textId="6947AF76" w:rsidR="00EC660D" w:rsidRPr="00B112AC" w:rsidRDefault="00EC660D" w:rsidP="00EC660D">
      <w:pPr>
        <w:pStyle w:val="Nadpis2"/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Tržby z prodejů uskutečněných přes webové stránky</w:t>
      </w:r>
      <w:r w:rsidR="00D775FF">
        <w:rPr>
          <w:sz w:val="24"/>
          <w:szCs w:val="24"/>
        </w:rPr>
        <w:t>,</w:t>
      </w:r>
      <w:r>
        <w:rPr>
          <w:sz w:val="24"/>
          <w:szCs w:val="24"/>
        </w:rPr>
        <w:t xml:space="preserve"> aplikace</w:t>
      </w:r>
      <w:r w:rsidR="00D775FF">
        <w:rPr>
          <w:sz w:val="24"/>
          <w:szCs w:val="24"/>
        </w:rPr>
        <w:t xml:space="preserve"> nebo online tržiště</w:t>
      </w:r>
    </w:p>
    <w:p w14:paraId="2942B8B0" w14:textId="1A9582F9" w:rsidR="00655118" w:rsidRPr="00FF33BB" w:rsidRDefault="00B12612" w:rsidP="00781A83">
      <w:pPr>
        <w:pStyle w:val="Zkladntext"/>
        <w:numPr>
          <w:ilvl w:val="0"/>
          <w:numId w:val="5"/>
        </w:numPr>
        <w:spacing w:before="0" w:after="60" w:line="276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V</w:t>
      </w:r>
      <w:r w:rsidRPr="00FF33BB">
        <w:rPr>
          <w:rFonts w:ascii="Arial" w:eastAsia="Calibri" w:hAnsi="Arial" w:cs="Arial"/>
          <w:sz w:val="20"/>
          <w:szCs w:val="22"/>
          <w:lang w:eastAsia="en-US"/>
        </w:rPr>
        <w:t> roce 2022 tvořily v Česku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t</w:t>
      </w:r>
      <w:r w:rsidR="00ED497E" w:rsidRPr="00FF33BB">
        <w:rPr>
          <w:rFonts w:ascii="Arial" w:eastAsia="Calibri" w:hAnsi="Arial" w:cs="Arial"/>
          <w:sz w:val="20"/>
          <w:szCs w:val="22"/>
          <w:lang w:eastAsia="en-US"/>
        </w:rPr>
        <w:t xml:space="preserve">ržby z prodejů uskutečněných přes web </w:t>
      </w:r>
      <w:r w:rsidR="007263F9" w:rsidRPr="00FF33BB">
        <w:rPr>
          <w:rFonts w:ascii="Arial" w:eastAsia="Calibri" w:hAnsi="Arial" w:cs="Arial"/>
          <w:b/>
          <w:sz w:val="20"/>
          <w:szCs w:val="22"/>
          <w:lang w:eastAsia="en-US"/>
        </w:rPr>
        <w:t>9</w:t>
      </w:r>
      <w:r w:rsidR="00ED497E" w:rsidRPr="00FF33BB">
        <w:rPr>
          <w:rFonts w:ascii="Arial" w:eastAsia="Calibri" w:hAnsi="Arial" w:cs="Arial"/>
          <w:b/>
          <w:sz w:val="20"/>
          <w:szCs w:val="22"/>
          <w:lang w:eastAsia="en-US"/>
        </w:rPr>
        <w:t xml:space="preserve"> % celkových tržeb podniků</w:t>
      </w:r>
      <w:r w:rsidR="00ED497E" w:rsidRPr="00FF33BB">
        <w:rPr>
          <w:rFonts w:ascii="Arial" w:eastAsia="Calibri" w:hAnsi="Arial" w:cs="Arial"/>
          <w:sz w:val="20"/>
          <w:szCs w:val="22"/>
          <w:lang w:eastAsia="en-US"/>
        </w:rPr>
        <w:t xml:space="preserve"> s 10 a více zaměstnanci. </w:t>
      </w:r>
      <w:r w:rsidR="00884FCC">
        <w:rPr>
          <w:rFonts w:ascii="Arial" w:eastAsia="Calibri" w:hAnsi="Arial" w:cs="Arial"/>
          <w:sz w:val="20"/>
          <w:szCs w:val="22"/>
          <w:lang w:eastAsia="en-US"/>
        </w:rPr>
        <w:t>V případě</w:t>
      </w:r>
      <w:r w:rsidR="00ED497E" w:rsidRPr="00FF33BB">
        <w:rPr>
          <w:rFonts w:ascii="Arial" w:eastAsia="Calibri" w:hAnsi="Arial" w:cs="Arial"/>
          <w:sz w:val="20"/>
          <w:szCs w:val="22"/>
          <w:lang w:eastAsia="en-US"/>
        </w:rPr>
        <w:t xml:space="preserve"> 1</w:t>
      </w:r>
      <w:r w:rsidR="00FF33BB" w:rsidRPr="00FF33BB">
        <w:rPr>
          <w:rFonts w:ascii="Arial" w:eastAsia="Calibri" w:hAnsi="Arial" w:cs="Arial"/>
          <w:sz w:val="20"/>
          <w:szCs w:val="22"/>
          <w:lang w:eastAsia="en-US"/>
        </w:rPr>
        <w:t>3</w:t>
      </w:r>
      <w:r w:rsidR="00ED497E" w:rsidRPr="00FF33BB">
        <w:rPr>
          <w:rFonts w:ascii="Arial" w:eastAsia="Calibri" w:hAnsi="Arial" w:cs="Arial"/>
          <w:sz w:val="20"/>
          <w:szCs w:val="22"/>
          <w:lang w:eastAsia="en-US"/>
        </w:rPr>
        <w:t xml:space="preserve"> % </w:t>
      </w:r>
      <w:r w:rsidR="00FF33BB" w:rsidRPr="00FF33BB">
        <w:rPr>
          <w:rFonts w:ascii="Arial" w:eastAsia="Calibri" w:hAnsi="Arial" w:cs="Arial"/>
          <w:sz w:val="20"/>
          <w:szCs w:val="22"/>
          <w:lang w:eastAsia="en-US"/>
        </w:rPr>
        <w:t xml:space="preserve">tuzemských </w:t>
      </w:r>
      <w:r w:rsidR="00ED497E" w:rsidRPr="00FF33BB">
        <w:rPr>
          <w:rFonts w:ascii="Arial" w:eastAsia="Calibri" w:hAnsi="Arial" w:cs="Arial"/>
          <w:sz w:val="20"/>
          <w:szCs w:val="22"/>
          <w:lang w:eastAsia="en-US"/>
        </w:rPr>
        <w:t xml:space="preserve">podniků </w:t>
      </w:r>
      <w:r w:rsidR="00884FCC">
        <w:rPr>
          <w:rFonts w:ascii="Arial" w:eastAsia="Calibri" w:hAnsi="Arial" w:cs="Arial"/>
          <w:sz w:val="20"/>
          <w:szCs w:val="22"/>
          <w:lang w:eastAsia="en-US"/>
        </w:rPr>
        <w:t>činily</w:t>
      </w:r>
      <w:r w:rsidR="00884FCC" w:rsidRPr="00FF33B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ED497E" w:rsidRPr="00FF33BB">
        <w:rPr>
          <w:rFonts w:ascii="Arial" w:eastAsia="Calibri" w:hAnsi="Arial" w:cs="Arial"/>
          <w:sz w:val="20"/>
          <w:szCs w:val="22"/>
          <w:lang w:eastAsia="en-US"/>
        </w:rPr>
        <w:t xml:space="preserve">prodeje přes web více než 10 % z jejich celkových tržeb. </w:t>
      </w:r>
    </w:p>
    <w:p w14:paraId="7FB3FB25" w14:textId="1802E187" w:rsidR="00ED497E" w:rsidRPr="00FF33BB" w:rsidRDefault="00ED497E" w:rsidP="00781A83">
      <w:pPr>
        <w:pStyle w:val="Zkladntext"/>
        <w:numPr>
          <w:ilvl w:val="0"/>
          <w:numId w:val="5"/>
        </w:numPr>
        <w:spacing w:before="0" w:after="60" w:line="276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FF33BB">
        <w:rPr>
          <w:rFonts w:ascii="Arial" w:eastAsia="Calibri" w:hAnsi="Arial" w:cs="Arial"/>
          <w:b/>
          <w:sz w:val="20"/>
          <w:szCs w:val="22"/>
          <w:lang w:eastAsia="en-US"/>
        </w:rPr>
        <w:t xml:space="preserve">Nejvyšší tržby z prodejů </w:t>
      </w:r>
      <w:r w:rsidR="00FE4AF9">
        <w:rPr>
          <w:rFonts w:ascii="Arial" w:eastAsia="Calibri" w:hAnsi="Arial" w:cs="Arial"/>
          <w:b/>
          <w:sz w:val="20"/>
          <w:szCs w:val="22"/>
          <w:lang w:eastAsia="en-US"/>
        </w:rPr>
        <w:t>realizovaných</w:t>
      </w:r>
      <w:r w:rsidR="00FE4AF9" w:rsidRPr="00FF33BB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 w:rsidRPr="00FF33BB">
        <w:rPr>
          <w:rFonts w:ascii="Arial" w:eastAsia="Calibri" w:hAnsi="Arial" w:cs="Arial"/>
          <w:b/>
          <w:sz w:val="20"/>
          <w:szCs w:val="22"/>
          <w:lang w:eastAsia="en-US"/>
        </w:rPr>
        <w:t xml:space="preserve">přes </w:t>
      </w:r>
      <w:r w:rsidR="00AB2F6E">
        <w:rPr>
          <w:rFonts w:ascii="Arial" w:eastAsia="Calibri" w:hAnsi="Arial" w:cs="Arial"/>
          <w:b/>
          <w:sz w:val="20"/>
          <w:szCs w:val="22"/>
          <w:lang w:eastAsia="en-US"/>
        </w:rPr>
        <w:t>web</w:t>
      </w:r>
      <w:r w:rsidRPr="00FF33BB">
        <w:rPr>
          <w:rFonts w:ascii="Arial" w:eastAsia="Calibri" w:hAnsi="Arial" w:cs="Arial"/>
          <w:sz w:val="20"/>
          <w:szCs w:val="22"/>
          <w:lang w:eastAsia="en-US"/>
        </w:rPr>
        <w:t xml:space="preserve"> vykázaly v roce 202</w:t>
      </w:r>
      <w:r w:rsidR="00FF33BB" w:rsidRPr="00FF33BB">
        <w:rPr>
          <w:rFonts w:ascii="Arial" w:eastAsia="Calibri" w:hAnsi="Arial" w:cs="Arial"/>
          <w:sz w:val="20"/>
          <w:szCs w:val="22"/>
          <w:lang w:eastAsia="en-US"/>
        </w:rPr>
        <w:t>2</w:t>
      </w:r>
      <w:r w:rsidRPr="00FF33B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FF33BB">
        <w:rPr>
          <w:rFonts w:ascii="Arial" w:eastAsia="Calibri" w:hAnsi="Arial" w:cs="Arial"/>
          <w:b/>
          <w:sz w:val="20"/>
          <w:szCs w:val="22"/>
          <w:lang w:eastAsia="en-US"/>
        </w:rPr>
        <w:t>cestovní agentury a kanceláře</w:t>
      </w:r>
      <w:r w:rsidRPr="00FF33BB">
        <w:rPr>
          <w:rFonts w:ascii="Arial" w:eastAsia="Calibri" w:hAnsi="Arial" w:cs="Arial"/>
          <w:sz w:val="20"/>
          <w:szCs w:val="22"/>
          <w:lang w:eastAsia="en-US"/>
        </w:rPr>
        <w:t xml:space="preserve"> (72% podíl na</w:t>
      </w:r>
      <w:r w:rsidR="001354FD">
        <w:rPr>
          <w:rFonts w:ascii="Arial" w:eastAsia="Calibri" w:hAnsi="Arial" w:cs="Arial"/>
          <w:sz w:val="20"/>
          <w:szCs w:val="22"/>
          <w:lang w:eastAsia="en-US"/>
        </w:rPr>
        <w:t xml:space="preserve"> jejich</w:t>
      </w:r>
      <w:r w:rsidRPr="00FF33BB">
        <w:rPr>
          <w:rFonts w:ascii="Arial" w:eastAsia="Calibri" w:hAnsi="Arial" w:cs="Arial"/>
          <w:sz w:val="20"/>
          <w:szCs w:val="22"/>
          <w:lang w:eastAsia="en-US"/>
        </w:rPr>
        <w:t xml:space="preserve"> celkových tržbách). </w:t>
      </w:r>
      <w:r w:rsidR="00FF33BB" w:rsidRPr="00FF33BB">
        <w:rPr>
          <w:rFonts w:ascii="Arial" w:eastAsia="Calibri" w:hAnsi="Arial" w:cs="Arial"/>
          <w:sz w:val="20"/>
          <w:szCs w:val="22"/>
          <w:lang w:eastAsia="en-US"/>
        </w:rPr>
        <w:t>Druhé nejvyšší tržby patří s</w:t>
      </w:r>
      <w:r w:rsidRPr="00FF33BB">
        <w:rPr>
          <w:rFonts w:ascii="Arial" w:eastAsia="Calibri" w:hAnsi="Arial" w:cs="Arial"/>
          <w:sz w:val="20"/>
          <w:szCs w:val="22"/>
          <w:lang w:eastAsia="en-US"/>
        </w:rPr>
        <w:t xml:space="preserve"> velkým odstupem </w:t>
      </w:r>
      <w:r w:rsidR="00D05463" w:rsidRPr="00FF33BB">
        <w:rPr>
          <w:rFonts w:ascii="Arial" w:eastAsia="Calibri" w:hAnsi="Arial" w:cs="Arial"/>
          <w:sz w:val="20"/>
          <w:szCs w:val="22"/>
          <w:lang w:eastAsia="en-US"/>
        </w:rPr>
        <w:t>podnikům</w:t>
      </w:r>
      <w:r w:rsidRPr="00FF33BB">
        <w:rPr>
          <w:rFonts w:ascii="Arial" w:eastAsia="Calibri" w:hAnsi="Arial" w:cs="Arial"/>
          <w:sz w:val="20"/>
          <w:szCs w:val="22"/>
          <w:lang w:eastAsia="en-US"/>
        </w:rPr>
        <w:t xml:space="preserve"> působícím v</w:t>
      </w:r>
      <w:r w:rsidR="00FF33BB" w:rsidRPr="00FF33BB">
        <w:rPr>
          <w:rFonts w:ascii="Arial" w:eastAsia="Calibri" w:hAnsi="Arial" w:cs="Arial"/>
          <w:sz w:val="20"/>
          <w:szCs w:val="22"/>
          <w:lang w:eastAsia="en-US"/>
        </w:rPr>
        <w:t> ubytování (</w:t>
      </w:r>
      <w:r w:rsidR="001354FD" w:rsidRPr="00FF33BB">
        <w:rPr>
          <w:rFonts w:ascii="Arial" w:eastAsia="Calibri" w:hAnsi="Arial" w:cs="Arial"/>
          <w:sz w:val="20"/>
          <w:szCs w:val="22"/>
          <w:lang w:eastAsia="en-US"/>
        </w:rPr>
        <w:t>39</w:t>
      </w:r>
      <w:r w:rsidR="001354FD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FF33BB" w:rsidRPr="00FF33BB">
        <w:rPr>
          <w:rFonts w:ascii="Arial" w:eastAsia="Calibri" w:hAnsi="Arial" w:cs="Arial"/>
          <w:sz w:val="20"/>
          <w:szCs w:val="22"/>
          <w:lang w:eastAsia="en-US"/>
        </w:rPr>
        <w:t>% z celkových tržeb) a na třetí příčce za rok 2022 byly podniky v</w:t>
      </w:r>
      <w:r w:rsidRPr="00FF33BB">
        <w:rPr>
          <w:rFonts w:ascii="Arial" w:eastAsia="Calibri" w:hAnsi="Arial" w:cs="Arial"/>
          <w:sz w:val="20"/>
          <w:szCs w:val="22"/>
          <w:lang w:eastAsia="en-US"/>
        </w:rPr>
        <w:t xml:space="preserve"> mediálním sektoru, tj</w:t>
      </w:r>
      <w:r w:rsidR="00480124" w:rsidRPr="00FF33BB">
        <w:rPr>
          <w:rFonts w:ascii="Arial" w:eastAsia="Calibri" w:hAnsi="Arial" w:cs="Arial"/>
          <w:sz w:val="20"/>
          <w:szCs w:val="22"/>
          <w:lang w:eastAsia="en-US"/>
        </w:rPr>
        <w:t>.</w:t>
      </w:r>
      <w:r w:rsidR="00480124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FF33BB">
        <w:rPr>
          <w:rFonts w:ascii="Arial" w:hAnsi="Arial" w:cs="Arial"/>
          <w:sz w:val="20"/>
        </w:rPr>
        <w:t>vydavatelství, filmová výroba, rozhlasové a televizní vysílání</w:t>
      </w:r>
      <w:r w:rsidRPr="00FF33BB">
        <w:rPr>
          <w:rFonts w:ascii="Arial" w:eastAsia="Calibri" w:hAnsi="Arial" w:cs="Arial"/>
          <w:sz w:val="20"/>
          <w:szCs w:val="22"/>
          <w:lang w:eastAsia="en-US"/>
        </w:rPr>
        <w:t xml:space="preserve"> (</w:t>
      </w:r>
      <w:r w:rsidR="00480124" w:rsidRPr="00FF33BB">
        <w:rPr>
          <w:rFonts w:ascii="Arial" w:eastAsia="Calibri" w:hAnsi="Arial" w:cs="Arial"/>
          <w:sz w:val="20"/>
          <w:szCs w:val="22"/>
          <w:lang w:eastAsia="en-US"/>
        </w:rPr>
        <w:t>31</w:t>
      </w:r>
      <w:r w:rsidRPr="00FF33BB">
        <w:rPr>
          <w:rFonts w:ascii="Arial" w:eastAsia="Calibri" w:hAnsi="Arial" w:cs="Arial"/>
          <w:sz w:val="20"/>
          <w:szCs w:val="22"/>
          <w:lang w:eastAsia="en-US"/>
        </w:rPr>
        <w:t xml:space="preserve">% podíl na </w:t>
      </w:r>
      <w:r w:rsidR="00D7667F" w:rsidRPr="00FF33BB">
        <w:rPr>
          <w:rFonts w:ascii="Arial" w:eastAsia="Calibri" w:hAnsi="Arial" w:cs="Arial"/>
          <w:sz w:val="20"/>
          <w:szCs w:val="22"/>
          <w:lang w:eastAsia="en-US"/>
        </w:rPr>
        <w:t xml:space="preserve">jejich </w:t>
      </w:r>
      <w:r w:rsidR="00FF33BB" w:rsidRPr="00FF33BB">
        <w:rPr>
          <w:rFonts w:ascii="Arial" w:eastAsia="Calibri" w:hAnsi="Arial" w:cs="Arial"/>
          <w:sz w:val="20"/>
          <w:szCs w:val="22"/>
          <w:lang w:eastAsia="en-US"/>
        </w:rPr>
        <w:t>celkových tržbách).</w:t>
      </w:r>
    </w:p>
    <w:p w14:paraId="36B6B806" w14:textId="6F018EE8" w:rsidR="000D3992" w:rsidRPr="00AB6BE6" w:rsidRDefault="00317B97" w:rsidP="00781A83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2"/>
          <w:sz w:val="20"/>
        </w:rPr>
      </w:pPr>
      <w:r w:rsidRPr="002F7DC0">
        <w:rPr>
          <w:rFonts w:ascii="Arial" w:hAnsi="Arial" w:cs="Arial"/>
          <w:b/>
          <w:spacing w:val="-2"/>
          <w:sz w:val="20"/>
        </w:rPr>
        <w:t xml:space="preserve">Tržby </w:t>
      </w:r>
      <w:r w:rsidR="00FF33BB" w:rsidRPr="002F7DC0">
        <w:rPr>
          <w:rFonts w:ascii="Arial" w:hAnsi="Arial" w:cs="Arial"/>
          <w:b/>
          <w:spacing w:val="-2"/>
          <w:sz w:val="20"/>
        </w:rPr>
        <w:t>tuzemských</w:t>
      </w:r>
      <w:r w:rsidRPr="002F7DC0">
        <w:rPr>
          <w:rFonts w:ascii="Arial" w:hAnsi="Arial" w:cs="Arial"/>
          <w:b/>
          <w:spacing w:val="-2"/>
          <w:sz w:val="20"/>
        </w:rPr>
        <w:t xml:space="preserve"> podniků z webových prodejů</w:t>
      </w:r>
      <w:r w:rsidRPr="00AB6BE6">
        <w:rPr>
          <w:rFonts w:ascii="Arial" w:hAnsi="Arial" w:cs="Arial"/>
          <w:spacing w:val="-2"/>
          <w:sz w:val="20"/>
        </w:rPr>
        <w:t xml:space="preserve"> byly za rok 202</w:t>
      </w:r>
      <w:r w:rsidR="00FF33BB" w:rsidRPr="00AB6BE6">
        <w:rPr>
          <w:rFonts w:ascii="Arial" w:hAnsi="Arial" w:cs="Arial"/>
          <w:spacing w:val="-2"/>
          <w:sz w:val="20"/>
        </w:rPr>
        <w:t>2</w:t>
      </w:r>
      <w:r w:rsidRPr="00AB6BE6">
        <w:rPr>
          <w:rFonts w:ascii="Arial" w:hAnsi="Arial" w:cs="Arial"/>
          <w:spacing w:val="-2"/>
          <w:sz w:val="20"/>
        </w:rPr>
        <w:t xml:space="preserve"> na úrovni </w:t>
      </w:r>
      <w:r w:rsidR="00480124" w:rsidRPr="00AB6BE6">
        <w:rPr>
          <w:rFonts w:ascii="Arial" w:hAnsi="Arial" w:cs="Arial"/>
          <w:spacing w:val="-2"/>
          <w:sz w:val="20"/>
        </w:rPr>
        <w:t>9</w:t>
      </w:r>
      <w:r w:rsidR="00480124">
        <w:rPr>
          <w:rFonts w:ascii="Arial" w:hAnsi="Arial" w:cs="Arial"/>
          <w:spacing w:val="-2"/>
          <w:sz w:val="20"/>
        </w:rPr>
        <w:t> </w:t>
      </w:r>
      <w:r w:rsidRPr="00AB6BE6">
        <w:rPr>
          <w:rFonts w:ascii="Arial" w:hAnsi="Arial" w:cs="Arial"/>
          <w:spacing w:val="-2"/>
          <w:sz w:val="20"/>
        </w:rPr>
        <w:t>% celkových podnikových tržeb, průměr za EU27 v</w:t>
      </w:r>
      <w:r w:rsidR="00FF33BB" w:rsidRPr="00AB6BE6">
        <w:rPr>
          <w:rFonts w:ascii="Arial" w:hAnsi="Arial" w:cs="Arial"/>
          <w:spacing w:val="-2"/>
          <w:sz w:val="20"/>
        </w:rPr>
        <w:t xml:space="preserve"> tomto</w:t>
      </w:r>
      <w:r w:rsidRPr="00AB6BE6">
        <w:rPr>
          <w:rFonts w:ascii="Arial" w:hAnsi="Arial" w:cs="Arial"/>
          <w:spacing w:val="-2"/>
          <w:sz w:val="20"/>
        </w:rPr>
        <w:t xml:space="preserve"> roce činil </w:t>
      </w:r>
      <w:r w:rsidR="001354FD">
        <w:rPr>
          <w:rFonts w:ascii="Arial" w:hAnsi="Arial" w:cs="Arial"/>
          <w:spacing w:val="-2"/>
          <w:sz w:val="20"/>
        </w:rPr>
        <w:t xml:space="preserve">necelých </w:t>
      </w:r>
      <w:r w:rsidR="00FF33BB" w:rsidRPr="00AB6BE6">
        <w:rPr>
          <w:rFonts w:ascii="Arial" w:hAnsi="Arial" w:cs="Arial"/>
          <w:spacing w:val="-2"/>
          <w:sz w:val="20"/>
        </w:rPr>
        <w:t>7</w:t>
      </w:r>
      <w:r w:rsidRPr="00AB6BE6">
        <w:rPr>
          <w:rFonts w:ascii="Arial" w:hAnsi="Arial" w:cs="Arial"/>
          <w:spacing w:val="-2"/>
          <w:sz w:val="20"/>
        </w:rPr>
        <w:t xml:space="preserve"> % celkových tržeb.</w:t>
      </w:r>
      <w:r w:rsidR="000D3992" w:rsidRPr="00AB6BE6">
        <w:rPr>
          <w:rFonts w:ascii="Arial" w:hAnsi="Arial" w:cs="Arial"/>
          <w:spacing w:val="-2"/>
          <w:sz w:val="20"/>
        </w:rPr>
        <w:t xml:space="preserve"> </w:t>
      </w:r>
      <w:r w:rsidR="00FF33BB" w:rsidRPr="00AB6BE6">
        <w:rPr>
          <w:rFonts w:ascii="Arial" w:hAnsi="Arial" w:cs="Arial"/>
          <w:spacing w:val="-2"/>
          <w:sz w:val="20"/>
        </w:rPr>
        <w:t>Výrazně n</w:t>
      </w:r>
      <w:r w:rsidR="0005073F" w:rsidRPr="00AB6BE6">
        <w:rPr>
          <w:rFonts w:ascii="Arial" w:hAnsi="Arial" w:cs="Arial"/>
          <w:spacing w:val="-2"/>
          <w:sz w:val="20"/>
        </w:rPr>
        <w:t>ejvyšší tržby z</w:t>
      </w:r>
      <w:r w:rsidR="00655118" w:rsidRPr="00AB6BE6">
        <w:rPr>
          <w:rFonts w:ascii="Arial" w:hAnsi="Arial" w:cs="Arial"/>
          <w:spacing w:val="-2"/>
          <w:sz w:val="20"/>
        </w:rPr>
        <w:t> </w:t>
      </w:r>
      <w:r w:rsidR="0005073F" w:rsidRPr="00AB6BE6">
        <w:rPr>
          <w:rFonts w:ascii="Arial" w:hAnsi="Arial" w:cs="Arial"/>
          <w:spacing w:val="-2"/>
          <w:sz w:val="20"/>
        </w:rPr>
        <w:t>prodejů</w:t>
      </w:r>
      <w:r w:rsidR="00655118" w:rsidRPr="00AB6BE6">
        <w:rPr>
          <w:rFonts w:ascii="Arial" w:hAnsi="Arial" w:cs="Arial"/>
          <w:spacing w:val="-2"/>
          <w:sz w:val="20"/>
        </w:rPr>
        <w:t xml:space="preserve"> přes web </w:t>
      </w:r>
      <w:r w:rsidR="003673E5" w:rsidRPr="00AB6BE6">
        <w:rPr>
          <w:rFonts w:ascii="Arial" w:hAnsi="Arial" w:cs="Arial"/>
          <w:spacing w:val="-2"/>
          <w:sz w:val="20"/>
        </w:rPr>
        <w:t>měl</w:t>
      </w:r>
      <w:r w:rsidR="00AB6BE6" w:rsidRPr="00AB6BE6">
        <w:rPr>
          <w:rFonts w:ascii="Arial" w:hAnsi="Arial" w:cs="Arial"/>
          <w:spacing w:val="-2"/>
          <w:sz w:val="20"/>
        </w:rPr>
        <w:t>y</w:t>
      </w:r>
      <w:r w:rsidR="0005073F" w:rsidRPr="00AB6BE6">
        <w:rPr>
          <w:rFonts w:ascii="Arial" w:hAnsi="Arial" w:cs="Arial"/>
          <w:spacing w:val="-2"/>
          <w:sz w:val="20"/>
        </w:rPr>
        <w:t xml:space="preserve"> v roce 20</w:t>
      </w:r>
      <w:r w:rsidR="00C50497" w:rsidRPr="00AB6BE6">
        <w:rPr>
          <w:rFonts w:ascii="Arial" w:hAnsi="Arial" w:cs="Arial"/>
          <w:spacing w:val="-2"/>
          <w:sz w:val="20"/>
        </w:rPr>
        <w:t>2</w:t>
      </w:r>
      <w:r w:rsidR="00FF33BB" w:rsidRPr="00AB6BE6">
        <w:rPr>
          <w:rFonts w:ascii="Arial" w:hAnsi="Arial" w:cs="Arial"/>
          <w:spacing w:val="-2"/>
          <w:sz w:val="20"/>
        </w:rPr>
        <w:t xml:space="preserve">2 </w:t>
      </w:r>
      <w:r w:rsidR="00AB6BE6" w:rsidRPr="00AB6BE6">
        <w:rPr>
          <w:rFonts w:ascii="Arial" w:hAnsi="Arial" w:cs="Arial"/>
          <w:b/>
          <w:spacing w:val="-2"/>
          <w:sz w:val="20"/>
        </w:rPr>
        <w:t>podniky v Irsku</w:t>
      </w:r>
      <w:r w:rsidRPr="00AB6BE6">
        <w:rPr>
          <w:rFonts w:ascii="Arial" w:hAnsi="Arial" w:cs="Arial"/>
          <w:spacing w:val="-2"/>
          <w:sz w:val="20"/>
        </w:rPr>
        <w:t xml:space="preserve"> (</w:t>
      </w:r>
      <w:r w:rsidR="00FF33BB" w:rsidRPr="00AB6BE6">
        <w:rPr>
          <w:rFonts w:ascii="Arial" w:hAnsi="Arial" w:cs="Arial"/>
          <w:spacing w:val="-2"/>
          <w:sz w:val="20"/>
        </w:rPr>
        <w:t>20</w:t>
      </w:r>
      <w:r w:rsidRPr="00AB6BE6">
        <w:rPr>
          <w:rFonts w:ascii="Arial" w:hAnsi="Arial" w:cs="Arial"/>
          <w:spacing w:val="-2"/>
          <w:sz w:val="20"/>
        </w:rPr>
        <w:t xml:space="preserve"> %),</w:t>
      </w:r>
      <w:r w:rsidR="00FF6CBF" w:rsidRPr="00AB6BE6">
        <w:rPr>
          <w:rFonts w:ascii="Arial" w:hAnsi="Arial" w:cs="Arial"/>
          <w:spacing w:val="-2"/>
          <w:sz w:val="20"/>
        </w:rPr>
        <w:t xml:space="preserve"> </w:t>
      </w:r>
      <w:r w:rsidR="00AB6BE6" w:rsidRPr="00AB6BE6">
        <w:rPr>
          <w:rFonts w:ascii="Arial" w:hAnsi="Arial" w:cs="Arial"/>
          <w:spacing w:val="-2"/>
          <w:sz w:val="20"/>
        </w:rPr>
        <w:t>ve srovnání se zeměmi, které v žebříčku následují</w:t>
      </w:r>
      <w:r w:rsidR="00AB6BE6">
        <w:rPr>
          <w:rFonts w:ascii="Arial" w:hAnsi="Arial" w:cs="Arial"/>
          <w:spacing w:val="-2"/>
          <w:sz w:val="20"/>
        </w:rPr>
        <w:t>,</w:t>
      </w:r>
      <w:r w:rsidR="00AB6BE6" w:rsidRPr="00AB6BE6">
        <w:rPr>
          <w:rFonts w:ascii="Arial" w:hAnsi="Arial" w:cs="Arial"/>
          <w:spacing w:val="-2"/>
          <w:sz w:val="20"/>
        </w:rPr>
        <w:t xml:space="preserve"> byly </w:t>
      </w:r>
      <w:r w:rsidR="00AB6BE6" w:rsidRPr="00AB6BE6">
        <w:rPr>
          <w:rFonts w:ascii="Arial" w:hAnsi="Arial" w:cs="Arial"/>
          <w:b/>
          <w:spacing w:val="-2"/>
          <w:sz w:val="20"/>
        </w:rPr>
        <w:t>jejich tržby dvojnásobné</w:t>
      </w:r>
      <w:r w:rsidR="0005073F" w:rsidRPr="00AB6BE6">
        <w:rPr>
          <w:rFonts w:ascii="Arial" w:hAnsi="Arial" w:cs="Arial"/>
          <w:spacing w:val="-2"/>
          <w:sz w:val="20"/>
        </w:rPr>
        <w:t>.</w:t>
      </w:r>
      <w:r w:rsidR="00655118" w:rsidRPr="00AB6BE6">
        <w:rPr>
          <w:rFonts w:ascii="Arial" w:hAnsi="Arial" w:cs="Arial"/>
          <w:spacing w:val="-2"/>
          <w:sz w:val="20"/>
        </w:rPr>
        <w:t xml:space="preserve"> Nejnižší tržby z prodejů uskutečněných přes </w:t>
      </w:r>
      <w:r w:rsidR="001354FD">
        <w:rPr>
          <w:rFonts w:ascii="Arial" w:hAnsi="Arial" w:cs="Arial"/>
          <w:spacing w:val="-2"/>
          <w:sz w:val="20"/>
        </w:rPr>
        <w:t>web</w:t>
      </w:r>
      <w:r w:rsidR="00AB6BE6">
        <w:rPr>
          <w:rFonts w:ascii="Arial" w:hAnsi="Arial" w:cs="Arial"/>
          <w:spacing w:val="-2"/>
          <w:sz w:val="20"/>
        </w:rPr>
        <w:t>,</w:t>
      </w:r>
      <w:r w:rsidR="00655118" w:rsidRPr="00AB6BE6">
        <w:rPr>
          <w:rFonts w:ascii="Arial" w:hAnsi="Arial" w:cs="Arial"/>
          <w:spacing w:val="-2"/>
          <w:sz w:val="20"/>
        </w:rPr>
        <w:t xml:space="preserve"> vykázala </w:t>
      </w:r>
      <w:r w:rsidR="00D7667F" w:rsidRPr="00AB6BE6">
        <w:rPr>
          <w:rFonts w:ascii="Arial" w:hAnsi="Arial" w:cs="Arial"/>
          <w:spacing w:val="-2"/>
          <w:sz w:val="20"/>
        </w:rPr>
        <w:t>v roce</w:t>
      </w:r>
      <w:r w:rsidR="00655118" w:rsidRPr="00AB6BE6">
        <w:rPr>
          <w:rFonts w:ascii="Arial" w:hAnsi="Arial" w:cs="Arial"/>
          <w:spacing w:val="-2"/>
          <w:sz w:val="20"/>
        </w:rPr>
        <w:t xml:space="preserve"> 202</w:t>
      </w:r>
      <w:r w:rsidR="00AB6BE6" w:rsidRPr="00AB6BE6">
        <w:rPr>
          <w:rFonts w:ascii="Arial" w:hAnsi="Arial" w:cs="Arial"/>
          <w:spacing w:val="-2"/>
          <w:sz w:val="20"/>
        </w:rPr>
        <w:t xml:space="preserve">2 </w:t>
      </w:r>
      <w:r w:rsidR="00655118" w:rsidRPr="00AB6BE6">
        <w:rPr>
          <w:rFonts w:ascii="Arial" w:hAnsi="Arial" w:cs="Arial"/>
          <w:spacing w:val="-2"/>
          <w:sz w:val="20"/>
        </w:rPr>
        <w:t>Francie (4 % z celkových tržeb podniků).</w:t>
      </w:r>
    </w:p>
    <w:p w14:paraId="1ABE8224" w14:textId="0C996C23" w:rsidR="008D1319" w:rsidRPr="00AB6BE6" w:rsidRDefault="008D1319" w:rsidP="00781A83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B6BE6">
        <w:rPr>
          <w:rFonts w:ascii="Arial" w:hAnsi="Arial" w:cs="Arial"/>
          <w:sz w:val="20"/>
        </w:rPr>
        <w:t>Firmy, které prodávají přes web, prodávají přibližně stejně často jak koncovým zákazníkům</w:t>
      </w:r>
      <w:r w:rsidR="002F633B" w:rsidRPr="00AB6BE6">
        <w:rPr>
          <w:rFonts w:ascii="Arial" w:hAnsi="Arial" w:cs="Arial"/>
          <w:sz w:val="20"/>
        </w:rPr>
        <w:t xml:space="preserve"> </w:t>
      </w:r>
      <w:r w:rsidR="00FC746B" w:rsidRPr="00AB6BE6">
        <w:rPr>
          <w:rFonts w:ascii="Arial" w:hAnsi="Arial" w:cs="Arial"/>
          <w:sz w:val="20"/>
        </w:rPr>
        <w:t>-</w:t>
      </w:r>
      <w:r w:rsidR="00AB6BE6" w:rsidRPr="00AB6BE6">
        <w:rPr>
          <w:rFonts w:ascii="Arial" w:hAnsi="Arial" w:cs="Arial"/>
          <w:sz w:val="20"/>
        </w:rPr>
        <w:t xml:space="preserve"> </w:t>
      </w:r>
      <w:r w:rsidR="00FC746B" w:rsidRPr="00AB6BE6">
        <w:rPr>
          <w:rFonts w:ascii="Arial" w:hAnsi="Arial" w:cs="Arial"/>
          <w:sz w:val="20"/>
        </w:rPr>
        <w:t>soukromým osobám (</w:t>
      </w:r>
      <w:r w:rsidR="00414E76">
        <w:rPr>
          <w:rFonts w:ascii="Arial" w:hAnsi="Arial" w:cs="Arial"/>
          <w:sz w:val="20"/>
        </w:rPr>
        <w:t>18 % všech tuzemských podniků</w:t>
      </w:r>
      <w:r w:rsidR="00FC746B" w:rsidRPr="00AB6BE6">
        <w:rPr>
          <w:rFonts w:ascii="Arial" w:hAnsi="Arial" w:cs="Arial"/>
          <w:sz w:val="20"/>
        </w:rPr>
        <w:t>)</w:t>
      </w:r>
      <w:r w:rsidRPr="00AB6BE6">
        <w:rPr>
          <w:rFonts w:ascii="Arial" w:hAnsi="Arial" w:cs="Arial"/>
          <w:sz w:val="20"/>
        </w:rPr>
        <w:t xml:space="preserve">, tak </w:t>
      </w:r>
      <w:r w:rsidR="00EB0BA8">
        <w:rPr>
          <w:rFonts w:ascii="Arial" w:hAnsi="Arial" w:cs="Arial"/>
          <w:sz w:val="20"/>
        </w:rPr>
        <w:t>jiným</w:t>
      </w:r>
      <w:r w:rsidR="00EB0BA8" w:rsidRPr="00AB6BE6">
        <w:rPr>
          <w:rFonts w:ascii="Arial" w:hAnsi="Arial" w:cs="Arial"/>
          <w:sz w:val="20"/>
        </w:rPr>
        <w:t xml:space="preserve"> </w:t>
      </w:r>
      <w:r w:rsidRPr="00AB6BE6">
        <w:rPr>
          <w:rFonts w:ascii="Arial" w:hAnsi="Arial" w:cs="Arial"/>
          <w:sz w:val="20"/>
        </w:rPr>
        <w:t>firmám nebo organizacím veřejné správy</w:t>
      </w:r>
      <w:r w:rsidR="003673E5" w:rsidRPr="00AB6BE6">
        <w:rPr>
          <w:rFonts w:ascii="Arial" w:hAnsi="Arial" w:cs="Arial"/>
          <w:sz w:val="20"/>
        </w:rPr>
        <w:t xml:space="preserve"> (</w:t>
      </w:r>
      <w:r w:rsidR="00414E76">
        <w:rPr>
          <w:rFonts w:ascii="Arial" w:hAnsi="Arial" w:cs="Arial"/>
          <w:sz w:val="20"/>
        </w:rPr>
        <w:t>17</w:t>
      </w:r>
      <w:r w:rsidR="00EB0BA8">
        <w:rPr>
          <w:rFonts w:ascii="Arial" w:hAnsi="Arial" w:cs="Arial"/>
          <w:sz w:val="20"/>
        </w:rPr>
        <w:t> </w:t>
      </w:r>
      <w:r w:rsidR="003673E5" w:rsidRPr="00AB6BE6">
        <w:rPr>
          <w:rFonts w:ascii="Arial" w:hAnsi="Arial" w:cs="Arial"/>
          <w:sz w:val="20"/>
        </w:rPr>
        <w:t>%</w:t>
      </w:r>
      <w:r w:rsidR="00FF6FD0">
        <w:rPr>
          <w:rFonts w:ascii="Arial" w:hAnsi="Arial" w:cs="Arial"/>
          <w:sz w:val="20"/>
        </w:rPr>
        <w:t xml:space="preserve"> </w:t>
      </w:r>
      <w:r w:rsidR="00414E76">
        <w:rPr>
          <w:rFonts w:ascii="Arial" w:hAnsi="Arial" w:cs="Arial"/>
          <w:sz w:val="20"/>
        </w:rPr>
        <w:t>p</w:t>
      </w:r>
      <w:r w:rsidR="00AB6BE6" w:rsidRPr="00AB6BE6">
        <w:rPr>
          <w:rFonts w:ascii="Arial" w:hAnsi="Arial" w:cs="Arial"/>
          <w:sz w:val="20"/>
        </w:rPr>
        <w:t>odniků</w:t>
      </w:r>
      <w:r w:rsidR="003673E5" w:rsidRPr="00AB6BE6">
        <w:rPr>
          <w:rFonts w:ascii="Arial" w:hAnsi="Arial" w:cs="Arial"/>
          <w:sz w:val="20"/>
        </w:rPr>
        <w:t>)</w:t>
      </w:r>
      <w:r w:rsidRPr="00AB6BE6">
        <w:rPr>
          <w:rFonts w:ascii="Arial" w:hAnsi="Arial" w:cs="Arial"/>
          <w:sz w:val="20"/>
        </w:rPr>
        <w:t xml:space="preserve">. </w:t>
      </w:r>
    </w:p>
    <w:p w14:paraId="3DDF0D66" w14:textId="42F9512B" w:rsidR="001220F7" w:rsidRPr="00A665D9" w:rsidRDefault="00A665D9" w:rsidP="001220F7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665D9">
        <w:rPr>
          <w:rFonts w:ascii="Arial" w:hAnsi="Arial" w:cs="Arial"/>
          <w:iCs/>
          <w:sz w:val="20"/>
          <w:szCs w:val="20"/>
        </w:rPr>
        <w:t>Prodej</w:t>
      </w:r>
      <w:r w:rsidRPr="00A665D9">
        <w:rPr>
          <w:rFonts w:ascii="Arial" w:hAnsi="Arial" w:cs="Arial"/>
          <w:b/>
          <w:iCs/>
          <w:sz w:val="20"/>
          <w:szCs w:val="20"/>
        </w:rPr>
        <w:t xml:space="preserve"> k</w:t>
      </w:r>
      <w:r w:rsidR="008D1319" w:rsidRPr="00A665D9">
        <w:rPr>
          <w:rFonts w:ascii="Arial" w:hAnsi="Arial" w:cs="Arial"/>
          <w:b/>
          <w:iCs/>
          <w:sz w:val="20"/>
          <w:szCs w:val="20"/>
        </w:rPr>
        <w:t>oncovým zákazníkům</w:t>
      </w:r>
      <w:r w:rsidRPr="00A665D9">
        <w:rPr>
          <w:rFonts w:ascii="Arial" w:hAnsi="Arial" w:cs="Arial"/>
          <w:b/>
          <w:iCs/>
          <w:sz w:val="20"/>
          <w:szCs w:val="20"/>
        </w:rPr>
        <w:t xml:space="preserve"> – soukromým osobám</w:t>
      </w:r>
      <w:r w:rsidR="008D1319" w:rsidRPr="00A665D9">
        <w:rPr>
          <w:rFonts w:ascii="Arial" w:hAnsi="Arial" w:cs="Arial"/>
          <w:b/>
          <w:iCs/>
          <w:sz w:val="20"/>
          <w:szCs w:val="20"/>
        </w:rPr>
        <w:t xml:space="preserve"> </w:t>
      </w:r>
      <w:r w:rsidR="008D1319" w:rsidRPr="00A665D9">
        <w:rPr>
          <w:rFonts w:ascii="Arial" w:hAnsi="Arial" w:cs="Arial"/>
          <w:iCs/>
          <w:sz w:val="20"/>
          <w:szCs w:val="20"/>
        </w:rPr>
        <w:t>(</w:t>
      </w:r>
      <w:r w:rsidR="00C50497" w:rsidRPr="00A665D9">
        <w:rPr>
          <w:rFonts w:ascii="Arial" w:hAnsi="Arial" w:cs="Arial"/>
          <w:iCs/>
          <w:sz w:val="20"/>
          <w:szCs w:val="20"/>
        </w:rPr>
        <w:t xml:space="preserve">tzv. </w:t>
      </w:r>
      <w:r w:rsidR="008D1319" w:rsidRPr="00A665D9">
        <w:rPr>
          <w:rFonts w:ascii="Arial" w:hAnsi="Arial" w:cs="Arial"/>
          <w:iCs/>
          <w:sz w:val="20"/>
          <w:szCs w:val="20"/>
        </w:rPr>
        <w:t>B2C</w:t>
      </w:r>
      <w:r w:rsidR="00C50497" w:rsidRPr="00A665D9">
        <w:rPr>
          <w:rFonts w:ascii="Arial" w:hAnsi="Arial" w:cs="Arial"/>
          <w:iCs/>
          <w:sz w:val="20"/>
          <w:szCs w:val="20"/>
        </w:rPr>
        <w:t xml:space="preserve"> prodej</w:t>
      </w:r>
      <w:r w:rsidR="008D1319" w:rsidRPr="00A665D9">
        <w:rPr>
          <w:rFonts w:ascii="Arial" w:hAnsi="Arial" w:cs="Arial"/>
          <w:iCs/>
          <w:sz w:val="20"/>
          <w:szCs w:val="20"/>
        </w:rPr>
        <w:t xml:space="preserve">) </w:t>
      </w:r>
      <w:r w:rsidR="00414E76" w:rsidRPr="00A665D9">
        <w:rPr>
          <w:rFonts w:ascii="Arial" w:hAnsi="Arial" w:cs="Arial"/>
          <w:iCs/>
          <w:sz w:val="20"/>
          <w:szCs w:val="20"/>
        </w:rPr>
        <w:t xml:space="preserve">častěji </w:t>
      </w:r>
      <w:r w:rsidR="008D1319" w:rsidRPr="00A665D9">
        <w:rPr>
          <w:rFonts w:ascii="Arial" w:hAnsi="Arial" w:cs="Arial"/>
          <w:iCs/>
          <w:sz w:val="20"/>
          <w:szCs w:val="20"/>
        </w:rPr>
        <w:t>než jiným firmám či veřejné správě (B2B, B2G</w:t>
      </w:r>
      <w:r w:rsidR="00C50497" w:rsidRPr="00A665D9">
        <w:rPr>
          <w:rFonts w:ascii="Arial" w:hAnsi="Arial" w:cs="Arial"/>
          <w:iCs/>
          <w:sz w:val="20"/>
          <w:szCs w:val="20"/>
        </w:rPr>
        <w:t xml:space="preserve"> prodej</w:t>
      </w:r>
      <w:r w:rsidR="008D1319" w:rsidRPr="00A665D9">
        <w:rPr>
          <w:rFonts w:ascii="Arial" w:hAnsi="Arial" w:cs="Arial"/>
          <w:iCs/>
          <w:sz w:val="20"/>
          <w:szCs w:val="20"/>
        </w:rPr>
        <w:t>)</w:t>
      </w:r>
      <w:r w:rsidRPr="00A665D9">
        <w:rPr>
          <w:rFonts w:ascii="Arial" w:hAnsi="Arial" w:cs="Arial"/>
          <w:iCs/>
          <w:sz w:val="20"/>
          <w:szCs w:val="20"/>
        </w:rPr>
        <w:t xml:space="preserve"> je typický pro </w:t>
      </w:r>
      <w:r w:rsidRPr="00A665D9">
        <w:rPr>
          <w:rFonts w:ascii="Arial" w:hAnsi="Arial" w:cs="Arial"/>
          <w:iCs/>
          <w:sz w:val="20"/>
          <w:szCs w:val="20"/>
        </w:rPr>
        <w:t>firmy, které poskytují ubytování (72 %</w:t>
      </w:r>
      <w:r w:rsidRPr="00A665D9">
        <w:rPr>
          <w:rFonts w:ascii="Arial" w:hAnsi="Arial" w:cs="Arial"/>
          <w:iCs/>
          <w:sz w:val="20"/>
          <w:szCs w:val="20"/>
        </w:rPr>
        <w:t xml:space="preserve"> </w:t>
      </w:r>
      <w:r w:rsidRPr="00A665D9">
        <w:rPr>
          <w:rFonts w:ascii="Arial" w:hAnsi="Arial" w:cs="Arial"/>
          <w:iCs/>
          <w:sz w:val="20"/>
          <w:szCs w:val="20"/>
        </w:rPr>
        <w:t>ze všech podniků v tomto odvětví prodávalo soukromým osobám)</w:t>
      </w:r>
      <w:r w:rsidRPr="00A665D9">
        <w:rPr>
          <w:rFonts w:ascii="Arial" w:hAnsi="Arial" w:cs="Arial"/>
          <w:iCs/>
          <w:sz w:val="20"/>
          <w:szCs w:val="20"/>
        </w:rPr>
        <w:t xml:space="preserve">, dále pro </w:t>
      </w:r>
      <w:r w:rsidR="00027663" w:rsidRPr="00A665D9">
        <w:rPr>
          <w:rFonts w:ascii="Arial" w:hAnsi="Arial" w:cs="Arial"/>
          <w:iCs/>
          <w:sz w:val="20"/>
          <w:szCs w:val="20"/>
        </w:rPr>
        <w:t>cestovní agentury a kanceláře</w:t>
      </w:r>
      <w:r w:rsidR="00836646" w:rsidRPr="00A665D9">
        <w:rPr>
          <w:rFonts w:ascii="Arial" w:hAnsi="Arial" w:cs="Arial"/>
          <w:iCs/>
          <w:sz w:val="20"/>
          <w:szCs w:val="20"/>
        </w:rPr>
        <w:t xml:space="preserve"> (69 %</w:t>
      </w:r>
      <w:r w:rsidRPr="00A665D9">
        <w:rPr>
          <w:rFonts w:ascii="Arial" w:hAnsi="Arial" w:cs="Arial"/>
          <w:iCs/>
          <w:sz w:val="20"/>
          <w:szCs w:val="20"/>
        </w:rPr>
        <w:t xml:space="preserve"> firem prodávalo B2C),</w:t>
      </w:r>
      <w:r w:rsidR="00027663" w:rsidRPr="00A665D9">
        <w:rPr>
          <w:rFonts w:ascii="Arial" w:hAnsi="Arial" w:cs="Arial"/>
          <w:iCs/>
          <w:sz w:val="20"/>
          <w:szCs w:val="20"/>
        </w:rPr>
        <w:t xml:space="preserve"> firmy působící v</w:t>
      </w:r>
      <w:r w:rsidR="00836646" w:rsidRPr="00A665D9">
        <w:rPr>
          <w:rFonts w:ascii="Arial" w:hAnsi="Arial" w:cs="Arial"/>
          <w:iCs/>
          <w:sz w:val="20"/>
          <w:szCs w:val="20"/>
        </w:rPr>
        <w:t> </w:t>
      </w:r>
      <w:r w:rsidR="00027663" w:rsidRPr="00A665D9">
        <w:rPr>
          <w:rFonts w:ascii="Arial" w:hAnsi="Arial" w:cs="Arial"/>
          <w:iCs/>
          <w:sz w:val="20"/>
          <w:szCs w:val="20"/>
        </w:rPr>
        <w:t>maloobchodě</w:t>
      </w:r>
      <w:r w:rsidR="00836646" w:rsidRPr="00A665D9">
        <w:rPr>
          <w:rFonts w:ascii="Arial" w:hAnsi="Arial" w:cs="Arial"/>
          <w:iCs/>
          <w:sz w:val="20"/>
          <w:szCs w:val="20"/>
        </w:rPr>
        <w:t xml:space="preserve"> (41 %</w:t>
      </w:r>
      <w:r w:rsidRPr="00A665D9">
        <w:rPr>
          <w:rFonts w:ascii="Arial" w:hAnsi="Arial" w:cs="Arial"/>
          <w:iCs/>
          <w:sz w:val="20"/>
          <w:szCs w:val="20"/>
        </w:rPr>
        <w:t xml:space="preserve"> firem), </w:t>
      </w:r>
      <w:r w:rsidRPr="00A665D9">
        <w:rPr>
          <w:rFonts w:ascii="Arial" w:hAnsi="Arial" w:cs="Arial"/>
          <w:iCs/>
          <w:sz w:val="20"/>
          <w:szCs w:val="20"/>
        </w:rPr>
        <w:t>poskytují telekomunikační služby (37 %)</w:t>
      </w:r>
      <w:r w:rsidR="002F633B" w:rsidRPr="00A665D9">
        <w:rPr>
          <w:rFonts w:ascii="Arial" w:hAnsi="Arial" w:cs="Arial"/>
          <w:iCs/>
          <w:sz w:val="20"/>
          <w:szCs w:val="20"/>
        </w:rPr>
        <w:t xml:space="preserve"> </w:t>
      </w:r>
      <w:r w:rsidR="00FC746B" w:rsidRPr="00A665D9">
        <w:rPr>
          <w:rFonts w:ascii="Arial" w:hAnsi="Arial" w:cs="Arial"/>
          <w:iCs/>
          <w:sz w:val="20"/>
          <w:szCs w:val="20"/>
        </w:rPr>
        <w:t>a</w:t>
      </w:r>
      <w:r w:rsidR="002F633B" w:rsidRPr="00A665D9">
        <w:rPr>
          <w:rFonts w:ascii="Arial" w:hAnsi="Arial" w:cs="Arial"/>
          <w:iCs/>
          <w:sz w:val="20"/>
          <w:szCs w:val="20"/>
        </w:rPr>
        <w:t> </w:t>
      </w:r>
      <w:r w:rsidR="00027663" w:rsidRPr="00A665D9">
        <w:rPr>
          <w:rFonts w:ascii="Arial" w:hAnsi="Arial" w:cs="Arial"/>
          <w:iCs/>
          <w:sz w:val="20"/>
          <w:szCs w:val="20"/>
        </w:rPr>
        <w:t xml:space="preserve">také </w:t>
      </w:r>
      <w:r w:rsidRPr="00A665D9">
        <w:rPr>
          <w:rFonts w:ascii="Arial" w:hAnsi="Arial" w:cs="Arial"/>
          <w:iCs/>
          <w:sz w:val="20"/>
          <w:szCs w:val="20"/>
        </w:rPr>
        <w:t>pro s</w:t>
      </w:r>
      <w:r w:rsidR="008D1319" w:rsidRPr="00A665D9">
        <w:rPr>
          <w:rFonts w:ascii="Arial" w:hAnsi="Arial" w:cs="Arial"/>
          <w:iCs/>
          <w:sz w:val="20"/>
          <w:szCs w:val="20"/>
        </w:rPr>
        <w:t>travovací služby</w:t>
      </w:r>
      <w:r w:rsidRPr="00A665D9">
        <w:rPr>
          <w:rFonts w:ascii="Arial" w:hAnsi="Arial" w:cs="Arial"/>
          <w:iCs/>
          <w:sz w:val="20"/>
          <w:szCs w:val="20"/>
        </w:rPr>
        <w:t xml:space="preserve"> (25 %)</w:t>
      </w:r>
      <w:r w:rsidR="008D1319" w:rsidRPr="00A665D9">
        <w:rPr>
          <w:rFonts w:ascii="Arial" w:hAnsi="Arial" w:cs="Arial"/>
          <w:iCs/>
          <w:sz w:val="20"/>
          <w:szCs w:val="20"/>
        </w:rPr>
        <w:t xml:space="preserve">. </w:t>
      </w:r>
      <w:r w:rsidR="002F633B" w:rsidRPr="00A665D9">
        <w:rPr>
          <w:rFonts w:ascii="Arial" w:hAnsi="Arial" w:cs="Arial"/>
          <w:iCs/>
          <w:sz w:val="20"/>
          <w:szCs w:val="20"/>
        </w:rPr>
        <w:t>Z</w:t>
      </w:r>
      <w:r w:rsidR="008D1319" w:rsidRPr="00A665D9">
        <w:rPr>
          <w:rFonts w:ascii="Arial" w:hAnsi="Arial" w:cs="Arial"/>
          <w:iCs/>
          <w:sz w:val="20"/>
          <w:szCs w:val="20"/>
        </w:rPr>
        <w:t> odvětví zpracovatelského průmyslu</w:t>
      </w:r>
      <w:r w:rsidR="002F633B" w:rsidRPr="00A665D9">
        <w:rPr>
          <w:rFonts w:ascii="Arial" w:hAnsi="Arial" w:cs="Arial"/>
          <w:iCs/>
          <w:sz w:val="20"/>
          <w:szCs w:val="20"/>
        </w:rPr>
        <w:t xml:space="preserve"> častěji prodávají koncovým zákazníkům než jiným firmám či veřejné správě</w:t>
      </w:r>
      <w:r w:rsidR="008D1319" w:rsidRPr="00A665D9">
        <w:rPr>
          <w:rFonts w:ascii="Arial" w:hAnsi="Arial" w:cs="Arial"/>
          <w:iCs/>
          <w:sz w:val="20"/>
          <w:szCs w:val="20"/>
        </w:rPr>
        <w:t xml:space="preserve"> textilní a oděvní průmysl</w:t>
      </w:r>
      <w:r w:rsidR="00EB0BA8" w:rsidRPr="00A665D9">
        <w:rPr>
          <w:rFonts w:ascii="Arial" w:hAnsi="Arial" w:cs="Arial"/>
          <w:iCs/>
          <w:sz w:val="20"/>
          <w:szCs w:val="20"/>
        </w:rPr>
        <w:t xml:space="preserve"> (</w:t>
      </w:r>
      <w:r w:rsidRPr="00A665D9">
        <w:rPr>
          <w:rFonts w:ascii="Arial" w:hAnsi="Arial" w:cs="Arial"/>
          <w:iCs/>
          <w:sz w:val="20"/>
          <w:szCs w:val="20"/>
        </w:rPr>
        <w:t>32</w:t>
      </w:r>
      <w:r w:rsidR="00EB0BA8" w:rsidRPr="00A665D9">
        <w:rPr>
          <w:rFonts w:ascii="Arial" w:hAnsi="Arial" w:cs="Arial"/>
          <w:iCs/>
          <w:sz w:val="20"/>
          <w:szCs w:val="20"/>
        </w:rPr>
        <w:t> %)</w:t>
      </w:r>
      <w:r w:rsidR="008D1319" w:rsidRPr="00A665D9">
        <w:rPr>
          <w:rFonts w:ascii="Arial" w:hAnsi="Arial" w:cs="Arial"/>
          <w:iCs/>
          <w:sz w:val="20"/>
          <w:szCs w:val="20"/>
        </w:rPr>
        <w:t xml:space="preserve">. </w:t>
      </w:r>
      <w:r w:rsidR="001220F7" w:rsidRPr="00A665D9">
        <w:rPr>
          <w:rFonts w:ascii="Arial" w:hAnsi="Arial" w:cs="Arial"/>
          <w:iCs/>
          <w:sz w:val="20"/>
          <w:szCs w:val="20"/>
        </w:rPr>
        <w:t>Častější prodeje B2C se promítají i do vyšších tržeb z B2C</w:t>
      </w:r>
      <w:r w:rsidRPr="00A665D9">
        <w:rPr>
          <w:rFonts w:ascii="Arial" w:hAnsi="Arial" w:cs="Arial"/>
          <w:iCs/>
          <w:sz w:val="20"/>
          <w:szCs w:val="20"/>
        </w:rPr>
        <w:t xml:space="preserve"> prodeje</w:t>
      </w:r>
      <w:r w:rsidR="001220F7" w:rsidRPr="00A665D9">
        <w:rPr>
          <w:rFonts w:ascii="Arial" w:hAnsi="Arial" w:cs="Arial"/>
          <w:iCs/>
          <w:sz w:val="20"/>
          <w:szCs w:val="20"/>
        </w:rPr>
        <w:t xml:space="preserve"> ve zmíněných odvětvích. V roce 2022 u cestovních kanceláří (90 % z tržeb z prodejů přes web), v maloobchodě (87 %), v telekomunikačních činnostech (84 %) a ve stravování a pohostinství (82 %). V odvětví zpracovatelského průmyslu vykázaly nejvyšší tržby z prodejů soukromým osobám firmy z oblasti textilní, oděvní a obuvnický průmysl (56 % podíl na tržbách z prodejů přes webové stránky).</w:t>
      </w:r>
    </w:p>
    <w:p w14:paraId="2B7E0463" w14:textId="04E915A3" w:rsidR="00D41C5F" w:rsidRPr="00B67DBD" w:rsidRDefault="008D1319" w:rsidP="00C2251B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67DBD">
        <w:rPr>
          <w:rFonts w:ascii="Arial" w:hAnsi="Arial" w:cs="Arial"/>
          <w:iCs/>
          <w:spacing w:val="-6"/>
          <w:sz w:val="20"/>
          <w:szCs w:val="20"/>
        </w:rPr>
        <w:t xml:space="preserve">Na </w:t>
      </w:r>
      <w:r w:rsidR="009E3458" w:rsidRPr="00B67DBD">
        <w:rPr>
          <w:rFonts w:ascii="Arial" w:hAnsi="Arial" w:cs="Arial"/>
          <w:iCs/>
          <w:spacing w:val="-6"/>
          <w:sz w:val="20"/>
          <w:szCs w:val="20"/>
        </w:rPr>
        <w:t xml:space="preserve">online </w:t>
      </w:r>
      <w:r w:rsidRPr="00B67DBD">
        <w:rPr>
          <w:rFonts w:ascii="Arial" w:hAnsi="Arial" w:cs="Arial"/>
          <w:iCs/>
          <w:spacing w:val="-6"/>
          <w:sz w:val="20"/>
          <w:szCs w:val="20"/>
        </w:rPr>
        <w:t xml:space="preserve">prodej dalším </w:t>
      </w:r>
      <w:r w:rsidRPr="00B67DBD">
        <w:rPr>
          <w:rFonts w:ascii="Arial" w:hAnsi="Arial" w:cs="Arial"/>
          <w:b/>
          <w:iCs/>
          <w:spacing w:val="-6"/>
          <w:sz w:val="20"/>
          <w:szCs w:val="20"/>
        </w:rPr>
        <w:t>firmám nebo organizacím veřejné správy</w:t>
      </w:r>
      <w:r w:rsidR="00FF2823" w:rsidRPr="00B67DBD">
        <w:rPr>
          <w:rFonts w:ascii="Arial" w:hAnsi="Arial" w:cs="Arial"/>
          <w:b/>
          <w:iCs/>
          <w:spacing w:val="-6"/>
          <w:sz w:val="20"/>
          <w:szCs w:val="20"/>
        </w:rPr>
        <w:t xml:space="preserve"> </w:t>
      </w:r>
      <w:r w:rsidR="00FF2823" w:rsidRPr="00B67DBD">
        <w:rPr>
          <w:rFonts w:ascii="Arial" w:hAnsi="Arial" w:cs="Arial"/>
          <w:iCs/>
          <w:spacing w:val="-6"/>
          <w:sz w:val="20"/>
          <w:szCs w:val="20"/>
        </w:rPr>
        <w:t>(tzv. B2B resp. B2G prodej)</w:t>
      </w:r>
      <w:r w:rsidRPr="00B67DBD">
        <w:rPr>
          <w:rFonts w:ascii="Arial" w:hAnsi="Arial" w:cs="Arial"/>
          <w:iCs/>
          <w:spacing w:val="-6"/>
          <w:sz w:val="20"/>
          <w:szCs w:val="20"/>
        </w:rPr>
        <w:t xml:space="preserve"> se</w:t>
      </w:r>
      <w:r w:rsidR="001B6C8A" w:rsidRPr="00B67DBD">
        <w:rPr>
          <w:rFonts w:ascii="Arial" w:hAnsi="Arial" w:cs="Arial"/>
          <w:iCs/>
          <w:spacing w:val="-6"/>
          <w:sz w:val="20"/>
          <w:szCs w:val="20"/>
        </w:rPr>
        <w:t xml:space="preserve"> z průmyslových odvětví</w:t>
      </w:r>
      <w:r w:rsidRPr="00B67DBD">
        <w:rPr>
          <w:rFonts w:ascii="Arial" w:hAnsi="Arial" w:cs="Arial"/>
          <w:iCs/>
          <w:spacing w:val="-6"/>
          <w:sz w:val="20"/>
          <w:szCs w:val="20"/>
        </w:rPr>
        <w:t xml:space="preserve"> častěji</w:t>
      </w:r>
      <w:r w:rsidR="001B6C8A" w:rsidRPr="00B67DBD">
        <w:rPr>
          <w:rFonts w:ascii="Arial" w:hAnsi="Arial" w:cs="Arial"/>
          <w:iCs/>
          <w:spacing w:val="-6"/>
          <w:sz w:val="20"/>
          <w:szCs w:val="20"/>
        </w:rPr>
        <w:t xml:space="preserve"> </w:t>
      </w:r>
      <w:r w:rsidR="00EC245F" w:rsidRPr="00B67DBD">
        <w:rPr>
          <w:rFonts w:ascii="Arial" w:hAnsi="Arial" w:cs="Arial"/>
          <w:iCs/>
          <w:spacing w:val="-6"/>
          <w:sz w:val="20"/>
          <w:szCs w:val="20"/>
        </w:rPr>
        <w:t>zaměřují firmy vyrábějících</w:t>
      </w:r>
      <w:r w:rsidR="00C25AE8" w:rsidRPr="00B67DBD">
        <w:rPr>
          <w:rFonts w:ascii="Arial" w:hAnsi="Arial" w:cs="Arial"/>
          <w:iCs/>
          <w:spacing w:val="-6"/>
          <w:sz w:val="20"/>
          <w:szCs w:val="20"/>
        </w:rPr>
        <w:t xml:space="preserve"> počítač</w:t>
      </w:r>
      <w:r w:rsidR="00EC245F" w:rsidRPr="00B67DBD">
        <w:rPr>
          <w:rFonts w:ascii="Arial" w:hAnsi="Arial" w:cs="Arial"/>
          <w:iCs/>
          <w:spacing w:val="-6"/>
          <w:sz w:val="20"/>
          <w:szCs w:val="20"/>
        </w:rPr>
        <w:t>e</w:t>
      </w:r>
      <w:r w:rsidR="00FF2823" w:rsidRPr="00B67DBD">
        <w:rPr>
          <w:rFonts w:ascii="Arial" w:hAnsi="Arial" w:cs="Arial"/>
          <w:iCs/>
          <w:spacing w:val="-6"/>
          <w:sz w:val="20"/>
          <w:szCs w:val="20"/>
        </w:rPr>
        <w:t xml:space="preserve"> nebo jinou elektroniku (CZ NACE 26</w:t>
      </w:r>
      <w:r w:rsidR="00A665D9" w:rsidRPr="00B67DBD">
        <w:rPr>
          <w:rFonts w:ascii="Arial" w:hAnsi="Arial" w:cs="Arial"/>
          <w:iCs/>
          <w:spacing w:val="-6"/>
          <w:sz w:val="20"/>
          <w:szCs w:val="20"/>
        </w:rPr>
        <w:t>:</w:t>
      </w:r>
      <w:r w:rsidR="001B6C8A" w:rsidRPr="00B67DBD">
        <w:rPr>
          <w:rFonts w:ascii="Arial" w:hAnsi="Arial" w:cs="Arial"/>
          <w:iCs/>
          <w:spacing w:val="-6"/>
          <w:sz w:val="20"/>
          <w:szCs w:val="20"/>
        </w:rPr>
        <w:t xml:space="preserve"> </w:t>
      </w:r>
      <w:r w:rsidR="00A665D9" w:rsidRPr="00B67DBD">
        <w:rPr>
          <w:rFonts w:ascii="Arial" w:hAnsi="Arial" w:cs="Arial"/>
          <w:iCs/>
          <w:spacing w:val="-6"/>
          <w:sz w:val="20"/>
          <w:szCs w:val="20"/>
        </w:rPr>
        <w:t>16</w:t>
      </w:r>
      <w:r w:rsidR="001B6C8A" w:rsidRPr="00B67DBD">
        <w:rPr>
          <w:rFonts w:ascii="Arial" w:hAnsi="Arial" w:cs="Arial"/>
          <w:iCs/>
          <w:spacing w:val="-6"/>
          <w:sz w:val="20"/>
          <w:szCs w:val="20"/>
        </w:rPr>
        <w:t>%</w:t>
      </w:r>
      <w:r w:rsidR="00A665D9" w:rsidRPr="00B67DBD">
        <w:rPr>
          <w:rFonts w:ascii="Arial" w:hAnsi="Arial" w:cs="Arial"/>
          <w:iCs/>
          <w:spacing w:val="-6"/>
          <w:sz w:val="20"/>
          <w:szCs w:val="20"/>
        </w:rPr>
        <w:t xml:space="preserve"> podniků v tomto odvětví</w:t>
      </w:r>
      <w:r w:rsidR="00FF2823" w:rsidRPr="00B67DBD">
        <w:rPr>
          <w:rFonts w:ascii="Arial" w:hAnsi="Arial" w:cs="Arial"/>
          <w:iCs/>
          <w:spacing w:val="-6"/>
          <w:sz w:val="20"/>
          <w:szCs w:val="20"/>
        </w:rPr>
        <w:t>)</w:t>
      </w:r>
      <w:r w:rsidR="00C25AE8" w:rsidRPr="00B67DBD">
        <w:rPr>
          <w:rFonts w:ascii="Arial" w:hAnsi="Arial" w:cs="Arial"/>
          <w:iCs/>
          <w:spacing w:val="-6"/>
          <w:sz w:val="20"/>
          <w:szCs w:val="20"/>
        </w:rPr>
        <w:t>,</w:t>
      </w:r>
      <w:r w:rsidRPr="00B67DBD">
        <w:rPr>
          <w:rFonts w:ascii="Arial" w:hAnsi="Arial" w:cs="Arial"/>
          <w:iCs/>
          <w:spacing w:val="-6"/>
          <w:sz w:val="20"/>
          <w:szCs w:val="20"/>
        </w:rPr>
        <w:t xml:space="preserve"> </w:t>
      </w:r>
      <w:r w:rsidR="002F633B" w:rsidRPr="00B67DBD">
        <w:rPr>
          <w:rFonts w:ascii="Arial" w:hAnsi="Arial" w:cs="Arial"/>
          <w:iCs/>
          <w:spacing w:val="-6"/>
          <w:sz w:val="20"/>
          <w:szCs w:val="20"/>
        </w:rPr>
        <w:t>z</w:t>
      </w:r>
      <w:r w:rsidRPr="00B67DBD">
        <w:rPr>
          <w:rFonts w:ascii="Arial" w:hAnsi="Arial" w:cs="Arial"/>
          <w:iCs/>
          <w:spacing w:val="-6"/>
          <w:sz w:val="20"/>
          <w:szCs w:val="20"/>
        </w:rPr>
        <w:t>e segmentu služeb pak IT firmy</w:t>
      </w:r>
      <w:r w:rsidR="001B6C8A" w:rsidRPr="00B67DBD">
        <w:rPr>
          <w:rFonts w:ascii="Arial" w:hAnsi="Arial" w:cs="Arial"/>
          <w:iCs/>
          <w:spacing w:val="-6"/>
          <w:sz w:val="20"/>
          <w:szCs w:val="20"/>
        </w:rPr>
        <w:t xml:space="preserve"> (</w:t>
      </w:r>
      <w:r w:rsidR="00A665D9" w:rsidRPr="00B67DBD">
        <w:rPr>
          <w:rFonts w:ascii="Arial" w:hAnsi="Arial" w:cs="Arial"/>
          <w:iCs/>
          <w:spacing w:val="-6"/>
          <w:sz w:val="20"/>
          <w:szCs w:val="20"/>
        </w:rPr>
        <w:t>CZ NACE 62-63: 23</w:t>
      </w:r>
      <w:r w:rsidR="001B6C8A" w:rsidRPr="00B67DBD">
        <w:rPr>
          <w:rFonts w:ascii="Arial" w:hAnsi="Arial" w:cs="Arial"/>
          <w:iCs/>
          <w:spacing w:val="-6"/>
          <w:sz w:val="20"/>
          <w:szCs w:val="20"/>
        </w:rPr>
        <w:t> %)</w:t>
      </w:r>
      <w:r w:rsidR="00C50497" w:rsidRPr="00B67DBD">
        <w:rPr>
          <w:rFonts w:ascii="Arial" w:hAnsi="Arial" w:cs="Arial"/>
          <w:iCs/>
          <w:spacing w:val="-6"/>
          <w:sz w:val="20"/>
          <w:szCs w:val="20"/>
        </w:rPr>
        <w:t xml:space="preserve"> </w:t>
      </w:r>
      <w:r w:rsidR="00FF2823" w:rsidRPr="00B67DBD">
        <w:rPr>
          <w:rFonts w:ascii="Arial" w:hAnsi="Arial" w:cs="Arial"/>
          <w:iCs/>
          <w:spacing w:val="-6"/>
          <w:sz w:val="20"/>
          <w:szCs w:val="20"/>
        </w:rPr>
        <w:t>nebo firmy působící v oblasti nemovitostí</w:t>
      </w:r>
      <w:r w:rsidR="00A9584E" w:rsidRPr="00B67DBD">
        <w:rPr>
          <w:rFonts w:ascii="Arial" w:hAnsi="Arial" w:cs="Arial"/>
          <w:iCs/>
          <w:spacing w:val="-6"/>
          <w:sz w:val="20"/>
          <w:szCs w:val="20"/>
        </w:rPr>
        <w:t xml:space="preserve"> (</w:t>
      </w:r>
      <w:r w:rsidR="00A665D9" w:rsidRPr="00B67DBD">
        <w:rPr>
          <w:rFonts w:ascii="Arial" w:hAnsi="Arial" w:cs="Arial"/>
          <w:iCs/>
          <w:spacing w:val="-6"/>
          <w:sz w:val="20"/>
          <w:szCs w:val="20"/>
        </w:rPr>
        <w:t>8</w:t>
      </w:r>
      <w:r w:rsidR="00A9584E" w:rsidRPr="00B67DBD">
        <w:rPr>
          <w:rFonts w:ascii="Arial" w:hAnsi="Arial" w:cs="Arial"/>
          <w:iCs/>
          <w:spacing w:val="-6"/>
          <w:sz w:val="20"/>
          <w:szCs w:val="20"/>
        </w:rPr>
        <w:t> %)</w:t>
      </w:r>
      <w:r w:rsidRPr="00B67DBD">
        <w:rPr>
          <w:rFonts w:ascii="Arial" w:hAnsi="Arial" w:cs="Arial"/>
          <w:iCs/>
          <w:spacing w:val="-6"/>
          <w:sz w:val="20"/>
          <w:szCs w:val="20"/>
        </w:rPr>
        <w:t xml:space="preserve">. </w:t>
      </w:r>
      <w:r w:rsidR="00D41C5F" w:rsidRPr="00B67DBD">
        <w:rPr>
          <w:rFonts w:ascii="Arial" w:hAnsi="Arial" w:cs="Arial"/>
          <w:iCs/>
          <w:sz w:val="20"/>
          <w:szCs w:val="20"/>
        </w:rPr>
        <w:t>Nejvyšší tržby z prodejů jiným firmám nebo veřejné správě byly v roce 2022 zaznamenány v elektrotechnickém průmyslu (CZ NACE 27: 95% podíl z tržbách z</w:t>
      </w:r>
      <w:r w:rsidR="00781A83" w:rsidRPr="00B67DBD">
        <w:rPr>
          <w:rFonts w:ascii="Arial" w:hAnsi="Arial" w:cs="Arial"/>
          <w:iCs/>
          <w:sz w:val="20"/>
          <w:szCs w:val="20"/>
        </w:rPr>
        <w:t xml:space="preserve"> online </w:t>
      </w:r>
      <w:r w:rsidR="00D41C5F" w:rsidRPr="00B67DBD">
        <w:rPr>
          <w:rFonts w:ascii="Arial" w:hAnsi="Arial" w:cs="Arial"/>
          <w:iCs/>
          <w:sz w:val="20"/>
          <w:szCs w:val="20"/>
        </w:rPr>
        <w:t xml:space="preserve">prodejů), v automobilovém průmyslu (CZ NACE 29-30: 89 %) nebo v IT činnostech (CZ NACE 62: 82 %). </w:t>
      </w:r>
    </w:p>
    <w:p w14:paraId="10C2C609" w14:textId="08980BCF" w:rsidR="00655118" w:rsidRPr="002D5D08" w:rsidRDefault="00655118" w:rsidP="00781A83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D5D08">
        <w:rPr>
          <w:rFonts w:ascii="Arial" w:hAnsi="Arial" w:cs="Arial"/>
          <w:iCs/>
          <w:sz w:val="20"/>
          <w:szCs w:val="20"/>
        </w:rPr>
        <w:t>Podniky většiny zemí EU</w:t>
      </w:r>
      <w:r w:rsidR="005A7645">
        <w:rPr>
          <w:rFonts w:ascii="Arial" w:hAnsi="Arial" w:cs="Arial"/>
          <w:iCs/>
          <w:sz w:val="20"/>
          <w:szCs w:val="20"/>
        </w:rPr>
        <w:t>27</w:t>
      </w:r>
      <w:r w:rsidRPr="002D5D08">
        <w:rPr>
          <w:rFonts w:ascii="Arial" w:hAnsi="Arial" w:cs="Arial"/>
          <w:iCs/>
          <w:sz w:val="20"/>
          <w:szCs w:val="20"/>
        </w:rPr>
        <w:t xml:space="preserve"> </w:t>
      </w:r>
      <w:r w:rsidR="00D10718" w:rsidRPr="002D5D08">
        <w:rPr>
          <w:rFonts w:ascii="Arial" w:hAnsi="Arial" w:cs="Arial"/>
          <w:iCs/>
          <w:sz w:val="20"/>
          <w:szCs w:val="20"/>
        </w:rPr>
        <w:t>získávají</w:t>
      </w:r>
      <w:r w:rsidRPr="002D5D08">
        <w:rPr>
          <w:rFonts w:ascii="Arial" w:hAnsi="Arial" w:cs="Arial"/>
          <w:iCs/>
          <w:sz w:val="20"/>
          <w:szCs w:val="20"/>
        </w:rPr>
        <w:t xml:space="preserve"> </w:t>
      </w:r>
      <w:r w:rsidRPr="00BD3FB6">
        <w:rPr>
          <w:rFonts w:ascii="Arial" w:hAnsi="Arial" w:cs="Arial"/>
          <w:b/>
          <w:iCs/>
          <w:sz w:val="20"/>
          <w:szCs w:val="20"/>
        </w:rPr>
        <w:t>vyšší tržby z prodejů jiným firmám nebo organizacím veřejné správy než z prodejů soukromým osobám</w:t>
      </w:r>
      <w:r w:rsidRPr="002D5D08">
        <w:rPr>
          <w:rFonts w:ascii="Arial" w:hAnsi="Arial" w:cs="Arial"/>
          <w:iCs/>
          <w:sz w:val="20"/>
          <w:szCs w:val="20"/>
        </w:rPr>
        <w:t>.</w:t>
      </w:r>
      <w:r w:rsidR="002D5D08">
        <w:rPr>
          <w:rFonts w:ascii="Arial" w:hAnsi="Arial" w:cs="Arial"/>
          <w:iCs/>
          <w:sz w:val="20"/>
          <w:szCs w:val="20"/>
        </w:rPr>
        <w:t xml:space="preserve"> Nejvíce viditelné to je u podniků na Slovensku (78 %</w:t>
      </w:r>
      <w:r w:rsidR="00BD3FB6">
        <w:rPr>
          <w:rFonts w:ascii="Arial" w:hAnsi="Arial" w:cs="Arial"/>
          <w:iCs/>
          <w:sz w:val="20"/>
          <w:szCs w:val="20"/>
        </w:rPr>
        <w:t xml:space="preserve"> z B2B resp. B2G prodejů</w:t>
      </w:r>
      <w:r w:rsidR="002D5D08">
        <w:rPr>
          <w:rFonts w:ascii="Arial" w:hAnsi="Arial" w:cs="Arial"/>
          <w:iCs/>
          <w:sz w:val="20"/>
          <w:szCs w:val="20"/>
        </w:rPr>
        <w:t xml:space="preserve"> ku 22</w:t>
      </w:r>
      <w:r w:rsidR="00BD3FB6">
        <w:rPr>
          <w:rFonts w:ascii="Arial" w:hAnsi="Arial" w:cs="Arial"/>
          <w:iCs/>
          <w:sz w:val="20"/>
          <w:szCs w:val="20"/>
        </w:rPr>
        <w:t> </w:t>
      </w:r>
      <w:r w:rsidR="002D5D08">
        <w:rPr>
          <w:rFonts w:ascii="Arial" w:hAnsi="Arial" w:cs="Arial"/>
          <w:iCs/>
          <w:sz w:val="20"/>
          <w:szCs w:val="20"/>
        </w:rPr>
        <w:t>%</w:t>
      </w:r>
      <w:r w:rsidR="00BD3FB6">
        <w:rPr>
          <w:rFonts w:ascii="Arial" w:hAnsi="Arial" w:cs="Arial"/>
          <w:iCs/>
          <w:sz w:val="20"/>
          <w:szCs w:val="20"/>
        </w:rPr>
        <w:t xml:space="preserve"> z B2C prodejů</w:t>
      </w:r>
      <w:bookmarkStart w:id="0" w:name="_GoBack"/>
      <w:bookmarkEnd w:id="0"/>
      <w:r w:rsidR="002D5D08">
        <w:rPr>
          <w:rFonts w:ascii="Arial" w:hAnsi="Arial" w:cs="Arial"/>
          <w:iCs/>
          <w:sz w:val="20"/>
          <w:szCs w:val="20"/>
        </w:rPr>
        <w:t>).</w:t>
      </w:r>
      <w:r w:rsidRPr="002D5D08">
        <w:rPr>
          <w:rFonts w:ascii="Arial" w:hAnsi="Arial" w:cs="Arial"/>
          <w:iCs/>
          <w:sz w:val="20"/>
          <w:szCs w:val="20"/>
        </w:rPr>
        <w:t xml:space="preserve"> Obrácený poměr nacházíme v podnicích v</w:t>
      </w:r>
      <w:r w:rsidR="00CB2573" w:rsidRPr="002D5D08">
        <w:rPr>
          <w:rFonts w:ascii="Arial" w:hAnsi="Arial" w:cs="Arial"/>
          <w:iCs/>
          <w:sz w:val="20"/>
          <w:szCs w:val="20"/>
        </w:rPr>
        <w:t> </w:t>
      </w:r>
      <w:r w:rsidRPr="002D5D08">
        <w:rPr>
          <w:rFonts w:ascii="Arial" w:hAnsi="Arial" w:cs="Arial"/>
          <w:iCs/>
          <w:sz w:val="20"/>
          <w:szCs w:val="20"/>
        </w:rPr>
        <w:t>Rumunsku</w:t>
      </w:r>
      <w:r w:rsidR="00CB2573" w:rsidRPr="002D5D08">
        <w:rPr>
          <w:rFonts w:ascii="Arial" w:hAnsi="Arial" w:cs="Arial"/>
          <w:iCs/>
          <w:sz w:val="20"/>
          <w:szCs w:val="20"/>
        </w:rPr>
        <w:t>, Řecku, ve Francii a především pak na Maltě</w:t>
      </w:r>
      <w:r w:rsidRPr="002D5D08">
        <w:rPr>
          <w:rFonts w:ascii="Arial" w:hAnsi="Arial" w:cs="Arial"/>
          <w:iCs/>
          <w:sz w:val="20"/>
          <w:szCs w:val="20"/>
        </w:rPr>
        <w:t>, kde převládají t</w:t>
      </w:r>
      <w:r w:rsidR="00D10718" w:rsidRPr="002D5D08">
        <w:rPr>
          <w:rFonts w:ascii="Arial" w:hAnsi="Arial" w:cs="Arial"/>
          <w:iCs/>
          <w:sz w:val="20"/>
          <w:szCs w:val="20"/>
        </w:rPr>
        <w:t>r</w:t>
      </w:r>
      <w:r w:rsidRPr="002D5D08">
        <w:rPr>
          <w:rFonts w:ascii="Arial" w:hAnsi="Arial" w:cs="Arial"/>
          <w:iCs/>
          <w:sz w:val="20"/>
          <w:szCs w:val="20"/>
        </w:rPr>
        <w:t>žby z webového prodeje soukromým osobám</w:t>
      </w:r>
      <w:r w:rsidR="000F5173">
        <w:rPr>
          <w:rFonts w:ascii="Arial" w:hAnsi="Arial" w:cs="Arial"/>
          <w:iCs/>
          <w:sz w:val="20"/>
          <w:szCs w:val="20"/>
        </w:rPr>
        <w:t>.</w:t>
      </w:r>
      <w:r w:rsidRPr="002D5D08">
        <w:rPr>
          <w:rFonts w:ascii="Arial" w:hAnsi="Arial" w:cs="Arial"/>
          <w:iCs/>
          <w:sz w:val="20"/>
          <w:szCs w:val="20"/>
        </w:rPr>
        <w:t xml:space="preserve"> </w:t>
      </w:r>
      <w:r w:rsidR="002D5D08" w:rsidRPr="002D5D08">
        <w:rPr>
          <w:rFonts w:ascii="Arial" w:hAnsi="Arial" w:cs="Arial"/>
          <w:iCs/>
          <w:sz w:val="20"/>
          <w:szCs w:val="20"/>
        </w:rPr>
        <w:t>U podniků v Česku je poměr tržeb z prodejů soukromým osobám a prodejů jiným podnikům či veřejné správě</w:t>
      </w:r>
      <w:r w:rsidR="00631669" w:rsidRPr="00631669">
        <w:rPr>
          <w:rFonts w:ascii="Arial" w:hAnsi="Arial" w:cs="Arial"/>
          <w:iCs/>
          <w:sz w:val="20"/>
          <w:szCs w:val="20"/>
        </w:rPr>
        <w:t xml:space="preserve"> </w:t>
      </w:r>
      <w:r w:rsidR="00631669">
        <w:rPr>
          <w:rFonts w:ascii="Arial" w:hAnsi="Arial" w:cs="Arial"/>
          <w:iCs/>
          <w:sz w:val="20"/>
          <w:szCs w:val="20"/>
        </w:rPr>
        <w:t xml:space="preserve">téměř </w:t>
      </w:r>
      <w:r w:rsidR="00631669" w:rsidRPr="002D5D08">
        <w:rPr>
          <w:rFonts w:ascii="Arial" w:hAnsi="Arial" w:cs="Arial"/>
          <w:iCs/>
          <w:sz w:val="20"/>
          <w:szCs w:val="20"/>
        </w:rPr>
        <w:t>vyrovnaný</w:t>
      </w:r>
      <w:r w:rsidR="002D5D08" w:rsidRPr="002D5D08">
        <w:rPr>
          <w:rFonts w:ascii="Arial" w:hAnsi="Arial" w:cs="Arial"/>
          <w:iCs/>
          <w:sz w:val="20"/>
          <w:szCs w:val="20"/>
        </w:rPr>
        <w:t xml:space="preserve">, v roce 2022 mírně převažovaly tržby z prodejů soukromým osobám (53 % versus 47 %). V Německu, Nizozemsku a Lotyšsku byl poměr mezi oběma typy koncových zákazníků v roce 2022 rozdělen přesně </w:t>
      </w:r>
      <w:r w:rsidR="00DD1D84">
        <w:rPr>
          <w:rFonts w:ascii="Arial" w:hAnsi="Arial" w:cs="Arial"/>
          <w:iCs/>
          <w:sz w:val="20"/>
          <w:szCs w:val="20"/>
        </w:rPr>
        <w:t>na polovinu</w:t>
      </w:r>
      <w:r w:rsidR="002D5D08" w:rsidRPr="002D5D08">
        <w:rPr>
          <w:rFonts w:ascii="Arial" w:hAnsi="Arial" w:cs="Arial"/>
          <w:iCs/>
          <w:sz w:val="20"/>
          <w:szCs w:val="20"/>
        </w:rPr>
        <w:t>.</w:t>
      </w:r>
    </w:p>
    <w:p w14:paraId="62D9FF3D" w14:textId="77777777" w:rsidR="002A1B16" w:rsidRDefault="002A1B16" w:rsidP="002A2199">
      <w:pPr>
        <w:spacing w:after="0" w:line="240" w:lineRule="auto"/>
        <w:rPr>
          <w:rFonts w:ascii="Arial" w:hAnsi="Arial" w:cs="Arial"/>
          <w:b/>
          <w:sz w:val="20"/>
        </w:rPr>
      </w:pPr>
    </w:p>
    <w:p w14:paraId="4E9EB1A5" w14:textId="77777777" w:rsidR="00836646" w:rsidRDefault="00836646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B340CF5" w14:textId="50572439" w:rsidR="0045049E" w:rsidRDefault="0045049E" w:rsidP="002A2199">
      <w:pPr>
        <w:spacing w:after="0" w:line="240" w:lineRule="auto"/>
        <w:rPr>
          <w:noProof/>
          <w:lang w:eastAsia="cs-CZ"/>
        </w:rPr>
      </w:pPr>
      <w:r w:rsidRPr="002C6BA4">
        <w:rPr>
          <w:rFonts w:ascii="Arial" w:hAnsi="Arial" w:cs="Arial"/>
          <w:b/>
          <w:sz w:val="20"/>
        </w:rPr>
        <w:lastRenderedPageBreak/>
        <w:t xml:space="preserve">Graf </w:t>
      </w:r>
      <w:r w:rsidR="002A1B16">
        <w:rPr>
          <w:rFonts w:ascii="Arial" w:hAnsi="Arial" w:cs="Arial"/>
          <w:b/>
          <w:sz w:val="20"/>
        </w:rPr>
        <w:t>8</w:t>
      </w:r>
      <w:r w:rsidRPr="002C6BA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2C6BA4">
        <w:rPr>
          <w:rFonts w:ascii="Arial" w:hAnsi="Arial" w:cs="Arial"/>
          <w:b/>
          <w:sz w:val="20"/>
        </w:rPr>
        <w:t xml:space="preserve">: </w:t>
      </w:r>
      <w:r w:rsidR="00B74932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rodej přes web</w:t>
      </w:r>
      <w:r w:rsidR="00315F27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="00B74932">
        <w:rPr>
          <w:rFonts w:ascii="Arial" w:hAnsi="Arial" w:cs="Arial"/>
          <w:b/>
          <w:sz w:val="20"/>
        </w:rPr>
        <w:t xml:space="preserve">mobilní </w:t>
      </w:r>
      <w:r>
        <w:rPr>
          <w:rFonts w:ascii="Arial" w:hAnsi="Arial" w:cs="Arial"/>
          <w:b/>
          <w:sz w:val="20"/>
        </w:rPr>
        <w:t>aplikace</w:t>
      </w:r>
      <w:r w:rsidR="00315F27">
        <w:rPr>
          <w:rFonts w:ascii="Arial" w:hAnsi="Arial" w:cs="Arial"/>
          <w:b/>
          <w:sz w:val="20"/>
        </w:rPr>
        <w:t xml:space="preserve"> nebo online tržiště</w:t>
      </w:r>
      <w:r>
        <w:rPr>
          <w:rFonts w:ascii="Arial" w:hAnsi="Arial" w:cs="Arial"/>
          <w:b/>
          <w:sz w:val="20"/>
        </w:rPr>
        <w:t xml:space="preserve"> v podnicích</w:t>
      </w:r>
      <w:r w:rsidRPr="002C6BA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v</w:t>
      </w:r>
      <w:r w:rsidRPr="002C6BA4">
        <w:rPr>
          <w:rFonts w:ascii="Arial" w:hAnsi="Arial" w:cs="Arial"/>
          <w:b/>
          <w:sz w:val="20"/>
        </w:rPr>
        <w:t xml:space="preserve"> ČR </w:t>
      </w:r>
      <w:r w:rsidRPr="000B2228">
        <w:rPr>
          <w:noProof/>
          <w:lang w:eastAsia="cs-CZ"/>
        </w:rPr>
        <w:t xml:space="preserve"> </w:t>
      </w:r>
    </w:p>
    <w:p w14:paraId="36E1C3A2" w14:textId="3E7E98AB" w:rsidR="001452CA" w:rsidRDefault="00315F27" w:rsidP="0045049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drawing>
          <wp:inline distT="0" distB="0" distL="0" distR="0" wp14:anchorId="19B3AEE4" wp14:editId="591FB90C">
            <wp:extent cx="6169660" cy="3267986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4C1516" w14:textId="56CBDEDD" w:rsidR="001452CA" w:rsidRPr="00A01DF4" w:rsidRDefault="001452CA" w:rsidP="001452CA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</w:t>
      </w:r>
      <w:r w:rsidR="002A1B16">
        <w:rPr>
          <w:rFonts w:ascii="Arial" w:hAnsi="Arial" w:cs="Arial"/>
          <w:sz w:val="18"/>
          <w:szCs w:val="18"/>
        </w:rPr>
        <w:t>3</w:t>
      </w:r>
    </w:p>
    <w:p w14:paraId="18F93E63" w14:textId="77777777" w:rsidR="002A1B16" w:rsidRDefault="002A1B16" w:rsidP="00FF6C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</w:p>
    <w:p w14:paraId="5201AED7" w14:textId="3A1578FF" w:rsidR="00124D49" w:rsidRPr="00124D49" w:rsidRDefault="00FF6CBF" w:rsidP="00FF6C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124D49">
        <w:rPr>
          <w:rFonts w:ascii="Arial" w:hAnsi="Arial" w:cs="Arial"/>
          <w:b/>
          <w:sz w:val="20"/>
        </w:rPr>
        <w:t xml:space="preserve">Graf </w:t>
      </w:r>
      <w:r w:rsidR="002A1B16">
        <w:rPr>
          <w:rFonts w:ascii="Arial" w:hAnsi="Arial" w:cs="Arial"/>
          <w:b/>
          <w:sz w:val="20"/>
        </w:rPr>
        <w:t>8.</w:t>
      </w:r>
      <w:r w:rsidR="00795978">
        <w:rPr>
          <w:rFonts w:ascii="Arial" w:hAnsi="Arial" w:cs="Arial"/>
          <w:b/>
          <w:sz w:val="20"/>
        </w:rPr>
        <w:t>2</w:t>
      </w:r>
      <w:r w:rsidRPr="00124D49">
        <w:rPr>
          <w:rFonts w:ascii="Arial" w:hAnsi="Arial" w:cs="Arial"/>
          <w:b/>
          <w:sz w:val="20"/>
        </w:rPr>
        <w:t>: Podniky v zemích EU</w:t>
      </w:r>
      <w:r w:rsidR="006512EF">
        <w:rPr>
          <w:rFonts w:ascii="Arial" w:hAnsi="Arial" w:cs="Arial"/>
          <w:b/>
          <w:sz w:val="20"/>
        </w:rPr>
        <w:t>27</w:t>
      </w:r>
      <w:r w:rsidR="00124D49">
        <w:rPr>
          <w:rFonts w:ascii="Arial" w:hAnsi="Arial" w:cs="Arial"/>
          <w:b/>
          <w:sz w:val="20"/>
        </w:rPr>
        <w:t xml:space="preserve">, které </w:t>
      </w:r>
      <w:r w:rsidR="00632E80" w:rsidRPr="00124D49">
        <w:rPr>
          <w:rFonts w:ascii="Arial" w:hAnsi="Arial" w:cs="Arial"/>
          <w:b/>
          <w:sz w:val="20"/>
        </w:rPr>
        <w:t>uskuteč</w:t>
      </w:r>
      <w:r w:rsidR="00124D49">
        <w:rPr>
          <w:rFonts w:ascii="Arial" w:hAnsi="Arial" w:cs="Arial"/>
          <w:b/>
          <w:sz w:val="20"/>
        </w:rPr>
        <w:t>nily prodeje přes</w:t>
      </w:r>
      <w:r w:rsidR="00632E80" w:rsidRPr="00124D49">
        <w:rPr>
          <w:rFonts w:ascii="Arial" w:hAnsi="Arial" w:cs="Arial"/>
          <w:b/>
          <w:sz w:val="20"/>
        </w:rPr>
        <w:t xml:space="preserve"> </w:t>
      </w:r>
      <w:r w:rsidR="00124D49">
        <w:rPr>
          <w:rFonts w:ascii="Arial" w:hAnsi="Arial" w:cs="Arial"/>
          <w:b/>
          <w:sz w:val="20"/>
        </w:rPr>
        <w:t>webové</w:t>
      </w:r>
      <w:r w:rsidR="00632E80" w:rsidRPr="00124D49">
        <w:rPr>
          <w:rFonts w:ascii="Arial" w:hAnsi="Arial" w:cs="Arial"/>
          <w:b/>
          <w:sz w:val="20"/>
        </w:rPr>
        <w:t xml:space="preserve"> </w:t>
      </w:r>
      <w:r w:rsidR="00315F27">
        <w:rPr>
          <w:rFonts w:ascii="Arial" w:hAnsi="Arial" w:cs="Arial"/>
          <w:b/>
          <w:sz w:val="20"/>
        </w:rPr>
        <w:t xml:space="preserve">stránky, </w:t>
      </w:r>
      <w:r w:rsidR="00124D49">
        <w:rPr>
          <w:rFonts w:ascii="Arial" w:hAnsi="Arial" w:cs="Arial"/>
          <w:b/>
          <w:sz w:val="20"/>
        </w:rPr>
        <w:t>mobilní aplikace</w:t>
      </w:r>
      <w:r w:rsidR="00315F27">
        <w:rPr>
          <w:rFonts w:ascii="Arial" w:hAnsi="Arial" w:cs="Arial"/>
          <w:b/>
          <w:sz w:val="20"/>
        </w:rPr>
        <w:t xml:space="preserve"> nebo online tržiště</w:t>
      </w:r>
      <w:r w:rsidR="00EC245F">
        <w:rPr>
          <w:rFonts w:ascii="Arial" w:hAnsi="Arial" w:cs="Arial"/>
          <w:b/>
          <w:sz w:val="20"/>
        </w:rPr>
        <w:t>; 202</w:t>
      </w:r>
      <w:r w:rsidR="002A1B16">
        <w:rPr>
          <w:rFonts w:ascii="Arial" w:hAnsi="Arial" w:cs="Arial"/>
          <w:b/>
          <w:sz w:val="20"/>
        </w:rPr>
        <w:t>2</w:t>
      </w:r>
    </w:p>
    <w:p w14:paraId="1D14A9A4" w14:textId="169428E9" w:rsidR="00375A7C" w:rsidRPr="00124D49" w:rsidRDefault="00D363B6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4CF23C26" wp14:editId="7CF766A1">
            <wp:extent cx="6066845" cy="4055166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BCBF89" w14:textId="123F2ADA" w:rsidR="00FF6CBF" w:rsidRPr="00124D49" w:rsidRDefault="00FF6CBF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4D49">
        <w:rPr>
          <w:rFonts w:ascii="Arial" w:hAnsi="Arial" w:cs="Arial"/>
          <w:i/>
          <w:sz w:val="18"/>
          <w:szCs w:val="18"/>
        </w:rPr>
        <w:t>* podniky dané země, které</w:t>
      </w:r>
      <w:r w:rsidR="00124D49" w:rsidRPr="00124D49">
        <w:rPr>
          <w:rFonts w:ascii="Arial" w:hAnsi="Arial" w:cs="Arial"/>
          <w:i/>
          <w:sz w:val="18"/>
          <w:szCs w:val="18"/>
        </w:rPr>
        <w:t xml:space="preserve"> měly</w:t>
      </w:r>
      <w:r w:rsidRPr="00124D49">
        <w:rPr>
          <w:rFonts w:ascii="Arial" w:hAnsi="Arial" w:cs="Arial"/>
          <w:i/>
          <w:sz w:val="18"/>
          <w:szCs w:val="18"/>
        </w:rPr>
        <w:t xml:space="preserve"> v průběhu roku 202</w:t>
      </w:r>
      <w:r w:rsidR="002A1B16">
        <w:rPr>
          <w:rFonts w:ascii="Arial" w:hAnsi="Arial" w:cs="Arial"/>
          <w:i/>
          <w:sz w:val="18"/>
          <w:szCs w:val="18"/>
        </w:rPr>
        <w:t>2</w:t>
      </w:r>
      <w:r w:rsidRPr="00124D49">
        <w:rPr>
          <w:rFonts w:ascii="Arial" w:hAnsi="Arial" w:cs="Arial"/>
          <w:i/>
          <w:sz w:val="18"/>
          <w:szCs w:val="18"/>
        </w:rPr>
        <w:t xml:space="preserve"> tržby z online prodejů prostřednictvím web</w:t>
      </w:r>
      <w:r w:rsidR="00766C88">
        <w:rPr>
          <w:rFonts w:ascii="Arial" w:hAnsi="Arial" w:cs="Arial"/>
          <w:i/>
          <w:sz w:val="18"/>
          <w:szCs w:val="18"/>
        </w:rPr>
        <w:t>u</w:t>
      </w:r>
      <w:r w:rsidRPr="00124D49">
        <w:rPr>
          <w:rFonts w:ascii="Arial" w:hAnsi="Arial" w:cs="Arial"/>
          <w:i/>
          <w:sz w:val="18"/>
          <w:szCs w:val="18"/>
        </w:rPr>
        <w:t>/aplikací</w:t>
      </w:r>
      <w:r w:rsidR="00766C88">
        <w:rPr>
          <w:rFonts w:ascii="Arial" w:hAnsi="Arial" w:cs="Arial"/>
          <w:i/>
          <w:sz w:val="18"/>
          <w:szCs w:val="18"/>
        </w:rPr>
        <w:t>/online tržišť</w:t>
      </w:r>
    </w:p>
    <w:p w14:paraId="300CC522" w14:textId="39D03BB6" w:rsidR="00FF6CBF" w:rsidRPr="00124D49" w:rsidRDefault="004D1EED" w:rsidP="00FF6CBF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FF6CBF" w:rsidRPr="00124D49">
        <w:rPr>
          <w:rFonts w:ascii="Arial" w:hAnsi="Arial" w:cs="Arial"/>
          <w:i/>
          <w:sz w:val="18"/>
          <w:szCs w:val="18"/>
        </w:rPr>
        <w:t xml:space="preserve"> </w:t>
      </w:r>
      <w:r w:rsidR="002A1B16">
        <w:rPr>
          <w:rFonts w:ascii="Arial" w:hAnsi="Arial" w:cs="Arial"/>
          <w:i/>
          <w:sz w:val="18"/>
          <w:szCs w:val="18"/>
        </w:rPr>
        <w:t>z</w:t>
      </w:r>
      <w:r w:rsidR="00FF6CBF" w:rsidRPr="00124D49">
        <w:rPr>
          <w:rFonts w:ascii="Arial" w:hAnsi="Arial" w:cs="Arial"/>
          <w:i/>
          <w:sz w:val="18"/>
          <w:szCs w:val="18"/>
        </w:rPr>
        <w:t xml:space="preserve"> celkové</w:t>
      </w:r>
      <w:r w:rsidR="002A1B16">
        <w:rPr>
          <w:rFonts w:ascii="Arial" w:hAnsi="Arial" w:cs="Arial"/>
          <w:i/>
          <w:sz w:val="18"/>
          <w:szCs w:val="18"/>
        </w:rPr>
        <w:t>ho</w:t>
      </w:r>
      <w:r w:rsidR="00FF6CBF" w:rsidRPr="00124D49">
        <w:rPr>
          <w:rFonts w:ascii="Arial" w:hAnsi="Arial" w:cs="Arial"/>
          <w:i/>
          <w:sz w:val="18"/>
          <w:szCs w:val="18"/>
        </w:rPr>
        <w:t xml:space="preserve"> počtu podniků s 10 a více zaměstnanci v dané zemi                         z</w:t>
      </w:r>
      <w:r w:rsidR="00FF6CBF" w:rsidRPr="00124D49">
        <w:rPr>
          <w:rFonts w:ascii="Arial" w:hAnsi="Arial" w:cs="Arial"/>
          <w:sz w:val="18"/>
          <w:szCs w:val="18"/>
        </w:rPr>
        <w:t>droj dat: Eurostat, prosinec 202</w:t>
      </w:r>
      <w:r w:rsidR="002A1B16">
        <w:rPr>
          <w:rFonts w:ascii="Arial" w:hAnsi="Arial" w:cs="Arial"/>
          <w:sz w:val="18"/>
          <w:szCs w:val="18"/>
        </w:rPr>
        <w:t>3</w:t>
      </w:r>
    </w:p>
    <w:p w14:paraId="74F3856F" w14:textId="77777777" w:rsidR="00FF6CBF" w:rsidRPr="00810CDD" w:rsidRDefault="00FF6CBF" w:rsidP="00FF6CBF">
      <w:pPr>
        <w:spacing w:before="120" w:after="0" w:line="240" w:lineRule="auto"/>
        <w:jc w:val="right"/>
        <w:rPr>
          <w:rFonts w:ascii="Arial" w:hAnsi="Arial" w:cs="Arial"/>
          <w:sz w:val="10"/>
          <w:szCs w:val="10"/>
          <w:highlight w:val="yellow"/>
        </w:rPr>
      </w:pPr>
    </w:p>
    <w:p w14:paraId="3D52FC98" w14:textId="77777777" w:rsidR="00FF6CBF" w:rsidRPr="00810CDD" w:rsidRDefault="00FF6CBF" w:rsidP="00FF6CBF">
      <w:pPr>
        <w:spacing w:before="120" w:after="0" w:line="240" w:lineRule="auto"/>
        <w:jc w:val="right"/>
        <w:rPr>
          <w:rFonts w:ascii="Arial" w:hAnsi="Arial" w:cs="Arial"/>
          <w:sz w:val="18"/>
          <w:szCs w:val="18"/>
          <w:highlight w:val="yellow"/>
        </w:rPr>
      </w:pPr>
    </w:p>
    <w:p w14:paraId="2F55A21E" w14:textId="64CFA3C1" w:rsidR="00EC245F" w:rsidRDefault="00FF6CBF" w:rsidP="00FF6C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  <w:sz w:val="20"/>
        </w:rPr>
      </w:pPr>
      <w:r w:rsidRPr="00124D49">
        <w:rPr>
          <w:rFonts w:ascii="Arial" w:hAnsi="Arial" w:cs="Arial"/>
          <w:b/>
          <w:spacing w:val="-2"/>
          <w:sz w:val="20"/>
        </w:rPr>
        <w:lastRenderedPageBreak/>
        <w:t xml:space="preserve">Graf </w:t>
      </w:r>
      <w:r w:rsidR="00795978">
        <w:rPr>
          <w:rFonts w:ascii="Arial" w:hAnsi="Arial" w:cs="Arial"/>
          <w:b/>
          <w:spacing w:val="-2"/>
          <w:sz w:val="20"/>
        </w:rPr>
        <w:t>8.3</w:t>
      </w:r>
      <w:r w:rsidRPr="00124D49">
        <w:rPr>
          <w:rFonts w:ascii="Arial" w:hAnsi="Arial" w:cs="Arial"/>
          <w:b/>
          <w:spacing w:val="-2"/>
          <w:sz w:val="20"/>
        </w:rPr>
        <w:t>: Tržby podniků v zemích EU</w:t>
      </w:r>
      <w:r w:rsidR="006512EF">
        <w:rPr>
          <w:rFonts w:ascii="Arial" w:hAnsi="Arial" w:cs="Arial"/>
          <w:b/>
          <w:spacing w:val="-2"/>
          <w:sz w:val="20"/>
        </w:rPr>
        <w:t>27</w:t>
      </w:r>
      <w:r w:rsidRPr="00124D49">
        <w:rPr>
          <w:rFonts w:ascii="Arial" w:hAnsi="Arial" w:cs="Arial"/>
          <w:b/>
          <w:spacing w:val="-2"/>
          <w:sz w:val="20"/>
        </w:rPr>
        <w:t xml:space="preserve"> z uskutečněných </w:t>
      </w:r>
      <w:r w:rsidR="004D0076">
        <w:rPr>
          <w:rFonts w:ascii="Arial" w:hAnsi="Arial" w:cs="Arial"/>
          <w:b/>
          <w:sz w:val="20"/>
        </w:rPr>
        <w:t xml:space="preserve">prodejů </w:t>
      </w:r>
      <w:r w:rsidR="00766C88">
        <w:rPr>
          <w:rFonts w:ascii="Arial" w:hAnsi="Arial" w:cs="Arial"/>
          <w:b/>
          <w:sz w:val="20"/>
        </w:rPr>
        <w:t>přes</w:t>
      </w:r>
      <w:r w:rsidR="00766C88" w:rsidRPr="00124D49">
        <w:rPr>
          <w:rFonts w:ascii="Arial" w:hAnsi="Arial" w:cs="Arial"/>
          <w:b/>
          <w:sz w:val="20"/>
        </w:rPr>
        <w:t xml:space="preserve"> </w:t>
      </w:r>
      <w:r w:rsidR="00766C88">
        <w:rPr>
          <w:rFonts w:ascii="Arial" w:hAnsi="Arial" w:cs="Arial"/>
          <w:b/>
          <w:sz w:val="20"/>
        </w:rPr>
        <w:t>webové</w:t>
      </w:r>
      <w:r w:rsidR="00766C88" w:rsidRPr="00124D49">
        <w:rPr>
          <w:rFonts w:ascii="Arial" w:hAnsi="Arial" w:cs="Arial"/>
          <w:b/>
          <w:sz w:val="20"/>
        </w:rPr>
        <w:t xml:space="preserve"> </w:t>
      </w:r>
      <w:r w:rsidR="00766C88">
        <w:rPr>
          <w:rFonts w:ascii="Arial" w:hAnsi="Arial" w:cs="Arial"/>
          <w:b/>
          <w:sz w:val="20"/>
        </w:rPr>
        <w:t>stránky, mobilní aplikace nebo online tržiště</w:t>
      </w:r>
      <w:r w:rsidR="00EC245F">
        <w:rPr>
          <w:rFonts w:ascii="Arial" w:hAnsi="Arial" w:cs="Arial"/>
          <w:b/>
          <w:spacing w:val="-2"/>
          <w:sz w:val="20"/>
        </w:rPr>
        <w:t xml:space="preserve">; </w:t>
      </w:r>
      <w:r w:rsidRPr="00124D49">
        <w:rPr>
          <w:rFonts w:ascii="Arial" w:hAnsi="Arial" w:cs="Arial"/>
          <w:b/>
          <w:spacing w:val="-2"/>
          <w:sz w:val="20"/>
        </w:rPr>
        <w:t>202</w:t>
      </w:r>
      <w:r w:rsidR="00795978">
        <w:rPr>
          <w:rFonts w:ascii="Arial" w:hAnsi="Arial" w:cs="Arial"/>
          <w:b/>
          <w:spacing w:val="-2"/>
          <w:sz w:val="20"/>
        </w:rPr>
        <w:t>2</w:t>
      </w:r>
    </w:p>
    <w:p w14:paraId="33B12411" w14:textId="34A8707D" w:rsidR="004D0076" w:rsidRDefault="00766C88" w:rsidP="00FF6C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  <w:sz w:val="20"/>
        </w:rPr>
      </w:pPr>
      <w:r>
        <w:rPr>
          <w:noProof/>
          <w:lang w:eastAsia="cs-CZ"/>
        </w:rPr>
        <w:drawing>
          <wp:inline distT="0" distB="0" distL="0" distR="0" wp14:anchorId="3CF0451A" wp14:editId="3A292507">
            <wp:extent cx="5972176" cy="3076575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645DC5" w14:textId="77777777" w:rsidR="00375A7C" w:rsidRPr="00124D49" w:rsidRDefault="00375A7C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p w14:paraId="0F6E3C90" w14:textId="4FD0E02D" w:rsidR="00FF6CBF" w:rsidRPr="00124D49" w:rsidRDefault="00FF6CBF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4D49">
        <w:rPr>
          <w:rFonts w:ascii="Arial" w:hAnsi="Arial" w:cs="Arial"/>
          <w:i/>
          <w:sz w:val="18"/>
          <w:szCs w:val="18"/>
        </w:rPr>
        <w:t>* tržby podniků dané země, které měly v průběhu roku 20</w:t>
      </w:r>
      <w:r w:rsidR="00124D49" w:rsidRPr="00124D49">
        <w:rPr>
          <w:rFonts w:ascii="Arial" w:hAnsi="Arial" w:cs="Arial"/>
          <w:i/>
          <w:sz w:val="18"/>
          <w:szCs w:val="18"/>
        </w:rPr>
        <w:t>2</w:t>
      </w:r>
      <w:r w:rsidR="002A1B16">
        <w:rPr>
          <w:rFonts w:ascii="Arial" w:hAnsi="Arial" w:cs="Arial"/>
          <w:i/>
          <w:sz w:val="18"/>
          <w:szCs w:val="18"/>
        </w:rPr>
        <w:t>2</w:t>
      </w:r>
      <w:r w:rsidRPr="00124D49">
        <w:rPr>
          <w:rFonts w:ascii="Arial" w:hAnsi="Arial" w:cs="Arial"/>
          <w:i/>
          <w:sz w:val="18"/>
          <w:szCs w:val="18"/>
        </w:rPr>
        <w:t xml:space="preserve"> tržby z online prodejů uskutečněných prostřednictvím webových stránek</w:t>
      </w:r>
      <w:r w:rsidR="00766C88">
        <w:rPr>
          <w:rFonts w:ascii="Arial" w:hAnsi="Arial" w:cs="Arial"/>
          <w:i/>
          <w:sz w:val="18"/>
          <w:szCs w:val="18"/>
        </w:rPr>
        <w:t>, mobilních</w:t>
      </w:r>
      <w:r w:rsidRPr="00124D49">
        <w:rPr>
          <w:rFonts w:ascii="Arial" w:hAnsi="Arial" w:cs="Arial"/>
          <w:i/>
          <w:sz w:val="18"/>
          <w:szCs w:val="18"/>
        </w:rPr>
        <w:t xml:space="preserve"> aplikací</w:t>
      </w:r>
      <w:r w:rsidR="00766C88">
        <w:rPr>
          <w:rFonts w:ascii="Arial" w:hAnsi="Arial" w:cs="Arial"/>
          <w:i/>
          <w:sz w:val="18"/>
          <w:szCs w:val="18"/>
        </w:rPr>
        <w:t xml:space="preserve"> nebo online tržišť</w:t>
      </w:r>
      <w:r w:rsidRPr="00124D49">
        <w:rPr>
          <w:rFonts w:ascii="Arial" w:hAnsi="Arial" w:cs="Arial"/>
          <w:i/>
          <w:sz w:val="18"/>
          <w:szCs w:val="18"/>
        </w:rPr>
        <w:t>, na jejich celkových tržbách v roce 202</w:t>
      </w:r>
      <w:r w:rsidR="002A1B16">
        <w:rPr>
          <w:rFonts w:ascii="Arial" w:hAnsi="Arial" w:cs="Arial"/>
          <w:i/>
          <w:sz w:val="18"/>
          <w:szCs w:val="18"/>
        </w:rPr>
        <w:t>2</w:t>
      </w:r>
    </w:p>
    <w:p w14:paraId="13162CAB" w14:textId="0F69C157" w:rsidR="00FF6CBF" w:rsidRDefault="004D1EED" w:rsidP="00FF6CBF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FF6CBF" w:rsidRPr="00124D49">
        <w:rPr>
          <w:rFonts w:ascii="Arial" w:hAnsi="Arial" w:cs="Arial"/>
          <w:i/>
          <w:sz w:val="18"/>
          <w:szCs w:val="18"/>
        </w:rPr>
        <w:t xml:space="preserve"> </w:t>
      </w:r>
      <w:r w:rsidR="002A1B16" w:rsidRPr="004D1EED">
        <w:rPr>
          <w:rFonts w:ascii="Arial" w:hAnsi="Arial" w:cs="Arial"/>
          <w:i/>
          <w:sz w:val="18"/>
          <w:szCs w:val="18"/>
          <w:u w:val="single"/>
        </w:rPr>
        <w:t>z</w:t>
      </w:r>
      <w:r w:rsidR="00FF6CBF" w:rsidRPr="004D1EED">
        <w:rPr>
          <w:rFonts w:ascii="Arial" w:hAnsi="Arial" w:cs="Arial"/>
          <w:i/>
          <w:sz w:val="18"/>
          <w:szCs w:val="18"/>
          <w:u w:val="single"/>
        </w:rPr>
        <w:t xml:space="preserve"> celkových trž</w:t>
      </w:r>
      <w:r w:rsidR="002A1B16" w:rsidRPr="004D1EED">
        <w:rPr>
          <w:rFonts w:ascii="Arial" w:hAnsi="Arial" w:cs="Arial"/>
          <w:i/>
          <w:sz w:val="18"/>
          <w:szCs w:val="18"/>
          <w:u w:val="single"/>
        </w:rPr>
        <w:t>e</w:t>
      </w:r>
      <w:r w:rsidR="00FF6CBF" w:rsidRPr="004D1EED">
        <w:rPr>
          <w:rFonts w:ascii="Arial" w:hAnsi="Arial" w:cs="Arial"/>
          <w:i/>
          <w:sz w:val="18"/>
          <w:szCs w:val="18"/>
          <w:u w:val="single"/>
        </w:rPr>
        <w:t>b</w:t>
      </w:r>
      <w:r w:rsidR="00FF6CBF" w:rsidRPr="00124D49">
        <w:rPr>
          <w:rFonts w:ascii="Arial" w:hAnsi="Arial" w:cs="Arial"/>
          <w:i/>
          <w:sz w:val="18"/>
          <w:szCs w:val="18"/>
        </w:rPr>
        <w:t xml:space="preserve"> podniků s 10 a více zaměstnanci v dané zemi                      z</w:t>
      </w:r>
      <w:r w:rsidR="00FF6CBF" w:rsidRPr="00124D49">
        <w:rPr>
          <w:rFonts w:ascii="Arial" w:hAnsi="Arial" w:cs="Arial"/>
          <w:sz w:val="18"/>
          <w:szCs w:val="18"/>
        </w:rPr>
        <w:t>droj dat: Eurostat, prosinec 202</w:t>
      </w:r>
      <w:r w:rsidR="002A1B16">
        <w:rPr>
          <w:rFonts w:ascii="Arial" w:hAnsi="Arial" w:cs="Arial"/>
          <w:sz w:val="18"/>
          <w:szCs w:val="18"/>
        </w:rPr>
        <w:t>3</w:t>
      </w:r>
    </w:p>
    <w:p w14:paraId="4C412C3C" w14:textId="77777777" w:rsidR="00CA1ED7" w:rsidRDefault="00CA1ED7" w:rsidP="00375A7C">
      <w:pPr>
        <w:spacing w:before="120" w:after="0" w:line="240" w:lineRule="auto"/>
        <w:rPr>
          <w:rFonts w:ascii="Arial" w:hAnsi="Arial" w:cs="Arial"/>
          <w:b/>
          <w:sz w:val="20"/>
        </w:rPr>
      </w:pPr>
    </w:p>
    <w:p w14:paraId="57EA4A67" w14:textId="0CCA0A25" w:rsidR="00A65B29" w:rsidRDefault="00B74932" w:rsidP="00375A7C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CA1ED7">
        <w:rPr>
          <w:rFonts w:ascii="Arial" w:hAnsi="Arial" w:cs="Arial"/>
          <w:b/>
          <w:sz w:val="20"/>
        </w:rPr>
        <w:t xml:space="preserve">Graf </w:t>
      </w:r>
      <w:r w:rsidR="002A1B16" w:rsidRPr="00CA1ED7">
        <w:rPr>
          <w:rFonts w:ascii="Arial" w:hAnsi="Arial" w:cs="Arial"/>
          <w:b/>
          <w:sz w:val="20"/>
        </w:rPr>
        <w:t>8.</w:t>
      </w:r>
      <w:r w:rsidR="00795978" w:rsidRPr="00CA1ED7">
        <w:rPr>
          <w:rFonts w:ascii="Arial" w:hAnsi="Arial" w:cs="Arial"/>
          <w:b/>
          <w:sz w:val="20"/>
        </w:rPr>
        <w:t>4</w:t>
      </w:r>
      <w:r w:rsidRPr="00CA1ED7">
        <w:rPr>
          <w:rFonts w:ascii="Arial" w:hAnsi="Arial" w:cs="Arial"/>
          <w:b/>
          <w:sz w:val="20"/>
        </w:rPr>
        <w:t xml:space="preserve">: Struktura tržeb* z webových prodejů podle typu koncových zákazníků v podnicích </w:t>
      </w:r>
      <w:r w:rsidR="00CA1ED7">
        <w:rPr>
          <w:rFonts w:ascii="Arial" w:hAnsi="Arial" w:cs="Arial"/>
          <w:b/>
          <w:sz w:val="20"/>
        </w:rPr>
        <w:br/>
      </w:r>
      <w:r w:rsidRPr="00CA1ED7">
        <w:rPr>
          <w:rFonts w:ascii="Arial" w:hAnsi="Arial" w:cs="Arial"/>
          <w:b/>
          <w:sz w:val="20"/>
        </w:rPr>
        <w:t xml:space="preserve">v zemích </w:t>
      </w:r>
      <w:r w:rsidR="00EC245F" w:rsidRPr="00CA1ED7">
        <w:rPr>
          <w:rFonts w:ascii="Arial" w:hAnsi="Arial" w:cs="Arial"/>
          <w:b/>
          <w:sz w:val="20"/>
        </w:rPr>
        <w:t>EU</w:t>
      </w:r>
      <w:r w:rsidR="006512EF">
        <w:rPr>
          <w:rFonts w:ascii="Arial" w:hAnsi="Arial" w:cs="Arial"/>
          <w:b/>
          <w:sz w:val="20"/>
        </w:rPr>
        <w:t>27</w:t>
      </w:r>
      <w:r w:rsidR="00EC245F" w:rsidRPr="00CA1ED7">
        <w:rPr>
          <w:rFonts w:ascii="Arial" w:hAnsi="Arial" w:cs="Arial"/>
          <w:b/>
          <w:sz w:val="20"/>
        </w:rPr>
        <w:t>;</w:t>
      </w:r>
      <w:r w:rsidRPr="00CA1ED7">
        <w:rPr>
          <w:rFonts w:ascii="Arial" w:hAnsi="Arial" w:cs="Arial"/>
          <w:b/>
          <w:sz w:val="20"/>
        </w:rPr>
        <w:t xml:space="preserve"> 202</w:t>
      </w:r>
      <w:r w:rsidR="002A1B16" w:rsidRPr="00CA1ED7">
        <w:rPr>
          <w:rFonts w:ascii="Arial" w:hAnsi="Arial" w:cs="Arial"/>
          <w:b/>
          <w:sz w:val="20"/>
        </w:rPr>
        <w:t>2</w:t>
      </w:r>
      <w:r w:rsidR="00FA3708" w:rsidRPr="004D1860">
        <w:rPr>
          <w:rFonts w:ascii="Arial" w:hAnsi="Arial" w:cs="Arial"/>
          <w:i/>
          <w:sz w:val="18"/>
          <w:szCs w:val="18"/>
        </w:rPr>
        <w:t xml:space="preserve">     </w:t>
      </w:r>
    </w:p>
    <w:p w14:paraId="52352530" w14:textId="3CDAE862" w:rsidR="007865F8" w:rsidRDefault="00CA1ED7" w:rsidP="00375A7C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3511CC46" wp14:editId="577E4A32">
            <wp:extent cx="5939624" cy="360194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A3708" w:rsidRPr="004D1860">
        <w:rPr>
          <w:rFonts w:ascii="Arial" w:hAnsi="Arial" w:cs="Arial"/>
          <w:i/>
          <w:sz w:val="18"/>
          <w:szCs w:val="18"/>
        </w:rPr>
        <w:t xml:space="preserve">          </w:t>
      </w:r>
    </w:p>
    <w:p w14:paraId="5BE07F1F" w14:textId="01682AAA" w:rsidR="00B74932" w:rsidRDefault="00B74932" w:rsidP="00B74932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4D49">
        <w:rPr>
          <w:rFonts w:ascii="Arial" w:hAnsi="Arial" w:cs="Arial"/>
          <w:i/>
          <w:sz w:val="18"/>
          <w:szCs w:val="18"/>
        </w:rPr>
        <w:t xml:space="preserve">* </w:t>
      </w:r>
      <w:r w:rsidR="004D1EED">
        <w:rPr>
          <w:rFonts w:ascii="Arial" w:hAnsi="Arial" w:cs="Arial"/>
          <w:i/>
          <w:sz w:val="18"/>
          <w:szCs w:val="18"/>
        </w:rPr>
        <w:t>% z</w:t>
      </w:r>
      <w:r w:rsidRPr="00B74932">
        <w:rPr>
          <w:rFonts w:ascii="Arial" w:hAnsi="Arial" w:cs="Arial"/>
          <w:i/>
          <w:sz w:val="18"/>
          <w:szCs w:val="18"/>
        </w:rPr>
        <w:t xml:space="preserve"> </w:t>
      </w:r>
      <w:r w:rsidR="00A65B29">
        <w:rPr>
          <w:rFonts w:ascii="Arial" w:hAnsi="Arial" w:cs="Arial"/>
          <w:i/>
          <w:sz w:val="18"/>
          <w:szCs w:val="18"/>
        </w:rPr>
        <w:t>t</w:t>
      </w:r>
      <w:r w:rsidRPr="00B74932">
        <w:rPr>
          <w:rFonts w:ascii="Arial" w:hAnsi="Arial" w:cs="Arial"/>
          <w:i/>
          <w:sz w:val="18"/>
          <w:szCs w:val="18"/>
        </w:rPr>
        <w:t>rž</w:t>
      </w:r>
      <w:r w:rsidR="00A65B29">
        <w:rPr>
          <w:rFonts w:ascii="Arial" w:hAnsi="Arial" w:cs="Arial"/>
          <w:i/>
          <w:sz w:val="18"/>
          <w:szCs w:val="18"/>
        </w:rPr>
        <w:t>e</w:t>
      </w:r>
      <w:r w:rsidRPr="00B74932">
        <w:rPr>
          <w:rFonts w:ascii="Arial" w:hAnsi="Arial" w:cs="Arial"/>
          <w:i/>
          <w:sz w:val="18"/>
          <w:szCs w:val="18"/>
        </w:rPr>
        <w:t xml:space="preserve">b </w:t>
      </w:r>
      <w:r w:rsidR="004D1EED">
        <w:rPr>
          <w:rFonts w:ascii="Arial" w:hAnsi="Arial" w:cs="Arial"/>
          <w:i/>
          <w:sz w:val="18"/>
          <w:szCs w:val="18"/>
        </w:rPr>
        <w:t xml:space="preserve">získaných </w:t>
      </w:r>
      <w:r w:rsidRPr="00B74932">
        <w:rPr>
          <w:rFonts w:ascii="Arial" w:hAnsi="Arial" w:cs="Arial"/>
          <w:i/>
          <w:sz w:val="18"/>
          <w:szCs w:val="18"/>
        </w:rPr>
        <w:t>z prodejů uskutečněných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74932">
        <w:rPr>
          <w:rFonts w:ascii="Arial" w:hAnsi="Arial" w:cs="Arial"/>
          <w:i/>
          <w:sz w:val="18"/>
          <w:szCs w:val="18"/>
        </w:rPr>
        <w:t xml:space="preserve">přes </w:t>
      </w:r>
      <w:r w:rsidR="004D1EED">
        <w:rPr>
          <w:rFonts w:ascii="Arial" w:hAnsi="Arial" w:cs="Arial"/>
          <w:i/>
          <w:sz w:val="18"/>
          <w:szCs w:val="18"/>
        </w:rPr>
        <w:t xml:space="preserve">web, </w:t>
      </w:r>
      <w:r w:rsidRPr="00B74932">
        <w:rPr>
          <w:rFonts w:ascii="Arial" w:hAnsi="Arial" w:cs="Arial"/>
          <w:i/>
          <w:sz w:val="18"/>
          <w:szCs w:val="18"/>
        </w:rPr>
        <w:t>mobilní aplikace</w:t>
      </w:r>
      <w:r w:rsidR="004D1EED">
        <w:rPr>
          <w:rFonts w:ascii="Arial" w:hAnsi="Arial" w:cs="Arial"/>
          <w:i/>
          <w:sz w:val="18"/>
          <w:szCs w:val="18"/>
        </w:rPr>
        <w:t xml:space="preserve"> nebo online tržiště</w:t>
      </w:r>
      <w:r>
        <w:rPr>
          <w:rFonts w:ascii="Arial" w:hAnsi="Arial" w:cs="Arial"/>
          <w:i/>
          <w:sz w:val="18"/>
          <w:szCs w:val="18"/>
        </w:rPr>
        <w:t xml:space="preserve"> soukromým osobám </w:t>
      </w:r>
      <w:r w:rsidR="00A65B29">
        <w:rPr>
          <w:rFonts w:ascii="Arial" w:hAnsi="Arial" w:cs="Arial"/>
          <w:i/>
          <w:sz w:val="18"/>
          <w:szCs w:val="18"/>
        </w:rPr>
        <w:t>resp.</w:t>
      </w:r>
      <w:r>
        <w:rPr>
          <w:rFonts w:ascii="Arial" w:hAnsi="Arial" w:cs="Arial"/>
          <w:i/>
          <w:sz w:val="18"/>
          <w:szCs w:val="18"/>
        </w:rPr>
        <w:t xml:space="preserve"> jiným podnikům/veřejné správě</w:t>
      </w:r>
      <w:r w:rsidRPr="00124D49">
        <w:rPr>
          <w:rFonts w:ascii="Arial" w:hAnsi="Arial" w:cs="Arial"/>
          <w:i/>
          <w:sz w:val="18"/>
          <w:szCs w:val="18"/>
        </w:rPr>
        <w:t>, na tržbách</w:t>
      </w:r>
      <w:r w:rsidR="00A65B29">
        <w:rPr>
          <w:rFonts w:ascii="Arial" w:hAnsi="Arial" w:cs="Arial"/>
          <w:i/>
          <w:sz w:val="18"/>
          <w:szCs w:val="18"/>
        </w:rPr>
        <w:t xml:space="preserve"> podniků z prodejů uskutečněných přes </w:t>
      </w:r>
      <w:r w:rsidR="004D1EED" w:rsidRPr="00124D49">
        <w:rPr>
          <w:rFonts w:ascii="Arial" w:hAnsi="Arial" w:cs="Arial"/>
          <w:i/>
          <w:sz w:val="18"/>
          <w:szCs w:val="18"/>
        </w:rPr>
        <w:t>web/aplikac</w:t>
      </w:r>
      <w:r w:rsidR="004D1EED">
        <w:rPr>
          <w:rFonts w:ascii="Arial" w:hAnsi="Arial" w:cs="Arial"/>
          <w:i/>
          <w:sz w:val="18"/>
          <w:szCs w:val="18"/>
        </w:rPr>
        <w:t>e/online tržiště</w:t>
      </w:r>
      <w:r w:rsidR="00A65B29">
        <w:rPr>
          <w:rFonts w:ascii="Arial" w:hAnsi="Arial" w:cs="Arial"/>
          <w:i/>
          <w:sz w:val="18"/>
          <w:szCs w:val="18"/>
        </w:rPr>
        <w:t xml:space="preserve"> </w:t>
      </w:r>
      <w:r w:rsidRPr="00124D49">
        <w:rPr>
          <w:rFonts w:ascii="Arial" w:hAnsi="Arial" w:cs="Arial"/>
          <w:i/>
          <w:sz w:val="18"/>
          <w:szCs w:val="18"/>
        </w:rPr>
        <w:t>v</w:t>
      </w:r>
      <w:r w:rsidR="004D1EED">
        <w:rPr>
          <w:rFonts w:ascii="Arial" w:hAnsi="Arial" w:cs="Arial"/>
          <w:i/>
          <w:sz w:val="18"/>
          <w:szCs w:val="18"/>
        </w:rPr>
        <w:t> </w:t>
      </w:r>
      <w:r w:rsidRPr="00124D49">
        <w:rPr>
          <w:rFonts w:ascii="Arial" w:hAnsi="Arial" w:cs="Arial"/>
          <w:i/>
          <w:sz w:val="18"/>
          <w:szCs w:val="18"/>
        </w:rPr>
        <w:t>r</w:t>
      </w:r>
      <w:r w:rsidR="004D1EED">
        <w:rPr>
          <w:rFonts w:ascii="Arial" w:hAnsi="Arial" w:cs="Arial"/>
          <w:i/>
          <w:sz w:val="18"/>
          <w:szCs w:val="18"/>
        </w:rPr>
        <w:t>.</w:t>
      </w:r>
      <w:r w:rsidR="00A65B29">
        <w:rPr>
          <w:rFonts w:ascii="Arial" w:hAnsi="Arial" w:cs="Arial"/>
          <w:i/>
          <w:sz w:val="18"/>
          <w:szCs w:val="18"/>
        </w:rPr>
        <w:t xml:space="preserve"> </w:t>
      </w:r>
      <w:r w:rsidRPr="00124D49">
        <w:rPr>
          <w:rFonts w:ascii="Arial" w:hAnsi="Arial" w:cs="Arial"/>
          <w:i/>
          <w:sz w:val="18"/>
          <w:szCs w:val="18"/>
        </w:rPr>
        <w:t>202</w:t>
      </w:r>
      <w:r w:rsidR="002A1B16">
        <w:rPr>
          <w:rFonts w:ascii="Arial" w:hAnsi="Arial" w:cs="Arial"/>
          <w:i/>
          <w:sz w:val="18"/>
          <w:szCs w:val="18"/>
        </w:rPr>
        <w:t>2</w:t>
      </w:r>
    </w:p>
    <w:p w14:paraId="428008B1" w14:textId="542A5C65" w:rsidR="00B74932" w:rsidRDefault="00B74932" w:rsidP="00AA28C3">
      <w:pPr>
        <w:autoSpaceDE w:val="0"/>
        <w:autoSpaceDN w:val="0"/>
        <w:adjustRightInd w:val="0"/>
        <w:spacing w:before="120" w:after="40"/>
        <w:jc w:val="right"/>
        <w:rPr>
          <w:rFonts w:ascii="Arial" w:hAnsi="Arial" w:cs="Arial"/>
          <w:i/>
          <w:sz w:val="18"/>
          <w:szCs w:val="18"/>
        </w:rPr>
      </w:pPr>
      <w:r w:rsidRPr="00124D49">
        <w:rPr>
          <w:rFonts w:ascii="Arial" w:hAnsi="Arial" w:cs="Arial"/>
          <w:i/>
          <w:sz w:val="18"/>
          <w:szCs w:val="18"/>
        </w:rPr>
        <w:t>z</w:t>
      </w:r>
      <w:r w:rsidRPr="00124D49">
        <w:rPr>
          <w:rFonts w:ascii="Arial" w:hAnsi="Arial" w:cs="Arial"/>
          <w:sz w:val="18"/>
          <w:szCs w:val="18"/>
        </w:rPr>
        <w:t>droj dat: Eurostat, prosinec 202</w:t>
      </w:r>
      <w:r w:rsidR="002A1B16">
        <w:rPr>
          <w:rFonts w:ascii="Arial" w:hAnsi="Arial" w:cs="Arial"/>
          <w:sz w:val="18"/>
          <w:szCs w:val="18"/>
        </w:rPr>
        <w:t>3</w:t>
      </w:r>
    </w:p>
    <w:sectPr w:rsidR="00B74932" w:rsidSect="002A1B16">
      <w:pgSz w:w="11906" w:h="16838" w:code="9"/>
      <w:pgMar w:top="1134" w:right="1133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A0D35" w14:textId="77777777" w:rsidR="001650A3" w:rsidRDefault="001650A3" w:rsidP="00E71A58">
      <w:r>
        <w:separator/>
      </w:r>
    </w:p>
  </w:endnote>
  <w:endnote w:type="continuationSeparator" w:id="0">
    <w:p w14:paraId="6F312050" w14:textId="77777777" w:rsidR="001650A3" w:rsidRDefault="001650A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67D6" w14:textId="77777777" w:rsidR="001650A3" w:rsidRDefault="001650A3" w:rsidP="00E71A58">
      <w:r>
        <w:separator/>
      </w:r>
    </w:p>
  </w:footnote>
  <w:footnote w:type="continuationSeparator" w:id="0">
    <w:p w14:paraId="56B9E875" w14:textId="77777777" w:rsidR="001650A3" w:rsidRDefault="001650A3" w:rsidP="00E71A58">
      <w:r>
        <w:continuationSeparator/>
      </w:r>
    </w:p>
  </w:footnote>
  <w:footnote w:id="1">
    <w:p w14:paraId="711F1435" w14:textId="77777777" w:rsidR="002F7DC0" w:rsidRPr="00DF2F6E" w:rsidRDefault="002F7DC0" w:rsidP="002F7DC0">
      <w:pPr>
        <w:pStyle w:val="Textpoznpodarou"/>
        <w:spacing w:after="0"/>
        <w:jc w:val="both"/>
        <w:rPr>
          <w:rFonts w:ascii="Arial" w:hAnsi="Arial" w:cs="Arial"/>
          <w:spacing w:val="-4"/>
          <w:sz w:val="16"/>
          <w:szCs w:val="16"/>
        </w:rPr>
      </w:pPr>
      <w:r w:rsidRPr="00DF2F6E">
        <w:rPr>
          <w:rStyle w:val="Znakapoznpodarou"/>
          <w:rFonts w:ascii="Arial" w:hAnsi="Arial" w:cs="Arial"/>
          <w:spacing w:val="-4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Online tržiště (marketplaces)  jsou</w:t>
      </w:r>
      <w:r w:rsidRPr="00A372F7">
        <w:rPr>
          <w:rFonts w:ascii="Arial" w:hAnsi="Arial" w:cs="Arial"/>
          <w:sz w:val="16"/>
          <w:szCs w:val="16"/>
        </w:rPr>
        <w:t xml:space="preserve"> webové stránky nabízející zboží nebo služby od více různých prodejců. Patří sem </w:t>
      </w:r>
      <w:r>
        <w:rPr>
          <w:rFonts w:ascii="Arial" w:hAnsi="Arial" w:cs="Arial"/>
          <w:sz w:val="16"/>
          <w:szCs w:val="16"/>
        </w:rPr>
        <w:t>např. Booking</w:t>
      </w:r>
      <w:r w:rsidRPr="00A372F7">
        <w:rPr>
          <w:rFonts w:ascii="Arial" w:hAnsi="Arial" w:cs="Arial"/>
          <w:sz w:val="16"/>
          <w:szCs w:val="16"/>
        </w:rPr>
        <w:t xml:space="preserve"> nebo také partnerský prodej např. </w:t>
      </w:r>
      <w:r>
        <w:rPr>
          <w:rFonts w:ascii="Arial" w:hAnsi="Arial" w:cs="Arial"/>
          <w:sz w:val="16"/>
          <w:szCs w:val="16"/>
        </w:rPr>
        <w:t>velké e-shopy jako jsou Mall nebo Heureka</w:t>
      </w:r>
      <w:r w:rsidRPr="00A372F7">
        <w:rPr>
          <w:rFonts w:ascii="Arial" w:hAnsi="Arial" w:cs="Arial"/>
          <w:sz w:val="16"/>
          <w:szCs w:val="16"/>
        </w:rPr>
        <w:t xml:space="preserve"> nebo Facebook Marketplace. Prodejci zde mohou za domluvenou provizi nabízet své </w:t>
      </w:r>
      <w:r>
        <w:rPr>
          <w:rFonts w:ascii="Arial" w:hAnsi="Arial" w:cs="Arial"/>
          <w:sz w:val="16"/>
          <w:szCs w:val="16"/>
        </w:rPr>
        <w:t>produkty</w:t>
      </w:r>
      <w:r w:rsidRPr="00A372F7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Jejich p</w:t>
      </w:r>
      <w:r w:rsidRPr="00A372F7">
        <w:rPr>
          <w:rFonts w:ascii="Arial" w:hAnsi="Arial" w:cs="Arial"/>
          <w:sz w:val="16"/>
          <w:szCs w:val="16"/>
        </w:rPr>
        <w:t>ropagaci, platební brány a zákaznický servis zastřešuje infrastruktura zavedeného portálu.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294EE922"/>
    <w:lvl w:ilvl="0" w:tplc="533EE6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767A"/>
    <w:rsid w:val="00010702"/>
    <w:rsid w:val="00011264"/>
    <w:rsid w:val="00012B4B"/>
    <w:rsid w:val="00021F2B"/>
    <w:rsid w:val="00027663"/>
    <w:rsid w:val="000401F3"/>
    <w:rsid w:val="0004694F"/>
    <w:rsid w:val="0005073F"/>
    <w:rsid w:val="00051D5A"/>
    <w:rsid w:val="0006111E"/>
    <w:rsid w:val="000621E4"/>
    <w:rsid w:val="00062EC5"/>
    <w:rsid w:val="00063A0E"/>
    <w:rsid w:val="00065DE3"/>
    <w:rsid w:val="000750E8"/>
    <w:rsid w:val="00087634"/>
    <w:rsid w:val="00087A54"/>
    <w:rsid w:val="000A0A53"/>
    <w:rsid w:val="000A1183"/>
    <w:rsid w:val="000A3598"/>
    <w:rsid w:val="000B185C"/>
    <w:rsid w:val="000B1CE3"/>
    <w:rsid w:val="000B21D5"/>
    <w:rsid w:val="000B2228"/>
    <w:rsid w:val="000B5152"/>
    <w:rsid w:val="000B5B64"/>
    <w:rsid w:val="000C3408"/>
    <w:rsid w:val="000D3992"/>
    <w:rsid w:val="000F4280"/>
    <w:rsid w:val="000F4CA8"/>
    <w:rsid w:val="000F5173"/>
    <w:rsid w:val="00104DB3"/>
    <w:rsid w:val="001124B0"/>
    <w:rsid w:val="001162B4"/>
    <w:rsid w:val="001220F7"/>
    <w:rsid w:val="00124D49"/>
    <w:rsid w:val="00127898"/>
    <w:rsid w:val="001354FD"/>
    <w:rsid w:val="001405FA"/>
    <w:rsid w:val="00140F26"/>
    <w:rsid w:val="00142482"/>
    <w:rsid w:val="001425C3"/>
    <w:rsid w:val="00143453"/>
    <w:rsid w:val="001452CA"/>
    <w:rsid w:val="001460F2"/>
    <w:rsid w:val="00160923"/>
    <w:rsid w:val="00161DA1"/>
    <w:rsid w:val="00163793"/>
    <w:rsid w:val="0016380A"/>
    <w:rsid w:val="001650A3"/>
    <w:rsid w:val="001714F2"/>
    <w:rsid w:val="00185010"/>
    <w:rsid w:val="00194F66"/>
    <w:rsid w:val="001A20DA"/>
    <w:rsid w:val="001A552F"/>
    <w:rsid w:val="001B3110"/>
    <w:rsid w:val="001B494E"/>
    <w:rsid w:val="001B4E7D"/>
    <w:rsid w:val="001B6C8A"/>
    <w:rsid w:val="001C7FEB"/>
    <w:rsid w:val="001D0AFF"/>
    <w:rsid w:val="001E09D8"/>
    <w:rsid w:val="001E0F9E"/>
    <w:rsid w:val="001F3765"/>
    <w:rsid w:val="001F4597"/>
    <w:rsid w:val="0020570C"/>
    <w:rsid w:val="00205E44"/>
    <w:rsid w:val="0021142B"/>
    <w:rsid w:val="0022139E"/>
    <w:rsid w:val="00222F4E"/>
    <w:rsid w:val="002252E0"/>
    <w:rsid w:val="002255F6"/>
    <w:rsid w:val="0022684D"/>
    <w:rsid w:val="00232FC2"/>
    <w:rsid w:val="00236443"/>
    <w:rsid w:val="0024277B"/>
    <w:rsid w:val="002436BA"/>
    <w:rsid w:val="00244A15"/>
    <w:rsid w:val="002474FB"/>
    <w:rsid w:val="0024799E"/>
    <w:rsid w:val="00254AF6"/>
    <w:rsid w:val="0025703C"/>
    <w:rsid w:val="00262559"/>
    <w:rsid w:val="00262CD7"/>
    <w:rsid w:val="00267D0C"/>
    <w:rsid w:val="0028698F"/>
    <w:rsid w:val="00290E62"/>
    <w:rsid w:val="002951F4"/>
    <w:rsid w:val="002A1B16"/>
    <w:rsid w:val="002A2199"/>
    <w:rsid w:val="002A282F"/>
    <w:rsid w:val="002A3D56"/>
    <w:rsid w:val="002A4233"/>
    <w:rsid w:val="002B46C9"/>
    <w:rsid w:val="002B4A34"/>
    <w:rsid w:val="002B7FC1"/>
    <w:rsid w:val="002C05D3"/>
    <w:rsid w:val="002C31D3"/>
    <w:rsid w:val="002C43BD"/>
    <w:rsid w:val="002C458A"/>
    <w:rsid w:val="002C6BA4"/>
    <w:rsid w:val="002D5D08"/>
    <w:rsid w:val="002E02A1"/>
    <w:rsid w:val="002E0AD3"/>
    <w:rsid w:val="002F44D7"/>
    <w:rsid w:val="002F6063"/>
    <w:rsid w:val="002F633B"/>
    <w:rsid w:val="002F7DC0"/>
    <w:rsid w:val="00302A41"/>
    <w:rsid w:val="00304041"/>
    <w:rsid w:val="00304771"/>
    <w:rsid w:val="00306C5B"/>
    <w:rsid w:val="00315F27"/>
    <w:rsid w:val="00317B97"/>
    <w:rsid w:val="003209D6"/>
    <w:rsid w:val="003259A3"/>
    <w:rsid w:val="003274BE"/>
    <w:rsid w:val="00343E00"/>
    <w:rsid w:val="003645AE"/>
    <w:rsid w:val="0036577E"/>
    <w:rsid w:val="003657F3"/>
    <w:rsid w:val="00365A59"/>
    <w:rsid w:val="003673E5"/>
    <w:rsid w:val="00375A7C"/>
    <w:rsid w:val="00377AEE"/>
    <w:rsid w:val="00382C43"/>
    <w:rsid w:val="00382F6B"/>
    <w:rsid w:val="003830EC"/>
    <w:rsid w:val="00384975"/>
    <w:rsid w:val="00385673"/>
    <w:rsid w:val="00385CD1"/>
    <w:rsid w:val="00385D98"/>
    <w:rsid w:val="003940A0"/>
    <w:rsid w:val="00395824"/>
    <w:rsid w:val="003A2B4D"/>
    <w:rsid w:val="003A327C"/>
    <w:rsid w:val="003A478C"/>
    <w:rsid w:val="003A5525"/>
    <w:rsid w:val="003A6B38"/>
    <w:rsid w:val="003B3AAA"/>
    <w:rsid w:val="003B5A32"/>
    <w:rsid w:val="003B76FF"/>
    <w:rsid w:val="003B7832"/>
    <w:rsid w:val="003C1009"/>
    <w:rsid w:val="003D10EB"/>
    <w:rsid w:val="003E1594"/>
    <w:rsid w:val="003E3AFB"/>
    <w:rsid w:val="003E495F"/>
    <w:rsid w:val="003E6ED3"/>
    <w:rsid w:val="003E70D6"/>
    <w:rsid w:val="003E74CB"/>
    <w:rsid w:val="003F2A50"/>
    <w:rsid w:val="003F313C"/>
    <w:rsid w:val="0040157A"/>
    <w:rsid w:val="00413550"/>
    <w:rsid w:val="00414240"/>
    <w:rsid w:val="00414E76"/>
    <w:rsid w:val="00427CE8"/>
    <w:rsid w:val="0043194A"/>
    <w:rsid w:val="00446C5D"/>
    <w:rsid w:val="0045049E"/>
    <w:rsid w:val="00452C4B"/>
    <w:rsid w:val="004772F5"/>
    <w:rsid w:val="00480124"/>
    <w:rsid w:val="0048139F"/>
    <w:rsid w:val="00496EC4"/>
    <w:rsid w:val="004A0CD3"/>
    <w:rsid w:val="004A2313"/>
    <w:rsid w:val="004A6474"/>
    <w:rsid w:val="004A77DF"/>
    <w:rsid w:val="004B1FF3"/>
    <w:rsid w:val="004B2CB9"/>
    <w:rsid w:val="004B3583"/>
    <w:rsid w:val="004B55B7"/>
    <w:rsid w:val="004C21C9"/>
    <w:rsid w:val="004C2505"/>
    <w:rsid w:val="004C3867"/>
    <w:rsid w:val="004C38FD"/>
    <w:rsid w:val="004C4CD0"/>
    <w:rsid w:val="004C70DC"/>
    <w:rsid w:val="004D0076"/>
    <w:rsid w:val="004D0211"/>
    <w:rsid w:val="004D1860"/>
    <w:rsid w:val="004D1EED"/>
    <w:rsid w:val="004D50D5"/>
    <w:rsid w:val="004D5357"/>
    <w:rsid w:val="004F06F5"/>
    <w:rsid w:val="004F0DF9"/>
    <w:rsid w:val="004F3027"/>
    <w:rsid w:val="004F33A0"/>
    <w:rsid w:val="004F36A7"/>
    <w:rsid w:val="004F4666"/>
    <w:rsid w:val="005068F4"/>
    <w:rsid w:val="005108C0"/>
    <w:rsid w:val="00511873"/>
    <w:rsid w:val="0051204D"/>
    <w:rsid w:val="00513057"/>
    <w:rsid w:val="00513B7E"/>
    <w:rsid w:val="005175F2"/>
    <w:rsid w:val="00525137"/>
    <w:rsid w:val="005251DD"/>
    <w:rsid w:val="00531311"/>
    <w:rsid w:val="005354C5"/>
    <w:rsid w:val="00537A78"/>
    <w:rsid w:val="0055263E"/>
    <w:rsid w:val="00553139"/>
    <w:rsid w:val="00576FCA"/>
    <w:rsid w:val="00582748"/>
    <w:rsid w:val="00582BA6"/>
    <w:rsid w:val="00583FFD"/>
    <w:rsid w:val="00585475"/>
    <w:rsid w:val="0059163A"/>
    <w:rsid w:val="00593152"/>
    <w:rsid w:val="00596687"/>
    <w:rsid w:val="005A21E0"/>
    <w:rsid w:val="005A7645"/>
    <w:rsid w:val="005B4204"/>
    <w:rsid w:val="005B4655"/>
    <w:rsid w:val="005D1749"/>
    <w:rsid w:val="005D5802"/>
    <w:rsid w:val="005E4081"/>
    <w:rsid w:val="005E7B2C"/>
    <w:rsid w:val="005F2537"/>
    <w:rsid w:val="005F419A"/>
    <w:rsid w:val="005F77D7"/>
    <w:rsid w:val="005F7FA5"/>
    <w:rsid w:val="0060098E"/>
    <w:rsid w:val="006033DE"/>
    <w:rsid w:val="00604307"/>
    <w:rsid w:val="0060487F"/>
    <w:rsid w:val="00611049"/>
    <w:rsid w:val="006122D9"/>
    <w:rsid w:val="006123F0"/>
    <w:rsid w:val="00614A6B"/>
    <w:rsid w:val="00624093"/>
    <w:rsid w:val="00625C7D"/>
    <w:rsid w:val="00631669"/>
    <w:rsid w:val="00632E80"/>
    <w:rsid w:val="00640061"/>
    <w:rsid w:val="0064036A"/>
    <w:rsid w:val="006404A7"/>
    <w:rsid w:val="00642921"/>
    <w:rsid w:val="00643526"/>
    <w:rsid w:val="006451E4"/>
    <w:rsid w:val="006512EF"/>
    <w:rsid w:val="00655118"/>
    <w:rsid w:val="00655177"/>
    <w:rsid w:val="00655889"/>
    <w:rsid w:val="00657968"/>
    <w:rsid w:val="00657E87"/>
    <w:rsid w:val="00666367"/>
    <w:rsid w:val="00670C91"/>
    <w:rsid w:val="006710C9"/>
    <w:rsid w:val="006724E5"/>
    <w:rsid w:val="00675E37"/>
    <w:rsid w:val="00680105"/>
    <w:rsid w:val="0068260E"/>
    <w:rsid w:val="00683D22"/>
    <w:rsid w:val="00684ECC"/>
    <w:rsid w:val="00693C50"/>
    <w:rsid w:val="006953D1"/>
    <w:rsid w:val="00695BEF"/>
    <w:rsid w:val="006977F6"/>
    <w:rsid w:val="00697A13"/>
    <w:rsid w:val="006A09CC"/>
    <w:rsid w:val="006A109C"/>
    <w:rsid w:val="006A3A32"/>
    <w:rsid w:val="006A49D9"/>
    <w:rsid w:val="006A5103"/>
    <w:rsid w:val="006B3096"/>
    <w:rsid w:val="006B78D8"/>
    <w:rsid w:val="006C113F"/>
    <w:rsid w:val="006C33A7"/>
    <w:rsid w:val="006C7076"/>
    <w:rsid w:val="006C7086"/>
    <w:rsid w:val="006D0540"/>
    <w:rsid w:val="006D44A5"/>
    <w:rsid w:val="006D61F6"/>
    <w:rsid w:val="006E2514"/>
    <w:rsid w:val="006E279A"/>
    <w:rsid w:val="006E313B"/>
    <w:rsid w:val="006E6049"/>
    <w:rsid w:val="006E7DE3"/>
    <w:rsid w:val="006F4B7B"/>
    <w:rsid w:val="006F61B1"/>
    <w:rsid w:val="00706D87"/>
    <w:rsid w:val="00712AA9"/>
    <w:rsid w:val="00713776"/>
    <w:rsid w:val="0071743B"/>
    <w:rsid w:val="007202E1"/>
    <w:rsid w:val="007211F5"/>
    <w:rsid w:val="00724CBA"/>
    <w:rsid w:val="007263F9"/>
    <w:rsid w:val="0073035F"/>
    <w:rsid w:val="00730AE8"/>
    <w:rsid w:val="0073322F"/>
    <w:rsid w:val="00741493"/>
    <w:rsid w:val="007419C4"/>
    <w:rsid w:val="0075144C"/>
    <w:rsid w:val="00752180"/>
    <w:rsid w:val="00755D3A"/>
    <w:rsid w:val="0075639A"/>
    <w:rsid w:val="007609C6"/>
    <w:rsid w:val="00761B3D"/>
    <w:rsid w:val="007658D3"/>
    <w:rsid w:val="00766C88"/>
    <w:rsid w:val="00770FB0"/>
    <w:rsid w:val="007743A9"/>
    <w:rsid w:val="00774D46"/>
    <w:rsid w:val="00776527"/>
    <w:rsid w:val="00781A83"/>
    <w:rsid w:val="00785B2D"/>
    <w:rsid w:val="007865F8"/>
    <w:rsid w:val="007871AC"/>
    <w:rsid w:val="00790ED6"/>
    <w:rsid w:val="0079553A"/>
    <w:rsid w:val="00795978"/>
    <w:rsid w:val="00795C97"/>
    <w:rsid w:val="007A26E9"/>
    <w:rsid w:val="007A5C36"/>
    <w:rsid w:val="007A6B89"/>
    <w:rsid w:val="007B1723"/>
    <w:rsid w:val="007B39E7"/>
    <w:rsid w:val="007C3252"/>
    <w:rsid w:val="007C3F6A"/>
    <w:rsid w:val="007D22B8"/>
    <w:rsid w:val="007D4120"/>
    <w:rsid w:val="007D7174"/>
    <w:rsid w:val="007E3D24"/>
    <w:rsid w:val="007E7E61"/>
    <w:rsid w:val="007F0845"/>
    <w:rsid w:val="007F3C63"/>
    <w:rsid w:val="008020A2"/>
    <w:rsid w:val="00807FBF"/>
    <w:rsid w:val="00810CDD"/>
    <w:rsid w:val="00817313"/>
    <w:rsid w:val="0082034C"/>
    <w:rsid w:val="00821FF6"/>
    <w:rsid w:val="0083143E"/>
    <w:rsid w:val="00834FAA"/>
    <w:rsid w:val="00836086"/>
    <w:rsid w:val="00836646"/>
    <w:rsid w:val="008404BD"/>
    <w:rsid w:val="00845467"/>
    <w:rsid w:val="00852D63"/>
    <w:rsid w:val="00862335"/>
    <w:rsid w:val="00866C89"/>
    <w:rsid w:val="00874001"/>
    <w:rsid w:val="00876086"/>
    <w:rsid w:val="00880C90"/>
    <w:rsid w:val="00884009"/>
    <w:rsid w:val="00884FCC"/>
    <w:rsid w:val="00886322"/>
    <w:rsid w:val="00886594"/>
    <w:rsid w:val="008903E6"/>
    <w:rsid w:val="008B0986"/>
    <w:rsid w:val="008B1764"/>
    <w:rsid w:val="008B3086"/>
    <w:rsid w:val="008B7C02"/>
    <w:rsid w:val="008C0E88"/>
    <w:rsid w:val="008C1AC0"/>
    <w:rsid w:val="008C4575"/>
    <w:rsid w:val="008D1319"/>
    <w:rsid w:val="008D2A16"/>
    <w:rsid w:val="008E31FF"/>
    <w:rsid w:val="008F41A9"/>
    <w:rsid w:val="009003A8"/>
    <w:rsid w:val="0090283D"/>
    <w:rsid w:val="00902EFF"/>
    <w:rsid w:val="00905613"/>
    <w:rsid w:val="00911872"/>
    <w:rsid w:val="00914466"/>
    <w:rsid w:val="00921F14"/>
    <w:rsid w:val="0092604E"/>
    <w:rsid w:val="0093217F"/>
    <w:rsid w:val="009354AF"/>
    <w:rsid w:val="00943529"/>
    <w:rsid w:val="0094427A"/>
    <w:rsid w:val="00953E93"/>
    <w:rsid w:val="0096747F"/>
    <w:rsid w:val="009722E3"/>
    <w:rsid w:val="0097254D"/>
    <w:rsid w:val="00974923"/>
    <w:rsid w:val="00976772"/>
    <w:rsid w:val="00982877"/>
    <w:rsid w:val="0098620F"/>
    <w:rsid w:val="009865D1"/>
    <w:rsid w:val="00986F8B"/>
    <w:rsid w:val="00987E97"/>
    <w:rsid w:val="00995D9E"/>
    <w:rsid w:val="009A342B"/>
    <w:rsid w:val="009A5758"/>
    <w:rsid w:val="009B3CF6"/>
    <w:rsid w:val="009B54B2"/>
    <w:rsid w:val="009B6FD3"/>
    <w:rsid w:val="009C1BA7"/>
    <w:rsid w:val="009C3EFC"/>
    <w:rsid w:val="009C45AC"/>
    <w:rsid w:val="009C61F8"/>
    <w:rsid w:val="009C7745"/>
    <w:rsid w:val="009D0837"/>
    <w:rsid w:val="009D3FF2"/>
    <w:rsid w:val="009E3458"/>
    <w:rsid w:val="009E46BC"/>
    <w:rsid w:val="009E506B"/>
    <w:rsid w:val="009E6C81"/>
    <w:rsid w:val="009E6DAC"/>
    <w:rsid w:val="009F4A9E"/>
    <w:rsid w:val="009F4B8A"/>
    <w:rsid w:val="00A01DF4"/>
    <w:rsid w:val="00A01E07"/>
    <w:rsid w:val="00A042F6"/>
    <w:rsid w:val="00A07F12"/>
    <w:rsid w:val="00A10D66"/>
    <w:rsid w:val="00A227E6"/>
    <w:rsid w:val="00A23E43"/>
    <w:rsid w:val="00A27DA4"/>
    <w:rsid w:val="00A30267"/>
    <w:rsid w:val="00A34E5A"/>
    <w:rsid w:val="00A371B7"/>
    <w:rsid w:val="00A372F7"/>
    <w:rsid w:val="00A42547"/>
    <w:rsid w:val="00A42D7D"/>
    <w:rsid w:val="00A442B2"/>
    <w:rsid w:val="00A46B25"/>
    <w:rsid w:val="00A46DE0"/>
    <w:rsid w:val="00A53E51"/>
    <w:rsid w:val="00A62CE1"/>
    <w:rsid w:val="00A63582"/>
    <w:rsid w:val="00A65B29"/>
    <w:rsid w:val="00A665D9"/>
    <w:rsid w:val="00A74540"/>
    <w:rsid w:val="00A75E40"/>
    <w:rsid w:val="00A8330C"/>
    <w:rsid w:val="00A857C0"/>
    <w:rsid w:val="00A8680F"/>
    <w:rsid w:val="00A9584E"/>
    <w:rsid w:val="00AA28C3"/>
    <w:rsid w:val="00AA4E9D"/>
    <w:rsid w:val="00AA559A"/>
    <w:rsid w:val="00AA7371"/>
    <w:rsid w:val="00AB1F86"/>
    <w:rsid w:val="00AB2AF1"/>
    <w:rsid w:val="00AB2F6E"/>
    <w:rsid w:val="00AB400F"/>
    <w:rsid w:val="00AB4596"/>
    <w:rsid w:val="00AB6BE6"/>
    <w:rsid w:val="00AB76F3"/>
    <w:rsid w:val="00AC77ED"/>
    <w:rsid w:val="00AD306C"/>
    <w:rsid w:val="00AD4894"/>
    <w:rsid w:val="00AD4F59"/>
    <w:rsid w:val="00AD656C"/>
    <w:rsid w:val="00AD76F0"/>
    <w:rsid w:val="00AE3D80"/>
    <w:rsid w:val="00AE53FE"/>
    <w:rsid w:val="00AF0D57"/>
    <w:rsid w:val="00AF2A1B"/>
    <w:rsid w:val="00AF2FE6"/>
    <w:rsid w:val="00B10B10"/>
    <w:rsid w:val="00B112AC"/>
    <w:rsid w:val="00B11A56"/>
    <w:rsid w:val="00B12612"/>
    <w:rsid w:val="00B14740"/>
    <w:rsid w:val="00B174D8"/>
    <w:rsid w:val="00B17E2C"/>
    <w:rsid w:val="00B17E71"/>
    <w:rsid w:val="00B17FDE"/>
    <w:rsid w:val="00B21D75"/>
    <w:rsid w:val="00B220E9"/>
    <w:rsid w:val="00B2336B"/>
    <w:rsid w:val="00B30777"/>
    <w:rsid w:val="00B32DDB"/>
    <w:rsid w:val="00B358C9"/>
    <w:rsid w:val="00B36D8E"/>
    <w:rsid w:val="00B4185F"/>
    <w:rsid w:val="00B4720B"/>
    <w:rsid w:val="00B501F1"/>
    <w:rsid w:val="00B5080F"/>
    <w:rsid w:val="00B54419"/>
    <w:rsid w:val="00B61AAD"/>
    <w:rsid w:val="00B61E79"/>
    <w:rsid w:val="00B65861"/>
    <w:rsid w:val="00B6608F"/>
    <w:rsid w:val="00B67DBD"/>
    <w:rsid w:val="00B74932"/>
    <w:rsid w:val="00B76D1E"/>
    <w:rsid w:val="00B849FC"/>
    <w:rsid w:val="00B929F0"/>
    <w:rsid w:val="00B95940"/>
    <w:rsid w:val="00BA3128"/>
    <w:rsid w:val="00BB02B4"/>
    <w:rsid w:val="00BD03BD"/>
    <w:rsid w:val="00BD258B"/>
    <w:rsid w:val="00BD366B"/>
    <w:rsid w:val="00BD393C"/>
    <w:rsid w:val="00BD3FB6"/>
    <w:rsid w:val="00BD4C80"/>
    <w:rsid w:val="00BD5C29"/>
    <w:rsid w:val="00BD6D50"/>
    <w:rsid w:val="00BE4810"/>
    <w:rsid w:val="00BE5A47"/>
    <w:rsid w:val="00BF6E22"/>
    <w:rsid w:val="00C0475C"/>
    <w:rsid w:val="00C16BD2"/>
    <w:rsid w:val="00C21F94"/>
    <w:rsid w:val="00C2225E"/>
    <w:rsid w:val="00C2237E"/>
    <w:rsid w:val="00C23868"/>
    <w:rsid w:val="00C24300"/>
    <w:rsid w:val="00C25284"/>
    <w:rsid w:val="00C25AE8"/>
    <w:rsid w:val="00C3298A"/>
    <w:rsid w:val="00C45250"/>
    <w:rsid w:val="00C470BD"/>
    <w:rsid w:val="00C476DC"/>
    <w:rsid w:val="00C50497"/>
    <w:rsid w:val="00C51211"/>
    <w:rsid w:val="00C54084"/>
    <w:rsid w:val="00C67870"/>
    <w:rsid w:val="00C73373"/>
    <w:rsid w:val="00C74974"/>
    <w:rsid w:val="00C74DB5"/>
    <w:rsid w:val="00C847A8"/>
    <w:rsid w:val="00C90CF4"/>
    <w:rsid w:val="00C93389"/>
    <w:rsid w:val="00CA0C7F"/>
    <w:rsid w:val="00CA1ED7"/>
    <w:rsid w:val="00CA4EA1"/>
    <w:rsid w:val="00CA5C7D"/>
    <w:rsid w:val="00CB2573"/>
    <w:rsid w:val="00CB35AC"/>
    <w:rsid w:val="00CB7AC3"/>
    <w:rsid w:val="00CC0868"/>
    <w:rsid w:val="00CC542D"/>
    <w:rsid w:val="00CC61F7"/>
    <w:rsid w:val="00CD054E"/>
    <w:rsid w:val="00CD534D"/>
    <w:rsid w:val="00CD57C7"/>
    <w:rsid w:val="00CF51EC"/>
    <w:rsid w:val="00D040DD"/>
    <w:rsid w:val="00D05463"/>
    <w:rsid w:val="00D06BFC"/>
    <w:rsid w:val="00D10718"/>
    <w:rsid w:val="00D10882"/>
    <w:rsid w:val="00D1416F"/>
    <w:rsid w:val="00D2157F"/>
    <w:rsid w:val="00D24A85"/>
    <w:rsid w:val="00D363B6"/>
    <w:rsid w:val="00D41C5F"/>
    <w:rsid w:val="00D45FF6"/>
    <w:rsid w:val="00D534CA"/>
    <w:rsid w:val="00D54933"/>
    <w:rsid w:val="00D57B0B"/>
    <w:rsid w:val="00D63C8D"/>
    <w:rsid w:val="00D748C3"/>
    <w:rsid w:val="00D7667F"/>
    <w:rsid w:val="00D775FF"/>
    <w:rsid w:val="00D90E42"/>
    <w:rsid w:val="00D960FF"/>
    <w:rsid w:val="00DA25F4"/>
    <w:rsid w:val="00DA4974"/>
    <w:rsid w:val="00DA65D4"/>
    <w:rsid w:val="00DB2C20"/>
    <w:rsid w:val="00DB50D1"/>
    <w:rsid w:val="00DB6B38"/>
    <w:rsid w:val="00DC50A4"/>
    <w:rsid w:val="00DC5B3B"/>
    <w:rsid w:val="00DD0B3A"/>
    <w:rsid w:val="00DD1D84"/>
    <w:rsid w:val="00DE2403"/>
    <w:rsid w:val="00DF2F6E"/>
    <w:rsid w:val="00DF4018"/>
    <w:rsid w:val="00E01C0E"/>
    <w:rsid w:val="00E0408B"/>
    <w:rsid w:val="00E04694"/>
    <w:rsid w:val="00E06380"/>
    <w:rsid w:val="00E06638"/>
    <w:rsid w:val="00E1388A"/>
    <w:rsid w:val="00E20E07"/>
    <w:rsid w:val="00E313C5"/>
    <w:rsid w:val="00E357B8"/>
    <w:rsid w:val="00E4403F"/>
    <w:rsid w:val="00E47E88"/>
    <w:rsid w:val="00E66B7A"/>
    <w:rsid w:val="00E71A58"/>
    <w:rsid w:val="00E730CE"/>
    <w:rsid w:val="00E74942"/>
    <w:rsid w:val="00E81DD1"/>
    <w:rsid w:val="00E84F00"/>
    <w:rsid w:val="00E8598E"/>
    <w:rsid w:val="00E92958"/>
    <w:rsid w:val="00E956B1"/>
    <w:rsid w:val="00EA0C68"/>
    <w:rsid w:val="00EA4856"/>
    <w:rsid w:val="00EA516D"/>
    <w:rsid w:val="00EB0797"/>
    <w:rsid w:val="00EB0BA8"/>
    <w:rsid w:val="00EB41D6"/>
    <w:rsid w:val="00EC245F"/>
    <w:rsid w:val="00EC248B"/>
    <w:rsid w:val="00EC3A17"/>
    <w:rsid w:val="00EC5284"/>
    <w:rsid w:val="00EC52ED"/>
    <w:rsid w:val="00EC660D"/>
    <w:rsid w:val="00EC7132"/>
    <w:rsid w:val="00ED497E"/>
    <w:rsid w:val="00ED5BCB"/>
    <w:rsid w:val="00EE01F9"/>
    <w:rsid w:val="00EE2F32"/>
    <w:rsid w:val="00EE3E78"/>
    <w:rsid w:val="00EE5652"/>
    <w:rsid w:val="00EF1F5A"/>
    <w:rsid w:val="00EF3A91"/>
    <w:rsid w:val="00F0027D"/>
    <w:rsid w:val="00F03B2A"/>
    <w:rsid w:val="00F04811"/>
    <w:rsid w:val="00F0488C"/>
    <w:rsid w:val="00F04ECD"/>
    <w:rsid w:val="00F15BEF"/>
    <w:rsid w:val="00F176D7"/>
    <w:rsid w:val="00F226D7"/>
    <w:rsid w:val="00F22D7D"/>
    <w:rsid w:val="00F24FAA"/>
    <w:rsid w:val="00F32312"/>
    <w:rsid w:val="00F3364D"/>
    <w:rsid w:val="00F4274E"/>
    <w:rsid w:val="00F42C99"/>
    <w:rsid w:val="00F465F9"/>
    <w:rsid w:val="00F57937"/>
    <w:rsid w:val="00F63DDE"/>
    <w:rsid w:val="00F63FB7"/>
    <w:rsid w:val="00F65315"/>
    <w:rsid w:val="00F66522"/>
    <w:rsid w:val="00F671B0"/>
    <w:rsid w:val="00F71C9A"/>
    <w:rsid w:val="00F73A0C"/>
    <w:rsid w:val="00F76174"/>
    <w:rsid w:val="00F770F6"/>
    <w:rsid w:val="00F80861"/>
    <w:rsid w:val="00F8162E"/>
    <w:rsid w:val="00F921BE"/>
    <w:rsid w:val="00F94198"/>
    <w:rsid w:val="00FA3708"/>
    <w:rsid w:val="00FA3E64"/>
    <w:rsid w:val="00FA3FCC"/>
    <w:rsid w:val="00FB5C09"/>
    <w:rsid w:val="00FB7330"/>
    <w:rsid w:val="00FC0E5F"/>
    <w:rsid w:val="00FC1BBB"/>
    <w:rsid w:val="00FC2CAB"/>
    <w:rsid w:val="00FC2EF9"/>
    <w:rsid w:val="00FC4D25"/>
    <w:rsid w:val="00FC56DE"/>
    <w:rsid w:val="00FC746B"/>
    <w:rsid w:val="00FC767F"/>
    <w:rsid w:val="00FD18A2"/>
    <w:rsid w:val="00FD30C4"/>
    <w:rsid w:val="00FD3C51"/>
    <w:rsid w:val="00FE2F78"/>
    <w:rsid w:val="00FE4465"/>
    <w:rsid w:val="00FE4AF9"/>
    <w:rsid w:val="00FE585F"/>
    <w:rsid w:val="00FE75FB"/>
    <w:rsid w:val="00FE7C69"/>
    <w:rsid w:val="00FF199B"/>
    <w:rsid w:val="00FF2823"/>
    <w:rsid w:val="00FF33BB"/>
    <w:rsid w:val="00FF5FF4"/>
    <w:rsid w:val="00FF6CBF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BBF0CAF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0190967508371796E-2"/>
          <c:y val="2.6195853425298572E-2"/>
          <c:w val="0.98713935817688636"/>
          <c:h val="0.8881986848326133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online_prodej!$A$53</c:f>
              <c:strCache>
                <c:ptCount val="1"/>
                <c:pt idx="0">
                  <c:v> podniky uskutečňující online prodeje přes web, mobilní aplikace nebo online tržiště - % z celkového počtu podniků s 10+ zaměstnanci</c:v>
                </c:pt>
              </c:strCache>
            </c:strRef>
          </c:tx>
          <c:spPr>
            <a:solidFill>
              <a:srgbClr val="47E5FF"/>
            </a:solidFill>
            <a:ln>
              <a:noFill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5674-414F-832C-5C8A78A8AA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(online_prodej!$C$54,online_prodej!$E$54,online_prodej!$G$54,online_prodej!$I$54,online_prodej!$K$54,online_prodej!$M$54,online_prodej!$O$54,online_prodej!$Q$54)</c:f>
              <c:strCache>
                <c:ptCount val="8"/>
                <c:pt idx="0">
                  <c:v> 2008</c:v>
                </c:pt>
                <c:pt idx="1">
                  <c:v> 2010</c:v>
                </c:pt>
                <c:pt idx="2">
                  <c:v>2012</c:v>
                </c:pt>
                <c:pt idx="3">
                  <c:v> 2014</c:v>
                </c:pt>
                <c:pt idx="4">
                  <c:v>2016</c:v>
                </c:pt>
                <c:pt idx="5">
                  <c:v> 2018</c:v>
                </c:pt>
                <c:pt idx="6">
                  <c:v> 2020</c:v>
                </c:pt>
                <c:pt idx="7">
                  <c:v> 2022</c:v>
                </c:pt>
              </c:strCache>
            </c:strRef>
          </c:cat>
          <c:val>
            <c:numRef>
              <c:f>(online_prodej!$C$55,online_prodej!$E$55,online_prodej!$G$55,online_prodej!$I$55,online_prodej!$K$55,online_prodej!$M$55,online_prodej!$O$55,online_prodej!$Q$55)</c:f>
              <c:numCache>
                <c:formatCode>0%</c:formatCode>
                <c:ptCount val="8"/>
                <c:pt idx="0">
                  <c:v>0.11</c:v>
                </c:pt>
                <c:pt idx="1">
                  <c:v>0.17100000000000001</c:v>
                </c:pt>
                <c:pt idx="2">
                  <c:v>0.20399999999999999</c:v>
                </c:pt>
                <c:pt idx="3">
                  <c:v>0.19699999999999998</c:v>
                </c:pt>
                <c:pt idx="4">
                  <c:v>0.191</c:v>
                </c:pt>
                <c:pt idx="5">
                  <c:v>0.23200000000000001</c:v>
                </c:pt>
                <c:pt idx="6">
                  <c:v>0.20799999999999999</c:v>
                </c:pt>
                <c:pt idx="7">
                  <c:v>0.20499999999999999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74-414F-832C-5C8A78A8AA62}"/>
            </c:ext>
          </c:extLst>
        </c:ser>
        <c:ser>
          <c:idx val="2"/>
          <c:order val="1"/>
          <c:tx>
            <c:strRef>
              <c:f>online_prodej!$A$59</c:f>
              <c:strCache>
                <c:ptCount val="1"/>
                <c:pt idx="0">
                  <c:v> tržby z online prodejů přes web, mobilní aplikace nebo online tržiště - % z celkových tržeb podniků s 10+ zaměstnanci</c:v>
                </c:pt>
              </c:strCache>
            </c:strRef>
          </c:tx>
          <c:spPr>
            <a:solidFill>
              <a:srgbClr val="009BB4"/>
            </a:solidFill>
            <a:ln>
              <a:noFill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009BB4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4-5674-414F-832C-5C8A78A8AA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(online_prodej!$C$54,online_prodej!$E$54,online_prodej!$G$54,online_prodej!$I$54,online_prodej!$K$54,online_prodej!$M$54,online_prodej!$O$54,online_prodej!$Q$54)</c:f>
              <c:strCache>
                <c:ptCount val="8"/>
                <c:pt idx="0">
                  <c:v> 2008</c:v>
                </c:pt>
                <c:pt idx="1">
                  <c:v> 2010</c:v>
                </c:pt>
                <c:pt idx="2">
                  <c:v>2012</c:v>
                </c:pt>
                <c:pt idx="3">
                  <c:v> 2014</c:v>
                </c:pt>
                <c:pt idx="4">
                  <c:v>2016</c:v>
                </c:pt>
                <c:pt idx="5">
                  <c:v> 2018</c:v>
                </c:pt>
                <c:pt idx="6">
                  <c:v> 2020</c:v>
                </c:pt>
                <c:pt idx="7">
                  <c:v> 2022</c:v>
                </c:pt>
              </c:strCache>
            </c:strRef>
          </c:cat>
          <c:val>
            <c:numRef>
              <c:f>(online_prodej!$C$60,online_prodej!$E$60,online_prodej!$G$60,online_prodej!$I$60,online_prodej!$K$60,online_prodej!$M$60,online_prodej!$O$60,online_prodej!$Q$60)</c:f>
              <c:numCache>
                <c:formatCode>0%</c:formatCode>
                <c:ptCount val="8"/>
                <c:pt idx="0">
                  <c:v>5.0999999999999997E-2</c:v>
                </c:pt>
                <c:pt idx="1">
                  <c:v>5.5E-2</c:v>
                </c:pt>
                <c:pt idx="2">
                  <c:v>0.05</c:v>
                </c:pt>
                <c:pt idx="3">
                  <c:v>5.2000000000000005E-2</c:v>
                </c:pt>
                <c:pt idx="4">
                  <c:v>8.5999999999999993E-2</c:v>
                </c:pt>
                <c:pt idx="5">
                  <c:v>8.8000000000000009E-2</c:v>
                </c:pt>
                <c:pt idx="6">
                  <c:v>8.5999999999999993E-2</c:v>
                </c:pt>
                <c:pt idx="7">
                  <c:v>9.1999999999999998E-2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74-414F-832C-5C8A78A8AA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67106432"/>
        <c:axId val="167107968"/>
        <c:extLst/>
      </c:barChart>
      <c:catAx>
        <c:axId val="16710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107968"/>
        <c:crosses val="autoZero"/>
        <c:auto val="1"/>
        <c:lblAlgn val="ctr"/>
        <c:lblOffset val="100"/>
        <c:noMultiLvlLbl val="0"/>
      </c:catAx>
      <c:valAx>
        <c:axId val="167107968"/>
        <c:scaling>
          <c:orientation val="minMax"/>
          <c:max val="0.5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6710643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2.9998411581837539E-4"/>
          <c:y val="3.4622966109364911E-2"/>
          <c:w val="0.99895797339058112"/>
          <c:h val="0.1532013787581052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116276592307222E-2"/>
          <c:y val="2.4904590147203774E-2"/>
          <c:w val="0.95596390073882276"/>
          <c:h val="0.71605554189848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online_prodej!$B$95</c:f>
              <c:strCache>
                <c:ptCount val="1"/>
                <c:pt idx="0">
                  <c:v> Celkem*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1-1C9D-4566-AAB0-63B66E81755A}"/>
              </c:ext>
            </c:extLst>
          </c:dPt>
          <c:dPt>
            <c:idx val="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1C9D-4566-AAB0-63B66E81755A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1C9D-4566-AAB0-63B66E81755A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7-1C9D-4566-AAB0-63B66E81755A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9-1C9D-4566-AAB0-63B66E81755A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1C9D-4566-AAB0-63B66E81755A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1C9D-4566-AAB0-63B66E81755A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1C9D-4566-AAB0-63B66E81755A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1C9D-4566-AAB0-63B66E81755A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1C9D-4566-AAB0-63B66E81755A}"/>
              </c:ext>
            </c:extLst>
          </c:dPt>
          <c:dPt>
            <c:idx val="1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15-1C9D-4566-AAB0-63B66E81755A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1C9D-4566-AAB0-63B66E81755A}"/>
              </c:ext>
            </c:extLst>
          </c:dPt>
          <c:dPt>
            <c:idx val="2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1C9D-4566-AAB0-63B66E81755A}"/>
              </c:ext>
            </c:extLst>
          </c:dPt>
          <c:dPt>
            <c:idx val="2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1C9D-4566-AAB0-63B66E81755A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D-1C9D-4566-AAB0-63B66E81755A}"/>
              </c:ext>
            </c:extLst>
          </c:dPt>
          <c:dPt>
            <c:idx val="27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F-1C9D-4566-AAB0-63B66E81755A}"/>
              </c:ext>
            </c:extLst>
          </c:dPt>
          <c:dLbls>
            <c:dLbl>
              <c:idx val="1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C9D-4566-AAB0-63B66E81755A}"/>
                </c:ext>
              </c:extLst>
            </c:dLbl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1C9D-4566-AAB0-63B66E8175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online_prodej!$A$96:$A$123</c:f>
              <c:strCache>
                <c:ptCount val="28"/>
                <c:pt idx="0">
                  <c:v>Litva</c:v>
                </c:pt>
                <c:pt idx="1">
                  <c:v>Malta</c:v>
                </c:pt>
                <c:pt idx="2">
                  <c:v>Švédsko</c:v>
                </c:pt>
                <c:pt idx="3">
                  <c:v>Irsko</c:v>
                </c:pt>
                <c:pt idx="4">
                  <c:v>Španělsko</c:v>
                </c:pt>
                <c:pt idx="5">
                  <c:v>Dánsko</c:v>
                </c:pt>
                <c:pt idx="6">
                  <c:v>Belgie</c:v>
                </c:pt>
                <c:pt idx="7">
                  <c:v>Nizozemsko</c:v>
                </c:pt>
                <c:pt idx="8">
                  <c:v>Chorvatsko</c:v>
                </c:pt>
                <c:pt idx="9">
                  <c:v>Finsko</c:v>
                </c:pt>
                <c:pt idx="10">
                  <c:v>Rakousko</c:v>
                </c:pt>
                <c:pt idx="11">
                  <c:v>Kypr</c:v>
                </c:pt>
                <c:pt idx="12">
                  <c:v>Česko</c:v>
                </c:pt>
                <c:pt idx="13">
                  <c:v>Maďarsko</c:v>
                </c:pt>
                <c:pt idx="14">
                  <c:v>EU27</c:v>
                </c:pt>
                <c:pt idx="15">
                  <c:v>Řecko</c:v>
                </c:pt>
                <c:pt idx="16">
                  <c:v>Slovinsko</c:v>
                </c:pt>
                <c:pt idx="17">
                  <c:v>Estonsko</c:v>
                </c:pt>
                <c:pt idx="18">
                  <c:v>Německo</c:v>
                </c:pt>
                <c:pt idx="19">
                  <c:v>Lotyšsko</c:v>
                </c:pt>
                <c:pt idx="20">
                  <c:v>Polsko</c:v>
                </c:pt>
                <c:pt idx="21">
                  <c:v>Itálie</c:v>
                </c:pt>
                <c:pt idx="22">
                  <c:v>Slovensko</c:v>
                </c:pt>
                <c:pt idx="23">
                  <c:v>Francie</c:v>
                </c:pt>
                <c:pt idx="24">
                  <c:v>Bulharsko</c:v>
                </c:pt>
                <c:pt idx="25">
                  <c:v>Portugalsko</c:v>
                </c:pt>
                <c:pt idx="26">
                  <c:v>Lucembursko</c:v>
                </c:pt>
                <c:pt idx="27">
                  <c:v>Rumunsko</c:v>
                </c:pt>
              </c:strCache>
            </c:strRef>
          </c:cat>
          <c:val>
            <c:numRef>
              <c:f>online_prodej!$B$96:$B$123</c:f>
              <c:numCache>
                <c:formatCode>0%</c:formatCode>
                <c:ptCount val="28"/>
                <c:pt idx="0">
                  <c:v>0.369726</c:v>
                </c:pt>
                <c:pt idx="1">
                  <c:v>0.30175299999999999</c:v>
                </c:pt>
                <c:pt idx="2">
                  <c:v>0.30127599999999999</c:v>
                </c:pt>
                <c:pt idx="3">
                  <c:v>0.29982199999999998</c:v>
                </c:pt>
                <c:pt idx="4">
                  <c:v>0.297209</c:v>
                </c:pt>
                <c:pt idx="5">
                  <c:v>0.28604499999999999</c:v>
                </c:pt>
                <c:pt idx="6">
                  <c:v>0.264544</c:v>
                </c:pt>
                <c:pt idx="7">
                  <c:v>0.25570599999999999</c:v>
                </c:pt>
                <c:pt idx="8">
                  <c:v>0.25310300000000002</c:v>
                </c:pt>
                <c:pt idx="9">
                  <c:v>0.236038</c:v>
                </c:pt>
                <c:pt idx="10">
                  <c:v>0.22947699999999999</c:v>
                </c:pt>
                <c:pt idx="11">
                  <c:v>0.22433</c:v>
                </c:pt>
                <c:pt idx="12">
                  <c:v>0.20522000000000001</c:v>
                </c:pt>
                <c:pt idx="13">
                  <c:v>0.20338300000000001</c:v>
                </c:pt>
                <c:pt idx="14">
                  <c:v>0.19702600000000001</c:v>
                </c:pt>
                <c:pt idx="15">
                  <c:v>0.196017</c:v>
                </c:pt>
                <c:pt idx="16">
                  <c:v>0.19558300000000001</c:v>
                </c:pt>
                <c:pt idx="17">
                  <c:v>0.19292699999999999</c:v>
                </c:pt>
                <c:pt idx="18">
                  <c:v>0.19240099999999999</c:v>
                </c:pt>
                <c:pt idx="19">
                  <c:v>0.17636299999999999</c:v>
                </c:pt>
                <c:pt idx="20">
                  <c:v>0.15948100000000001</c:v>
                </c:pt>
                <c:pt idx="21">
                  <c:v>0.15744900000000001</c:v>
                </c:pt>
                <c:pt idx="22">
                  <c:v>0.155776</c:v>
                </c:pt>
                <c:pt idx="23">
                  <c:v>0.14746100000000001</c:v>
                </c:pt>
                <c:pt idx="24">
                  <c:v>0.141433</c:v>
                </c:pt>
                <c:pt idx="25">
                  <c:v>0.138902</c:v>
                </c:pt>
                <c:pt idx="26">
                  <c:v>0.115926</c:v>
                </c:pt>
                <c:pt idx="27">
                  <c:v>0.11375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1C9D-4566-AAB0-63B66E8175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8718592"/>
        <c:axId val="178719744"/>
      </c:barChart>
      <c:barChart>
        <c:barDir val="col"/>
        <c:grouping val="clustered"/>
        <c:varyColors val="0"/>
        <c:ser>
          <c:idx val="1"/>
          <c:order val="1"/>
          <c:tx>
            <c:strRef>
              <c:f>online_prodej!$C$95</c:f>
              <c:strCache>
                <c:ptCount val="1"/>
                <c:pt idx="0">
                  <c:v> z toho přes online tržiště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dLbl>
              <c:idx val="1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1C9D-4566-AAB0-63B66E81755A}"/>
                </c:ext>
              </c:extLst>
            </c:dLbl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1C9D-4566-AAB0-63B66E8175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online_prodej!$A$96:$A$123</c:f>
              <c:strCache>
                <c:ptCount val="28"/>
                <c:pt idx="0">
                  <c:v>Litva</c:v>
                </c:pt>
                <c:pt idx="1">
                  <c:v>Malta</c:v>
                </c:pt>
                <c:pt idx="2">
                  <c:v>Švédsko</c:v>
                </c:pt>
                <c:pt idx="3">
                  <c:v>Irsko</c:v>
                </c:pt>
                <c:pt idx="4">
                  <c:v>Španělsko</c:v>
                </c:pt>
                <c:pt idx="5">
                  <c:v>Dánsko</c:v>
                </c:pt>
                <c:pt idx="6">
                  <c:v>Belgie</c:v>
                </c:pt>
                <c:pt idx="7">
                  <c:v>Nizozemsko</c:v>
                </c:pt>
                <c:pt idx="8">
                  <c:v>Chorvatsko</c:v>
                </c:pt>
                <c:pt idx="9">
                  <c:v>Finsko</c:v>
                </c:pt>
                <c:pt idx="10">
                  <c:v>Rakousko</c:v>
                </c:pt>
                <c:pt idx="11">
                  <c:v>Kypr</c:v>
                </c:pt>
                <c:pt idx="12">
                  <c:v>Česko</c:v>
                </c:pt>
                <c:pt idx="13">
                  <c:v>Maďarsko</c:v>
                </c:pt>
                <c:pt idx="14">
                  <c:v>EU27</c:v>
                </c:pt>
                <c:pt idx="15">
                  <c:v>Řecko</c:v>
                </c:pt>
                <c:pt idx="16">
                  <c:v>Slovinsko</c:v>
                </c:pt>
                <c:pt idx="17">
                  <c:v>Estonsko</c:v>
                </c:pt>
                <c:pt idx="18">
                  <c:v>Německo</c:v>
                </c:pt>
                <c:pt idx="19">
                  <c:v>Lotyšsko</c:v>
                </c:pt>
                <c:pt idx="20">
                  <c:v>Polsko</c:v>
                </c:pt>
                <c:pt idx="21">
                  <c:v>Itálie</c:v>
                </c:pt>
                <c:pt idx="22">
                  <c:v>Slovensko</c:v>
                </c:pt>
                <c:pt idx="23">
                  <c:v>Francie</c:v>
                </c:pt>
                <c:pt idx="24">
                  <c:v>Bulharsko</c:v>
                </c:pt>
                <c:pt idx="25">
                  <c:v>Portugalsko</c:v>
                </c:pt>
                <c:pt idx="26">
                  <c:v>Lucembursko</c:v>
                </c:pt>
                <c:pt idx="27">
                  <c:v>Rumunsko</c:v>
                </c:pt>
              </c:strCache>
            </c:strRef>
          </c:cat>
          <c:val>
            <c:numRef>
              <c:f>online_prodej!$C$96:$C$123</c:f>
              <c:numCache>
                <c:formatCode>0%</c:formatCode>
                <c:ptCount val="28"/>
                <c:pt idx="0">
                  <c:v>0.304234</c:v>
                </c:pt>
                <c:pt idx="1">
                  <c:v>0.131463</c:v>
                </c:pt>
                <c:pt idx="2">
                  <c:v>8.4306000000000006E-2</c:v>
                </c:pt>
                <c:pt idx="3">
                  <c:v>7.2460999999999998E-2</c:v>
                </c:pt>
                <c:pt idx="4">
                  <c:v>0.12009300000000001</c:v>
                </c:pt>
                <c:pt idx="5">
                  <c:v>6.5795999999999993E-2</c:v>
                </c:pt>
                <c:pt idx="6">
                  <c:v>7.6384999999999995E-2</c:v>
                </c:pt>
                <c:pt idx="7">
                  <c:v>9.5702999999999996E-2</c:v>
                </c:pt>
                <c:pt idx="8">
                  <c:v>5.6397000000000003E-2</c:v>
                </c:pt>
                <c:pt idx="9">
                  <c:v>5.0497E-2</c:v>
                </c:pt>
                <c:pt idx="10">
                  <c:v>0.10834100000000001</c:v>
                </c:pt>
                <c:pt idx="11">
                  <c:v>0.118632</c:v>
                </c:pt>
                <c:pt idx="12">
                  <c:v>6.4475000000000005E-2</c:v>
                </c:pt>
                <c:pt idx="13">
                  <c:v>7.5257000000000004E-2</c:v>
                </c:pt>
                <c:pt idx="14">
                  <c:v>8.4518999999999997E-2</c:v>
                </c:pt>
                <c:pt idx="15">
                  <c:v>9.8377999999999993E-2</c:v>
                </c:pt>
                <c:pt idx="16">
                  <c:v>9.5592999999999997E-2</c:v>
                </c:pt>
                <c:pt idx="17">
                  <c:v>3.1057000000000001E-2</c:v>
                </c:pt>
                <c:pt idx="18">
                  <c:v>9.1928999999999997E-2</c:v>
                </c:pt>
                <c:pt idx="19">
                  <c:v>5.6835999999999998E-2</c:v>
                </c:pt>
                <c:pt idx="20">
                  <c:v>9.4905000000000003E-2</c:v>
                </c:pt>
                <c:pt idx="21">
                  <c:v>9.0801000000000007E-2</c:v>
                </c:pt>
                <c:pt idx="22">
                  <c:v>6.3952999999999996E-2</c:v>
                </c:pt>
                <c:pt idx="23">
                  <c:v>4.1082E-2</c:v>
                </c:pt>
                <c:pt idx="24">
                  <c:v>6.1771E-2</c:v>
                </c:pt>
                <c:pt idx="25">
                  <c:v>5.9080000000000001E-2</c:v>
                </c:pt>
                <c:pt idx="26">
                  <c:v>5.1903999999999999E-2</c:v>
                </c:pt>
                <c:pt idx="27">
                  <c:v>4.7197999999999997E-2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1C9D-4566-AAB0-63B66E817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727168"/>
        <c:axId val="178725632"/>
      </c:barChart>
      <c:catAx>
        <c:axId val="1787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/>
            </a:pPr>
            <a:endParaRPr lang="cs-CZ"/>
          </a:p>
        </c:txPr>
        <c:crossAx val="178719744"/>
        <c:crosses val="autoZero"/>
        <c:auto val="1"/>
        <c:lblAlgn val="ctr"/>
        <c:lblOffset val="100"/>
        <c:noMultiLvlLbl val="0"/>
      </c:catAx>
      <c:valAx>
        <c:axId val="178719744"/>
        <c:scaling>
          <c:orientation val="minMax"/>
          <c:max val="0.4"/>
          <c:min val="0"/>
        </c:scaling>
        <c:delete val="0"/>
        <c:axPos val="l"/>
        <c:majorGridlines>
          <c:spPr>
            <a:ln w="3175">
              <a:solidFill>
                <a:srgbClr val="A6A6A6">
                  <a:alpha val="35000"/>
                </a:srgbClr>
              </a:solidFill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868686"/>
            </a:solidFill>
          </a:ln>
        </c:spPr>
        <c:crossAx val="178718592"/>
        <c:crosses val="autoZero"/>
        <c:crossBetween val="between"/>
        <c:majorUnit val="0.1"/>
        <c:minorUnit val="5.0000000000000024E-2"/>
      </c:valAx>
      <c:valAx>
        <c:axId val="178725632"/>
        <c:scaling>
          <c:orientation val="minMax"/>
          <c:max val="0.30000000000000004"/>
          <c:min val="0"/>
        </c:scaling>
        <c:delete val="1"/>
        <c:axPos val="r"/>
        <c:numFmt formatCode="0%" sourceLinked="1"/>
        <c:majorTickMark val="out"/>
        <c:minorTickMark val="none"/>
        <c:tickLblPos val="nextTo"/>
        <c:crossAx val="178727168"/>
        <c:crosses val="max"/>
        <c:crossBetween val="between"/>
        <c:majorUnit val="0.1"/>
      </c:valAx>
      <c:catAx>
        <c:axId val="178727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8725632"/>
        <c:crosses val="autoZero"/>
        <c:auto val="1"/>
        <c:lblAlgn val="ctr"/>
        <c:lblOffset val="100"/>
        <c:noMultiLvlLbl val="0"/>
      </c:cat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30322346613911194"/>
          <c:y val="3.9305856239795829E-2"/>
          <c:w val="0.38927312746472414"/>
          <c:h val="0.1256054063918125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116276592307222E-2"/>
          <c:y val="2.4904590147203774E-2"/>
          <c:w val="0.95596390073882276"/>
          <c:h val="0.79100267569976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online_prodej!$B$126</c:f>
              <c:strCache>
                <c:ptCount val="1"/>
                <c:pt idx="0">
                  <c:v> Celkem*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1-2B7D-4230-B725-A49F09F776F2}"/>
              </c:ext>
            </c:extLst>
          </c:dPt>
          <c:dPt>
            <c:idx val="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2B7D-4230-B725-A49F09F776F2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2B7D-4230-B725-A49F09F776F2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7-2B7D-4230-B725-A49F09F776F2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9-2B7D-4230-B725-A49F09F776F2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2B7D-4230-B725-A49F09F776F2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2B7D-4230-B725-A49F09F776F2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2B7D-4230-B725-A49F09F776F2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2B7D-4230-B725-A49F09F776F2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2B7D-4230-B725-A49F09F776F2}"/>
              </c:ext>
            </c:extLst>
          </c:dPt>
          <c:dPt>
            <c:idx val="1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15-2B7D-4230-B725-A49F09F776F2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2B7D-4230-B725-A49F09F776F2}"/>
              </c:ext>
            </c:extLst>
          </c:dPt>
          <c:dPt>
            <c:idx val="2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2B7D-4230-B725-A49F09F776F2}"/>
              </c:ext>
            </c:extLst>
          </c:dPt>
          <c:dPt>
            <c:idx val="2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2B7D-4230-B725-A49F09F776F2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D-2B7D-4230-B725-A49F09F776F2}"/>
              </c:ext>
            </c:extLst>
          </c:dPt>
          <c:dPt>
            <c:idx val="27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F-2B7D-4230-B725-A49F09F776F2}"/>
              </c:ext>
            </c:extLst>
          </c:dPt>
          <c:dLbls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B7D-4230-B725-A49F09F776F2}"/>
                </c:ext>
              </c:extLst>
            </c:dLbl>
            <c:dLbl>
              <c:idx val="1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B7D-4230-B725-A49F09F776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online_prodej!$A$127:$A$151</c:f>
              <c:strCache>
                <c:ptCount val="25"/>
                <c:pt idx="0">
                  <c:v>Irsko</c:v>
                </c:pt>
                <c:pt idx="1">
                  <c:v>Švédsko</c:v>
                </c:pt>
                <c:pt idx="2">
                  <c:v>Litva</c:v>
                </c:pt>
                <c:pt idx="3">
                  <c:v>Nizozemsko</c:v>
                </c:pt>
                <c:pt idx="4">
                  <c:v>Belgie</c:v>
                </c:pt>
                <c:pt idx="5">
                  <c:v>Kypr</c:v>
                </c:pt>
                <c:pt idx="6">
                  <c:v>Česko</c:v>
                </c:pt>
                <c:pt idx="7">
                  <c:v>Španělsko</c:v>
                </c:pt>
                <c:pt idx="8">
                  <c:v>Estonsko</c:v>
                </c:pt>
                <c:pt idx="9">
                  <c:v>Německo</c:v>
                </c:pt>
                <c:pt idx="10">
                  <c:v>Portugalsko</c:v>
                </c:pt>
                <c:pt idx="11">
                  <c:v>Chorvatsko</c:v>
                </c:pt>
                <c:pt idx="12">
                  <c:v>Dánsko</c:v>
                </c:pt>
                <c:pt idx="13">
                  <c:v>EU27</c:v>
                </c:pt>
                <c:pt idx="14">
                  <c:v>Slovensko</c:v>
                </c:pt>
                <c:pt idx="15">
                  <c:v>Maďarsko</c:v>
                </c:pt>
                <c:pt idx="16">
                  <c:v>Finsko</c:v>
                </c:pt>
                <c:pt idx="17">
                  <c:v>Malta</c:v>
                </c:pt>
                <c:pt idx="18">
                  <c:v>Lotyšsko</c:v>
                </c:pt>
                <c:pt idx="19">
                  <c:v>Řecko</c:v>
                </c:pt>
                <c:pt idx="20">
                  <c:v>Itálie</c:v>
                </c:pt>
                <c:pt idx="21">
                  <c:v>Bulharsko</c:v>
                </c:pt>
                <c:pt idx="22">
                  <c:v>Rakousko</c:v>
                </c:pt>
                <c:pt idx="23">
                  <c:v>Slovinsko</c:v>
                </c:pt>
                <c:pt idx="24">
                  <c:v>Francie</c:v>
                </c:pt>
              </c:strCache>
            </c:strRef>
          </c:cat>
          <c:val>
            <c:numRef>
              <c:f>online_prodej!$B$127:$B$151</c:f>
              <c:numCache>
                <c:formatCode>0.0%</c:formatCode>
                <c:ptCount val="25"/>
                <c:pt idx="0">
                  <c:v>0.19666</c:v>
                </c:pt>
                <c:pt idx="1">
                  <c:v>0.10474700000000001</c:v>
                </c:pt>
                <c:pt idx="2">
                  <c:v>9.9150000000000002E-2</c:v>
                </c:pt>
                <c:pt idx="3">
                  <c:v>9.8475999999999994E-2</c:v>
                </c:pt>
                <c:pt idx="4">
                  <c:v>9.4751000000000002E-2</c:v>
                </c:pt>
                <c:pt idx="5">
                  <c:v>9.2628000000000002E-2</c:v>
                </c:pt>
                <c:pt idx="6">
                  <c:v>9.2293E-2</c:v>
                </c:pt>
                <c:pt idx="7">
                  <c:v>8.5598999999999995E-2</c:v>
                </c:pt>
                <c:pt idx="8">
                  <c:v>7.5401999999999997E-2</c:v>
                </c:pt>
                <c:pt idx="9">
                  <c:v>7.1759000000000003E-2</c:v>
                </c:pt>
                <c:pt idx="10">
                  <c:v>7.1124999999999994E-2</c:v>
                </c:pt>
                <c:pt idx="11">
                  <c:v>7.0414000000000004E-2</c:v>
                </c:pt>
                <c:pt idx="12">
                  <c:v>7.0179000000000005E-2</c:v>
                </c:pt>
                <c:pt idx="13">
                  <c:v>6.6943000000000003E-2</c:v>
                </c:pt>
                <c:pt idx="14">
                  <c:v>6.5934000000000006E-2</c:v>
                </c:pt>
                <c:pt idx="15">
                  <c:v>6.5382999999999997E-2</c:v>
                </c:pt>
                <c:pt idx="16">
                  <c:v>6.5221000000000001E-2</c:v>
                </c:pt>
                <c:pt idx="17">
                  <c:v>5.9458999999999998E-2</c:v>
                </c:pt>
                <c:pt idx="18">
                  <c:v>5.9271999999999998E-2</c:v>
                </c:pt>
                <c:pt idx="19">
                  <c:v>5.0500999999999997E-2</c:v>
                </c:pt>
                <c:pt idx="20">
                  <c:v>4.7509000000000003E-2</c:v>
                </c:pt>
                <c:pt idx="21">
                  <c:v>4.2800999999999999E-2</c:v>
                </c:pt>
                <c:pt idx="22">
                  <c:v>4.2745999999999999E-2</c:v>
                </c:pt>
                <c:pt idx="23">
                  <c:v>4.0883999999999997E-2</c:v>
                </c:pt>
                <c:pt idx="24">
                  <c:v>3.8863000000000002E-2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2B7D-4230-B725-A49F09F776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8718592"/>
        <c:axId val="178719744"/>
      </c:barChart>
      <c:barChart>
        <c:barDir val="col"/>
        <c:grouping val="clustered"/>
        <c:varyColors val="0"/>
        <c:ser>
          <c:idx val="1"/>
          <c:order val="1"/>
          <c:tx>
            <c:strRef>
              <c:f>online_prodej!$C$126</c:f>
              <c:strCache>
                <c:ptCount val="1"/>
                <c:pt idx="0">
                  <c:v> z toho přes online tržiště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2B7D-4230-B725-A49F09F776F2}"/>
                </c:ext>
              </c:extLst>
            </c:dLbl>
            <c:dLbl>
              <c:idx val="1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2B7D-4230-B725-A49F09F776F2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online_prodej!$A$127:$A$151</c:f>
              <c:strCache>
                <c:ptCount val="25"/>
                <c:pt idx="0">
                  <c:v>Irsko</c:v>
                </c:pt>
                <c:pt idx="1">
                  <c:v>Švédsko</c:v>
                </c:pt>
                <c:pt idx="2">
                  <c:v>Litva</c:v>
                </c:pt>
                <c:pt idx="3">
                  <c:v>Nizozemsko</c:v>
                </c:pt>
                <c:pt idx="4">
                  <c:v>Belgie</c:v>
                </c:pt>
                <c:pt idx="5">
                  <c:v>Kypr</c:v>
                </c:pt>
                <c:pt idx="6">
                  <c:v>Česko</c:v>
                </c:pt>
                <c:pt idx="7">
                  <c:v>Španělsko</c:v>
                </c:pt>
                <c:pt idx="8">
                  <c:v>Estonsko</c:v>
                </c:pt>
                <c:pt idx="9">
                  <c:v>Německo</c:v>
                </c:pt>
                <c:pt idx="10">
                  <c:v>Portugalsko</c:v>
                </c:pt>
                <c:pt idx="11">
                  <c:v>Chorvatsko</c:v>
                </c:pt>
                <c:pt idx="12">
                  <c:v>Dánsko</c:v>
                </c:pt>
                <c:pt idx="13">
                  <c:v>EU27</c:v>
                </c:pt>
                <c:pt idx="14">
                  <c:v>Slovensko</c:v>
                </c:pt>
                <c:pt idx="15">
                  <c:v>Maďarsko</c:v>
                </c:pt>
                <c:pt idx="16">
                  <c:v>Finsko</c:v>
                </c:pt>
                <c:pt idx="17">
                  <c:v>Malta</c:v>
                </c:pt>
                <c:pt idx="18">
                  <c:v>Lotyšsko</c:v>
                </c:pt>
                <c:pt idx="19">
                  <c:v>Řecko</c:v>
                </c:pt>
                <c:pt idx="20">
                  <c:v>Itálie</c:v>
                </c:pt>
                <c:pt idx="21">
                  <c:v>Bulharsko</c:v>
                </c:pt>
                <c:pt idx="22">
                  <c:v>Rakousko</c:v>
                </c:pt>
                <c:pt idx="23">
                  <c:v>Slovinsko</c:v>
                </c:pt>
                <c:pt idx="24">
                  <c:v>Francie</c:v>
                </c:pt>
              </c:strCache>
            </c:strRef>
          </c:cat>
          <c:val>
            <c:numRef>
              <c:f>online_prodej!$C$127:$C$151</c:f>
              <c:numCache>
                <c:formatCode>0.0%</c:formatCode>
                <c:ptCount val="25"/>
                <c:pt idx="0">
                  <c:v>4.6969999999999998E-3</c:v>
                </c:pt>
                <c:pt idx="1">
                  <c:v>1.1273999999999999E-2</c:v>
                </c:pt>
                <c:pt idx="2">
                  <c:v>4.0010999999999998E-2</c:v>
                </c:pt>
                <c:pt idx="3">
                  <c:v>1.0567E-2</c:v>
                </c:pt>
                <c:pt idx="4">
                  <c:v>1.0840000000000001E-2</c:v>
                </c:pt>
                <c:pt idx="5">
                  <c:v>9.8619999999999992E-3</c:v>
                </c:pt>
                <c:pt idx="6">
                  <c:v>2.0298E-2</c:v>
                </c:pt>
                <c:pt idx="7">
                  <c:v>1.1429999999999999E-2</c:v>
                </c:pt>
                <c:pt idx="8">
                  <c:v>1.7409999999999999E-3</c:v>
                </c:pt>
                <c:pt idx="9">
                  <c:v>1.1585E-2</c:v>
                </c:pt>
                <c:pt idx="10">
                  <c:v>2.1106E-2</c:v>
                </c:pt>
                <c:pt idx="11">
                  <c:v>1.0748000000000001E-2</c:v>
                </c:pt>
                <c:pt idx="12">
                  <c:v>4.3680000000000004E-3</c:v>
                </c:pt>
                <c:pt idx="13">
                  <c:v>9.2580000000000006E-3</c:v>
                </c:pt>
                <c:pt idx="14">
                  <c:v>2.4070999999999999E-2</c:v>
                </c:pt>
                <c:pt idx="15">
                  <c:v>3.8049999999999998E-3</c:v>
                </c:pt>
                <c:pt idx="16">
                  <c:v>4.5059999999999996E-3</c:v>
                </c:pt>
                <c:pt idx="17">
                  <c:v>1.1757999999999999E-2</c:v>
                </c:pt>
                <c:pt idx="18">
                  <c:v>7.9679999999999994E-3</c:v>
                </c:pt>
                <c:pt idx="19">
                  <c:v>6.7730000000000004E-3</c:v>
                </c:pt>
                <c:pt idx="20">
                  <c:v>0</c:v>
                </c:pt>
                <c:pt idx="21">
                  <c:v>1.9158000000000001E-2</c:v>
                </c:pt>
                <c:pt idx="22">
                  <c:v>4.6959999999999997E-3</c:v>
                </c:pt>
                <c:pt idx="23">
                  <c:v>4.3340000000000002E-3</c:v>
                </c:pt>
                <c:pt idx="24">
                  <c:v>3.444E-3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2B7D-4230-B725-A49F09F77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727168"/>
        <c:axId val="178725632"/>
      </c:barChart>
      <c:catAx>
        <c:axId val="1787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/>
            </a:pPr>
            <a:endParaRPr lang="cs-CZ"/>
          </a:p>
        </c:txPr>
        <c:crossAx val="178719744"/>
        <c:crosses val="autoZero"/>
        <c:auto val="1"/>
        <c:lblAlgn val="ctr"/>
        <c:lblOffset val="100"/>
        <c:noMultiLvlLbl val="0"/>
      </c:catAx>
      <c:valAx>
        <c:axId val="178719744"/>
        <c:scaling>
          <c:orientation val="minMax"/>
          <c:max val="0.2"/>
          <c:min val="0"/>
        </c:scaling>
        <c:delete val="0"/>
        <c:axPos val="l"/>
        <c:majorGridlines>
          <c:spPr>
            <a:ln w="3175">
              <a:solidFill>
                <a:srgbClr val="A6A6A6">
                  <a:alpha val="35000"/>
                </a:srgbClr>
              </a:solidFill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868686"/>
            </a:solidFill>
          </a:ln>
        </c:spPr>
        <c:crossAx val="178718592"/>
        <c:crosses val="autoZero"/>
        <c:crossBetween val="between"/>
        <c:majorUnit val="2.0000000000000004E-2"/>
      </c:valAx>
      <c:valAx>
        <c:axId val="178725632"/>
        <c:scaling>
          <c:orientation val="minMax"/>
          <c:max val="0.30000000000000004"/>
          <c:min val="0"/>
        </c:scaling>
        <c:delete val="1"/>
        <c:axPos val="r"/>
        <c:numFmt formatCode="0.0%" sourceLinked="1"/>
        <c:majorTickMark val="out"/>
        <c:minorTickMark val="none"/>
        <c:tickLblPos val="nextTo"/>
        <c:crossAx val="178727168"/>
        <c:crosses val="max"/>
        <c:crossBetween val="between"/>
        <c:majorUnit val="0.1"/>
      </c:valAx>
      <c:catAx>
        <c:axId val="178727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8725632"/>
        <c:crosses val="autoZero"/>
        <c:auto val="1"/>
        <c:lblAlgn val="ctr"/>
        <c:lblOffset val="100"/>
        <c:noMultiLvlLbl val="0"/>
      </c:cat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25581333433799242"/>
          <c:y val="3.9305856239795829E-2"/>
          <c:w val="0.4834667436905315"/>
          <c:h val="6.603024467142844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5519616651692128E-2"/>
          <c:y val="0.10949687180341128"/>
          <c:w val="0.95596390073882276"/>
          <c:h val="0.6885679619737238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online_prodej!$B$237</c:f>
              <c:strCache>
                <c:ptCount val="1"/>
                <c:pt idx="0">
                  <c:v> tržby z prodejů soukromým osobám 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1-9088-46CE-BCAC-433E873072DE}"/>
              </c:ext>
            </c:extLst>
          </c:dPt>
          <c:dPt>
            <c:idx val="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9088-46CE-BCAC-433E873072DE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9088-46CE-BCAC-433E873072DE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7-9088-46CE-BCAC-433E873072DE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088-46CE-BCAC-433E873072DE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A-9088-46CE-BCAC-433E873072DE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C-9088-46CE-BCAC-433E873072DE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E-9088-46CE-BCAC-433E873072DE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0-9088-46CE-BCAC-433E873072DE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2-9088-46CE-BCAC-433E873072DE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4-9088-46CE-BCAC-433E873072DE}"/>
              </c:ext>
            </c:extLst>
          </c:dPt>
          <c:dPt>
            <c:idx val="1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16-9088-46CE-BCAC-433E873072DE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8-9088-46CE-BCAC-433E873072DE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A-9088-46CE-BCAC-433E873072DE}"/>
              </c:ext>
            </c:extLst>
          </c:dPt>
          <c:dPt>
            <c:idx val="2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C-9088-46CE-BCAC-433E873072DE}"/>
              </c:ext>
            </c:extLst>
          </c:dPt>
          <c:dPt>
            <c:idx val="2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E-9088-46CE-BCAC-433E873072DE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0-9088-46CE-BCAC-433E873072DE}"/>
              </c:ext>
            </c:extLst>
          </c:dPt>
          <c:dPt>
            <c:idx val="27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2-9088-46CE-BCAC-433E873072DE}"/>
              </c:ext>
            </c:extLst>
          </c:dPt>
          <c:dLbls>
            <c:spPr>
              <a:noFill/>
            </c:spPr>
            <c:txPr>
              <a:bodyPr rot="-5400000" vert="horz"/>
              <a:lstStyle/>
              <a:p>
                <a:pPr>
                  <a:defRPr sz="800" b="0" baseline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online_prodej!$A$238:$A$263</c:f>
              <c:strCache>
                <c:ptCount val="26"/>
                <c:pt idx="0">
                  <c:v>Slovensko</c:v>
                </c:pt>
                <c:pt idx="1">
                  <c:v>Maďarsko</c:v>
                </c:pt>
                <c:pt idx="2">
                  <c:v>Slovinsko</c:v>
                </c:pt>
                <c:pt idx="3">
                  <c:v>Belgie</c:v>
                </c:pt>
                <c:pt idx="4">
                  <c:v>Irsko</c:v>
                </c:pt>
                <c:pt idx="5">
                  <c:v>Dánsko</c:v>
                </c:pt>
                <c:pt idx="6">
                  <c:v>Bulharsko</c:v>
                </c:pt>
                <c:pt idx="7">
                  <c:v>Finsko</c:v>
                </c:pt>
                <c:pt idx="8">
                  <c:v>Chorvatsko</c:v>
                </c:pt>
                <c:pt idx="9">
                  <c:v>Polsko</c:v>
                </c:pt>
                <c:pt idx="10">
                  <c:v>Estonsko</c:v>
                </c:pt>
                <c:pt idx="11">
                  <c:v>Litva</c:v>
                </c:pt>
                <c:pt idx="12">
                  <c:v>Švédsko</c:v>
                </c:pt>
                <c:pt idx="13">
                  <c:v>Kypr</c:v>
                </c:pt>
                <c:pt idx="14">
                  <c:v>Rakousko</c:v>
                </c:pt>
                <c:pt idx="15">
                  <c:v>EU27</c:v>
                </c:pt>
                <c:pt idx="16">
                  <c:v>Portugalsko</c:v>
                </c:pt>
                <c:pt idx="17">
                  <c:v>Německo</c:v>
                </c:pt>
                <c:pt idx="18">
                  <c:v>Nizozemsko</c:v>
                </c:pt>
                <c:pt idx="19">
                  <c:v>Lotyšsko</c:v>
                </c:pt>
                <c:pt idx="20">
                  <c:v>Česko</c:v>
                </c:pt>
                <c:pt idx="21">
                  <c:v>Španělsko</c:v>
                </c:pt>
                <c:pt idx="22">
                  <c:v>Rumunsko</c:v>
                </c:pt>
                <c:pt idx="23">
                  <c:v>Řecko</c:v>
                </c:pt>
                <c:pt idx="24">
                  <c:v>Francie</c:v>
                </c:pt>
                <c:pt idx="25">
                  <c:v>Malta</c:v>
                </c:pt>
              </c:strCache>
            </c:strRef>
          </c:cat>
          <c:val>
            <c:numRef>
              <c:f>online_prodej!$B$238:$B$263</c:f>
              <c:numCache>
                <c:formatCode>0%</c:formatCode>
                <c:ptCount val="26"/>
                <c:pt idx="0">
                  <c:v>0.217863</c:v>
                </c:pt>
                <c:pt idx="1">
                  <c:v>0.27356599999999998</c:v>
                </c:pt>
                <c:pt idx="2">
                  <c:v>0.31889499999999998</c:v>
                </c:pt>
                <c:pt idx="3">
                  <c:v>0.32022499999999998</c:v>
                </c:pt>
                <c:pt idx="4">
                  <c:v>0.33414500000000003</c:v>
                </c:pt>
                <c:pt idx="5">
                  <c:v>0.34651300000000002</c:v>
                </c:pt>
                <c:pt idx="6">
                  <c:v>0.34935500000000003</c:v>
                </c:pt>
                <c:pt idx="7">
                  <c:v>0.38976899999999998</c:v>
                </c:pt>
                <c:pt idx="8">
                  <c:v>0.39197599999999999</c:v>
                </c:pt>
                <c:pt idx="9">
                  <c:v>0.41425600000000001</c:v>
                </c:pt>
                <c:pt idx="10">
                  <c:v>0.43555700000000003</c:v>
                </c:pt>
                <c:pt idx="11">
                  <c:v>0.43595800000000001</c:v>
                </c:pt>
                <c:pt idx="12">
                  <c:v>0.45965899999999998</c:v>
                </c:pt>
                <c:pt idx="13">
                  <c:v>0.461256</c:v>
                </c:pt>
                <c:pt idx="14">
                  <c:v>0.46176699999999998</c:v>
                </c:pt>
                <c:pt idx="15">
                  <c:v>0.46362799999999998</c:v>
                </c:pt>
                <c:pt idx="16">
                  <c:v>0.48346</c:v>
                </c:pt>
                <c:pt idx="17">
                  <c:v>0.496284</c:v>
                </c:pt>
                <c:pt idx="18">
                  <c:v>0.50095199999999995</c:v>
                </c:pt>
                <c:pt idx="19">
                  <c:v>0.50279099999999999</c:v>
                </c:pt>
                <c:pt idx="20">
                  <c:v>0.52880300000000002</c:v>
                </c:pt>
                <c:pt idx="21">
                  <c:v>0.53609799999999996</c:v>
                </c:pt>
                <c:pt idx="22">
                  <c:v>0.56847800000000004</c:v>
                </c:pt>
                <c:pt idx="23">
                  <c:v>0.57076400000000005</c:v>
                </c:pt>
                <c:pt idx="24">
                  <c:v>0.58441100000000001</c:v>
                </c:pt>
                <c:pt idx="25">
                  <c:v>0.62697700000000001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9088-46CE-BCAC-433E873072DE}"/>
            </c:ext>
          </c:extLst>
        </c:ser>
        <c:ser>
          <c:idx val="1"/>
          <c:order val="1"/>
          <c:tx>
            <c:strRef>
              <c:f>online_prodej!$C$237</c:f>
              <c:strCache>
                <c:ptCount val="1"/>
                <c:pt idx="0">
                  <c:v> tržby z prodejů jiným podnikům/organizacím veřejné správy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5-9088-46CE-BCAC-433E873072DE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7-9088-46CE-BCAC-433E873072DE}"/>
              </c:ext>
            </c:extLst>
          </c:dPt>
          <c:dPt>
            <c:idx val="20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9-9088-46CE-BCAC-433E873072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online_prodej!$A$238:$A$263</c:f>
              <c:strCache>
                <c:ptCount val="26"/>
                <c:pt idx="0">
                  <c:v>Slovensko</c:v>
                </c:pt>
                <c:pt idx="1">
                  <c:v>Maďarsko</c:v>
                </c:pt>
                <c:pt idx="2">
                  <c:v>Slovinsko</c:v>
                </c:pt>
                <c:pt idx="3">
                  <c:v>Belgie</c:v>
                </c:pt>
                <c:pt idx="4">
                  <c:v>Irsko</c:v>
                </c:pt>
                <c:pt idx="5">
                  <c:v>Dánsko</c:v>
                </c:pt>
                <c:pt idx="6">
                  <c:v>Bulharsko</c:v>
                </c:pt>
                <c:pt idx="7">
                  <c:v>Finsko</c:v>
                </c:pt>
                <c:pt idx="8">
                  <c:v>Chorvatsko</c:v>
                </c:pt>
                <c:pt idx="9">
                  <c:v>Polsko</c:v>
                </c:pt>
                <c:pt idx="10">
                  <c:v>Estonsko</c:v>
                </c:pt>
                <c:pt idx="11">
                  <c:v>Litva</c:v>
                </c:pt>
                <c:pt idx="12">
                  <c:v>Švédsko</c:v>
                </c:pt>
                <c:pt idx="13">
                  <c:v>Kypr</c:v>
                </c:pt>
                <c:pt idx="14">
                  <c:v>Rakousko</c:v>
                </c:pt>
                <c:pt idx="15">
                  <c:v>EU27</c:v>
                </c:pt>
                <c:pt idx="16">
                  <c:v>Portugalsko</c:v>
                </c:pt>
                <c:pt idx="17">
                  <c:v>Německo</c:v>
                </c:pt>
                <c:pt idx="18">
                  <c:v>Nizozemsko</c:v>
                </c:pt>
                <c:pt idx="19">
                  <c:v>Lotyšsko</c:v>
                </c:pt>
                <c:pt idx="20">
                  <c:v>Česko</c:v>
                </c:pt>
                <c:pt idx="21">
                  <c:v>Španělsko</c:v>
                </c:pt>
                <c:pt idx="22">
                  <c:v>Rumunsko</c:v>
                </c:pt>
                <c:pt idx="23">
                  <c:v>Řecko</c:v>
                </c:pt>
                <c:pt idx="24">
                  <c:v>Francie</c:v>
                </c:pt>
                <c:pt idx="25">
                  <c:v>Malta</c:v>
                </c:pt>
              </c:strCache>
            </c:strRef>
          </c:cat>
          <c:val>
            <c:numRef>
              <c:f>online_prodej!$C$238:$C$263</c:f>
              <c:numCache>
                <c:formatCode>0%</c:formatCode>
                <c:ptCount val="26"/>
                <c:pt idx="0">
                  <c:v>0.78213699999999997</c:v>
                </c:pt>
                <c:pt idx="1">
                  <c:v>0.72643400000000002</c:v>
                </c:pt>
                <c:pt idx="2">
                  <c:v>0.68108000000000002</c:v>
                </c:pt>
                <c:pt idx="3">
                  <c:v>0.67977500000000002</c:v>
                </c:pt>
                <c:pt idx="4">
                  <c:v>0.66585499999999997</c:v>
                </c:pt>
                <c:pt idx="5">
                  <c:v>0.65348700000000004</c:v>
                </c:pt>
                <c:pt idx="6">
                  <c:v>0.65064500000000003</c:v>
                </c:pt>
                <c:pt idx="7">
                  <c:v>0.61023099999999997</c:v>
                </c:pt>
                <c:pt idx="8">
                  <c:v>0.60802400000000001</c:v>
                </c:pt>
                <c:pt idx="9">
                  <c:v>0.58574499999999996</c:v>
                </c:pt>
                <c:pt idx="10">
                  <c:v>0.56444300000000003</c:v>
                </c:pt>
                <c:pt idx="11">
                  <c:v>0.56412899999999999</c:v>
                </c:pt>
                <c:pt idx="12">
                  <c:v>0.54034099999999996</c:v>
                </c:pt>
                <c:pt idx="13">
                  <c:v>0.538744</c:v>
                </c:pt>
                <c:pt idx="14">
                  <c:v>0.53824700000000003</c:v>
                </c:pt>
                <c:pt idx="15">
                  <c:v>0.53637299999999999</c:v>
                </c:pt>
                <c:pt idx="16">
                  <c:v>0.51654</c:v>
                </c:pt>
                <c:pt idx="17">
                  <c:v>0.50371600000000005</c:v>
                </c:pt>
                <c:pt idx="18">
                  <c:v>0.49904799999999999</c:v>
                </c:pt>
                <c:pt idx="19">
                  <c:v>0.49720900000000001</c:v>
                </c:pt>
                <c:pt idx="20">
                  <c:v>0.47119699999999998</c:v>
                </c:pt>
                <c:pt idx="21">
                  <c:v>0.46390199999999998</c:v>
                </c:pt>
                <c:pt idx="22">
                  <c:v>0.43152200000000002</c:v>
                </c:pt>
                <c:pt idx="23">
                  <c:v>0.42923600000000001</c:v>
                </c:pt>
                <c:pt idx="24">
                  <c:v>0.41558899999999999</c:v>
                </c:pt>
                <c:pt idx="25">
                  <c:v>0.37302600000000002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9088-46CE-BCAC-433E873072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78718592"/>
        <c:axId val="178719744"/>
      </c:barChart>
      <c:catAx>
        <c:axId val="1787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/>
            </a:pPr>
            <a:endParaRPr lang="cs-CZ"/>
          </a:p>
        </c:txPr>
        <c:crossAx val="178719744"/>
        <c:crosses val="autoZero"/>
        <c:auto val="1"/>
        <c:lblAlgn val="ctr"/>
        <c:lblOffset val="100"/>
        <c:noMultiLvlLbl val="0"/>
      </c:catAx>
      <c:valAx>
        <c:axId val="178719744"/>
        <c:scaling>
          <c:orientation val="minMax"/>
          <c:max val="1"/>
          <c:min val="0"/>
        </c:scaling>
        <c:delete val="1"/>
        <c:axPos val="l"/>
        <c:majorGridlines>
          <c:spPr>
            <a:ln w="3175">
              <a:noFill/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crossAx val="178718592"/>
        <c:crosses val="autoZero"/>
        <c:crossBetween val="between"/>
        <c:majorUnit val="0.1"/>
        <c:minorUnit val="5.0000000000000024E-2"/>
      </c:valAx>
      <c:spPr>
        <a:noFill/>
        <a:ln w="12700">
          <a:noFill/>
          <a:prstDash val="solid"/>
        </a:ln>
      </c:spPr>
    </c:plotArea>
    <c:legend>
      <c:legendPos val="t"/>
      <c:layout/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E510-6F86-4A7A-8874-8620FF62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1497</TotalTime>
  <Pages>4</Pages>
  <Words>1277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23</cp:revision>
  <cp:lastPrinted>2015-11-16T07:25:00Z</cp:lastPrinted>
  <dcterms:created xsi:type="dcterms:W3CDTF">2024-01-08T14:40:00Z</dcterms:created>
  <dcterms:modified xsi:type="dcterms:W3CDTF">2024-01-11T11:13:00Z</dcterms:modified>
</cp:coreProperties>
</file>